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2014</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47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2"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72"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472"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472"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44,499,229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2014</w:t>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80" w:type="dxa"/>
            <w:vAlign w:val="bottom"/>
            <w:gridSpan w:val="3"/>
          </w:tcPr>
          <w:p>
            <w:pPr>
              <w:ind w:left="106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9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68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4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9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68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600" w:type="dxa"/>
            <w:vAlign w:val="bottom"/>
            <w:gridSpan w:val="6"/>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6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68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2560" w:type="dxa"/>
            <w:vAlign w:val="bottom"/>
            <w:gridSpan w:val="4"/>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w:t>
              </w:r>
            </w:hyperlink>
          </w:p>
        </w:tc>
        <w:tc>
          <w:tcPr>
            <w:tcW w:w="6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6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8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rPr>
                <w:sz w:val="20"/>
                <w:szCs w:val="20"/>
                <w:color w:val="auto"/>
              </w:rPr>
            </w:pPr>
            <w:r>
              <w:rPr>
                <w:rFonts w:ascii="Arial" w:cs="Arial" w:eastAsia="Arial" w:hAnsi="Arial"/>
                <w:sz w:val="18"/>
                <w:szCs w:val="18"/>
                <w:color w:val="auto"/>
              </w:rPr>
              <w:t>September 30, 2014 and December 31, 2013</w:t>
            </w:r>
          </w:p>
        </w:tc>
        <w:tc>
          <w:tcPr>
            <w:tcW w:w="20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For the Quarter and Nine Months Ended September 30, 2014 and 2013</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Comprehensive Income -</w:t>
              </w:r>
            </w:hyperlink>
          </w:p>
        </w:tc>
        <w:tc>
          <w:tcPr>
            <w:tcW w:w="660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line="202" w:lineRule="exact"/>
              <w:rPr>
                <w:sz w:val="20"/>
                <w:szCs w:val="20"/>
                <w:color w:val="auto"/>
              </w:rPr>
            </w:pPr>
            <w:r>
              <w:rPr>
                <w:rFonts w:ascii="Arial" w:cs="Arial" w:eastAsia="Arial" w:hAnsi="Arial"/>
                <w:sz w:val="18"/>
                <w:szCs w:val="18"/>
                <w:color w:val="auto"/>
              </w:rPr>
              <w:t>For the Quarter and Nine Months Ended September 30, 2014 and 2013</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For the Nine Months Ended September 30, 2014 and 2013</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and Results of Operations</w:t>
              </w:r>
            </w:hyperlink>
          </w:p>
        </w:tc>
        <w:tc>
          <w:tcPr>
            <w:tcW w:w="48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Part II.</w:t>
              </w:r>
            </w:hyperlink>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55</w:t>
              </w:r>
            </w:hyperlink>
          </w:p>
        </w:tc>
      </w:tr>
      <w:tr>
        <w:trPr>
          <w:trHeight w:val="39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020" w:type="dxa"/>
            <w:vAlign w:val="bottom"/>
            <w:tcBorders>
              <w:top w:val="single" w:sz="8" w:color="CCEEFF"/>
            </w:tcBorders>
            <w:gridSpan w:val="5"/>
          </w:tcPr>
          <w:p>
            <w:pPr>
              <w:ind w:left="180"/>
              <w:spacing w:after="0"/>
              <w:rPr>
                <w:sz w:val="20"/>
                <w:szCs w:val="20"/>
                <w:color w:val="auto"/>
              </w:rPr>
            </w:pPr>
            <w:r>
              <w:rPr>
                <w:rFonts w:ascii="Arial" w:cs="Arial" w:eastAsia="Arial" w:hAnsi="Arial"/>
                <w:sz w:val="14"/>
                <w:szCs w:val="14"/>
                <w:color w:val="auto"/>
              </w:rPr>
              <w:t>ALLETE, Inc. Third Quarter 2014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29"/>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additions during construction periods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Wind Energy Center</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1, 2 &amp; 3 Wind Facilities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 4</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4 Wind Project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gridSpan w:val="2"/>
          </w:tcPr>
          <w:p>
            <w:pPr>
              <w:spacing w:after="0"/>
              <w:rPr>
                <w:sz w:val="20"/>
                <w:szCs w:val="20"/>
                <w:color w:val="auto"/>
              </w:rPr>
            </w:pPr>
            <w:r>
              <w:rPr>
                <w:rFonts w:ascii="Arial" w:cs="Arial" w:eastAsia="Arial" w:hAnsi="Arial"/>
                <w:sz w:val="18"/>
                <w:szCs w:val="18"/>
                <w:color w:val="auto"/>
              </w:rPr>
              <w:t>BNI Coal, Ltd.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CAIR</w:t>
            </w:r>
          </w:p>
        </w:tc>
        <w:tc>
          <w:tcPr>
            <w:tcW w:w="8760" w:type="dxa"/>
            <w:vAlign w:val="bottom"/>
            <w:gridSpan w:val="2"/>
          </w:tcPr>
          <w:p>
            <w:pPr>
              <w:spacing w:after="0"/>
              <w:rPr>
                <w:sz w:val="20"/>
                <w:szCs w:val="20"/>
                <w:color w:val="auto"/>
              </w:rPr>
            </w:pPr>
            <w:r>
              <w:rPr>
                <w:rFonts w:ascii="Arial" w:cs="Arial" w:eastAsia="Arial" w:hAnsi="Arial"/>
                <w:sz w:val="18"/>
                <w:szCs w:val="18"/>
                <w:color w:val="auto"/>
              </w:rPr>
              <w:t>Clean Air Interstate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760" w:type="dxa"/>
            <w:vAlign w:val="bottom"/>
            <w:gridSpan w:val="2"/>
          </w:tcPr>
          <w:p>
            <w:pPr>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76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76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IBEW</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76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43"/>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kWh</w:t>
            </w: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Kilowatt-hour</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340" w:type="dxa"/>
            <w:vAlign w:val="bottom"/>
            <w:shd w:val="clear" w:color="auto" w:fill="CCEEFF"/>
          </w:tcPr>
          <w:p>
            <w:pPr>
              <w:spacing w:after="0"/>
              <w:rPr>
                <w:sz w:val="17"/>
                <w:szCs w:val="17"/>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76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76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NOL</w:t>
            </w:r>
          </w:p>
        </w:tc>
        <w:tc>
          <w:tcPr>
            <w:tcW w:w="876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300"/>
              <w:spacing w:after="0"/>
              <w:rPr>
                <w:sz w:val="20"/>
                <w:szCs w:val="20"/>
                <w:color w:val="auto"/>
              </w:rPr>
            </w:pPr>
            <w:r>
              <w:rPr>
                <w:rFonts w:ascii="Arial" w:cs="Arial" w:eastAsia="Arial" w:hAnsi="Arial"/>
                <w:sz w:val="14"/>
                <w:szCs w:val="14"/>
                <w:color w:val="auto"/>
              </w:rPr>
              <w:t>ALLETE, Inc. Third Quarter 2014 Form 10-Q</w:t>
            </w: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Corporation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w:t>
            </w:r>
          </w:p>
        </w:tc>
        <w:tc>
          <w:tcPr>
            <w:tcW w:w="876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76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76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Thomson</w:t>
            </w:r>
          </w:p>
        </w:tc>
        <w:tc>
          <w:tcPr>
            <w:tcW w:w="876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8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300"/>
              <w:spacing w:after="0"/>
              <w:rPr>
                <w:sz w:val="20"/>
                <w:szCs w:val="20"/>
                <w:color w:val="auto"/>
              </w:rPr>
            </w:pPr>
            <w:r>
              <w:rPr>
                <w:rFonts w:ascii="Arial" w:cs="Arial" w:eastAsia="Arial" w:hAnsi="Arial"/>
                <w:sz w:val="14"/>
                <w:szCs w:val="14"/>
                <w:color w:val="auto"/>
              </w:rPr>
              <w:t>ALLETE, Inc. Third Quarter 2014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Item 1A under the heading “Risk Factors” beginning on page 28 of ALLETE’s Annual Report on Form 10-K for the year ended December 31, 2013.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00" w:type="dxa"/>
            <w:vAlign w:val="bottom"/>
          </w:tcPr>
          <w:p>
            <w:pPr>
              <w:spacing w:after="0"/>
              <w:rPr>
                <w:sz w:val="20"/>
                <w:szCs w:val="20"/>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$150.5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$1.0 and $1.1)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82.4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96.3</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29.3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35.1</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357.8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307.0</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3,121.5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277.1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263.8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116.4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146.3</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$4,067.9</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$3,476.8</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$92.7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$99.9</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14.8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85.3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286.8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1,289.2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509.7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479.1</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116.8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133.4</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231.6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2,537.2</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2,133.9</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15)</w:t>
            </w:r>
          </w:p>
        </w:tc>
        <w:tc>
          <w:tcPr>
            <w:tcW w:w="16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6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Common Stock Without Par Value, 80.0 Shares Authorized, 44.5 and 41.4 Shares Outstanding</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1,035.3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885.2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ESOP Shares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15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518.6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489.1</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ALLETE Equity</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1,529.2</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1,342.9</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Equity</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1,530.7</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1,342.9</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$4,067.9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$3,476.8</w:t>
            </w:r>
          </w:p>
        </w:tc>
      </w:tr>
      <w:tr>
        <w:trPr>
          <w:trHeight w:val="264"/>
        </w:trPr>
        <w:tc>
          <w:tcPr>
            <w:tcW w:w="820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62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3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40" w:type="dxa"/>
            <w:vAlign w:val="bottom"/>
          </w:tcPr>
          <w:p>
            <w:pPr>
              <w:spacing w:after="0"/>
              <w:rPr>
                <w:sz w:val="23"/>
                <w:szCs w:val="23"/>
                <w:color w:val="auto"/>
              </w:rPr>
            </w:pPr>
          </w:p>
        </w:tc>
        <w:tc>
          <w:tcPr>
            <w:tcW w:w="33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940" w:type="dxa"/>
            <w:vAlign w:val="bottom"/>
          </w:tcPr>
          <w:p>
            <w:pPr>
              <w:spacing w:after="0"/>
              <w:rPr>
                <w:sz w:val="23"/>
                <w:szCs w:val="23"/>
                <w:color w:val="auto"/>
              </w:rPr>
            </w:pPr>
          </w:p>
        </w:tc>
        <w:tc>
          <w:tcPr>
            <w:tcW w:w="2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9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$288.9</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$251.0</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$846.1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$750.4</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88.9</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80.5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268.7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105.7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102.7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340.6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311.2</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33.5</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29.4</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228.1</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212.6</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708.8</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643.2</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60.8</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38.4</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137.3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(13.2)</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(12.7)</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5.3</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(4.5)</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55.0</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33.9</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13.4</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8.7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27.1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41.6</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25.2</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$41.6</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$25.2</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42.9</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39.8</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42.9</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39.9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$0.97</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$0.63</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$0.97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$0.63</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$2.17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$0.49</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$0.475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r>
      <w:tr>
        <w:trPr>
          <w:trHeight w:val="264"/>
        </w:trPr>
        <w:tc>
          <w:tcPr>
            <w:tcW w:w="8200" w:type="dxa"/>
            <w:vAlign w:val="bottom"/>
            <w:tcBorders>
              <w:top w:val="single" w:sz="8" w:color="auto"/>
            </w:tcBorders>
            <w:gridSpan w:val="2"/>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32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120" w:type="dxa"/>
            <w:vAlign w:val="bottom"/>
          </w:tcPr>
          <w:p>
            <w:pPr>
              <w:spacing w:after="0"/>
              <w:rPr>
                <w:sz w:val="23"/>
                <w:szCs w:val="23"/>
                <w:color w:val="auto"/>
              </w:rPr>
            </w:pPr>
          </w:p>
        </w:tc>
        <w:tc>
          <w:tcPr>
            <w:tcW w:w="32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6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$41.6</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$25.2</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Net of Income Taxes of $–, $(0.3), $0.1, and $(0.2)</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Derivatives</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Net of Income Taxes of $–, $(0.1), $0.1, and $–</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40"/>
              <w:spacing w:after="0"/>
              <w:rPr>
                <w:sz w:val="20"/>
                <w:szCs w:val="20"/>
                <w:color w:val="auto"/>
              </w:rPr>
            </w:pPr>
            <w:r>
              <w:rPr>
                <w:rFonts w:ascii="Arial" w:cs="Arial" w:eastAsia="Arial" w:hAnsi="Arial"/>
                <w:sz w:val="18"/>
                <w:szCs w:val="18"/>
                <w:color w:val="auto"/>
              </w:rPr>
              <w:t>Net of Income Taxes of $0.2, $0.3, $0.6, and $0.8</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41.8</w:t>
            </w: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24.9</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93.3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r>
      <w:tr>
        <w:trPr>
          <w:trHeight w:val="27"/>
        </w:trPr>
        <w:tc>
          <w:tcPr>
            <w:tcW w:w="6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2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$41.8</w:t>
            </w: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$24.9</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$92.9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Nine Months Ended</w:t>
            </w:r>
          </w:p>
        </w:tc>
      </w:tr>
      <w:tr>
        <w:trPr>
          <w:trHeight w:val="270"/>
        </w:trPr>
        <w:tc>
          <w:tcPr>
            <w:tcW w:w="8820" w:type="dxa"/>
            <w:vAlign w:val="bottom"/>
          </w:tcPr>
          <w:p>
            <w:pPr>
              <w:spacing w:after="0"/>
              <w:rPr>
                <w:sz w:val="23"/>
                <w:szCs w:val="23"/>
                <w:color w:val="auto"/>
              </w:rPr>
            </w:pPr>
          </w:p>
        </w:tc>
        <w:tc>
          <w:tcPr>
            <w:tcW w:w="260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September 30,</w:t>
            </w:r>
          </w:p>
        </w:tc>
      </w:tr>
      <w:tr>
        <w:trPr>
          <w:trHeight w:val="270"/>
        </w:trPr>
        <w:tc>
          <w:tcPr>
            <w:tcW w:w="8820" w:type="dxa"/>
            <w:vAlign w:val="bottom"/>
          </w:tcPr>
          <w:p>
            <w:pPr>
              <w:spacing w:after="0"/>
              <w:rPr>
                <w:sz w:val="23"/>
                <w:szCs w:val="23"/>
                <w:color w:val="auto"/>
              </w:rPr>
            </w:pPr>
          </w:p>
        </w:tc>
        <w:tc>
          <w:tcPr>
            <w:tcW w:w="1680" w:type="dxa"/>
            <w:vAlign w:val="bottom"/>
          </w:tcPr>
          <w:p>
            <w:pPr>
              <w:jc w:val="right"/>
              <w:ind w:right="455"/>
              <w:spacing w:after="0"/>
              <w:rPr>
                <w:sz w:val="20"/>
                <w:szCs w:val="20"/>
                <w:color w:val="auto"/>
              </w:rPr>
            </w:pPr>
            <w:r>
              <w:rPr>
                <w:rFonts w:ascii="Arial" w:cs="Arial" w:eastAsia="Arial" w:hAnsi="Arial"/>
                <w:sz w:val="17"/>
                <w:szCs w:val="17"/>
                <w:b w:val="1"/>
                <w:bCs w:val="1"/>
                <w:color w:val="auto"/>
              </w:rPr>
              <w:t>2014</w:t>
            </w:r>
          </w:p>
        </w:tc>
        <w:tc>
          <w:tcPr>
            <w:tcW w:w="9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2013</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$92.3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$71.7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(5.9)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Net of Dividends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(3.0)</w:t>
            </w: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Gains on Sale of Assets / Investments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99.5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86.3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Issuance Costs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0.8</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Power Purchase Agreements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(9.0)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25.2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ESOP Compensation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6.7</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9.6</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16.8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1.1</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16.9</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(9.2)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8.8</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3.9</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(12.8)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Cash Contributions to Defined Benefit Pension and Other Postretirement Benefit Plans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(13.0)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3.8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4.6</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212.1</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188.9</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3.3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(4.3)</w:t>
            </w: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Investment in ATC</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(3.1)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to Other Investments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31.1</w:t>
            </w:r>
          </w:p>
        </w:tc>
        <w:tc>
          <w:tcPr>
            <w:tcW w:w="92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(467.8)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 – Net of Cash Acquired</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(23.1)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in Escrow for Acquisition</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5.4</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Assets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Investing Activities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(458.5)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(195.0)</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128.9</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375.0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150.0</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Restricted Cash</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(1.4)</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Notes Payable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Reductions of Long-Term Debt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(134.1)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Debt Issuance Costs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(3.1)</w:t>
            </w: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(6.0)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Dividends on Common Stock</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(62.4)</w:t>
            </w:r>
          </w:p>
        </w:tc>
        <w:tc>
          <w:tcPr>
            <w:tcW w:w="920" w:type="dxa"/>
            <w:vAlign w:val="bottom"/>
          </w:tcPr>
          <w:p>
            <w:pPr>
              <w:jc w:val="right"/>
              <w:spacing w:after="0"/>
              <w:rPr>
                <w:sz w:val="20"/>
                <w:szCs w:val="20"/>
                <w:color w:val="auto"/>
              </w:rPr>
            </w:pPr>
            <w:r>
              <w:rPr>
                <w:rFonts w:ascii="Arial" w:cs="Arial" w:eastAsia="Arial" w:hAnsi="Arial"/>
                <w:sz w:val="17"/>
                <w:szCs w:val="17"/>
                <w:color w:val="auto"/>
              </w:rPr>
              <w:t>(57.2)</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Financing Activities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299.6</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89.8</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53.2</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83.7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97.3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80.8</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$150.5</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$164.5</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ectPr>
          <w:pgSz w:w="11900" w:h="16838" w:orient="portrait"/>
          <w:cols w:equalWidth="0" w:num="1">
            <w:col w:w="11420"/>
          </w:cols>
          <w:pgMar w:left="240" w:top="364" w:right="239" w:bottom="516"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516"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2013, Consolidated Balance Sheet was derived from audited financial statements, but does not include all disclosures required by GAAP. All adjustments are of a normal, recurring nature, except as otherwise disclosed. Operating results for the period ended September 30, 2014, are not necessarily indicative of results that may be expected for any other interim period or for the year ending December 31, 2014. For further information, refer to the consolidated financial statements and notes included in our 2013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82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1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820" w:type="dxa"/>
            <w:vAlign w:val="bottom"/>
          </w:tcPr>
          <w:p>
            <w:pPr>
              <w:jc w:val="right"/>
              <w:ind w:right="150"/>
              <w:spacing w:after="0"/>
              <w:rPr>
                <w:sz w:val="20"/>
                <w:szCs w:val="20"/>
                <w:color w:val="auto"/>
              </w:rPr>
            </w:pPr>
            <w:r>
              <w:rPr>
                <w:rFonts w:ascii="Arial" w:cs="Arial" w:eastAsia="Arial" w:hAnsi="Arial"/>
                <w:sz w:val="18"/>
                <w:szCs w:val="18"/>
                <w:color w:val="auto"/>
              </w:rPr>
              <w:t>54.8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51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0"/>
        </w:trPr>
        <w:tc>
          <w:tcPr>
            <w:tcW w:w="514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04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40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9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4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(a)</w:t>
            </w:r>
          </w:p>
        </w:tc>
        <w:tc>
          <w:tcPr>
            <w:tcW w:w="404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4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$29.3</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Restricted Cash related to ALLETE Clean Energy’s wind energy facilities operating expense and capital distribution reserve requirements.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Non-Current Assets. </w:t>
      </w:r>
      <w:r>
        <w:rPr>
          <w:rFonts w:ascii="Arial" w:cs="Arial" w:eastAsia="Arial" w:hAnsi="Arial"/>
          <w:sz w:val="18"/>
          <w:szCs w:val="18"/>
          <w:color w:val="auto"/>
        </w:rPr>
        <w:t>As of September 30, 2014, included in Other Non-Current Assets on the Consolidated Balance Sheet was restricted cash of $4.9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related to ALLETE Clean Energy’s wind energy facilities debt service and other requirements. As of December 31, 2013, the Company had restricted cash of $5.4 million related to cash held in escrow pending the closing of the wind energy facilities acquisition, which was completed on January 30, 2014. (See Note 4. Acquisition.)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50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5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450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$60.4</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the ALLETE Clean Energy wind energy facilities acquisition on January 30, 2014. (See Note 4. Acquisition.)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76"/>
        </w:trPr>
        <w:tc>
          <w:tcPr>
            <w:tcW w:w="7700" w:type="dxa"/>
            <w:vAlign w:val="bottom"/>
          </w:tcPr>
          <w:p>
            <w:pPr>
              <w:spacing w:after="0"/>
              <w:rPr>
                <w:sz w:val="24"/>
                <w:szCs w:val="24"/>
                <w:color w:val="auto"/>
              </w:rPr>
            </w:pPr>
          </w:p>
        </w:tc>
        <w:tc>
          <w:tcPr>
            <w:tcW w:w="226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7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90.5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3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Liabilities</w:t>
            </w:r>
          </w:p>
        </w:tc>
        <w:tc>
          <w:tcPr>
            <w:tcW w:w="2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$231.6</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the ALLETE Clean Energy wind energy facilities acquisition on January 30, 2014. (See Note 4. Acquisition.)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$(6.5)</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Presentation of an Unrecognized Tax Benefit When a Net Operating Loss Carryforward, a Similar Tax Loss, or a Tax Credit Carryforward Exists. </w:t>
      </w:r>
      <w:r>
        <w:rPr>
          <w:rFonts w:ascii="Arial" w:cs="Arial" w:eastAsia="Arial" w:hAnsi="Arial"/>
          <w:sz w:val="18"/>
          <w:szCs w:val="18"/>
          <w:color w:val="auto"/>
        </w:rPr>
        <w:t>In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FASB issued an accounting standard update on the financial statement presentation of unrecognized tax benefits when an NOL carryforward, a similar tax loss, or a tax credit carryforward exists. An unrecognized tax benefit, or a portion of an unrecognized tax benefit, should be presented in the financial statements as a reduction to a deferred tax asset for an NOL carryforward, a similar tax loss, or a tax credit carryforward. To the extent an NOL carryforward, a similar tax loss, or a tax credit carryforward is not available at the reporting date to settle any additional income taxes that would result from the disallowance of a tax position or the tax law does not require the entity to use, and the entity does not intend to use, the deferred tax asset for such purpose, the unrecognized tax benefit should be presented in the financial statements as a liability and should not be combined with deferred tax assets. This guidance was adopted in the first quarter of 2014, and did not have a material impact on our consolidated financial position, results of operations, or cash flows.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In April 2014, the FASB issued an accounting standard update</w:t>
      </w:r>
      <w:r>
        <w:rPr>
          <w:rFonts w:ascii="Arial" w:cs="Arial" w:eastAsia="Arial" w:hAnsi="Arial"/>
          <w:sz w:val="16"/>
          <w:szCs w:val="16"/>
          <w:i w:val="1"/>
          <w:iCs w:val="1"/>
          <w:color w:val="auto"/>
        </w:rPr>
        <w:t xml:space="preserve"> </w:t>
      </w:r>
      <w:r>
        <w:rPr>
          <w:rFonts w:ascii="Arial" w:cs="Arial" w:eastAsia="Arial" w:hAnsi="Arial"/>
          <w:sz w:val="16"/>
          <w:szCs w:val="16"/>
          <w:color w:val="auto"/>
        </w:rPr>
        <w:t>modifying the criteria for determining which disposals should be presented as discontinued operations and modifying the related disclosure requirements. Additionally, the new guidance requires that a business which qualifies as held for sale upon acquisition should be reported as discontinued operations. The new guidance will be effective beginning in the first quarter of 2015, and will apply prospectively to new disposals and new classifications of disposal groups as held for sale. This guidance is not expected to have a material impact on our consolidated financial position, results of operations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amended revenue recognition guidance to clarify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This accounting guidance is effective for the Company beginning in the first quarter of 2017 using one of two prescribed retrospective methods. Early adoption is not permitted for public companies. The Company is evaluating the impact of the amended revenue recognition guidance on the Company’s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Clean Energy, our business which acquired three wind energy facilities in January 2014, and is aimed at developing or acquiring capital projects that create energy solutions via wind, solar, biomass, midstream gas and oil infrastructure, among other energy-related projects, and ALLETE Properties, our Florida real estate investment. Investments and Other also includes other business development and corporate expenditures, unallocated interest expense, a small amount of non-rate base generation, approximately 5,000 acres of land in Minnesota, and earnings on cash and investments.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Regulated</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 and</w:t>
            </w:r>
          </w:p>
        </w:tc>
      </w:tr>
      <w:tr>
        <w:trPr>
          <w:trHeight w:val="234"/>
        </w:trPr>
        <w:tc>
          <w:tcPr>
            <w:tcW w:w="5700" w:type="dxa"/>
            <w:vAlign w:val="bottom"/>
          </w:tcPr>
          <w:p>
            <w:pPr>
              <w:spacing w:after="0"/>
              <w:rPr>
                <w:sz w:val="20"/>
                <w:szCs w:val="20"/>
                <w:color w:val="auto"/>
              </w:rPr>
            </w:pPr>
          </w:p>
        </w:tc>
        <w:tc>
          <w:tcPr>
            <w:tcW w:w="266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September 30, 2014</w:t>
            </w:r>
          </w:p>
        </w:tc>
        <w:tc>
          <w:tcPr>
            <w:tcW w:w="2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660" w:type="dxa"/>
            <w:vAlign w:val="bottom"/>
          </w:tcPr>
          <w:p>
            <w:pPr>
              <w:jc w:val="right"/>
              <w:ind w:right="370"/>
              <w:spacing w:after="0"/>
              <w:rPr>
                <w:sz w:val="20"/>
                <w:szCs w:val="20"/>
                <w:color w:val="auto"/>
              </w:rPr>
            </w:pPr>
            <w:r>
              <w:rPr>
                <w:rFonts w:ascii="Arial" w:cs="Arial" w:eastAsia="Arial" w:hAnsi="Arial"/>
                <w:sz w:val="18"/>
                <w:szCs w:val="18"/>
                <w:color w:val="auto"/>
              </w:rPr>
              <w:t>$288.9</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$255.8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88.9</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660" w:type="dxa"/>
            <w:vAlign w:val="bottom"/>
          </w:tcPr>
          <w:p>
            <w:pPr>
              <w:jc w:val="right"/>
              <w:ind w:right="370"/>
              <w:spacing w:after="0"/>
              <w:rPr>
                <w:sz w:val="20"/>
                <w:szCs w:val="20"/>
                <w:color w:val="auto"/>
              </w:rPr>
            </w:pPr>
            <w:r>
              <w:rPr>
                <w:rFonts w:ascii="Arial" w:cs="Arial" w:eastAsia="Arial" w:hAnsi="Arial"/>
                <w:sz w:val="18"/>
                <w:szCs w:val="18"/>
                <w:color w:val="auto"/>
              </w:rPr>
              <w:t>105.7</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79.4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33.5</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w:t>
            </w:r>
          </w:p>
        </w:tc>
        <w:tc>
          <w:tcPr>
            <w:tcW w:w="2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60.8</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59.0</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(13.2)</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66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Before Non-Controlling Interest and Income Taxes</w:t>
            </w:r>
          </w:p>
        </w:tc>
        <w:tc>
          <w:tcPr>
            <w:tcW w:w="2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55.0</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54.6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13.4</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2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41.6</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41.2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ALLETE</w:t>
            </w:r>
          </w:p>
        </w:tc>
        <w:tc>
          <w:tcPr>
            <w:tcW w:w="2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$41.6</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$41.2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5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Regulated</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 and</w:t>
            </w:r>
          </w:p>
        </w:tc>
      </w:tr>
      <w:tr>
        <w:trPr>
          <w:trHeight w:val="234"/>
        </w:trPr>
        <w:tc>
          <w:tcPr>
            <w:tcW w:w="5960" w:type="dxa"/>
            <w:vAlign w:val="bottom"/>
          </w:tcPr>
          <w:p>
            <w:pPr>
              <w:spacing w:after="0"/>
              <w:rPr>
                <w:sz w:val="20"/>
                <w:szCs w:val="20"/>
                <w:color w:val="auto"/>
              </w:rPr>
            </w:pPr>
          </w:p>
        </w:tc>
        <w:tc>
          <w:tcPr>
            <w:tcW w:w="240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September 30, 2013</w:t>
            </w:r>
          </w:p>
        </w:tc>
        <w:tc>
          <w:tcPr>
            <w:tcW w:w="2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$251.0</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$226.4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80.5</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102.7</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78.6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29.4</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38.4</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39.4</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(12.7)</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4.9</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33.9</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35.1</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8.7</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2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25.2</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$25.2</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6080" w:type="dxa"/>
            <w:vAlign w:val="bottom"/>
          </w:tcPr>
          <w:p>
            <w:pPr>
              <w:spacing w:after="0"/>
              <w:rPr>
                <w:sz w:val="20"/>
                <w:szCs w:val="20"/>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Nine Months Ended September 30, 2014</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$846.1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$749.6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$96.5</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268.7</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340.6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258.6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82.0</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99.5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137.3</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135.4</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(39.5)</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15.6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15.6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119.4</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122.2</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92.3</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92.6</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$91.9</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$92.6</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1"/>
        </w:trPr>
        <w:tc>
          <w:tcPr>
            <w:tcW w:w="60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As of September 30, 2014</w:t>
            </w:r>
          </w:p>
        </w:tc>
        <w:tc>
          <w:tcPr>
            <w:tcW w:w="2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$4,067.9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$3,519.9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$3,121.5</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$2,888.5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$233.0</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$1,316.6</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$1,244.7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$467.6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$452.9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6"/>
        </w:trPr>
        <w:tc>
          <w:tcPr>
            <w:tcW w:w="6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6080" w:type="dxa"/>
            <w:vAlign w:val="bottom"/>
          </w:tcPr>
          <w:p>
            <w:pPr>
              <w:spacing w:after="0"/>
              <w:rPr>
                <w:sz w:val="20"/>
                <w:szCs w:val="20"/>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Nine Months Ended September 30, 2013</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$750.4</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$683.6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$66.8</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245.7</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311.2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243.6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86.3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107.2</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112.5</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(37.8)</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15.1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92.0</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99.5</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71.7</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73.0</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$71.7</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$73.0</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1"/>
        </w:trPr>
        <w:tc>
          <w:tcPr>
            <w:tcW w:w="60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As of September 30, 2013</w:t>
            </w:r>
          </w:p>
        </w:tc>
        <w:tc>
          <w:tcPr>
            <w:tcW w:w="2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$3,463.9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$3,086.3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$2,456.1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$2,384.1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$1,225.3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$186.4</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$177.6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September 30, 2014, our investment portfolio included the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5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$89.4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19.0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(b)</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$116.4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r>
      <w:tr>
        <w:trPr>
          <w:trHeight w:val="20"/>
        </w:trPr>
        <w:tc>
          <w:tcPr>
            <w:tcW w:w="54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As of September 30, 2014, the aggregate amount of available-for-sale corporate debt securities maturing in one year or less was $0.2 million, in one year to less than three years was $2.1 million, in three years to less than five years was $1.3 million, and in five or more years was $7.1 million.</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During the first quarter of 2014, cash included in Other Investments was transferred to Cash and Cash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3. INVESTMENTS (Continued)</w:t>
            </w:r>
          </w:p>
        </w:tc>
        <w:tc>
          <w:tcPr>
            <w:tcW w:w="3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76"/>
        </w:trPr>
        <w:tc>
          <w:tcPr>
            <w:tcW w:w="6740" w:type="dxa"/>
            <w:vAlign w:val="bottom"/>
          </w:tcPr>
          <w:p>
            <w:pPr>
              <w:spacing w:after="0"/>
              <w:rPr>
                <w:sz w:val="24"/>
                <w:szCs w:val="24"/>
                <w:color w:val="auto"/>
              </w:rPr>
            </w:pPr>
          </w:p>
        </w:tc>
        <w:tc>
          <w:tcPr>
            <w:tcW w:w="320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2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$85.4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2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84.8</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67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20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$89.4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0"/>
        </w:trPr>
        <w:tc>
          <w:tcPr>
            <w:tcW w:w="674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indicators of impairment on a quarterly basis and no impairments were recorded for the quarter and nine months ended September 30, 2014 (none for the year ended December 31, 2013).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Finance Receivables. </w:t>
      </w:r>
      <w:r>
        <w:rPr>
          <w:rFonts w:ascii="Arial" w:cs="Arial" w:eastAsia="Arial" w:hAnsi="Arial"/>
          <w:sz w:val="18"/>
          <w:szCs w:val="18"/>
          <w:color w:val="auto"/>
        </w:rPr>
        <w:t>As of September 30, 2014, long-term finance receivables were $1.4 million net of an allowance ($1.4 million net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as of December 31, 2013). Long-term finance receivables are collateralized by property sold, accrue interest at market-based rates and are net of an allowance for doubtful accounts. As of September 30, 2014, we had an allowance for doubtful accounts of $0.6 million ($0.6 million as of December 31, 2013).</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80" w:type="dxa"/>
            <w:vAlign w:val="bottom"/>
            <w:gridSpan w:val="2"/>
          </w:tcPr>
          <w:p>
            <w:pPr>
              <w:ind w:left="920"/>
              <w:spacing w:after="0"/>
              <w:rPr>
                <w:sz w:val="20"/>
                <w:szCs w:val="20"/>
                <w:color w:val="auto"/>
              </w:rPr>
            </w:pPr>
            <w:r>
              <w:rPr>
                <w:rFonts w:ascii="Arial" w:cs="Arial" w:eastAsia="Arial" w:hAnsi="Arial"/>
                <w:sz w:val="18"/>
                <w:szCs w:val="18"/>
                <w:b w:val="1"/>
                <w:bCs w:val="1"/>
                <w:color w:val="auto"/>
              </w:rPr>
              <w:t>Gross Unrealized</w:t>
            </w:r>
          </w:p>
        </w:tc>
        <w:tc>
          <w:tcPr>
            <w:tcW w:w="1700" w:type="dxa"/>
            <w:vAlign w:val="bottom"/>
          </w:tcPr>
          <w:p>
            <w:pPr>
              <w:spacing w:after="0"/>
              <w:rPr>
                <w:sz w:val="20"/>
                <w:szCs w:val="20"/>
                <w:color w:val="auto"/>
              </w:rPr>
            </w:pP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270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Cost</w:t>
            </w:r>
          </w:p>
        </w:tc>
        <w:tc>
          <w:tcPr>
            <w:tcW w:w="1600" w:type="dxa"/>
            <w:vAlign w:val="bottom"/>
          </w:tcPr>
          <w:p>
            <w:pPr>
              <w:ind w:left="600"/>
              <w:spacing w:after="0"/>
              <w:rPr>
                <w:sz w:val="20"/>
                <w:szCs w:val="20"/>
                <w:color w:val="auto"/>
              </w:rPr>
            </w:pPr>
            <w:r>
              <w:rPr>
                <w:rFonts w:ascii="Arial" w:cs="Arial" w:eastAsia="Arial" w:hAnsi="Arial"/>
                <w:sz w:val="18"/>
                <w:szCs w:val="18"/>
                <w:b w:val="1"/>
                <w:bCs w:val="1"/>
                <w:color w:val="auto"/>
              </w:rPr>
              <w:t>Gain</w:t>
            </w: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Loss</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9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2700" w:type="dxa"/>
            <w:vAlign w:val="bottom"/>
            <w:tcBorders>
              <w:bottom w:val="single" w:sz="8" w:color="CCEEFF"/>
            </w:tcBorders>
            <w:shd w:val="clear" w:color="auto" w:fill="CCEEFF"/>
          </w:tcPr>
          <w:p>
            <w:pPr>
              <w:jc w:val="center"/>
              <w:ind w:left="1010"/>
              <w:spacing w:after="0"/>
              <w:rPr>
                <w:sz w:val="20"/>
                <w:szCs w:val="20"/>
                <w:color w:val="auto"/>
              </w:rPr>
            </w:pPr>
            <w:r>
              <w:rPr>
                <w:rFonts w:ascii="Arial" w:cs="Arial" w:eastAsia="Arial" w:hAnsi="Arial"/>
                <w:sz w:val="18"/>
                <w:szCs w:val="18"/>
                <w:color w:val="auto"/>
                <w:w w:val="88"/>
              </w:rPr>
              <w:t>$19.1</w:t>
            </w:r>
          </w:p>
        </w:tc>
        <w:tc>
          <w:tcPr>
            <w:tcW w:w="16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$0.4</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$19.0</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2700" w:type="dxa"/>
            <w:vAlign w:val="bottom"/>
          </w:tcPr>
          <w:p>
            <w:pPr>
              <w:jc w:val="center"/>
              <w:ind w:left="1010"/>
              <w:spacing w:after="0"/>
              <w:rPr>
                <w:sz w:val="20"/>
                <w:szCs w:val="20"/>
                <w:color w:val="auto"/>
              </w:rPr>
            </w:pPr>
            <w:r>
              <w:rPr>
                <w:rFonts w:ascii="Arial" w:cs="Arial" w:eastAsia="Arial" w:hAnsi="Arial"/>
                <w:sz w:val="18"/>
                <w:szCs w:val="18"/>
                <w:color w:val="auto"/>
                <w:w w:val="88"/>
              </w:rPr>
              <w:t>$18.3</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640"/>
              <w:spacing w:after="0"/>
              <w:rPr>
                <w:sz w:val="20"/>
                <w:szCs w:val="20"/>
                <w:color w:val="auto"/>
              </w:rPr>
            </w:pPr>
            <w:r>
              <w:rPr>
                <w:rFonts w:ascii="Arial" w:cs="Arial" w:eastAsia="Arial" w:hAnsi="Arial"/>
                <w:sz w:val="18"/>
                <w:szCs w:val="18"/>
                <w:color w:val="auto"/>
              </w:rPr>
              <w:t>$0.6</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$17.7</w:t>
            </w:r>
          </w:p>
        </w:tc>
      </w:tr>
      <w:tr>
        <w:trPr>
          <w:trHeight w:val="27"/>
        </w:trPr>
        <w:tc>
          <w:tcPr>
            <w:tcW w:w="39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320" w:type="dxa"/>
            <w:vAlign w:val="bottom"/>
          </w:tcPr>
          <w:p>
            <w:pPr>
              <w:jc w:val="center"/>
              <w:ind w:left="1710"/>
              <w:spacing w:after="0"/>
              <w:rPr>
                <w:sz w:val="20"/>
                <w:szCs w:val="20"/>
                <w:color w:val="auto"/>
              </w:rPr>
            </w:pPr>
            <w:r>
              <w:rPr>
                <w:rFonts w:ascii="Arial" w:cs="Arial" w:eastAsia="Arial" w:hAnsi="Arial"/>
                <w:sz w:val="18"/>
                <w:szCs w:val="18"/>
                <w:b w:val="1"/>
                <w:bCs w:val="1"/>
                <w:color w:val="auto"/>
                <w:w w:val="96"/>
              </w:rPr>
              <w:t>Net</w:t>
            </w:r>
          </w:p>
        </w:tc>
        <w:tc>
          <w:tcPr>
            <w:tcW w:w="2660" w:type="dxa"/>
            <w:vAlign w:val="bottom"/>
            <w:gridSpan w:val="2"/>
          </w:tcPr>
          <w:p>
            <w:pPr>
              <w:ind w:left="720"/>
              <w:spacing w:after="0"/>
              <w:rPr>
                <w:sz w:val="20"/>
                <w:szCs w:val="20"/>
                <w:color w:val="auto"/>
              </w:rPr>
            </w:pPr>
            <w:r>
              <w:rPr>
                <w:rFonts w:ascii="Arial" w:cs="Arial" w:eastAsia="Arial" w:hAnsi="Arial"/>
                <w:sz w:val="18"/>
                <w:szCs w:val="18"/>
                <w:b w:val="1"/>
                <w:bCs w:val="1"/>
                <w:color w:val="auto"/>
              </w:rPr>
              <w:t>Gross Realized</w:t>
            </w: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 (Continued)</w:t>
            </w:r>
          </w:p>
        </w:tc>
        <w:tc>
          <w:tcPr>
            <w:tcW w:w="3320" w:type="dxa"/>
            <w:vAlign w:val="bottom"/>
          </w:tcPr>
          <w:p>
            <w:pPr>
              <w:jc w:val="center"/>
              <w:ind w:left="1710"/>
              <w:spacing w:after="0"/>
              <w:rPr>
                <w:sz w:val="20"/>
                <w:szCs w:val="20"/>
                <w:color w:val="auto"/>
              </w:rPr>
            </w:pPr>
            <w:r>
              <w:rPr>
                <w:rFonts w:ascii="Arial" w:cs="Arial" w:eastAsia="Arial" w:hAnsi="Arial"/>
                <w:sz w:val="18"/>
                <w:szCs w:val="18"/>
                <w:b w:val="1"/>
                <w:bCs w:val="1"/>
                <w:color w:val="auto"/>
                <w:w w:val="83"/>
              </w:rPr>
              <w:t>Proceeds</w:t>
            </w:r>
          </w:p>
        </w:tc>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Gain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Loss</w:t>
            </w:r>
          </w:p>
        </w:tc>
      </w:tr>
      <w:tr>
        <w:trPr>
          <w:trHeight w:val="27"/>
        </w:trPr>
        <w:tc>
          <w:tcPr>
            <w:tcW w:w="54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3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jc w:val="right"/>
              <w:ind w:right="4710"/>
              <w:spacing w:after="0"/>
              <w:rPr>
                <w:sz w:val="20"/>
                <w:szCs w:val="20"/>
                <w:color w:val="auto"/>
              </w:rPr>
            </w:pPr>
            <w:r>
              <w:rPr>
                <w:rFonts w:ascii="Arial" w:cs="Arial" w:eastAsia="Arial" w:hAnsi="Arial"/>
                <w:sz w:val="18"/>
                <w:szCs w:val="18"/>
                <w:color w:val="auto"/>
              </w:rPr>
              <w:t>2014</w:t>
            </w:r>
          </w:p>
        </w:tc>
        <w:tc>
          <w:tcPr>
            <w:tcW w:w="3320" w:type="dxa"/>
            <w:vAlign w:val="bottom"/>
          </w:tcPr>
          <w:p>
            <w:pPr>
              <w:jc w:val="center"/>
              <w:ind w:left="1710"/>
              <w:spacing w:after="0"/>
              <w:rPr>
                <w:sz w:val="20"/>
                <w:szCs w:val="20"/>
                <w:color w:val="auto"/>
              </w:rPr>
            </w:pPr>
            <w:r>
              <w:rPr>
                <w:rFonts w:ascii="Arial" w:cs="Arial" w:eastAsia="Arial" w:hAnsi="Arial"/>
                <w:sz w:val="18"/>
                <w:szCs w:val="18"/>
                <w:color w:val="auto"/>
                <w:w w:val="91"/>
              </w:rPr>
              <w:t>$0.6</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jc w:val="right"/>
              <w:ind w:right="4710"/>
              <w:spacing w:after="0"/>
              <w:rPr>
                <w:sz w:val="20"/>
                <w:szCs w:val="20"/>
                <w:color w:val="auto"/>
              </w:rPr>
            </w:pPr>
            <w:r>
              <w:rPr>
                <w:rFonts w:ascii="Arial" w:cs="Arial" w:eastAsia="Arial" w:hAnsi="Arial"/>
                <w:sz w:val="18"/>
                <w:szCs w:val="18"/>
                <w:color w:val="auto"/>
              </w:rPr>
              <w:t>2013</w:t>
            </w:r>
          </w:p>
        </w:tc>
        <w:tc>
          <w:tcPr>
            <w:tcW w:w="332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color w:val="auto"/>
                <w:w w:val="91"/>
              </w:rPr>
              <w:t>$6.9</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Nine Months Ended September 30,</w:t>
            </w:r>
          </w:p>
        </w:tc>
        <w:tc>
          <w:tcPr>
            <w:tcW w:w="3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jc w:val="right"/>
              <w:ind w:right="4710"/>
              <w:spacing w:after="0"/>
              <w:rPr>
                <w:sz w:val="20"/>
                <w:szCs w:val="20"/>
                <w:color w:val="auto"/>
              </w:rPr>
            </w:pPr>
            <w:r>
              <w:rPr>
                <w:rFonts w:ascii="Arial" w:cs="Arial" w:eastAsia="Arial" w:hAnsi="Arial"/>
                <w:sz w:val="18"/>
                <w:szCs w:val="18"/>
                <w:color w:val="auto"/>
              </w:rPr>
              <w:t>2014</w:t>
            </w:r>
          </w:p>
        </w:tc>
        <w:tc>
          <w:tcPr>
            <w:tcW w:w="332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color w:val="auto"/>
                <w:w w:val="91"/>
              </w:rPr>
              <w:t>$3.3</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jc w:val="right"/>
              <w:ind w:right="4710"/>
              <w:spacing w:after="0"/>
              <w:rPr>
                <w:sz w:val="20"/>
                <w:szCs w:val="20"/>
                <w:color w:val="auto"/>
              </w:rPr>
            </w:pPr>
            <w:r>
              <w:rPr>
                <w:rFonts w:ascii="Arial" w:cs="Arial" w:eastAsia="Arial" w:hAnsi="Arial"/>
                <w:sz w:val="18"/>
                <w:szCs w:val="18"/>
                <w:color w:val="auto"/>
              </w:rPr>
              <w:t>2013</w:t>
            </w:r>
          </w:p>
        </w:tc>
        <w:tc>
          <w:tcPr>
            <w:tcW w:w="3320" w:type="dxa"/>
            <w:vAlign w:val="bottom"/>
          </w:tcPr>
          <w:p>
            <w:pPr>
              <w:jc w:val="center"/>
              <w:ind w:left="1710"/>
              <w:spacing w:after="0"/>
              <w:rPr>
                <w:sz w:val="20"/>
                <w:szCs w:val="20"/>
                <w:color w:val="auto"/>
              </w:rPr>
            </w:pPr>
            <w:r>
              <w:rPr>
                <w:rFonts w:ascii="Arial" w:cs="Arial" w:eastAsia="Arial" w:hAnsi="Arial"/>
                <w:sz w:val="18"/>
                <w:szCs w:val="18"/>
                <w:color w:val="auto"/>
                <w:w w:val="88"/>
              </w:rPr>
              <w:t>$15.0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4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30, 2014, ALLETE Clean Energy acquired wind energy facilities located in Lake Benton, Minnesota (Lake Benton), Storm Lake, Iowa (Storm Lake) and Condon, Oregon (Condon) from The AES Corporation (AES) for $26.9 million. ALLETE Clean Energy also has an option to acquire a fourth wind energy facility from AES in Armenia Mountain, Pennsylvania (Armenia Mountain), in June 2015. The acquisition supports ALLETE’s strategy to pursue energy-centric initiatives through ALLETE Clean Energy that include less carbon intensive and more sustainable energy sources.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Lake Benton, Storm Lake and Condon have 104 MW, 77 MW and 50 MW of generating capability, respectively. Lake Benton and Storm Lake began commercial operations in 1998,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in June 2015. Armenia Mountain began operations in 2009.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4. ACQUISITION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ALLETE Clean Energy acquired a controlling interest in the limited liability company (LLC) which owns Lake Benton and Storm Lake, and a controlling interest in the LLC that owns Condon. The acquisition was accounted for as a business combination and the purchase price was allocated based on the estimated fair values of the assets acquired and the liabilities assumed at the date of acquisition. In connection with finalizing purchase price accounting, the Company recorded minor adjustments to certain assets and liabilities in the second quarter of 2014, which are reflected in the table below. These adjustments had no impact on the results of operations.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(b)</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66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for the option to purchase Armenia Mountain in 2015, and goodwill of $2.9 million; for tax purposes, the purchase price allocation resulted in no allocation to goodwill.</w:t>
      </w: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Other Current Liabilities included $12.4 million related to the current liabilities portion of the Power Purchase Agreements.</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purchase price accounting valued the non-controlling interest relating to Lake Benton, Storm Lake and Condon at fair value using the discounted cash flow method. The non-controlling interest related to Lake Benton and Storm Lake was subsequently purchased by ALLETE Clean Energy.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incurred $1.4 million after-tax of acquisition-related costs during the first quarter of 2014, which were expensed when incurred and were recorded in Other Expenses on the Consolidated Statement of Income. The results of operations of this business from its acquisition date are included in the Investments and Other segment. The pro forma impact of this acquisition was not significant to the results of the Company for the quarter and nine months ended September 30, 2014 or September 30, 2013.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11, 2014, ALLETE Clean Energy purchased the non-controlling interest related to Lake Benton and Storm Lake for $6.0 million. This was accounted for as an equity transaction, and no gain or loss was recognized in net income or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DERIVATIVES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one variable-to-fixed interest rate swap (Swap), designated as a cash flow hedge, in order to manage the interest rate risk associated with a $75.0 million Term Loan which represents approximately 5 percent of the Company’s outstanding long-term debt, including long-term debt due within one year, as of September 30, 2014. (See Note 9. Short-Term and Long-Term Debt.) The Swap has an effective date of August 25, 2014, and matures on August 25, 2015. The Swap involves the receipt of the one-month LIBOR in exchange for fixed interest payments over the life of the agreement at 0.75 percent without an exchange of the underlying notional amount. Cash flows from the Swap are expected to be highly effective. If it is determined that the Swap ceases to be effective, we will prospectively discontinue hedge accounting. When applicable, we use the shortcut method to assess hedge effectiveness. If the shortcut method is not applicable, we assess effectiveness using the “change-in-variable-cash-flows” method. Our assessment of hedge effectiveness resulted in no ineffectiveness recorded for the quarter and nine months ended September 30, 2014. As of September 30, 2014, the fair value of the Swap was a $0.4 million liability which was included in Other Current Liabilities on the Consolidated Balance Sheet. The fair value as of December 31, 2013, included an additional variable to fixed interest rate swap that expired on August 26, 2014, with an aggregate fair value at December 31, 2013 of $0.6 million of which$0.3 million was included in Other Non-Current Liabilities and $0.3 million was included in Other Current Liabilities on the Consolidated Balance Sheet. Changes in the fair value of the Swap were recorded in Accumulated Other Comprehensive Loss on the Consolidated Balance Sheet. Cash flows from the Swap are presented in the same category as the hedged item on the Consolidated Statement of Cash Flows. Amounts recorded in Other Comprehensive Income related to the Swap will be recorded in earnings when the hedged transaction occurs or when it is probable it will not occur. Gains or losses on the interest rate hedging transaction are reflected as a component of Interest Expense on the Consolidated Statement of Income.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2013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2014, and December 31, 2013. Each asset and liability is classified based on the lowest level of input that is significant to the fair value measurement. Our assessment of the significance of a particular input to the fair value measurement requires judgment and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36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NOTE 6. FAIR VALUE (Continued)</w:t>
            </w: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94"/>
        </w:trPr>
        <w:tc>
          <w:tcPr>
            <w:tcW w:w="6960" w:type="dxa"/>
            <w:vAlign w:val="bottom"/>
          </w:tcPr>
          <w:p>
            <w:pPr>
              <w:spacing w:after="0"/>
              <w:rPr>
                <w:sz w:val="24"/>
                <w:szCs w:val="24"/>
                <w:color w:val="auto"/>
              </w:rPr>
            </w:pPr>
          </w:p>
        </w:tc>
        <w:tc>
          <w:tcPr>
            <w:tcW w:w="37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Fair Value as of September 30, 2014</w:t>
            </w:r>
          </w:p>
        </w:tc>
        <w:tc>
          <w:tcPr>
            <w:tcW w:w="680" w:type="dxa"/>
            <w:vAlign w:val="bottom"/>
          </w:tcPr>
          <w:p>
            <w:pPr>
              <w:spacing w:after="0"/>
              <w:rPr>
                <w:sz w:val="24"/>
                <w:szCs w:val="24"/>
                <w:color w:val="auto"/>
              </w:rPr>
            </w:pP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$8.3</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6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2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$12.0</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$10.7</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r>
      <w:tr>
        <w:trPr>
          <w:trHeight w:val="27"/>
        </w:trPr>
        <w:tc>
          <w:tcPr>
            <w:tcW w:w="6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2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$16.2</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6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12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$16.6</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r>
      <w:tr>
        <w:trPr>
          <w:trHeight w:val="27"/>
        </w:trPr>
        <w:tc>
          <w:tcPr>
            <w:tcW w:w="6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0"/>
        </w:trPr>
        <w:tc>
          <w:tcPr>
            <w:tcW w:w="69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on the Consolidated Balance Sheet.</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2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Fair Value as of December 31, 2013</w:t>
            </w:r>
          </w:p>
        </w:tc>
        <w:tc>
          <w:tcPr>
            <w:tcW w:w="680" w:type="dxa"/>
            <w:vAlign w:val="bottom"/>
          </w:tcPr>
          <w:p>
            <w:pPr>
              <w:spacing w:after="0"/>
              <w:rPr>
                <w:sz w:val="20"/>
                <w:szCs w:val="20"/>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$7.9</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$9.8</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9.8</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34.2</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$42.1</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$9.8</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$16.8</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0.6</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$17.4</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$42.1</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and Other Non-Current Liabilities on the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Level 3 during the quarters and nine months ended September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quarters and nine months ended September 30, 2014 and 2013, there were no transfers in or out of Levels 1, 2 or 3.</w:t>
      </w:r>
    </w:p>
    <w:p>
      <w:pPr>
        <w:spacing w:after="0" w:line="221"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September 30, 2014</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$1,374.5</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$1,465.0</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2013</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$1,110.2</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$1,131.7</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20"/>
          </w:cols>
          <w:pgMar w:left="240" w:top="36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SWL&amp;P, a wholly-owned subsidiary of ALLETE, is a private utility in Wisconsin and also a customer of Minnesota Power. In April 2014, Minnesota Power amended its formula-based wholesale electric sales contract with the Nashwauk Public Utilities Commission, extending the term through June 30, 2026. The electric service agreements with the remaining 15 Minnesota municipal customers and SWL&amp;P are effective through June 30, 2019. The rates included in these agreements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July 1, 2023. Under the agreements with the remaining 15 municipal customers and SWL&amp;P, no termination notices may be given prior to June 30, 2016.</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The Bison Wind Energy Center in North Dakota currently consists of 292 MW of nameplate capacity and was completed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phases through 2012. Customer billing rates for our Bison Wind Energy Center were approved by the MPUC in a December 2013 order. Construction of Bison 4, a 205 MW wind project in North Dakota, which is an addition to our Bison Wind Energy Center, commenced and is expected to be completed by the end of 2014. The total project investment for Bison 4 is estimated to be approximately $345 million, of which $288 million was spent through September 30, 2014.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also filed a petition on July 3, 2014 with the MPUC seeking cost recovery for investments and expenditures related to the restoration and repair of Thomson which was damaged during 2012. The total project investment for Thomson is estimated to be approximately $90 million, of which $80 million, net of insurance, was spent through September 30, 2014. (See Note 15. Commitments, Guarantees and Contingencies.)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Integrated Resource Plan. </w:t>
      </w:r>
      <w:r>
        <w:rPr>
          <w:rFonts w:ascii="Arial" w:cs="Arial" w:eastAsia="Arial" w:hAnsi="Arial"/>
          <w:sz w:val="18"/>
          <w:szCs w:val="18"/>
          <w:color w:val="auto"/>
        </w:rPr>
        <w:t>In a November 2013 order, the MPUC approved Minnesota Power’s 2013 Integrated Resource Plan which details our</w:t>
      </w:r>
      <w:r>
        <w:rPr>
          <w:rFonts w:ascii="Arial" w:cs="Arial" w:eastAsia="Arial" w:hAnsi="Arial"/>
          <w:sz w:val="18"/>
          <w:szCs w:val="18"/>
          <w:b w:val="1"/>
          <w:b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Significant elements of the “EnergyForward” plan include major wind investments in North Dakota, installation of emissions control technology at Boswell Unit 4, planning for the proposed GNTL, conversion of Laskin from coal to natural gas in the second quarter of 2015 and retiring Taconite Harbor Unit 3 in the second quarter of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REGULATORY MATTERS (Continued)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Boswell Mercury Emissions Reduction Plan. </w:t>
      </w:r>
      <w:r>
        <w:rPr>
          <w:rFonts w:ascii="Arial" w:cs="Arial" w:eastAsia="Arial" w:hAnsi="Arial"/>
          <w:sz w:val="16"/>
          <w:szCs w:val="16"/>
          <w:color w:val="auto"/>
        </w:rPr>
        <w:t>Minnesota Power is implementing a mercury emissions reduction project for Boswell Unit 4 in order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comply 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Act requirements and the Federal MATS rule. Costs to implement the Boswell Unit 4 mercury emissions reduction plan are included in the estimated capital expenditures required for compliance with the MATS rule and are estimated to be approximately $250 million of which $120 million was spent through September 30, 2014. In November 2013, the MPUC issued an order approving the Boswell Unit 4 mercury emissions reduction plan and cost recovery, establishing an environmental improvement rider. Also in November 2013, environmental intervenors filed a petition for reconsideration with the MPUC which was subsequently denied in an order dated January 17, 2014. Intervenors have appealed this order and the Company has filed a response to the appeal. The Minnesota Court of Appeals heard oral argument in September 2014 with a decision expected before the end of 2014. In December 2013, Minnesota Power filed a petition with the MPUC to establish customer billing rates for the approved environmental improvement rider based on actual and estimated investments and expenditures, which was approved in an order dated July 2, 2014.</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Great Northern Transmission Line (GNTL)</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and Manitoba Hydro have proposed construction of the GNTL, an approximately 220-mile</w:t>
      </w:r>
      <w:r>
        <w:rPr>
          <w:rFonts w:ascii="Arial" w:cs="Arial" w:eastAsia="Arial" w:hAnsi="Arial"/>
          <w:sz w:val="16"/>
          <w:szCs w:val="16"/>
          <w:b w:val="1"/>
          <w:bCs w:val="1"/>
          <w:color w:val="auto"/>
        </w:rPr>
        <w:t xml:space="preserve"> </w:t>
      </w:r>
      <w:r>
        <w:rPr>
          <w:rFonts w:ascii="Arial" w:cs="Arial" w:eastAsia="Arial" w:hAnsi="Arial"/>
          <w:sz w:val="16"/>
          <w:szCs w:val="16"/>
          <w:color w:val="auto"/>
        </w:rPr>
        <w:t>500 kV transmission line, between Manitoba and Minnesota’s Iron Range. The GNTL is subject to various federal and state regulatory approvals. In October 2013, a Certificate of Need application was filed with the MPUC with respect to the GNTL. In an order dated January 8, 2014, the MPUC determined that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new transmission line and hydroelectric generation development in Canada. Upon receipt of all applicable permits and approvals, construction of the GNTL is anticipated to begin in 2016, and to be completed in 2020.</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Conservation Improvement Program (CIP). </w:t>
      </w:r>
      <w:r>
        <w:rPr>
          <w:rFonts w:ascii="Arial" w:cs="Arial" w:eastAsia="Arial" w:hAnsi="Arial"/>
          <w:sz w:val="16"/>
          <w:szCs w:val="16"/>
          <w:color w:val="auto"/>
        </w:rPr>
        <w:t>Minnesota has enacted legislation establishing an annual energy-savings goal for each utility of 1.5 percent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retail energy sales. On April 1, 2014, Minnesota Power submitted its 2013 CIP filing that requested a CIP financial incentive of $8.7 million based upon MPUC procedures. The requested CIP financial incentive was approved by the MPUC in a hearing held on July 24, 2014, and was recorded as revenue and as a regulatory asset. The approved financial incentive will be recovered through customer billing rates in 2014 and 2015. In 2013, the CIP financial incentive of $7.1 million was recognized in the fourth quarter. CIP financial incentives are recognized in the period in which the MPUC approves the filing.</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the accounting guidance for Regulated Operations. We capitalize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which are probable of recovery in future utility rates as regulatory assets. Regulatory liabilities represent amounts expected to be refunded or credited to customers in rates.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6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NOTE 7. REGULATORY MATTERS (Continued)</w:t>
            </w:r>
          </w:p>
        </w:tc>
        <w:tc>
          <w:tcPr>
            <w:tcW w:w="3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6760" w:type="dxa"/>
            <w:vAlign w:val="bottom"/>
          </w:tcPr>
          <w:p>
            <w:pPr>
              <w:spacing w:after="0"/>
              <w:rPr>
                <w:sz w:val="24"/>
                <w:szCs w:val="24"/>
                <w:color w:val="auto"/>
              </w:rPr>
            </w:pPr>
          </w:p>
        </w:tc>
        <w:tc>
          <w:tcPr>
            <w:tcW w:w="310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3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Deferred Fuel</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$18.5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158.6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54.5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17.2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3.9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277.1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3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$295.6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76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37.6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15.1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37"/>
        </w:trPr>
        <w:tc>
          <w:tcPr>
            <w:tcW w:w="6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$103.1</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(See Note 14. Pension and Other Postretirement Benefit Plans.)</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 is primarily due to capital expenditures related to our Bison Wind Energy Center and is recognized in accordance with the accounting standards for alternative revenue programs.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based on a FERC-approved 12.2 percent return on common equity dedicated to utility plant. We account for our investment in ATC under the equity method of accounting. As of September 30, 2014, our equity investment in ATC was $120.7 million ($114.6 million at December 31, 2013). In the first nine months of 2014, we invested $3.1 million in ATC, and on October 30, 2014, we invested an additional $0.8 million. We do not expect to make any additional investments in 2014.</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2013</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September 30, 2014</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r>
      <w:tr>
        <w:trPr>
          <w:trHeight w:val="20"/>
        </w:trPr>
        <w:tc>
          <w:tcPr>
            <w:tcW w:w="73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36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8. INVESTMENT IN ATC (Continued)</w:t>
            </w:r>
          </w:p>
        </w:tc>
        <w:tc>
          <w:tcPr>
            <w:tcW w:w="2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9180" w:type="dxa"/>
            <w:vAlign w:val="bottom"/>
            <w:gridSpan w:val="3"/>
          </w:tcPr>
          <w:p>
            <w:pPr>
              <w:spacing w:after="0"/>
              <w:rPr>
                <w:sz w:val="20"/>
                <w:szCs w:val="20"/>
                <w:color w:val="auto"/>
              </w:rPr>
            </w:pPr>
            <w:r>
              <w:rPr>
                <w:rFonts w:ascii="Arial" w:cs="Arial" w:eastAsia="Arial" w:hAnsi="Arial"/>
                <w:sz w:val="18"/>
                <w:szCs w:val="18"/>
                <w:color w:val="auto"/>
                <w:w w:val="98"/>
              </w:rPr>
              <w:t>ATC’s summarized financial data for the quarter and nine months ended September 30, 2014 and 2013, is as follows:</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5280" w:type="dxa"/>
            <w:vAlign w:val="bottom"/>
          </w:tcPr>
          <w:p>
            <w:pPr>
              <w:spacing w:after="0"/>
              <w:rPr>
                <w:sz w:val="24"/>
                <w:szCs w:val="24"/>
                <w:color w:val="auto"/>
              </w:rPr>
            </w:pPr>
          </w:p>
        </w:tc>
        <w:tc>
          <w:tcPr>
            <w:tcW w:w="39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39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22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52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$163.6</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$160.5</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$487.0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76.6</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77.6</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229.6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217.2</w:t>
            </w:r>
          </w:p>
        </w:tc>
      </w:tr>
      <w:tr>
        <w:trPr>
          <w:trHeight w:val="27"/>
        </w:trPr>
        <w:tc>
          <w:tcPr>
            <w:tcW w:w="5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21.4</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20.2</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65.1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37"/>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6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$65.6</w:t>
            </w:r>
          </w:p>
        </w:tc>
        <w:tc>
          <w:tcPr>
            <w:tcW w:w="12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$62.7</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$192.3</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$184.5</w:t>
            </w:r>
          </w:p>
        </w:tc>
      </w:tr>
      <w:tr>
        <w:trPr>
          <w:trHeight w:val="27"/>
        </w:trPr>
        <w:tc>
          <w:tcPr>
            <w:tcW w:w="52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$5.3</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528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several customer groups located within the MISO service area filed a complaint with the FERC requesting, among other things, a reduction in the base return on equity used by MISO transmission owners, including ATC, to 9.15 percent. ATC's current authorized return on equity is 12.2 percent. Any change to ATC's return on equity and capital structure could result in lower equity earnings in ATC and dividends from ATC in the future. We own approximately 8 percent of ATC and estimate that for every 50 basis point reduction in ATC’s allowed return on equity our equity earnings in ATC would be impacted annually by approximately $0.5 million on an after-tax basis.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SHORT-TERM AND LONG-TERM DEBT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September 30, 2014, total short-term debt outstanding was $88.0 million ($27.2 million as of December 31, 2013)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notes payable.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September 30, 2014, total long-term debt outstanding was $1,289.2 million ($1,083.0 million as of December 31, 2013).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ALLETE Clean Energy’s January 30, 2014 wind energy facilities acquisition, ALLETE Clean Energy assumed $23.3 million of long-term debt, including $2.2 million due within one year. (See Note 4.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2014, we issued $375.0 million of ALLETE first mortgage bonds (Bonds) in the private placement market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252730</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28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4,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15, 2024</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$60 Million</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3.69%</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92"/>
              </w:rPr>
              <w:t>March 4, 2014</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March 15, 2044</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$40 Million</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4.95%</w:t>
            </w:r>
          </w:p>
        </w:tc>
      </w:tr>
      <w:tr>
        <w:trPr>
          <w:trHeight w:val="27"/>
        </w:trPr>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2022</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$75 Million</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3.40%</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87"/>
              </w:rPr>
              <w:t>June 26, 2014</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July 15, 2044</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$40 Million</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5.05%</w:t>
            </w:r>
          </w:p>
        </w:tc>
      </w:tr>
      <w:tr>
        <w:trPr>
          <w:trHeight w:val="27"/>
        </w:trPr>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16,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2021</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$60 Million</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3.02%</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88"/>
              </w:rPr>
              <w:t>September 16, 2014</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September 15, 2029</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$50 Million</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3.74%</w:t>
            </w:r>
          </w:p>
        </w:tc>
      </w:tr>
      <w:tr>
        <w:trPr>
          <w:trHeight w:val="27"/>
        </w:trPr>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16,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2044</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$50 Million</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4.39%</w:t>
            </w:r>
          </w:p>
        </w:tc>
      </w:tr>
      <w:tr>
        <w:trPr>
          <w:trHeight w:val="20"/>
        </w:trPr>
        <w:tc>
          <w:tcPr>
            <w:tcW w:w="28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the option to prepay all or a portion of the Bonds at its discretion, subject to a make-whole provision; however, each series of bonds is redeemable at par, including, in each case, accrued and unpaid interest, six months prior to the maturity date. The Bonds are subject to additional terms and conditions which are customary for these types of transactions. The Company intends to use the proceeds from the sale of the Bonds to refinance debt, fund utility capital expenditures and/or for general corporate purposes. The Bonds were sold in reliance on an exemption from registration under Section 4(a)(2) of the Securities Act of 1933, as amended, to institutional accredited investors.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SHORT-TERM AND LONG-TERM DEBT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2014, our ratio was approximately 0.47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2014,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Arial" w:cs="Arial" w:eastAsia="Arial" w:hAnsi="Arial"/>
                <w:sz w:val="18"/>
                <w:szCs w:val="18"/>
                <w:b w:val="1"/>
                <w:bCs w:val="1"/>
                <w:color w:val="auto"/>
              </w:rPr>
              <w:t>NOTE 10. OTHER INCOME (EXPENSE)</w:t>
            </w:r>
          </w:p>
        </w:tc>
        <w:tc>
          <w:tcPr>
            <w:tcW w:w="2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5340" w:type="dxa"/>
            <w:vAlign w:val="bottom"/>
          </w:tcPr>
          <w:p>
            <w:pPr>
              <w:spacing w:after="0"/>
              <w:rPr>
                <w:sz w:val="24"/>
                <w:szCs w:val="24"/>
                <w:color w:val="auto"/>
              </w:rPr>
            </w:pPr>
          </w:p>
        </w:tc>
        <w:tc>
          <w:tcPr>
            <w:tcW w:w="404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2"/>
              </w:rPr>
              <w:t>Quarter Ended</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340" w:type="dxa"/>
            <w:vAlign w:val="bottom"/>
          </w:tcPr>
          <w:p>
            <w:pPr>
              <w:spacing w:after="0"/>
              <w:rPr>
                <w:sz w:val="23"/>
                <w:szCs w:val="23"/>
                <w:color w:val="auto"/>
              </w:rPr>
            </w:pPr>
          </w:p>
        </w:tc>
        <w:tc>
          <w:tcPr>
            <w:tcW w:w="4040" w:type="dxa"/>
            <w:vAlign w:val="bottom"/>
            <w:gridSpan w:val="2"/>
          </w:tcPr>
          <w:p>
            <w:pPr>
              <w:jc w:val="center"/>
              <w:ind w:left="1370"/>
              <w:spacing w:after="0"/>
              <w:rPr>
                <w:sz w:val="20"/>
                <w:szCs w:val="20"/>
                <w:color w:val="auto"/>
              </w:rPr>
            </w:pPr>
            <w:r>
              <w:rPr>
                <w:rFonts w:ascii="Arial" w:cs="Arial" w:eastAsia="Arial" w:hAnsi="Arial"/>
                <w:sz w:val="18"/>
                <w:szCs w:val="18"/>
                <w:b w:val="1"/>
                <w:bCs w:val="1"/>
                <w:color w:val="auto"/>
                <w:w w:val="89"/>
              </w:rPr>
              <w:t>September 30,</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5340" w:type="dxa"/>
            <w:vAlign w:val="bottom"/>
          </w:tcPr>
          <w:p>
            <w:pPr>
              <w:spacing w:after="0"/>
              <w:rPr>
                <w:sz w:val="23"/>
                <w:szCs w:val="23"/>
                <w:color w:val="auto"/>
              </w:rPr>
            </w:pPr>
          </w:p>
        </w:tc>
        <w:tc>
          <w:tcPr>
            <w:tcW w:w="2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2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2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 (Expense)</w:t>
            </w:r>
          </w:p>
        </w:tc>
        <w:tc>
          <w:tcPr>
            <w:tcW w:w="2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2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$2.1</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$3.3</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642"/>
        </w:trPr>
        <w:tc>
          <w:tcPr>
            <w:tcW w:w="5340" w:type="dxa"/>
            <w:vAlign w:val="bottom"/>
          </w:tcPr>
          <w:p>
            <w:pPr>
              <w:spacing w:after="0"/>
              <w:rPr>
                <w:sz w:val="20"/>
                <w:szCs w:val="20"/>
                <w:color w:val="auto"/>
              </w:rPr>
            </w:pPr>
            <w:r>
              <w:rPr>
                <w:rFonts w:ascii="Arial" w:cs="Arial" w:eastAsia="Arial" w:hAnsi="Arial"/>
                <w:sz w:val="18"/>
                <w:szCs w:val="18"/>
                <w:b w:val="1"/>
                <w:bCs w:val="1"/>
                <w:color w:val="auto"/>
              </w:rPr>
              <w:t>NOTE 11. INCOME TAX EXPENSE</w:t>
            </w:r>
          </w:p>
        </w:tc>
        <w:tc>
          <w:tcPr>
            <w:tcW w:w="2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5340" w:type="dxa"/>
            <w:vAlign w:val="bottom"/>
          </w:tcPr>
          <w:p>
            <w:pPr>
              <w:spacing w:after="0"/>
              <w:rPr>
                <w:sz w:val="24"/>
                <w:szCs w:val="24"/>
                <w:color w:val="auto"/>
              </w:rPr>
            </w:pPr>
          </w:p>
        </w:tc>
        <w:tc>
          <w:tcPr>
            <w:tcW w:w="404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2"/>
              </w:rPr>
              <w:t>Quarter Ended</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340" w:type="dxa"/>
            <w:vAlign w:val="bottom"/>
          </w:tcPr>
          <w:p>
            <w:pPr>
              <w:spacing w:after="0"/>
              <w:rPr>
                <w:sz w:val="23"/>
                <w:szCs w:val="23"/>
                <w:color w:val="auto"/>
              </w:rPr>
            </w:pPr>
          </w:p>
        </w:tc>
        <w:tc>
          <w:tcPr>
            <w:tcW w:w="4040" w:type="dxa"/>
            <w:vAlign w:val="bottom"/>
            <w:gridSpan w:val="2"/>
          </w:tcPr>
          <w:p>
            <w:pPr>
              <w:jc w:val="center"/>
              <w:ind w:left="1370"/>
              <w:spacing w:after="0"/>
              <w:rPr>
                <w:sz w:val="20"/>
                <w:szCs w:val="20"/>
                <w:color w:val="auto"/>
              </w:rPr>
            </w:pPr>
            <w:r>
              <w:rPr>
                <w:rFonts w:ascii="Arial" w:cs="Arial" w:eastAsia="Arial" w:hAnsi="Arial"/>
                <w:sz w:val="18"/>
                <w:szCs w:val="18"/>
                <w:b w:val="1"/>
                <w:bCs w:val="1"/>
                <w:color w:val="auto"/>
                <w:w w:val="89"/>
              </w:rPr>
              <w:t>September 30,</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5340" w:type="dxa"/>
            <w:vAlign w:val="bottom"/>
          </w:tcPr>
          <w:p>
            <w:pPr>
              <w:spacing w:after="0"/>
              <w:rPr>
                <w:sz w:val="23"/>
                <w:szCs w:val="23"/>
                <w:color w:val="auto"/>
              </w:rPr>
            </w:pPr>
          </w:p>
        </w:tc>
        <w:tc>
          <w:tcPr>
            <w:tcW w:w="29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5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2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(a)(c)</w:t>
            </w:r>
          </w:p>
        </w:tc>
        <w:tc>
          <w:tcPr>
            <w:tcW w:w="2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(b)(c)</w:t>
            </w:r>
          </w:p>
        </w:tc>
        <w:tc>
          <w:tcPr>
            <w:tcW w:w="2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3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2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2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920" w:type="dxa"/>
            <w:vAlign w:val="bottom"/>
          </w:tcPr>
          <w:p>
            <w:pPr>
              <w:jc w:val="right"/>
              <w:ind w:right="250"/>
              <w:spacing w:after="0"/>
              <w:rPr>
                <w:sz w:val="20"/>
                <w:szCs w:val="20"/>
                <w:color w:val="auto"/>
              </w:rPr>
            </w:pPr>
            <w:r>
              <w:rPr>
                <w:rFonts w:ascii="Arial" w:cs="Arial" w:eastAsia="Arial" w:hAnsi="Arial"/>
                <w:sz w:val="18"/>
                <w:szCs w:val="18"/>
                <w:color w:val="auto"/>
              </w:rPr>
              <w:t>$11.2</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$20.4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5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0.7</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292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2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11.6</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$13.4</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$8.7</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$27.1</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2014, the federal current tax expense of zero reflected the utilization of NOL carryforwards from prior periods. The federal NOLs remaining after utilization in 2014 will be carried forward to offset future taxable income.</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2014, the state current tax expense reflected initiatives implemented on the 2013 federal and state tax returns to utilize tax carryforwards that may have expired due to NOL carryforwards from prior periods. State NOL and alternative minimum tax carryforwards remaining after utilization in 2014 will be carried forward to offset future income.</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2013, the state current tax benefit was due to federal and state NOLs which resulted from the bonus depreciation provision of the American Taxpayer Relief Act of 2012.</w:t>
      </w:r>
    </w:p>
    <w:p>
      <w:pPr>
        <w:spacing w:after="0" w:line="3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2014, the effective tax rate was 22.7 percent (22.1 percent for the nine months ended September 30, 2013). The effective tax rate deviated from the statutory rate of approximately 41 percent primarily due to deductions for AFUDC–Equity, investment tax credits, production tax credits and depletion.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11. INCOME TAX EXPENSE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2014, we had gross unrecognized tax benefits of $2.0 million ($1.2 million as of December 31, 2013).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$0.3 million represents the amount of unrecognized tax benefits included in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examination for years before 2011, or state examination for years before 2005.</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2013, the U.S. Treasury issued final regulations addressing the tax consequences associated with the acquisition, production and improvement of tangible property. The regulations are generally effective for tax years beginning January 1, 2014. As ALLETE has adopted certain utility-specific guidance for deductible repairs previously issued by the IRS, the final regulation did not have a material impact on our consolidated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quarters ended September 30, 2014 and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 and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Defined Benefit</w:t>
            </w: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Gains and Losses</w:t>
            </w:r>
          </w:p>
        </w:tc>
        <w:tc>
          <w:tcPr>
            <w:tcW w:w="116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Pension, Other</w:t>
            </w: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on Cash Flow</w:t>
            </w:r>
          </w:p>
        </w:tc>
        <w:tc>
          <w:tcPr>
            <w:tcW w:w="116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5"/>
              </w:rPr>
              <w:t>sale Securities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Hedge</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46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September 30, 2014</w:t>
            </w:r>
          </w:p>
        </w:tc>
        <w:tc>
          <w:tcPr>
            <w:tcW w:w="20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w w:val="92"/>
              </w:rPr>
              <w:t>Beginning Accumulated Other Comprehensive Income (Loss)</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$(16.1)</w:t>
            </w: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$(0.3)</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$(16.3)</w:t>
            </w:r>
          </w:p>
        </w:tc>
      </w:tr>
      <w:tr>
        <w:trPr>
          <w:trHeight w:val="27"/>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7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60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0.3</w:t>
            </w:r>
          </w:p>
        </w:tc>
      </w:tr>
      <w:tr>
        <w:trPr>
          <w:trHeight w:val="27"/>
        </w:trPr>
        <w:tc>
          <w:tcPr>
            <w:tcW w:w="46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Other Comprehensive Income (Loss)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c>
          <w:tcPr>
            <w:tcW w:w="17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$(15.9)</w:t>
            </w:r>
          </w:p>
        </w:tc>
        <w:tc>
          <w:tcPr>
            <w:tcW w:w="17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$(0.2)</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$(16.1)</w:t>
            </w:r>
          </w:p>
        </w:tc>
      </w:tr>
      <w:tr>
        <w:trPr>
          <w:trHeight w:val="27"/>
        </w:trPr>
        <w:tc>
          <w:tcPr>
            <w:tcW w:w="46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2013</w:t>
            </w:r>
          </w:p>
        </w:tc>
        <w:tc>
          <w:tcPr>
            <w:tcW w:w="20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0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$(20.7)</w:t>
            </w:r>
          </w:p>
        </w:tc>
        <w:tc>
          <w:tcPr>
            <w:tcW w:w="17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0.2</w:t>
            </w:r>
          </w:p>
        </w:tc>
      </w:tr>
      <w:tr>
        <w:trPr>
          <w:trHeight w:val="27"/>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62"/>
        </w:trPr>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(Loss)</w:t>
            </w:r>
          </w:p>
        </w:tc>
        <w:tc>
          <w:tcPr>
            <w:tcW w:w="20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1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7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0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(0.5)</w:t>
            </w:r>
          </w:p>
        </w:tc>
        <w:tc>
          <w:tcPr>
            <w:tcW w:w="18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0.3</w:t>
            </w:r>
          </w:p>
        </w:tc>
        <w:tc>
          <w:tcPr>
            <w:tcW w:w="17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(0.3)</w:t>
            </w:r>
          </w:p>
        </w:tc>
      </w:tr>
      <w:tr>
        <w:trPr>
          <w:trHeight w:val="27"/>
        </w:trPr>
        <w:tc>
          <w:tcPr>
            <w:tcW w:w="46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0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$(20.4)</w:t>
            </w:r>
          </w:p>
        </w:tc>
        <w:tc>
          <w:tcPr>
            <w:tcW w:w="17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$(21.3)</w:t>
            </w:r>
          </w:p>
        </w:tc>
      </w:tr>
      <w:tr>
        <w:trPr>
          <w:trHeight w:val="20"/>
        </w:trPr>
        <w:tc>
          <w:tcPr>
            <w:tcW w:w="46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quarters ended September 30, 2014 and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2"/>
              </w:rPr>
              <w:t>Quarter Ended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Quarter Ended</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726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7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7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(0.6)</w:t>
            </w:r>
          </w:p>
        </w:tc>
      </w:tr>
      <w:tr>
        <w:trPr>
          <w:trHeight w:val="27"/>
        </w:trPr>
        <w:tc>
          <w:tcPr>
            <w:tcW w:w="726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r>
      <w:tr>
        <w:trPr>
          <w:trHeight w:val="291"/>
        </w:trPr>
        <w:tc>
          <w:tcPr>
            <w:tcW w:w="726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$0.1</w:t>
            </w:r>
          </w:p>
        </w:tc>
      </w:tr>
      <w:tr>
        <w:trPr>
          <w:trHeight w:val="27"/>
        </w:trPr>
        <w:tc>
          <w:tcPr>
            <w:tcW w:w="7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(0.7)</w:t>
            </w: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(0.5)</w:t>
            </w: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(0.6)</w:t>
            </w:r>
          </w:p>
        </w:tc>
      </w:tr>
      <w:tr>
        <w:trPr>
          <w:trHeight w:val="27"/>
        </w:trPr>
        <w:tc>
          <w:tcPr>
            <w:tcW w:w="7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1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$(0.3)</w:t>
            </w: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$(0.3)</w:t>
            </w:r>
          </w:p>
        </w:tc>
      </w:tr>
      <w:tr>
        <w:trPr>
          <w:trHeight w:val="27"/>
        </w:trPr>
        <w:tc>
          <w:tcPr>
            <w:tcW w:w="7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r>
      <w:tr>
        <w:trPr>
          <w:trHeight w:val="20"/>
        </w:trPr>
        <w:tc>
          <w:tcPr>
            <w:tcW w:w="72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the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the Consolidated Statement of Income.</w:t>
      </w:r>
    </w:p>
    <w:p>
      <w:pPr>
        <w:spacing w:after="0" w:line="5" w:lineRule="exact"/>
        <w:rPr>
          <w:rFonts w:ascii="Arial" w:cs="Arial" w:eastAsia="Arial" w:hAnsi="Arial"/>
          <w:sz w:val="16"/>
          <w:szCs w:val="16"/>
          <w:i w:val="1"/>
          <w:iCs w:val="1"/>
          <w:color w:val="auto"/>
        </w:rPr>
      </w:pPr>
    </w:p>
    <w:p>
      <w:pPr>
        <w:jc w:val="both"/>
        <w:ind w:left="340" w:right="20" w:hanging="332"/>
        <w:spacing w:after="0" w:line="252"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benefit items excluded from our Regulated Operations are recognized in accumulated other comprehensive loss and are subsequently reclassified out of accumulated other comprehensive loss as components of net periodic pension and other postretirement benefit expense. (See Note 14. Pension and Other Postretirement Benefit Plans.)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nine months ended September 30, 2014 and 2013,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Unrealized Gains and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Gains and Losses</w:t>
            </w:r>
          </w:p>
        </w:tc>
        <w:tc>
          <w:tcPr>
            <w:tcW w:w="10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on Cash Flow</w:t>
            </w:r>
          </w:p>
        </w:tc>
        <w:tc>
          <w:tcPr>
            <w:tcW w:w="104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5"/>
              </w:rPr>
              <w:t>sale Securities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Hedge</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Nine Months Ended September 30, 2014</w:t>
            </w:r>
          </w:p>
        </w:tc>
        <w:tc>
          <w:tcPr>
            <w:tcW w:w="20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08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$(17.1)</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2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1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208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0.9</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Other Comprehensive Income</w:t>
            </w:r>
          </w:p>
        </w:tc>
        <w:tc>
          <w:tcPr>
            <w:tcW w:w="2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1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c>
          <w:tcPr>
            <w:tcW w:w="1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37"/>
        </w:trPr>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$(15.9)</w:t>
            </w:r>
          </w:p>
        </w:tc>
        <w:tc>
          <w:tcPr>
            <w:tcW w:w="16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$(0.2)</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$(16.1)</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For the Nine Months Ended September 30, 2013</w:t>
            </w:r>
          </w:p>
        </w:tc>
        <w:tc>
          <w:tcPr>
            <w:tcW w:w="20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$(21.5)</w:t>
            </w:r>
          </w:p>
        </w:tc>
        <w:tc>
          <w:tcPr>
            <w:tcW w:w="1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2"/>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20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7"/>
        </w:trPr>
        <w:tc>
          <w:tcPr>
            <w:tcW w:w="48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0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(0.4)</w:t>
            </w:r>
          </w:p>
        </w:tc>
        <w:tc>
          <w:tcPr>
            <w:tcW w:w="1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1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0.7</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$(20.4)</w:t>
            </w:r>
          </w:p>
        </w:tc>
        <w:tc>
          <w:tcPr>
            <w:tcW w:w="1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r>
      <w:tr>
        <w:trPr>
          <w:trHeight w:val="20"/>
        </w:trPr>
        <w:tc>
          <w:tcPr>
            <w:tcW w:w="48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nine months ended September 30, 2014 and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704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7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(0.9)</w:t>
            </w:r>
          </w:p>
        </w:tc>
      </w:tr>
      <w:tr>
        <w:trPr>
          <w:trHeight w:val="27"/>
        </w:trPr>
        <w:tc>
          <w:tcPr>
            <w:tcW w:w="70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r>
      <w:tr>
        <w:trPr>
          <w:trHeight w:val="291"/>
        </w:trPr>
        <w:tc>
          <w:tcPr>
            <w:tcW w:w="70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$0.2</w:t>
            </w:r>
          </w:p>
        </w:tc>
      </w:tr>
      <w:tr>
        <w:trPr>
          <w:trHeight w:val="27"/>
        </w:trPr>
        <w:tc>
          <w:tcPr>
            <w:tcW w:w="7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c>
          <w:tcPr>
            <w:tcW w:w="2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w:t>
            </w:r>
          </w:p>
        </w:tc>
      </w:tr>
      <w:tr>
        <w:trPr>
          <w:trHeight w:val="27"/>
        </w:trPr>
        <w:tc>
          <w:tcPr>
            <w:tcW w:w="7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0.6</w:t>
            </w:r>
          </w:p>
        </w:tc>
        <w:tc>
          <w:tcPr>
            <w:tcW w:w="2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1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$(0.9)</w:t>
            </w:r>
          </w:p>
        </w:tc>
        <w:tc>
          <w:tcPr>
            <w:tcW w:w="2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r>
      <w:tr>
        <w:trPr>
          <w:trHeight w:val="27"/>
        </w:trPr>
        <w:tc>
          <w:tcPr>
            <w:tcW w:w="7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r>
      <w:tr>
        <w:trPr>
          <w:trHeight w:val="20"/>
        </w:trPr>
        <w:tc>
          <w:tcPr>
            <w:tcW w:w="70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the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the Consolidated Statement of Income.</w:t>
      </w:r>
    </w:p>
    <w:p>
      <w:pPr>
        <w:spacing w:after="0" w:line="5" w:lineRule="exact"/>
        <w:rPr>
          <w:rFonts w:ascii="Arial" w:cs="Arial" w:eastAsia="Arial" w:hAnsi="Arial"/>
          <w:sz w:val="16"/>
          <w:szCs w:val="16"/>
          <w:i w:val="1"/>
          <w:iCs w:val="1"/>
          <w:color w:val="auto"/>
        </w:rPr>
      </w:pPr>
    </w:p>
    <w:p>
      <w:pPr>
        <w:jc w:val="both"/>
        <w:ind w:left="340" w:right="20" w:hanging="332"/>
        <w:spacing w:after="0" w:line="252"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benefit items excluded from our Regulated Operations are recognized in accumulated other comprehensive loss and are subsequently reclassified out of accumulated other comprehensive loss as components of net periodic pension and other postretirement benefit expense. (See Note 14. Pension and Other Postretirement Benefit Plans.)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 AND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For the quarters and nine months ended September 30, 2014 and 2013, zero options to purchase shares of common stock were excluded from the computation of diluted earnings per share.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$41.6</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$25.2</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42.9</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39.8</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$0.97</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$0.63</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$91.9</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$71.7</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42.1</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39.4</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$2.18</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$1.82</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EARNINGS PER SHARE AND COMMON STOCK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Forward Sale Agreement and Issuance of Common Stock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On February 26, 2014, ALLETE entered into a confirmation of forward sale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a forward counterparty in connection with a public offering of 2.8 million shares of ALLETE common stock. The use of an equity forward transaction substantially eliminates future equity market price risk by fixing a common equity offering sales price under the then existing market conditions, while mitigating immediate share dilution resulting from the offering by postponing the actual issuance of common stock until funds are needed in accordance with our capital investment strategy.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Agreement, the forward counterparty (or its affiliate) borrowed 2.8 million shares of ALLETE common stock (borrowed shares) from third parties and sold them to the underwriters. ALLETE has the right to elect physical, cash or net share settlement under the forward sales agreement, for all or a portion of its obligations under the Agreement. In the event that ALLETE elects physical settlement of the Agreement, it will deliver shares of its common stock in exchange for cash proceeds at the then-applicable forward sale price. The forward sale price is initially $48.01 per share, subject to adjustment as provided in the Agreement. The Agreement provides for settlement at any time on or prior to March 1, 2015. ALLETE expects to physically settle the Agreement in its entirety by delivering 2.8 million shares of its common stock. On September 5, 2014, ALLETE physically settled a portion of its obligations under the Agreement by having delivered approximately 1.4 million shares of common stock in exchange for cash proceeds of $65.0 million.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forward transaction was reflected in ALLETE’s diluted earnings per share using the treasury stock method, which resulted in no material dilutive impact to ALLETE’s diluted earnings per share for the quarter or nine months ended September 30, 2014. Prior to any settlement date, any dilutive effect of the Agreement on our earnings per share would only occur during periods when the average market price per share of our common stock is above the per share adjusted forward sales price described above.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equity forward transaction is accounted for as an equity instrument in accordance with the accounting guidance for distinguishing liabilities from equity and the guidance for derivatives. Under the accounting guidance, the transaction qualifies for an exception from derivative accounting because the forward sale transaction is indexed to ALLETE’s stock.</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On January 10, 2014, ALLETE contributed 0.4 million shares of ALLETE common stock to its pension plan. These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ALLETE common stock were contributed in reliance upon an exemption available pursuant to Section 4(a)(2) of the Securities Act of 1933, as amended, and had an aggregate value of $19.5 million when contributed.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36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14.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 (Income)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2013</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$2.0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(9.6)</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3.6</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5.4</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$5.6</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66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$6.2</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$7.4</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$2.6</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22.4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(28.7)</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(26.4)</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(7.7)</w:t>
            </w: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16.1</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$10.8</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$16.8</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On January 10, 2014, $19.5 million of ALLETE common stock was contributed to our defined benefit pension plan; we do not</w:t>
      </w:r>
      <w:r>
        <w:rPr>
          <w:rFonts w:ascii="Arial" w:cs="Arial" w:eastAsia="Arial" w:hAnsi="Arial"/>
          <w:sz w:val="17"/>
          <w:szCs w:val="17"/>
          <w:b w:val="1"/>
          <w:bCs w:val="1"/>
          <w:color w:val="auto"/>
        </w:rPr>
        <w:t xml:space="preserve"> </w:t>
      </w:r>
      <w:r>
        <w:rPr>
          <w:rFonts w:ascii="Arial" w:cs="Arial" w:eastAsia="Arial" w:hAnsi="Arial"/>
          <w:sz w:val="17"/>
          <w:szCs w:val="17"/>
          <w:color w:val="auto"/>
        </w:rPr>
        <w:t>expect to make any additional contributions to our defined benefit pension plan in 2014 (no contributions for the nine months ended September 30, 2013). For the nine months ended September 30, 2014, we made no contributions to our other postretirement benefit plan; we do not expect to make any contributions to our other postretirement benefit plan in 2014 ($10.8 million for the nine months ended September 30, 2013).</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September 30, 2014, Square Butte had total debt outstanding of $404.3 million. Annual debt service for Square Butte is expected to be approximately $44 million in each of the years 2014 through 2018, of which Minnesota Power’s obligation is 50 percent. Fuel expenses are recoverable through our fuel adjustment clause and include the cost of coal purchased from BNI Coal, under a long-term contract.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nine months ended September 30, 2014, was $51.8 million ($51.3 million for the nine months ended September 30, 2013). This reflects Minnesota Power’s pro rata share of total Square Butte costs based on the 50 percent output entitlement. Included in this amount was Minnesota Power’s pro rata share of interest expense of $7.9 million during the nine months ended September 30, 2014 ($7.9 million for the nine months ended September 30, 2013).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December 2009, Minnesota Power entered into a power sales agreement with Minnkota Power. Under the power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 This sales agreement commenced June 1,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Manitoba Hydro to sell 250 MW of capacity and energy to Minnesota Power for 15 years beginning in 2020. The agreement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2014, Minnesota Power and Manitoba Hydro signed a long-term PPA that provides for Manitoba Hydro to sell up to 133 MW of energy to Minnesota Power for 20 years beginning in 2020. The agreement is subject to MPUC approval and the construction of the GNTL.</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292 MW Bison Wind Energy Center, located in North Dakota, was completed in various phases through 2012. Customer billing rates for our Bison Wind Energy Center were approved by the MPUC in a December 2013 order.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Construction of Bison 4, a 205 MW wind project in North Dakota which is an addition to our Bison Wind Energy Center, has commenced and is expected to be completed by the end of 2014. The total project investment for Bison 4 is estimated to be approximately $345 million, of which $288 million was spent through September 30, 2014. On January 17, 2014, the MPUC approved Minnesota Power’s petition seeking cost recovery for investments and expenditures related to Bison 4. We included Bison 4 as part of our renewable resources rider filing along with the Company’s other renewable projects in a filing on April 29, 2014, which, upon approval, will authorize updated rates to be included on customer bills.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Hydro Operations. </w:t>
      </w:r>
      <w:r>
        <w:rPr>
          <w:rFonts w:ascii="Arial" w:cs="Arial" w:eastAsia="Arial" w:hAnsi="Arial"/>
          <w:sz w:val="16"/>
          <w:szCs w:val="16"/>
          <w:color w:val="auto"/>
        </w:rPr>
        <w:t>In June 2012, record rainfall and flooding occurred near Duluth, Minnesota and surrounding areas. The flooding impacted Minnesota</w:t>
      </w:r>
      <w:r>
        <w:rPr>
          <w:rFonts w:ascii="Arial" w:cs="Arial" w:eastAsia="Arial" w:hAnsi="Arial"/>
          <w:sz w:val="16"/>
          <w:szCs w:val="16"/>
          <w:b w:val="1"/>
          <w:bCs w:val="1"/>
          <w:color w:val="auto"/>
        </w:rPr>
        <w:t xml:space="preserve"> </w:t>
      </w:r>
      <w:r>
        <w:rPr>
          <w:rFonts w:ascii="Arial" w:cs="Arial" w:eastAsia="Arial" w:hAnsi="Arial"/>
          <w:sz w:val="16"/>
          <w:szCs w:val="16"/>
          <w:color w:val="auto"/>
        </w:rPr>
        <w:t>Power’s St. Louis River hydro system, particularly Thomson, which had damage to the forebay canal and flooding at the facility. Minnesota Power worked closely with the appropriate regulatory bodies which oversee the hydro system operations, including dams and reservoirs, to restore Thomson and to rebuild the forebay embankment. The forebay rebuild is complete and Minnesota Power commenced filling the forebay canal on October 9, 2014. Minnesota Power continues restoration and upgrade work at the Thomson facility and anticipates partial generation at Thomson in the fourth quarter of 2014. Work is ongoing towards returning to full generation early in 2015 and improving the spillway capacity at the Thomson dam in 2015. Total project costs are estimated to be approximately $90 million, of which $80 million, net of insurance, was spent through September 30, 2014. A request seeking cost recovery of investments and expenditures related to the restoration and repair of Thomson through our renewable resources rider was filed with the MPUC on July 3, 2014.</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providing for the purchase of a significant portion of our coal requirements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dates through December 2015. We also have coal transportation agreements in place for the delivery of a significant portion of our coal requirements with expiration dates through December 2015. Currently, Minnesota Power is in discussions regarding the extension of our coal supply and transportation contracts beyond 2015. Our minimum annual payment obligation under these supply and transportation agreements is $9.6 million for the remainder of 2014 and $4.4 million for 2015.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Rail congestion has negatively impacted customers throughout the Upper Midwest, affecting agriculture, commodity and energy industries. We have experienced delays in coal deliveries resulting in lower coal inventory levels at our generating stations in Northeastern Minnesota. The Company has taken several proactive steps to conserve inventory, protect customers from increased costs and assure continued reliability. These actions have included temporarily curtailing operations at two smaller generating stations, redirecting coal deliveries to our larger generating stations and short-term energy purchases from regional power suppliers. We have filed a notice of fuel supply emergency with the Department of Energy and have notified the Surface Transportation Board of the need for additional deliveries, requesting their assistance. Minnesota Power’s exposure to price risk for purchased power is significantly mitigated by the current ratemaking process and regulatory framework, which allows recovery of fuel costs in excess of those included in base rates.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2021. The aggregate amount of minimum lease payments for all operating leases is $12.1 million in 2014, $11.5 million in 2015, $9.5 million in 2016, $8.7 million in 2017, $7.4 million in 2018 and $29.2 million thereafter.</w:t>
      </w:r>
    </w:p>
    <w:p>
      <w:pPr>
        <w:spacing w:after="0" w:line="18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16"/>
          <w:szCs w:val="16"/>
          <w:color w:val="auto"/>
        </w:rPr>
        <w:t>We continue to make investments in transmission opportunities that strengthen or enhance the transmission grid or take advantage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which is currently under construction and expected to be in service by 2015. The North Dakota permitting process was completed in August 2012.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between $100 million and $110 million in the CapX2020 initiative through 2015, of which $98 million was spent through September 30, 2014. As future CapX2020 projects are identified, Minnesota Power may elect to participate on a project-by-project basis.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with respect to the GNTL.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new transmission lines and hydroelectric generation development in Canada. Upon receipt of all applicable permits and approvals, construction of the GNTL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New Source Review (NSR). </w:t>
      </w:r>
      <w:r>
        <w:rPr>
          <w:rFonts w:ascii="Arial" w:cs="Arial" w:eastAsia="Arial" w:hAnsi="Arial"/>
          <w:sz w:val="18"/>
          <w:szCs w:val="18"/>
          <w:color w:val="auto"/>
        </w:rPr>
        <w:t>In August 2008, Minnesota Power received a Notice of Violation (NOV) from the EPA asserting violations of the NSR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Clean Air Act at Boswell Units 1, 2, 3 and 4 and Laskin Unit 2. The NOV asserts that seven projects undertaken at these coal-fired plants between the years 1981 and 2000 should have been reviewed under the NSR requirements and that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reached a settlement with the EPA regarding these NOVs and entered into a Consent Decree which was approved by the U.S. District Court for the District of Minnesota (Court) on September 29, 2014. The Consent Decree covers Minnesota Power’s Boswell, Laskin, Taconite Harbor, and Rapids Energy Centers. The Consent Decree provides for more stringent emissions limits at all affected units, and the option of refueling, retrofits, or retirements at some units. It also includes the addition of 200 megawatts of wind energy. Minnesota Power will also be required to spend $4.2 million on environmental mitigation projects over the next five years. Under the terms of the Consent Decree, Minnesota Power also paid a $1.4 million civil penalty. In the second quarter of 2014, the Company recorded a liability and corresponding expense associated with the environmental mitigation projects. A liability for the civil penalty was recognized in 2013.</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2005, the Company has, and will, invest more than $600 million to reduce sulfur dioxide, nitrogen oxide, mercury and particulate matters emissions at its thermal generation facilities, and in 2012 placed in service over 200 MW of renewable wind energy, which fulfills certain obligations under the Consent Decree. In addition, Minnesota Power’s EnergyForward plan also addresses many of the requirements included in the Consent Decree. Under the EnergyForward plan Minnesota Power intends to: 1) retire Taconite Harbor Unit 3, 2) convert Laskin from coal to natural gas, and 3) install emission controls at Boswell Unit 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Consent Decree further requires that, by no later than December 31, 2018, Boswell Units 1 and 2 must be retired, refueled, repowered, or emissions rerouted to an existing Boswell scrubber. Minnesota Power estimates that if the Units are not retired, capital expenditures could range between $20 million to $40 million. We are evaluating our options with regard to the future course of action at our Boswell Units 1 and 2 facilities to comply with the Consent Decree, as well as future anticipated environmental regulations. 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In July 2011, the EPA issued the CSAPR, to address long-range transport of particulate matter and ozone by</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reductions in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from electric generating companies in the eastern half of the United States, including Minnesota. However, in August 2012, the U.S. Court of Appeals for the District of Columbia Circuit (Circuit Court of Appeals) vacated the CSAPR, ordering that the CAIR remain in effect while a CSAPR replacement rule was promulgated. That decision was appealed and, in April 2014, the U.S. Supreme Court reversed the decision, remanding the case to the Circuit Court of Appeals for further proceedings consistent with the U.S. Supreme Court decision. On June 25, 2014, the EPA made a motion to the Circuit Court of Appeals to have the court’s stay of the CSAPR lifted and further asking the court to delay the CSAPR compliance deadlines by three years.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 The CSAPR requirements, if the stay is lifted and the EPA’s motion to toll compliance deadlines is granted, would go into effect in 2015 (Phase I) and 2017 (Phase 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long as the Circuit Court of Appeals’ stay of the CSAPR remains in effect, the CAIR regulations continue to apply. Like the CSAPR, the CAIR regulations are intended to address long-range transport of particulate matter and ozone by means of an emissions trading program. Minnesota participation in the CAIR was stayed by EPA administrative action while the EPA promulgated a replacement rule. If the Circuit Court of Appeals lifts its stay of the CSAPR or otherwise upholds the CSAPR on remand, the CSAPR will likely become effective for Minnesota, but compliance deadlines may be extended to allow time for the State of Minnesota to develop its compliance plan.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1"/>
          <w:szCs w:val="11"/>
          <w:color w:val="auto"/>
        </w:rPr>
        <w:t>2</w:t>
      </w:r>
      <w:r>
        <w:rPr>
          <w:rFonts w:ascii="Arial" w:cs="Arial" w:eastAsia="Arial" w:hAnsi="Arial"/>
          <w:sz w:val="17"/>
          <w:szCs w:val="17"/>
          <w:color w:val="auto"/>
        </w:rPr>
        <w:t xml:space="preserve"> and NO</w:t>
      </w:r>
      <w:r>
        <w:rPr>
          <w:rFonts w:ascii="Arial" w:cs="Arial" w:eastAsia="Arial" w:hAnsi="Arial"/>
          <w:sz w:val="11"/>
          <w:szCs w:val="11"/>
          <w:color w:val="auto"/>
        </w:rPr>
        <w:t>X</w:t>
      </w:r>
      <w:r>
        <w:rPr>
          <w:rFonts w:ascii="Arial" w:cs="Arial" w:eastAsia="Arial" w:hAnsi="Arial"/>
          <w:sz w:val="17"/>
          <w:szCs w:val="17"/>
          <w:color w:val="auto"/>
        </w:rPr>
        <w:t xml:space="preserve"> emission compliance obligations with respect to the EPA-allocated CSAPR allowances for 2013. We are unable to predict any additional compliance costs we might incur as a result of the CSAPR.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Regional Haze. </w:t>
      </w:r>
      <w:r>
        <w:rPr>
          <w:rFonts w:ascii="Arial" w:cs="Arial" w:eastAsia="Arial" w:hAnsi="Arial"/>
          <w:sz w:val="18"/>
          <w:szCs w:val="18"/>
          <w:color w:val="auto"/>
        </w:rPr>
        <w:t>The federal Regional Haze Rule requires states to submit SIPs to the EPA to address regional haze visibility impairment in 156 federally-protected parks and wilderness areas. Under the first phase of the Regional Haze Rule, certain large stationary sources, built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Due to legal challenges at both the state and federal levels, there is currently no applicable compliance deadline for the Regional Haze Rule. If additional regional haze related controls are ultimately required, Minnesota Power will have up to five years from the final rule promulgation date to bring Taconite Harbor Unit 3 into compliance. As part of our 2013 Integrated Resource Plan, which was approved by the MPUC in November 2013, we plan to retire Taconite Harbor Unit 3 in 2015. We believe that the Taconite Harbor Unit 3 retirement will be accomplished before any compliance deadline takes effect.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$250 million through 2016, of which $120 million was spent through September 30, 2014. Our minimum payment obligation for the environmental upgrade is $103 million for 2014 and $75 million for 2015. Our “EnergyForward” plan, which was approved as part of our 2013 Integrated Resource Plan by the MPUC in an order dated November 12, 2013, also includes the conversion of Laskin Units 1 and 2 to natural gas in 2015, to position the Company for MATS compliance. On January 9, 2014, the MPCA approved Minnesota Power’s application to extend the deadline for Taconite Harbor Unit 3 to comply with MATS to June 1, 2015, in order to align the Unit 3 retirement with MISO’s resource planning year.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Minnesota Mercury Emissions Reduction Act. </w:t>
      </w:r>
      <w:r>
        <w:rPr>
          <w:rFonts w:ascii="Arial" w:cs="Arial" w:eastAsia="Arial" w:hAnsi="Arial"/>
          <w:sz w:val="17"/>
          <w:szCs w:val="17"/>
          <w:color w:val="auto"/>
        </w:rPr>
        <w:t>In order to comply with the 2006 Minnesota Mercury Emissions Reduction Act, Minnesota Power must</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 a mercury emissions reduction project for Boswell Unit 4 by December 31, 2018. The Boswell Unit 4 environmental upgrade discussed above, which is required to be completed by April 1, 2016 (see Mercury and Air Toxics Standards (MATS) Rule), will fulfill the requirements of the Minnesota Mercury Emissions Reduction Act. Costs to implement the Boswell Unit 4 mercury emissions reduction plan are included in the estimated capital expenditures required for compliance with the MATS rule discussed above. (See Mercury and Air Toxics Standards (MATS) Rule.)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Ozone NAAQS. </w:t>
      </w:r>
      <w:r>
        <w:rPr>
          <w:rFonts w:ascii="Arial" w:cs="Arial" w:eastAsia="Arial" w:hAnsi="Arial"/>
          <w:sz w:val="18"/>
          <w:szCs w:val="18"/>
          <w:color w:val="auto"/>
        </w:rPr>
        <w:t>The EPA has proposed to more stringently control emissions that result in ground level ozone. In January 2010, the EPA proposed to revise</w:t>
      </w:r>
      <w:r>
        <w:rPr>
          <w:rFonts w:ascii="Arial" w:cs="Arial" w:eastAsia="Arial" w:hAnsi="Arial"/>
          <w:sz w:val="18"/>
          <w:szCs w:val="18"/>
          <w:i w:val="1"/>
          <w:iCs w:val="1"/>
          <w:color w:val="auto"/>
        </w:rPr>
        <w:t xml:space="preserve"> </w:t>
      </w:r>
      <w:r>
        <w:rPr>
          <w:rFonts w:ascii="Arial" w:cs="Arial" w:eastAsia="Arial" w:hAnsi="Arial"/>
          <w:sz w:val="18"/>
          <w:szCs w:val="18"/>
          <w:color w:val="auto"/>
        </w:rPr>
        <w:t>the 2008 eight-hour ozone standard and to adopt a secondary standard for the protection of sensitive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vegetation from ozone-related damage. The EPA was scheduled to decide upon the 2008 eight-hour ozone standard in July 2011, but has since announced that it is deferring revision of this standard until late 2014 or beyond. Court ordered deadlines are in place mandating that the EPA promulgate a proposed rule by December 1, 2014, and a final rule by October 1, 2015. On August 29, 2014, an EPA Policy Assessment suggested lowering the ozone NAAQS from the existing standard of 75 parts per billion (ppb) to between 60 and 70 ppb; however, this has not been finalized and may be subject to change. Consequently, the costs for complying with the final ozone NAAQS cannot be estimated at this time.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September 2006. Since then, the EPA has established more stringent 24-hour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and annual PM</w:t>
      </w:r>
      <w:r>
        <w:rPr>
          <w:rFonts w:ascii="Arial" w:cs="Arial" w:eastAsia="Arial" w:hAnsi="Arial"/>
          <w:sz w:val="12"/>
          <w:szCs w:val="12"/>
          <w:color w:val="auto"/>
        </w:rPr>
        <w:t>2.5</w:t>
      </w:r>
      <w:r>
        <w:rPr>
          <w:rFonts w:ascii="Arial" w:cs="Arial" w:eastAsia="Arial" w:hAnsi="Arial"/>
          <w:sz w:val="18"/>
          <w:szCs w:val="18"/>
          <w:color w:val="auto"/>
        </w:rPr>
        <w:t xml:space="preserve"> standards; the 24-hour coarse particulate matter standard has remained unchanged. The District of Columbia Circuit Court of Appeals remanded the annual PM</w:t>
      </w:r>
      <w:r>
        <w:rPr>
          <w:rFonts w:ascii="Arial" w:cs="Arial" w:eastAsia="Arial" w:hAnsi="Arial"/>
          <w:sz w:val="12"/>
          <w:szCs w:val="12"/>
          <w:color w:val="auto"/>
        </w:rPr>
        <w:t>2.5</w:t>
      </w:r>
      <w:r>
        <w:rPr>
          <w:rFonts w:ascii="Arial" w:cs="Arial" w:eastAsia="Arial" w:hAnsi="Arial"/>
          <w:sz w:val="18"/>
          <w:szCs w:val="18"/>
          <w:color w:val="auto"/>
        </w:rPr>
        <w:t xml:space="preserve"> standard to the EPA, requiring consideration of lower annual standard values. The EPA proposed new PM</w:t>
      </w:r>
      <w:r>
        <w:rPr>
          <w:rFonts w:ascii="Arial" w:cs="Arial" w:eastAsia="Arial" w:hAnsi="Arial"/>
          <w:sz w:val="12"/>
          <w:szCs w:val="12"/>
          <w:color w:val="auto"/>
        </w:rPr>
        <w:t>2.5</w:t>
      </w:r>
      <w:r>
        <w:rPr>
          <w:rFonts w:ascii="Arial" w:cs="Arial" w:eastAsia="Arial" w:hAnsi="Arial"/>
          <w:sz w:val="18"/>
          <w:szCs w:val="18"/>
          <w:color w:val="auto"/>
        </w:rPr>
        <w:t xml:space="preserve"> standards in June 2012.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 and permitting requirements. New projects and permits must comply with the new more stringent standard, and compliance with the NAAQS at the facility level is generally demonstrated by modeling.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December 2013, based on already available monitoring data. The EPA believes that most U.S. counties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 Minnesota is anticipating that it will retain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 be</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may require the EPA to evaluate modeling data to determine attainment. The EPA notified states that their infrastructure SIPs for maintaining attainment of the standard were required to be submitted to the EPA for approval by June 2013. However, the State of Minnesota has delayed completing the documents pending receipt of EPA guidance to states for preparing the SIP submittal. Guidance was expected in 2013 and has been delayed.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late July 2014, the Fond du Lac Band of Lake Superior Chippewa (Band) announced it petitioned the Environmental Protection Agency (EPA) to redesignate its reservation airshed from Class II to Class I air quality pursuant to Section 164(c) of the Clean Air Act. The Band does not currently possess authority to directly regulate air quality. Federal Class I air shed status, if granted, would allow the Band to exercise a higher threshold of Clean Air Act protections within the boundaries of the Fond du Lac reservation, including the reservation airshed, near Cloquet, Minnesota. Five other reservations across the U.S. have applied for and received Class I status. Public comment on this petition is scheduled to end on November 10, 2014, at which point it is anticipated the Band will formally submit the request to the EPA. The timeline for approval, denial, or modification of the request by the EPA is unknown. The Company has requested additional clarification from the Band and the MPCA on the final regulatory structure and authorities that may arise from a Class I redesignation. The Company cannot determine the effect of potential Class I status until the Band’s application is granted and its regulations are established, and therefore cannot determine the financial impact, if any, on the Company’s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Climate change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2014, the EPA announced a proposed rule under Section 111(d) of the Clean Air Act for existing power plants entitled “Carbon Pollution Emission Guidelines for Existing Stationary Sources: Electric Generating Units” (Clean Power Plan or CPP). The EPA intends to finalize such rules by June 1, 2015. In the Clean Power Plan, the EPA proposes to set state-specific rate-based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that the EPA maintains are achievable if a state undertakes a combination of measures across its power sector that constitute the EPA’s guideline for a Best System of Emission Reductions (BSER).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proposed that BSER is comprised of four building blocks: 1) improved fossil fuel power plants efficiency, 2) increased reliance on low-emitting power sources by generating more electricity from existing natural gas combined cycle units, 3) building more or preserving existing zero- and low-emitting power sources, including renewables and nuclear energy and 4) more efficient electricity use by consumers.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 then established state goals, expressed as a carbon intensity target in CO</w:t>
      </w:r>
      <w:r>
        <w:rPr>
          <w:rFonts w:ascii="Arial" w:cs="Arial" w:eastAsia="Arial" w:hAnsi="Arial"/>
          <w:sz w:val="12"/>
          <w:szCs w:val="12"/>
          <w:color w:val="auto"/>
        </w:rPr>
        <w:t>2</w:t>
      </w:r>
      <w:r>
        <w:rPr>
          <w:rFonts w:ascii="Arial" w:cs="Arial" w:eastAsia="Arial" w:hAnsi="Arial"/>
          <w:sz w:val="18"/>
          <w:szCs w:val="18"/>
          <w:color w:val="auto"/>
        </w:rPr>
        <w:t xml:space="preserve"> tons per megawatt hour, by estimating the achievability of the building blocks in each state. Using 2012 emissions data, the EPA derived interim goals for states to be met over the years 2020-2029, as well as a final goal to be met in 2030 and thereafter. Under the CPP, each state would be required to develop a state implementation plan by June 30, 2016 intended to achieve the state carbon intensity goals.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is currently evaluating the CPP as it relates to the State of Minnesota and its potential impact on the Company. Comments to the EPA on the CPP are due in December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Minnesota has already initiated several measures consistent with those called for under the CAP and CPP. Minnesota Power is implementing its “EnergyForward” strategic plan that provides for significant emission reductions and diversifying its electricity generation mix to include more renewable and natural gas energy. (See Regulated Operations -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On April 14, 2014, a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State officials have appealed the decision.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Clean Water Act - Aquatic Organisms. </w:t>
      </w:r>
      <w:r>
        <w:rPr>
          <w:rFonts w:ascii="Arial" w:cs="Arial" w:eastAsia="Arial" w:hAnsi="Arial"/>
          <w:sz w:val="16"/>
          <w:szCs w:val="16"/>
          <w:color w:val="auto"/>
        </w:rPr>
        <w:t>In April 2011, the EPA announced proposed regulations under Section 316(b) of the Clean Water Act that set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rule was published in the Federal Register on August 15, 2014, with an effective date of October 14, 2014. As it stands, the Section 316(b) standards will be implemented through NPDES permits issued to the covered facilities with compliance timing dependent on individual NPDES renewal schedules. We are in the process of assessing the compliance costs and there remains the possibility they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April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Instead of proposing a single rule, the EPA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in June 2013, with public comments due in September 2013. The EPA has agreed to issue the final rule by September 30, 2015. Compliance with the final rule, as proposed,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Coal Ash Management Facilities. </w:t>
      </w:r>
      <w:r>
        <w:rPr>
          <w:rFonts w:ascii="Arial" w:cs="Arial" w:eastAsia="Arial" w:hAnsi="Arial"/>
          <w:sz w:val="16"/>
          <w:szCs w:val="16"/>
          <w:color w:val="auto"/>
        </w:rPr>
        <w:t>Minnesota Power generates coal ash at all five of its coal-fired electric generating facilities. Two facilities store ash in</w:t>
      </w:r>
      <w:r>
        <w:rPr>
          <w:rFonts w:ascii="Arial" w:cs="Arial" w:eastAsia="Arial" w:hAnsi="Arial"/>
          <w:sz w:val="16"/>
          <w:szCs w:val="16"/>
          <w:i w:val="1"/>
          <w:iCs w:val="1"/>
          <w:color w:val="auto"/>
        </w:rPr>
        <w:t xml:space="preserve"> </w:t>
      </w:r>
      <w:r>
        <w:rPr>
          <w:rFonts w:ascii="Arial" w:cs="Arial" w:eastAsia="Arial" w:hAnsi="Arial"/>
          <w:sz w:val="16"/>
          <w:szCs w:val="16"/>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under Subtitle D of Resource Conservation and Recovery Act (RCRA) (non-hazardous) or Subtitle C of RCRA (hazardous). The EPA is expected to issue a final rule by December 19, 2014. We are unable to predict the compliance costs we might incur; however, the costs could be material. We would seek recovery of any additional costs through cost recovery riders or in a general rate case.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September 30, 2014, BNI Coal had surety bonds outstanding of $49.5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for an additional $0.6 million to provide for BNI Coal’s total reclamation liability, which is currently estimated at $49.3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January 2014, ALLETE Clean Energy acquired three wind energy facilities–Lake Benton, Storm Lake and Condon–from AES.</w:t>
      </w:r>
      <w:r>
        <w:rPr>
          <w:rFonts w:ascii="Arial" w:cs="Arial" w:eastAsia="Arial" w:hAnsi="Arial"/>
          <w:sz w:val="16"/>
          <w:szCs w:val="16"/>
          <w:b w:val="1"/>
          <w:bCs w:val="1"/>
          <w:color w:val="auto"/>
        </w:rPr>
        <w:t xml:space="preserve"> </w:t>
      </w:r>
      <w:r>
        <w:rPr>
          <w:rFonts w:ascii="Arial" w:cs="Arial" w:eastAsia="Arial" w:hAnsi="Arial"/>
          <w:sz w:val="16"/>
          <w:szCs w:val="16"/>
          <w:color w:val="auto"/>
        </w:rPr>
        <w:t>All three wind energy facilities have PPAs in place for their entire output, which expire in various years between 2019 and 2032. (See Note 4. Acquisition.)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September 30, 2014,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$10.2 million primarily related to development and maintenance obligations for various projects. The estimated cost of the remaining development work is approximately $7.4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September 30, 2014, we owned 72 percent of the assessable land in the Town Center District (73 percent at December 31, 2013) and 93 percent of the assessable land in the Palm Coast Park District (93 percent at December 31, 2013).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United Taconite Lawsuit. </w:t>
      </w:r>
      <w:r>
        <w:rPr>
          <w:rFonts w:ascii="Arial" w:cs="Arial" w:eastAsia="Arial" w:hAnsi="Arial"/>
          <w:sz w:val="18"/>
          <w:szCs w:val="18"/>
          <w:color w:val="auto"/>
        </w:rPr>
        <w:t>In January 2011, the Company was named as a defendant in a lawsuit in the Sixth Judicial District for the State of Minnesota by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alleged approximately $20 million in damages related to the fire. In response to a Motion for Summary Judgment by Minnesota Power, the Sixth Judicial District for the State of Minnesota dismissed all of plaintiffs’ claims in an August 2013 order. The District Court’s decision was affirmed by the Minnesota Court of Appeals on August 4, 2014. On October 14, 2014, the Minnesota Supreme Court denied further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Notice of Potential Clean Air Act Citizen Lawsuit. </w:t>
      </w:r>
      <w:r>
        <w:rPr>
          <w:rFonts w:ascii="Arial" w:cs="Arial" w:eastAsia="Arial" w:hAnsi="Arial"/>
          <w:sz w:val="17"/>
          <w:szCs w:val="17"/>
          <w:color w:val="auto"/>
        </w:rPr>
        <w:t>In July 2013, the Sierra Club submitted to Minnesota Power a notice of intent to file a citizen suit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September 30, 2014, because a potential loss is not currently probable or reasonably estimable.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the 2013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6 and “Risk Factors” located in Part I, Item 1A, beginning on page 28 of our 2013 Form 10</w:t>
      </w:r>
      <w:r>
        <w:rPr>
          <w:rFonts w:ascii="MS PGothic" w:cs="MS PGothic" w:eastAsia="MS PGothic" w:hAnsi="MS PGothic"/>
          <w:sz w:val="16"/>
          <w:szCs w:val="16"/>
          <w:color w:val="auto"/>
        </w:rPr>
        <w:t>‑</w:t>
      </w:r>
      <w:r>
        <w:rPr>
          <w:rFonts w:ascii="Arial" w:cs="Arial" w:eastAsia="Arial" w:hAnsi="Arial"/>
          <w:sz w:val="16"/>
          <w:szCs w:val="16"/>
          <w:color w:val="auto"/>
        </w:rPr>
        <w:t>K. The risks and uncertainties described in this Form 10-Q and our 2013 Form 10-K are not the only risks facing our Company.</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Power’s non-affiliated municipal customers consist of 16 municipalities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ALLETE Clean Energy, our business which</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three wind energy facilities in January 2014, and is aimed at developing or acquiring capital projects that create energy solutions via wind, solar, biomass, midstream gas and oil infrastructure, among other energy-related projects, and ALLETE Properties, our Florida real estate investment. This segment also includes other business development and corporate expenditures, unallocated interest expense, a small amount of non-rate base generation, approximately 5,000 acres of land in Minnesota, and earnings on cash and investments.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2014,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2014, to the nine months ended September 30, 2013.</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income attributable to ALLETE for the nine months ended September 30, 2014, was $91.9 million, or $2.17 per diluted share, compared to $71.7 million, or $1.81 per diluted share, for the same period of 2013. Net income for 2014 reflected $1.4 million after-tax expense, or $0.03 per share, of acquisition costs for ALLETE Clean Energy’s wind energy facilities acquisition which closed on January 30, 2014. (See Note 4. Acquisition.) In addition, net income for 2014 reflected a $2.5 million after-tax expense, or $0.06 per share, reflecting a liability associated with environmental mitigation projects required as part of the EPA NOV Consent Decree settlement. (See Note 15. Commitments, Guarantees and Contingencies.) Net income for 2014 reflected higher net income at Minnesota Power. Earnings were also higher due to ALLETE Clean Energy’s wind energy facilities, which were acquired in January 2014. Earnings per share dilution was $0.16 due to additional shares of common stock outstanding as of September 30, 2014.</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$92.6 million for the nine months ended September 30, 2014, compared to $73.0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of 2013. Net income for 2014 reflected a $2.5 million after-tax expense, or $0.06 per share, reflecting a liability associated with environmental mitigation projects required as part of the EPA NOV Consent Decree settlement. Net income for 2014 reflected higher net income at Minnesota Power primarily due to higher cost recovery rider revenue and production tax credits, recognition of a $5.1 million after-tax Minnesota Conservation Improvement Program financial incentive in the third quarter of 2014 ($4.2 million after-tax recognized in the fourth quarter of 2013), and higher power marketing sales as the Square Butte resale agreement to Minnkota Power commenced June 1, 2014. These increases were partially offset by higher depreciation and interest expenses.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net loss attributable to ALLETE was $0.7 million for the nine months ended September 30, 2014, compared to a net loss of $1.3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of 2013. The net loss for 2014 reflected $1.4 million after-tax expense, or $0.03 per share, of acquisition costs for ALLETE Clean Energy’s wind energy facilities acquisition. Earnings from ALLETE Clean Energy’s wind energy facilities acquisition were partially offset by gains on sales of investments in 2013. BNI Coal recorded net income of $4.2 million for the nine months ended September 30, 2014 ($4.6 million for the nine months ended September 30, 2013). ALLETE Properties recorded a net loss of $2.2 million for the nine months ended September 30, 2014 (net loss of $3.0 million for the nine months ended September 30, 2013).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SEPTEMBER 30,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$29.4 million, or 13 percent, from 2013 primarily due to higher cost recovery rider revenue, recognition of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under the Minnesota Conservation Improvement Program, and a 4.7 percent increase in kWh sales.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$11.4 million primarily due to higher capital expenditures related to our Bison projects and our Boswell Unit 4 environmental upgrade.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Conservation Improvement Program financial incentive of $8.7 million was recognized in the third quarter of 2014 upon approval by the MPUC on July 24, 2014. In 2013, the Conservation Improvement Program financial incentive of $7.1 million was approved by the MPUC on October 15, 2013 and was recognized in the fourth quarter of 2013.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COMPARISON OF THE QUARTERS ENDED SEPTEMBER 30, 2014 AND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Revenue from Regulated Operations increased $7.1 million due to a 4.7 percent increase in kWh sales. Sales to our residential and commercial customers decreased 5.8 percent and 2.6 percent, respectively, primarily due to cooler summer temperatures during the third quarter of 2014. Cooling degree days in Duluth, Minnesota were approximately 60 percent lower in the third quarter of 2014 compared to 2013. The decrease in sales to our municipal customers reflects a wholesale customer contract expiration effective December 31, 2013. Sales to Other Power Suppliers are sold at market-based prices into the MISO market on a daily basis or through bilateral agreements of various durations, and increased 37.3 percent in 2014 due to the commencement of the Minnkota Power sales agreement on June 1, 2014. (See Note 15. Commitments, Guarantees and Contingencies.)</w:t>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369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379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1,911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1,894</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203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2,727</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751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547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204</w:t>
            </w:r>
          </w:p>
        </w:tc>
        <w:tc>
          <w:tcPr>
            <w:tcW w:w="1060" w:type="dxa"/>
            <w:vAlign w:val="bottom"/>
          </w:tcPr>
          <w:p>
            <w:pPr>
              <w:jc w:val="right"/>
              <w:spacing w:after="0"/>
              <w:rPr>
                <w:sz w:val="20"/>
                <w:szCs w:val="20"/>
                <w:color w:val="auto"/>
              </w:rPr>
            </w:pPr>
            <w:r>
              <w:rPr>
                <w:rFonts w:ascii="Arial" w:cs="Arial" w:eastAsia="Arial" w:hAnsi="Arial"/>
                <w:sz w:val="18"/>
                <w:szCs w:val="18"/>
                <w:color w:val="auto"/>
              </w:rPr>
              <w:t>37.3 %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3,478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taconite/iron concentrate customers accounted for 23 percent of consolidated operating revenue in 2014 (25 percent in 2013). Revenue from electric sales to paper and pulp mills accounted for 7 percent of consolidated operating revenue in 2014 (8 percent in 2013). Revenue from electric sales to pipelines and other industrials accounted for 6 percent of consolidated operating revenue in 2014 (7 percent in 2013).</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$9.8 million, or 5 percent, from 2013.</w:t>
      </w:r>
    </w:p>
    <w:p>
      <w:pPr>
        <w:spacing w:after="0" w:line="225"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Fuel and Purchased Power Expense </w:t>
      </w:r>
      <w:r>
        <w:rPr>
          <w:rFonts w:ascii="Arial" w:cs="Arial" w:eastAsia="Arial" w:hAnsi="Arial"/>
          <w:sz w:val="16"/>
          <w:szCs w:val="16"/>
          <w:color w:val="auto"/>
        </w:rPr>
        <w:t>increased $8.4 million, or 10 percent, from 2013 primarily due to increased purchased power related to a 4.7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kWh sales. Fuel and purchased power expense related to our retail and municipal customers is recovered through the fuel adjustment clause.</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$0.8 million, or 1 percent, from 2013 due to higher transmission expense offset by lower benefit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expense increased primarily due to higher MISO related expenses. Benefit expense was lower due to higher discount rates in 2014 attributable to our defined benefit pension and other postretirement benefit plans.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$0.6 million, or 2 percent, from 2013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$1.4 million, or 13 percent, from 2013 primarily due to higher average long-term debt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$8.5 million, or 35 percent, from 2013 primarily due to a $6.8 million increase in revenue generated at ALLETE Clean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Energy due to the acquisition of three wind energy facilities in the first quarter of 2014. Also contributing to the increase was a $2.2 million increase in revenue at ALLETE Properties due to wetland mitigation bank credit and land sales. These increases were partially offset by a decrease in revenue at BNI Coal, which operates under a cost-plus fixed fee contract, as a result of lower expenses in 2014. (See </w:t>
      </w:r>
      <w:r>
        <w:rPr>
          <w:rFonts w:ascii="Arial" w:cs="Arial" w:eastAsia="Arial" w:hAnsi="Arial"/>
          <w:sz w:val="16"/>
          <w:szCs w:val="16"/>
          <w:i w:val="1"/>
          <w:iCs w:val="1"/>
          <w:color w:val="auto"/>
        </w:rPr>
        <w:t>Operating Expense</w:t>
      </w:r>
      <w:r>
        <w:rPr>
          <w:rFonts w:ascii="Arial" w:cs="Arial" w:eastAsia="Arial" w:hAnsi="Arial"/>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THE QUARTERS ENDED SEPTEMBER 30, 2014 AND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$5.7 million, or 22 percent, from 2013 primarily due to higher operating and depreciation expenses of $4.4 million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 of the ALLETE Clean Energy wind energy facilities acquisition in the first quarter of 2014. Also contributing to the increase were higher expenses of $1.1 million at ALLETE Properties primarily due to increased wetland mitigation bank credit and land sales. These increases were partially offset by decreased expenses at BNI Coal primarily due to lower fuel costs and repair expenses, which are recovered through the cost-plus fixed fee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quarter ended September 30, 2014, the effective tax rate was 24.4 percent (25.7 percent for the quarter ended September 30, 2013). The effective tax rate deviated from the statutory rate of approximately 41 percent primarily due to deductions for AFUDC-Equity, investment tax credits, production tax credits and depletion. (See Note 11. Income Tax Expense.)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$66.0 million, or 10 percent, from 2013 primarily due to higher cost recovery rider revenue, a 2.8 percent increase in kWh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recognition of financial incentives under the Minnesota Conservation Improvement Program, fuel adjustment clause recoveries, transmission revenues, and gas sales.</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Cost recovery rider revenue increased $19.8 million primarily due to higher capital expenditures related to our Bison projects and our Boswell Unit 4 environmental upgrade.</w:t>
      </w:r>
    </w:p>
    <w:p>
      <w:pPr>
        <w:spacing w:after="0" w:line="170"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 from Regulated Operations increased $19.7 million from 2013 due to a 2.8 percent increase in total kWh sales. The increase was due primarily to a 19.1 percent increase in kWh sales to Other Power Suppliers. Sales to Other Power Suppliers are sold at market-based prices into the MISO market on a daily basis or through bilateral agreements of various durations, and increased primarily due to the commencement of the Minnkota Power sales agreement on June 1, 2014. (See Note 15. Commitments, Guarantees and Contingencies.) Also contributing to the increase were higher sales to residential and commercial customers primarily due to unseasonably cold temperatures during the first four months of 2014 compared to the same period in 2013. In the first four months of 2014, heating degree days in Duluth, Minnesota were approximately 11 percent higher than the same period in 2013. The decrease in sales to our municipal customers reflects a wholesale customer contract expiration effective December 31, 2013.</w:t>
      </w:r>
    </w:p>
    <w:p>
      <w:pPr>
        <w:spacing w:after="0" w:line="3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864</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1,097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1,091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5,515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643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741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8,146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8,204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2,082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1,748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334</w:t>
            </w:r>
          </w:p>
        </w:tc>
        <w:tc>
          <w:tcPr>
            <w:tcW w:w="1060" w:type="dxa"/>
            <w:vAlign w:val="bottom"/>
          </w:tcPr>
          <w:p>
            <w:pPr>
              <w:jc w:val="right"/>
              <w:spacing w:after="0"/>
              <w:rPr>
                <w:sz w:val="20"/>
                <w:szCs w:val="20"/>
                <w:color w:val="auto"/>
              </w:rPr>
            </w:pPr>
            <w:r>
              <w:rPr>
                <w:rFonts w:ascii="Arial" w:cs="Arial" w:eastAsia="Arial" w:hAnsi="Arial"/>
                <w:sz w:val="18"/>
                <w:szCs w:val="18"/>
                <w:color w:val="auto"/>
              </w:rPr>
              <w:t>19.1 %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10,228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9,952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23 percent of consolidated operating revenue in 2014 (25 percent percent in 2013). Revenue from electric sales to paper and pulp mills accounted for 7 percent of consolidated operating revenue in 2014 (8 percent in 2013). Revenue from electric sales to pipelines and other industrials accounted for 6 percent of consolidated operating revenue in 2014 (7 percent in 2013).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THE NINE MONTHS ENDED SEPTEMBER 30, 2014 AND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Conservation Improvement Program financial incentive of $8.7 million was recognized in the third quarter of 2014 upon approval by the MPUC on July 24, 2014. In 2013, the Conservation Improvement Program financial incentive of $7.1 million was approved by the MPUC on October 15, 2013, and was recognized in the fourth quarter of 2013.</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$6.6 million due to higher purchased power expense attributable to our retail and municipal customers.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Expenses - Fuel and Purchased Power Expense.)</w:t>
      </w:r>
    </w:p>
    <w:p>
      <w:pPr>
        <w:spacing w:after="0" w:line="170"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 xml:space="preserve">Transmission revenue increased $5.9 million from 2013 primarily due to the commencement of recovery of our transmission investment related to the 230 kV transmission system upgrade that was placed into service in March 2013 (See </w:t>
      </w:r>
      <w:r>
        <w:rPr>
          <w:rFonts w:ascii="Arial" w:cs="Arial" w:eastAsia="Arial" w:hAnsi="Arial"/>
          <w:sz w:val="18"/>
          <w:szCs w:val="18"/>
          <w:i w:val="1"/>
          <w:iCs w:val="1"/>
          <w:color w:val="auto"/>
        </w:rPr>
        <w:t>Outlook – Industrial Customers – Nashwauk Public Utilities</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w:t>
      </w:r>
      <w:r>
        <w:rPr>
          <w:rFonts w:ascii="Arial" w:cs="Arial" w:eastAsia="Arial" w:hAnsi="Arial"/>
          <w:sz w:val="18"/>
          <w:szCs w:val="18"/>
          <w:color w:val="auto"/>
        </w:rPr>
        <w:t>) and higher MISO related revenues.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$5.5 million as a result of the unseasonably cold weather during the first four months of 2014. (See </w:t>
      </w:r>
      <w:r>
        <w:rPr>
          <w:rFonts w:ascii="Arial" w:cs="Arial" w:eastAsia="Arial" w:hAnsi="Arial"/>
          <w:sz w:val="18"/>
          <w:szCs w:val="18"/>
          <w:i w:val="1"/>
          <w:iCs w:val="1"/>
          <w:color w:val="auto"/>
        </w:rPr>
        <w:t>Operating 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$43.1 million, or 8 percent, from 2013.</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$23.0 million, or 9 percent, from 2013 due to an increase in purchased power resulting from higher kWh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sales and higher wholesale prices. Fuel and purchased power expense related to our retail and municipal customers is recovered through the fuel adjustment clause. </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Operating Revenue.)</w:t>
      </w:r>
    </w:p>
    <w:p>
      <w:pPr>
        <w:spacing w:after="0" w:line="18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increased $15.0 million, or 6 percent, from 2013. In the second quarter of 2014, a $4.2 million expense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recorded to reflect a liability associated with environmental mitigation projects required as part of the EPA NOV Consent Decree settlement. Operating and maintenance expense was also higher due to higher purchased gas, transmission expense, and property taxes partially offset by lower benefit expense. Purchased gas expense increased due to higher gas sales in 2014; purchased gas expenses are recovered from our customers through a purchased gas adjustment clause. (See </w:t>
      </w:r>
      <w:r>
        <w:rPr>
          <w:rFonts w:ascii="Arial" w:cs="Arial" w:eastAsia="Arial" w:hAnsi="Arial"/>
          <w:sz w:val="17"/>
          <w:szCs w:val="17"/>
          <w:i w:val="1"/>
          <w:iCs w:val="1"/>
          <w:color w:val="auto"/>
        </w:rPr>
        <w:t>Operating Revenue.</w:t>
      </w:r>
      <w:r>
        <w:rPr>
          <w:rFonts w:ascii="Arial" w:cs="Arial" w:eastAsia="Arial" w:hAnsi="Arial"/>
          <w:sz w:val="17"/>
          <w:szCs w:val="17"/>
          <w:color w:val="auto"/>
        </w:rPr>
        <w:t>) Transmission expense increased primarily due to higher MISO related expense. Property tax expense increased as a result of higher taxable plant and rates. Benefit expense was lower due to higher discount rates in 2014 attributable to our defined benefit pension and other postretirement benefit plans.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$5.1 million, or 6 percent, from 2013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$3.2 million, or 10 percent, from 2013 primarily due to higher average long-term debt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$2.5 million, or 74 percent, from 2013 primarily due to higher AFUDC -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$29.7 million, or 44 percent, from 2013 primarily due to a $22.6 million increase in revenue generated at ALLETE Clean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Energy due to the acquisition of three wind energy facilities in the first quarter of 2014. Also contributing to the increase was a $2.8 million increase in revenue at ALLETE Properties due to wetland mitigation bank credit and land sales. BNI Coal, which operates under a cost-plus fixed fee contract, recorded higher revenue of $2.5 million primarily as a result of higher expenses in 2014. (See </w:t>
      </w:r>
      <w:r>
        <w:rPr>
          <w:rFonts w:ascii="Arial" w:cs="Arial" w:eastAsia="Arial" w:hAnsi="Arial"/>
          <w:sz w:val="17"/>
          <w:szCs w:val="17"/>
          <w:i w:val="1"/>
          <w:iCs w:val="1"/>
          <w:color w:val="auto"/>
        </w:rPr>
        <w:t>Operating Expense</w:t>
      </w:r>
      <w:r>
        <w:rPr>
          <w:rFonts w:ascii="Arial" w:cs="Arial" w:eastAsia="Arial" w:hAnsi="Arial"/>
          <w:sz w:val="17"/>
          <w:szCs w:val="17"/>
          <w:color w:val="auto"/>
        </w:rPr>
        <w:t>.)</w:t>
      </w:r>
    </w:p>
    <w:p>
      <w:pPr>
        <w:spacing w:after="0" w:line="17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$22.5 million, or 31 percent, from 2013 primarily due to higher operating and depreciation expenses of $16.1 million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result of the ALLETE Clean Energy wind energy facilities acquisition in the first quarter of 2014. Also contributing to the increase were higher expenses of $2.6 million at BNI Coal primarily due to higher salaries and repair expenses, which are recovered through the cost-plus fixed fee contract (See </w:t>
      </w:r>
      <w:r>
        <w:rPr>
          <w:rFonts w:ascii="Arial" w:cs="Arial" w:eastAsia="Arial" w:hAnsi="Arial"/>
          <w:sz w:val="16"/>
          <w:szCs w:val="16"/>
          <w:i w:val="1"/>
          <w:iCs w:val="1"/>
          <w:color w:val="auto"/>
        </w:rPr>
        <w:t>Operating Revenue</w:t>
      </w:r>
      <w:r>
        <w:rPr>
          <w:rFonts w:ascii="Arial" w:cs="Arial" w:eastAsia="Arial" w:hAnsi="Arial"/>
          <w:sz w:val="16"/>
          <w:szCs w:val="16"/>
          <w:color w:val="auto"/>
        </w:rPr>
        <w:t>.) and higher expenses at ALLETE Properties relating primarily to increased land sales and wetland mitigation bank credit sales.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$4.0 million from 2013 primarily due to gains on sales of investments in 2013.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THE NINE MONTHS ENDED SEPTEMBER 30, 2014 AND 2013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nine months ended September 30, 2014, the effective tax rate was 22.7 percent (22.1 percent for the nine months ended September 30, 2013). The effective tax rate deviated from the statutory rate of approximately 41 percent primarily due to deductions for AFUDC-Equity, investment tax credits, production tax credits and depletion. (See Note 11. Income Tax Expense.)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2013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2013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2013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and balance our exposure to global business cycles and changing demand. The new energy-centric pursuits will be in renewable energy, energy transmission and other energy-related infrastructure or infrastructure services.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adding another 205 MW at the Bison Wind Energy Center. (See Regulated Operations – </w:t>
      </w:r>
      <w:r>
        <w:rPr>
          <w:rFonts w:ascii="Arial" w:cs="Arial" w:eastAsia="Arial" w:hAnsi="Arial"/>
          <w:sz w:val="17"/>
          <w:szCs w:val="17"/>
          <w:i w:val="1"/>
          <w:iCs w:val="1"/>
          <w:color w:val="auto"/>
        </w:rPr>
        <w:t>Renewable Energy.</w:t>
      </w:r>
      <w:r>
        <w:rPr>
          <w:rFonts w:ascii="Arial" w:cs="Arial" w:eastAsia="Arial" w:hAnsi="Arial"/>
          <w:sz w:val="17"/>
          <w:szCs w:val="17"/>
          <w:color w:val="auto"/>
        </w:rPr>
        <w:t>) In addition, in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energy-related projects. In January 2014, ALLETE Clean Energy acquired three wind energy facilities with existing long-term PPAs. ALLETE Clean Energy intends to transact business with electric utilities, cooperatives, municipalities, independent power marketers and large end-users across North America through long-term contracts or other sale arrangements, and will be subject to applicable state and federal regulatory approvals.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plan to make investments in transmission opportunities that strengthen or enhance the transmission grid or take advantage of our geographical location between sources of renewable energy and end users. This includes the GNTL, the CapX2020 initiative, investments to enhance our own transmission facilities, investments in other transmission assets (individually or in combination with others), and our investment in ATC. Transmission investments could be made by Minnesota Power or a subsidiary of ALLETE. (See Regulated Operations –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Minnesota Power will not earn its allowed rate of return in 2014.</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or the PSCW. See Note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our Minnesota, FERC, and Wisconsin jurisdictions.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wood products, and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Approximately 54 percent of our Regulated Utility kWh sales in the nine months ended September 30, 2014 (55 percent in the nine months ended September 30, 2013)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2014 will be similar to 2013. The American Iron and Steel Institute (AISI), an association of North American steel producers, reported that U.S. raw steel production operated at approximately 77 percent of capacity during the first nine months of 2014 and 2013. Based on these projections, 2014 taconite production levels in Minnesota are expected to be similar to 2013.</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 based projects that represent long-term growth potential and load diversity for Minnesota Power. These potential projects are in the ferrous and non-ferrous mining and pipelines and include Essar Steel Minnesota LLC (Essar), PolyMet, Magnetation, LLC, and Enbridge, Inc. We cannot predict the outcome of these projects.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Nashwauk Public Utilities Commission. </w:t>
      </w:r>
      <w:r>
        <w:rPr>
          <w:rFonts w:ascii="Arial" w:cs="Arial" w:eastAsia="Arial" w:hAnsi="Arial"/>
          <w:sz w:val="17"/>
          <w:szCs w:val="17"/>
          <w:color w:val="auto"/>
        </w:rPr>
        <w:t>In April 2014, the Company amended its formula-based wholesale electric sales agreement with the Nashwauk</w:t>
      </w:r>
      <w:r>
        <w:rPr>
          <w:rFonts w:ascii="Arial" w:cs="Arial" w:eastAsia="Arial" w:hAnsi="Arial"/>
          <w:sz w:val="17"/>
          <w:szCs w:val="17"/>
          <w:i w:val="1"/>
          <w:iCs w:val="1"/>
          <w:color w:val="auto"/>
        </w:rPr>
        <w:t xml:space="preserve"> </w:t>
      </w:r>
      <w:r>
        <w:rPr>
          <w:rFonts w:ascii="Arial" w:cs="Arial" w:eastAsia="Arial" w:hAnsi="Arial"/>
          <w:sz w:val="17"/>
          <w:szCs w:val="17"/>
          <w:color w:val="auto"/>
        </w:rPr>
        <w:t>Public Utilities Commission for all of its electric service requirements, extending the term through June 30, 2026. A new Essar taconite facility is currently under construction in the City of Nashwauk, and the Nashwauk Public Utilities Commission also amended and extended its electric service agreement with Essar. Upon completion, this facility would result in approximately 110 MW of additional load for Minnesota Power. In October 2014, Essar announced the completion of project financing and stated that initial pellet production would commence in the second half of 2015. Expansions for additional pellet production, production of direct reduced iron and production of steel slabs are also being considered by Essar for future years.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PolyMet</w:t>
      </w:r>
      <w:r>
        <w:rPr>
          <w:rFonts w:ascii="Arial" w:cs="Arial" w:eastAsia="Arial" w:hAnsi="Arial"/>
          <w:sz w:val="17"/>
          <w:szCs w:val="17"/>
          <w:color w:val="auto"/>
        </w:rPr>
        <w:t>. Minnesota Power has executed a long-term contract with PolyMet, which is planning to start a new copper-nickel and precious metal (non-ferrous)</w:t>
      </w:r>
      <w:r>
        <w:rPr>
          <w:rFonts w:ascii="Arial" w:cs="Arial" w:eastAsia="Arial" w:hAnsi="Arial"/>
          <w:sz w:val="17"/>
          <w:szCs w:val="17"/>
          <w:i w:val="1"/>
          <w:iCs w:val="1"/>
          <w:color w:val="auto"/>
        </w:rPr>
        <w:t xml:space="preserve"> </w:t>
      </w:r>
      <w:r>
        <w:rPr>
          <w:rFonts w:ascii="Arial" w:cs="Arial" w:eastAsia="Arial" w:hAnsi="Arial"/>
          <w:sz w:val="17"/>
          <w:szCs w:val="17"/>
          <w:color w:val="auto"/>
        </w:rPr>
        <w:t>mining operation in northeastern Minnesota. PolyMet began work on a Supplemental Draft Environmental Impact Statement (SDEIS) in 2010. The SDEIS addressed environmental issues, including those dealing with the land exchange between PolyMet and the U.S. Forest Service (USFS), which is critical to the mine site development. In December 2013, the Minnesota DNR released PolyMet’s SDEIS. The Minnesota Department of Natural Resources has estimated that the SDEIS process could be completed in the first half of 2015. Minnesota Power could begin to supply between 45 MW and 50 MW of load through a 10-year power supply contract period that would begin upon start-up of the mining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Magnetation. </w:t>
      </w:r>
      <w:r>
        <w:rPr>
          <w:rFonts w:ascii="Arial" w:cs="Arial" w:eastAsia="Arial" w:hAnsi="Arial"/>
          <w:sz w:val="17"/>
          <w:szCs w:val="17"/>
          <w:color w:val="auto"/>
        </w:rPr>
        <w:t>Magnetation produces iron ore concentrate from low-grade natural ore tailing basins, already mined stockpiles and newly mined iron</w:t>
      </w:r>
      <w:r>
        <w:rPr>
          <w:rFonts w:ascii="Arial" w:cs="Arial" w:eastAsia="Arial" w:hAnsi="Arial"/>
          <w:sz w:val="17"/>
          <w:szCs w:val="17"/>
          <w:i w:val="1"/>
          <w:iCs w:val="1"/>
          <w:color w:val="auto"/>
        </w:rPr>
        <w:t xml:space="preserve"> </w:t>
      </w:r>
      <w:r>
        <w:rPr>
          <w:rFonts w:ascii="Arial" w:cs="Arial" w:eastAsia="Arial" w:hAnsi="Arial"/>
          <w:sz w:val="17"/>
          <w:szCs w:val="17"/>
          <w:color w:val="auto"/>
        </w:rPr>
        <w:t>formations. Magnetation’s facility near Taconite, Minnesota is fully operational. Construction is underway at their newest concentrate facility near Coleraine, Minnesota, with production expected to commence during the first quarter of 2015. On January 27, 2014, Minnesota Power and Magnetation entered into a new ten-year electric service agreement, which was approved by the MPUC on May 1, 2014, for its facility near Coleraine, Minnesota. This agreement is effective through at least December 31, 2025. In addition, a transmission service extension is required to be constructed by Minnesota Power and is expected to be complete in the fourth quarter of 2014. On June 19, 2014, Minnesota Power received MPUC approval of a transmission route for the service extension, and permits were received on July 2, 2014. Minnesota Power expects to supply approximately 20 MW of power to this new facility, making it a Large Power Customer of Minnesota Power. The new facility is expected to supply iron ore concentrate to Magnetation’s new pellet plant in Reynolds, Indiana, which is designed to produce about 3 million tons of taconite pellets annually for AK Steel. On September 29, 2014, Magnetation announced the Reynolds pellet plant commenced production.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 “EnergyForward”,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66"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Our Bison Wind Energy Center has 292 MW of nameplate capacity with an additional 205 MW under construction.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Planned installation of approximately $300 million in emissions control technology at our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Laskin from coal to natural gas in the second quarter of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Retiring Taconite Harbor Unit 3, one of three coal-fired units at Taconite Harbor, in the second quarter of 2015.</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“EnergyForward” initiatives were included in Minnesota Power’s 2013 Integrated Resource Plan, which was approved by the MPUC in a November 2013 order. (See </w:t>
      </w:r>
      <w:r>
        <w:rPr>
          <w:rFonts w:ascii="Arial" w:cs="Arial" w:eastAsia="Arial" w:hAnsi="Arial"/>
          <w:sz w:val="18"/>
          <w:szCs w:val="18"/>
          <w:i w:val="1"/>
          <w:iCs w:val="1"/>
          <w:color w:val="auto"/>
        </w:rPr>
        <w:t>Integrated Resource Plan.</w:t>
      </w:r>
      <w:r>
        <w:rPr>
          <w:rFonts w:ascii="Arial" w:cs="Arial" w:eastAsia="Arial" w:hAnsi="Arial"/>
          <w:sz w:val="18"/>
          <w:szCs w:val="18"/>
          <w:color w:val="auto"/>
        </w:rPr>
        <w: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Boswell Mercury Emissions Reduction Plan. </w:t>
      </w:r>
      <w:r>
        <w:rPr>
          <w:rFonts w:ascii="Arial" w:cs="Arial" w:eastAsia="Arial" w:hAnsi="Arial"/>
          <w:sz w:val="16"/>
          <w:szCs w:val="16"/>
          <w:color w:val="auto"/>
        </w:rPr>
        <w:t>Minnesota Power is implementing a mercury emissions reduction project for Boswell Unit 4 in order to comply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Act requirements and the Federal MATS rule. Costs to implement the Boswell Unit 4 mercury emissions reduction plan are included in the estimated capital expenditures required for compliance with the MATS rule and are estimated to be approximately $250 million, of which $120 million was spent through September 30, 2014. In November 2013, the MPUC issued an order approving the Boswell Unit 4 mercury emissions reduction plan and cost recovery, establishing an environmental improvement rider. Also in November 2013, environmental intervenors filed a petition for reconsideration with the MPUC which was subsequently denied in an order dated January 17, 2014. Intervenors have appealed this order and the Company has filed a response to the appeal. The Minnesota Court of Appeals heard oral argument in September 2014 with a decision expected before the end of 2014. In December 2013, Minnesota Power filed a petition with the MPUC to establish customer billing rates for the approved environmental improvement rider based on actual and estimated investments and expenditures, which was approved in an order dated July 2, 2014.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Renewable Energy. </w:t>
      </w:r>
      <w:r>
        <w:rPr>
          <w:rFonts w:ascii="Arial" w:cs="Arial" w:eastAsia="Arial" w:hAnsi="Arial"/>
          <w:sz w:val="16"/>
          <w:szCs w:val="16"/>
          <w:color w:val="auto"/>
        </w:rPr>
        <w:t>In February 2007, Minnesota enacted a law requiring 25 percent of Minnesota Power’s total retail and municipal energy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2013 Integrated Resource Plan. Minnesota Power’s 2013 Integrated Resource Plan, which was approved by the MPUC in a November 2013 order, included an update on its plans and progress in meeting the Minnesota renewable energy milestones through 2025. (See </w:t>
      </w:r>
      <w:r>
        <w:rPr>
          <w:rFonts w:ascii="Arial" w:cs="Arial" w:eastAsia="Arial" w:hAnsi="Arial"/>
          <w:sz w:val="16"/>
          <w:szCs w:val="16"/>
          <w:i w:val="1"/>
          <w:iCs w:val="1"/>
          <w:color w:val="auto"/>
        </w:rPr>
        <w:t>EnergyForward</w:t>
      </w:r>
      <w:r>
        <w:rPr>
          <w:rFonts w:ascii="Arial" w:cs="Arial" w:eastAsia="Arial" w:hAnsi="Arial"/>
          <w:sz w:val="16"/>
          <w:szCs w:val="16"/>
          <w:color w:val="auto"/>
        </w:rPr>
        <w: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We expect 18 percent of the Company’s total retail and municipal energy sales will be supplied by renewable energy sources in 2014.</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Wind Energy. </w:t>
      </w:r>
      <w:r>
        <w:rPr>
          <w:rFonts w:ascii="Arial" w:cs="Arial" w:eastAsia="Arial" w:hAnsi="Arial"/>
          <w:sz w:val="16"/>
          <w:szCs w:val="16"/>
          <w:color w:val="auto"/>
        </w:rPr>
        <w:t>Our wind energy facilities consist of the 292 MW Bison Wind Energy Center located in North Dakota and the 25 MW Taconite Ridge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Center located in northeastern Minnesota. We also have two long-term wind PPAs with an affiliate of NextEra Energy, Inc. to purchase the output from Oliver Wind I (50 MW) and Oliver Wind II (48 MW) located in North Dakota. We have also commenced construction of Bison 4, a 205 MW wind project in North Dakota, which is an addition to our Bison Wind Energy Center. The total project investment for Bison 4 is estimated to be approximately $345 million, of which $288 million was spent through September 30, 2014. The Bison 4 wind project is expected to be completed by the end of 2014.</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billing rates for our Bison Wind Energy Center were approved by the MPUC in a December 2013 order.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2011, Minnesota Power and Manitoba Hydro signed an additional long-term PPA. The PPA provides for Manitoba Hydro to sell 250 MW of capacity and energy to Minnesota Power for 15 years beginning in 2020. The agreement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(See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2014, Minnesota Power and Manitoba Hydro signed a long-term PPA that provides for Manitoba Hydro to sell up to 133 MW of energy to Minnesota Power for 20 years beginning in 2020. The agreement is subject to MPUC approval and the construction of the GNTL.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Hydro Operations. </w:t>
      </w:r>
      <w:r>
        <w:rPr>
          <w:rFonts w:ascii="Arial" w:cs="Arial" w:eastAsia="Arial" w:hAnsi="Arial"/>
          <w:sz w:val="16"/>
          <w:szCs w:val="16"/>
          <w:color w:val="auto"/>
        </w:rPr>
        <w:t>In June 2012, record rainfall and flooding occurred near Duluth, Minnesota and surrounding areas. The flooding impacted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Power’s St. Louis River hydro system, particularly Thomson, which had damage to the forebay canal and flooding at the facility. Minnesota Power worked closely with the appropriate regulatory bodies which oversee the hydro system operations, including dams and reservoirs, to restore Thomson and to rebuild the forebay embankment. The forebay rebuild is complete and Minnesota Power commenced filing the forebay canal on October 9, 2014. Minnesota Power continues restoration and upgrade work at the Thomson facility and anticipates partial generation at Thomson in the fourth quarter of 2014. Work is ongoing towards returning to full generation early in 2015 and improving the spillway capacity at the Thomson dam in 2015. Total project costs are estimated to be approximately $90 million, of which $80 million, net of insurance, was spent through September 30, 2014. A request seeking cost recovery of investments and expenditures related to the restoration and repair of Thomson through a renewable resources rider was filed with the MPUC on July 3, 2014.</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Minnesota Solar Energy Standard.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costs are expected to be recovered in customer rates.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Integrated Resource Plan. </w:t>
      </w:r>
      <w:r>
        <w:rPr>
          <w:rFonts w:ascii="Arial" w:cs="Arial" w:eastAsia="Arial" w:hAnsi="Arial"/>
          <w:sz w:val="18"/>
          <w:szCs w:val="18"/>
          <w:color w:val="auto"/>
        </w:rPr>
        <w:t>In a November 2013 order, the MPUC approved Minnesota Power’s 2013 Integrated Resource Plan which details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“EnergyForward” strategic plan (see </w:t>
      </w:r>
      <w:r>
        <w:rPr>
          <w:rFonts w:ascii="Arial" w:cs="Arial" w:eastAsia="Arial" w:hAnsi="Arial"/>
          <w:sz w:val="18"/>
          <w:szCs w:val="18"/>
          <w:i w:val="1"/>
          <w:iCs w:val="1"/>
          <w:color w:val="auto"/>
        </w:rPr>
        <w:t>EnergyForward</w:t>
      </w:r>
      <w:r>
        <w:rPr>
          <w:rFonts w:ascii="Arial" w:cs="Arial" w:eastAsia="Arial" w:hAnsi="Arial"/>
          <w:sz w:val="18"/>
          <w:szCs w:val="18"/>
          <w:color w:val="auto"/>
        </w:rPr>
        <w:t>) and includes an analysis of a variety of existing and future energy resource alternatives and a projection of customer cost impact by class.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Transmission. </w:t>
      </w:r>
      <w:r>
        <w:rPr>
          <w:rFonts w:ascii="Arial" w:cs="Arial" w:eastAsia="Arial" w:hAnsi="Arial"/>
          <w:sz w:val="16"/>
          <w:szCs w:val="16"/>
          <w:color w:val="auto"/>
        </w:rPr>
        <w:t>We plan to make investments in transmission opportunities that strengthen or enhance the transmission grid or take advantage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CapX2020. </w:t>
      </w:r>
      <w:r>
        <w:rPr>
          <w:rFonts w:ascii="Arial" w:cs="Arial" w:eastAsia="Arial" w:hAnsi="Arial"/>
          <w:sz w:val="16"/>
          <w:szCs w:val="16"/>
          <w:color w:val="auto"/>
        </w:rPr>
        <w:t>Minnesota Power is a participant in the CapX2020 initiative which represents an effort to ensure electric transmission and distribution reliability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which is currently under construction and expected to be in service by 2015. The North Dakota permitting process was completed in August 2012.</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between $100 million and $110 million in the CapX2020 initiative through 2015, of which $98.0 million was spent through September 30, 2014. As future CapX2020 projects are identified, Minnesota Power may elect to participate on a project-by-project basis.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with respect to the GNTL.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September 30, 2014, our equity investment in ATC was $120.7 million, representing an approximate 8 percent ownership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ATC rates are based on a FERC approved 12.2 percent return on common equity dedicated to utility plant. ATC’s 10-year transmission assessment, which covers the years 2014 through 2023, identifies a need for between $3.3 and $3.9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nine months of 2014, we invested $3.1 million in ATC, and on October 30, 2014, we invested an additional $0.8 million. We do not expect to make any additional investments in 2014. (See Note 8. Investment in ATC.)</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several customer groups located within the MISO service area filed a complaint with the FERC requesting, among other things, a reduction in the base return on equity used by MISO transmission owners, including ATC, to 9.15 percent. ATC's current authorized return on equity is 12.2 percent. Any change to ATC's return on equity and capital structure could result in lower equity earnings in ATC and dividends from ATC in the future. We own approximately 8 percent of ATC and estimate that for every 50 basis point reduction in ATC’s allowed return on equity our equity earnings in ATC would be impacted annually by approximately $0.5 million on an after-tax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4.0 million tons of coal in 2014 (3.7 million tons were sold in 2013) and has sold 2.8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September 30, 2014 (2.9 million tons were sold as of September 30, 2013). BNI Coal operates under cost-plus fixed fee agreements. On April 22, 2014, BNI Coal extended these agreements through December 31, 2037.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 aims to develop or acquire capital projects that create energy solutions via wind, solar, biomass,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oil infrastructure, among other energy-related projects. On January 30, 2014, ALLETE Clean Energy acquired wind energy facilities located in Lake Benton, Minnesota (Lake Benton), Storm Lake, Iowa (Storm Lake) and Condon, Oregon (Condon) from The AES Corporation (AES) for $26.9 million. ALLETE Clean Energy also has an option to acquire a fourth wind energy facility from AES in Armenia Mountain, Pennsylvania (Armenia Mountain), in June 2015. The acquisition supports ALLETE’s strategy to pursue energy-centric initiatives through ALLETE Clean Energy, that include less carbon intensive and more sustainable energy sources.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Lake Benton, Storm Lake and Condon have 104 MW, 77 MW and 50 MW of generating capability, respectively. Lake Benton and Storm Lake began commercial operations in 1999,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in June 2015. Armenia Mountain began operations in 2009. (See Note 4. Acquisition.)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Florida real estate investment. Our current strategy for the assets is to complete and maintain key</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entitlements and infrastructure improvements without requiring significant additional investment, sell the portfolio when opportunities arise and reinvest the proceeds in our growth initiatives. Market conditions can impact land sales and could result in our inability to cover our operating expenses and fixed carrying costs such as community development district assessments and property taxes. ALLETE does not intend to acquire additional Florida real estate.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20" w:type="dxa"/>
            <w:vAlign w:val="bottom"/>
          </w:tcPr>
          <w:p>
            <w:pPr>
              <w:jc w:val="right"/>
              <w:ind w:right="1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958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2,412</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2,236,700</w:t>
            </w: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3,777</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3,554</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4,735</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5,966</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5,333,500</w:t>
            </w: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84"/>
        </w:trPr>
        <w:tc>
          <w:tcPr>
            <w:tcW w:w="56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2,914</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2,950</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3,044</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10,693</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8,916</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8,548,500</w:t>
            </w:r>
          </w:p>
        </w:tc>
      </w:tr>
    </w:tbl>
    <w:p>
      <w:pPr>
        <w:spacing w:after="0" w:line="4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1,710 acres of other land available-for-sale.</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ALLETE’s aggregate federal and multi-state statutory tax rate is approximately 41 percent for 2014. On an ongoing basis, ALLETE has tax</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federal production tax credits as a result of wind generation, we expect our effective tax rate to be approximately 23 percent for 2014. We also expect that our effective tax rate will be lower than the statutory rate over the next ten years due to production tax credits attributable to our wind generation. (See Note 11. Income Tax Expense.)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2014,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$150.5 million, $400 million in available consolidated lines of credit and a debt-to-capital ratio of 47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18"/>
                <w:szCs w:val="18"/>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2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$1,529.2</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$1,342.9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1,374.5</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1,110.2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2.7</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$2,907.9</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$2,453.1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88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364"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212.1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900" w:type="dxa"/>
            <w:vAlign w:val="bottom"/>
          </w:tcPr>
          <w:p>
            <w:pPr>
              <w:jc w:val="right"/>
              <w:ind w:right="370"/>
              <w:spacing w:after="0"/>
              <w:rPr>
                <w:sz w:val="20"/>
                <w:szCs w:val="20"/>
                <w:color w:val="auto"/>
              </w:rPr>
            </w:pPr>
            <w:r>
              <w:rPr>
                <w:rFonts w:ascii="Arial" w:cs="Arial" w:eastAsia="Arial" w:hAnsi="Arial"/>
                <w:sz w:val="18"/>
                <w:szCs w:val="18"/>
                <w:color w:val="auto"/>
              </w:rPr>
              <w:t>(458.5)</w:t>
            </w:r>
          </w:p>
        </w:tc>
        <w:tc>
          <w:tcPr>
            <w:tcW w:w="106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299.6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r>
      <w:tr>
        <w:trPr>
          <w:trHeight w:val="237"/>
        </w:trPr>
        <w:tc>
          <w:tcPr>
            <w:tcW w:w="8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9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53.2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$150.5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0"/>
        </w:trPr>
        <w:tc>
          <w:tcPr>
            <w:tcW w:w="84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from operating activities was $212.1 million for the nine months ended September 30, 2014 ($188.9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2013). Cash from operating activities was higher in 2014 primarily due to cash contributions of $10.8 million in 2013 to other postretirement benefit plans and higher receipts on accounts receivable, which were partially offset by increased fuel inventory purchases.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$458.5 million for the nine months ended September 30, 2014 ($195.0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2013). The increase in cash used for investing activities was primarily due to higher capital expenditures in 2014, and the ALLETE Clean Energy wind energy facilities acquisition in January 2014, partially offset by a transfer of cash included in Other Investments to Cash and Cash Equivalents.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from financing activities was $299.6 million for the nine months ended September 30, 2014 ($89.8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2013). The increase in cash from financing activities was primarily due to proceeds from the issuance of long-term debt throughout 2014 and the issuance of common stock in 2014, partially offset by the redemption of $111.0 million pollution control bonds in July 2014.</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 paper. As of September 30, 2014, we had available consolidated bank lines of credit aggregating $400.3 million ($399.5 million available as of September 30, 2013), the majority of which expire in November 2018. In addition, as of September 30, 2014, we had 2.2 million original issue shares of our common stock available for issuance through Invest Direct, our direct stock purchase and dividend reinvestment plan, 2.6 million original issue shares of common stock available for issuance through a distribution agreement with Lampert Capital Markets, Inc. and 1.4 million original issue shares of common stock available for issuance under a forward sale agreement.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Lampert Capital Markets, Inc., in February 2008, as amended most recently in May 2014,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issuance and sale of up to an aggregate of 9.6 million shares of our common stock, without par value, of which 2.6 million remain available for issuance. For the nine months ended September 30, 2014, 0.6 million shares of common stock were issued under this agreement, resulting in net proceeds of $26.9 million (0.7 million shares were issued for the nine months ended September 30, 2013, resulting in net proceeds of $35.6 million). The shares sold in 2013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2014, we issued 0.3 million shares of common stock through Invest Direct, the Employee Stock Purchase Plan, and the Retirement Savings and Stock Ownership Plan, resulting in net proceeds of $16.8 million (0.6 million shares were issued for net proceeds of $27.7 million during the nine months ended September 30, 2013). These shares of common stock were registered under Registration Statement Nos. 333-188315, 333-183051 and 333-162890.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2014, ALLETE contributed 0.4 million shares of ALLETE common stock to its pension plan. These shares of ALLETE common stock were contributed in reliance upon an exemption available pursuant to Section 4(a)(2) of the Securities Act of 1933 and had an aggregate value of $19.5 million when contributed.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26, 2014, ALLETE entered into a confirmation of forward sale agreement (Agreement) with a forward counterparty in connection with a public offering of 2.8 million shares of ALLETE common stock. Pursuant to the Agreement, the forward counterparty (or its affiliate) borrowed 2.8 million shares of ALLETE common stock from third parties and sold them to the underwriters. ALLETE has right to elect physical, cash or net share settlement under the forward sales agreement, for all or a portion of its obligations under the Agreement. In the event that ALLETE elects physical settlement of the Agreement, it will deliver shares of its common stock in exchange for cash proceeds at the then-applicable forward sale price. The forward sale price is initially $48.01 per share, subject to adjustment as provided in the Agreement. The Agreement provides for settlement at any time on or prior to March 1, 2015. ALLETE expects to physically settle the Agreement in its entirety by delivering 2.8 million shares of its common stock. As of September 30, 2014, ALLETE has physically settled a portion of its obligations under the Agreement by having delivered approximately 1.4 million shares of common stock on September 5, 2014 in exchange for cash proceeds of $65.0 million.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nine months of 2014, we issued $375.0 million of ALLETE first mortgage bonds (Bonds) in the private placement market in seven series. The Company intends to use the proceeds from the sale of the Bonds to refinance debt, fund utility capital expenditures and/or for general corporate purposes. (See Note 9. Short-Term and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July 1, 2014, we redeemed $111.0 million of pollution control bonds, at par, which were due on July 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9. Short-Term and Long-Term Debt for information regarding our financial covenants.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On January 10, 2014, we contributed $19.5 million to our defined benefit pension plan, all of which was contributed in shares of ALLETE common stock. We do not expect to make any additional contributions to our defined benefit pension plan in 2014, and we do not expect to make any contributions to our other postretirement benefit plan in 2014. (See Note 14. Pension and Other Postretirement Benefit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2013 Form 10-K, with additional disclosure in Note 15. Commitments, Guarantees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capital expenditures for 2014 are expected to be approximately $640 million. For the nine months ended September 30, 2014, capital expenditures totaled $467.6 million ($186.4 million for the nine months ended September 30, 2013). The expenditures were primarily made in the Regulated Operations segment.</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2014 projected capital expenditures include significant investments in environmental upgrades (see Outlook – Boswell Mercury Emissions Reduction Plan) and renewable energy. (See Outlook – Renewable Energy – Wind Energy.) Our 2014 capital expenditures are expected to be incurred ratably over the four quarters of 2014. We are well positioned to meet our financing needs due to adequate operating cash flows, available additional working capital, and access to capital markets. We will finance capital expenditures from a combination of internally generated funds and debt and equity issuance proceeds. We intend to maintain a capital structure with capital ratios near current levels. (See Liquidity and Capital Resources </w:t>
      </w:r>
      <w:r>
        <w:rPr>
          <w:rFonts w:ascii="Arial" w:cs="Arial" w:eastAsia="Arial" w:hAnsi="Arial"/>
          <w:sz w:val="14"/>
          <w:szCs w:val="14"/>
          <w:i w:val="1"/>
          <w:iCs w:val="1"/>
          <w:color w:val="auto"/>
        </w:rPr>
        <w:t>–</w:t>
      </w:r>
      <w:r>
        <w:rPr>
          <w:rFonts w:ascii="Arial" w:cs="Arial" w:eastAsia="Arial" w:hAnsi="Arial"/>
          <w:sz w:val="16"/>
          <w:szCs w:val="16"/>
          <w:color w:val="auto"/>
        </w:rPr>
        <w:t xml:space="preserve"> Capital Structure.)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2013 Form 10-K, with additional disclosure in Note 15.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597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Coal has 172 employees, of which 126 are members of IBEW Local 1593. The current labor agreement with IBEW Local 1593 expires on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At September 30, 2014, our available-for-sale securities portfolio consisted primarily of securities established to fund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September 30, 2014,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September 30, 2014.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2014,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 The Company is undergoing a project with the objective of improving customer information systems. The focus of the project is the upgrade and addition of certain customer information applications; these changes are not the result of any identified deficiencies in our internal control over financial reporting. The Company expects the project to result in greater efficiencies and enhance the processes used by employees to track power consumption, invoice customers, process payments, and analyze data. Implementation is expected in the first half of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the 2013 Form 10-K and Note 7. Regulatory Matters and Note 15. Commitments, Guarantees and Contingencies herein. Such information is incorporated herein by reference.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United Taconite Lawsuit. </w:t>
      </w:r>
      <w:r>
        <w:rPr>
          <w:rFonts w:ascii="Arial" w:cs="Arial" w:eastAsia="Arial" w:hAnsi="Arial"/>
          <w:sz w:val="18"/>
          <w:szCs w:val="18"/>
          <w:color w:val="auto"/>
        </w:rPr>
        <w:t>In January 2011, the Company was named as a defendant in a lawsuit in the Sixth Judicial District for the State of Minnesota by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alleged approximately $20 million in damages related to the fire. In response to a Motion for Summary Judgment by Minnesota Power, the Sixth Judicial District for the State of Minnesota dismissed all of plaintiffs’ claims in an August 2013 order. The District Court’s decision was affirmed by the Minnesota Court of Appeals on August 4, 2014. On October 14, 2014, the Minnesota Supreme Court denied further review.</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Notice of Potential Clean Air Act Citizen Lawsuit. </w:t>
      </w:r>
      <w:r>
        <w:rPr>
          <w:rFonts w:ascii="Arial" w:cs="Arial" w:eastAsia="Arial" w:hAnsi="Arial"/>
          <w:sz w:val="17"/>
          <w:szCs w:val="17"/>
          <w:color w:val="auto"/>
        </w:rPr>
        <w:t>In July 2013, the Sierra Club submitted to Minnesota Power a notice of intent to file a citizen suit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September 30, 2014, because a potential loss is not currently probable or reasonably estimable.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2013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8629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spacing w:after="0" w:line="29" w:lineRule="exact"/>
        <w:rPr>
          <w:sz w:val="20"/>
          <w:szCs w:val="20"/>
          <w:color w:val="auto"/>
        </w:rPr>
      </w:pPr>
    </w:p>
    <w:p>
      <w:pPr>
        <w:ind w:left="1300" w:right="140" w:hanging="463"/>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Thirty-seventh Supplemental Indenture, dated as of September 1, 2014, between ALLETE, Inc. and The Bank of New York Mellon, as corporate trustee, and Philip L. Watson, as co-trustee.</w:t>
      </w:r>
    </w:p>
    <w:p>
      <w:pPr>
        <w:spacing w:after="0" w:line="8"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862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140" w:hanging="55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59" w:lineRule="exact"/>
        <w:rPr>
          <w:sz w:val="20"/>
          <w:szCs w:val="20"/>
          <w:color w:val="auto"/>
        </w:rPr>
      </w:pPr>
    </w:p>
    <w:p>
      <w:pPr>
        <w:jc w:val="both"/>
        <w:ind w:left="1300" w:right="140" w:hanging="554"/>
        <w:spacing w:after="0" w:line="301"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ALLETE News Release dated November 3, 2014, announcing 2014 third quarter earnings. </w:t>
      </w:r>
      <w:r>
        <w:rPr>
          <w:rFonts w:ascii="Arial" w:cs="Arial" w:eastAsia="Arial" w:hAnsi="Arial"/>
          <w:sz w:val="16"/>
          <w:szCs w:val="16"/>
          <w:b w:val="1"/>
          <w:bCs w:val="1"/>
          <w:color w:val="auto"/>
        </w:rPr>
        <w:t>(This exhibit has been furnished and shall</w:t>
      </w:r>
      <w:r>
        <w:rPr>
          <w:rFonts w:ascii="Arial" w:cs="Arial" w:eastAsia="Arial" w:hAnsi="Arial"/>
          <w:sz w:val="16"/>
          <w:szCs w:val="16"/>
          <w:color w:val="auto"/>
        </w:rPr>
        <w:t xml:space="preserve"> </w:t>
      </w:r>
      <w:r>
        <w:rPr>
          <w:rFonts w:ascii="Arial" w:cs="Arial" w:eastAsia="Arial" w:hAnsi="Arial"/>
          <w:sz w:val="16"/>
          <w:szCs w:val="16"/>
          <w:b w:val="1"/>
          <w:bCs w:val="1"/>
          <w:color w:val="auto"/>
        </w:rPr>
        <w:t>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Instance</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101.SCH</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101.CAL</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101.DEF</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101.LAB</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101.PRE</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3, 2014</w:t>
            </w: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November 3, 2014</w:t>
            </w: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Controller</w:t>
            </w:r>
          </w:p>
        </w:tc>
      </w:tr>
      <w:tr>
        <w:trPr>
          <w:trHeight w:val="588"/>
        </w:trPr>
        <w:tc>
          <w:tcPr>
            <w:tcW w:w="2840" w:type="dxa"/>
            <w:vAlign w:val="bottom"/>
          </w:tcPr>
          <w:p>
            <w:pPr>
              <w:spacing w:after="0"/>
              <w:rPr>
                <w:sz w:val="24"/>
                <w:szCs w:val="24"/>
                <w:color w:val="auto"/>
              </w:rPr>
            </w:pPr>
          </w:p>
        </w:tc>
        <w:tc>
          <w:tcPr>
            <w:tcW w:w="8540" w:type="dxa"/>
            <w:vAlign w:val="bottom"/>
            <w:gridSpan w:val="2"/>
          </w:tcPr>
          <w:p>
            <w:pPr>
              <w:ind w:left="1500"/>
              <w:spacing w:after="0"/>
              <w:rPr>
                <w:sz w:val="20"/>
                <w:szCs w:val="20"/>
                <w:color w:val="auto"/>
              </w:rPr>
            </w:pPr>
            <w:r>
              <w:rPr>
                <w:rFonts w:ascii="Arial" w:cs="Arial" w:eastAsia="Arial" w:hAnsi="Arial"/>
                <w:sz w:val="14"/>
                <w:szCs w:val="14"/>
                <w:color w:val="auto"/>
              </w:rPr>
              <w:t>ALLETE, Inc. Third Quarter 2014 Form 10-Q</w:t>
            </w:r>
          </w:p>
        </w:tc>
      </w:tr>
    </w:tbl>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478790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ALLETE,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(formerly Minnesota Power &amp; Light Company</w:t>
      </w:r>
    </w:p>
    <w:p>
      <w:pPr>
        <w:spacing w:after="0" w:line="86"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and formerly Minnesota Power, Inc.)</w:t>
      </w:r>
    </w:p>
    <w:p>
      <w:pPr>
        <w:spacing w:after="0" w:line="10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TO</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(formerly The Bank of New York</w:t>
      </w:r>
    </w:p>
    <w:p>
      <w:pPr>
        <w:ind w:left="3060"/>
        <w:spacing w:after="0"/>
        <w:rPr>
          <w:sz w:val="20"/>
          <w:szCs w:val="20"/>
          <w:color w:val="auto"/>
        </w:rPr>
      </w:pPr>
      <w:r>
        <w:rPr>
          <w:rFonts w:ascii="Arial" w:cs="Arial" w:eastAsia="Arial" w:hAnsi="Arial"/>
          <w:sz w:val="20"/>
          <w:szCs w:val="20"/>
          <w:b w:val="1"/>
          <w:bCs w:val="1"/>
          <w:color w:val="auto"/>
        </w:rPr>
        <w:t>(formerly Irving Trust Company))</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PHILIP L. WATSON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(successor to Richard H. West, J. A. Austin, E. J. McCabe,</w:t>
      </w:r>
    </w:p>
    <w:p>
      <w:pPr>
        <w:spacing w:after="0" w:line="8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 W. May, J. A. Vaughan, W. T. Cunningham, Douglas J. MacInnes and Ming Ryan)</w:t>
      </w:r>
    </w:p>
    <w:p>
      <w:pPr>
        <w:spacing w:after="0" w:line="131" w:lineRule="exact"/>
        <w:rPr>
          <w:sz w:val="20"/>
          <w:szCs w:val="20"/>
          <w:color w:val="auto"/>
        </w:rPr>
      </w:pPr>
    </w:p>
    <w:p>
      <w:pPr>
        <w:ind w:left="2700" w:right="20"/>
        <w:spacing w:after="0" w:line="267" w:lineRule="auto"/>
        <w:rPr>
          <w:sz w:val="20"/>
          <w:szCs w:val="20"/>
          <w:color w:val="auto"/>
        </w:rPr>
      </w:pPr>
      <w:r>
        <w:rPr>
          <w:rFonts w:ascii="Arial" w:cs="Arial" w:eastAsia="Arial" w:hAnsi="Arial"/>
          <w:sz w:val="20"/>
          <w:szCs w:val="20"/>
          <w:b w:val="1"/>
          <w:bCs w:val="1"/>
          <w:color w:val="auto"/>
        </w:rPr>
        <w:t>As Trustees under ALLETE, Inc.’s Mortgage and Deed of Trust dated as of September 1, 1945</w:t>
      </w: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Thirty-seventh Supplemental Indenture</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Providing, among other things, for</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3.02% Series due September 15, 2021</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(Fifty-second Series),</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3.74% Series due September 15, 2029</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(Fifty-third Series)</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4.39% Series due September 15, 2044</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(Fifty-fourth Series)</w:t>
      </w:r>
    </w:p>
    <w:p>
      <w:pPr>
        <w:spacing w:after="0" w:line="200" w:lineRule="exact"/>
        <w:rPr>
          <w:sz w:val="20"/>
          <w:szCs w:val="20"/>
          <w:color w:val="auto"/>
        </w:rPr>
      </w:pPr>
    </w:p>
    <w:p>
      <w:pPr>
        <w:spacing w:after="0" w:line="216" w:lineRule="exact"/>
        <w:rPr>
          <w:sz w:val="20"/>
          <w:szCs w:val="20"/>
          <w:color w:val="auto"/>
        </w:rPr>
      </w:pPr>
    </w:p>
    <w:p>
      <w:pPr>
        <w:ind w:left="3280"/>
        <w:spacing w:after="0"/>
        <w:rPr>
          <w:sz w:val="20"/>
          <w:szCs w:val="20"/>
          <w:color w:val="auto"/>
        </w:rPr>
      </w:pPr>
      <w:r>
        <w:rPr>
          <w:rFonts w:ascii="Arial" w:cs="Arial" w:eastAsia="Arial" w:hAnsi="Arial"/>
          <w:sz w:val="20"/>
          <w:szCs w:val="20"/>
          <w:b w:val="1"/>
          <w:bCs w:val="1"/>
          <w:i w:val="1"/>
          <w:iCs w:val="1"/>
          <w:color w:val="auto"/>
        </w:rPr>
        <w:t>Dated as of September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340995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THIRTY-SEVENTH SUPPLEMENTAL INDENTURE</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THIS INDENTURE, </w:t>
      </w:r>
      <w:r>
        <w:rPr>
          <w:rFonts w:ascii="Arial" w:cs="Arial" w:eastAsia="Arial" w:hAnsi="Arial"/>
          <w:sz w:val="18"/>
          <w:szCs w:val="18"/>
          <w:color w:val="auto"/>
        </w:rPr>
        <w:t>dated as of September 1, 2014, by and between ALLETE, Inc. (formerly Minnesota Power &amp; Light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PHILIP L. WATSON (successor to Richard H. West, J. A. Austin, E. J. McCabe, D. W. May, J. A. Vaughan, W. T. Cunningham, Douglas J. MacInnes and Ming Ryan), whose post office address is c/o The Bank of New York Mellon, 101 Barclay Street, New York, New York 10286 (said Philip L. Watson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“Thirty-seventh Supplemental Indenture”) being supplemental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77"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ectPr>
          <w:pgSz w:w="11900" w:h="16838" w:orient="portrait"/>
          <w:cols w:equalWidth="0" w:num="1">
            <w:col w:w="11420"/>
          </w:cols>
          <w:pgMar w:left="240" w:top="873" w:right="239" w:bottom="1440" w:gutter="0" w:footer="0" w:header="0"/>
        </w:sectPr>
      </w:pPr>
    </w:p>
    <w:bookmarkStart w:id="57" w:name="page58"/>
    <w:bookmarkEnd w:id="57"/>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338"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20"/>
                <w:szCs w:val="20"/>
                <w:b w:val="1"/>
                <w:bCs w:val="1"/>
                <w:color w:val="auto"/>
                <w:w w:val="85"/>
              </w:rPr>
              <w:t>Designation</w:t>
            </w:r>
          </w:p>
        </w:tc>
        <w:tc>
          <w:tcPr>
            <w:tcW w:w="616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Dated as of</w:t>
            </w:r>
          </w:p>
        </w:tc>
      </w:tr>
      <w:tr>
        <w:trPr>
          <w:trHeight w:val="20"/>
        </w:trPr>
        <w:tc>
          <w:tcPr>
            <w:tcW w:w="10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8"/>
        </w:trPr>
        <w:tc>
          <w:tcPr>
            <w:tcW w:w="7160" w:type="dxa"/>
            <w:vAlign w:val="bottom"/>
            <w:gridSpan w:val="2"/>
          </w:tcPr>
          <w:p>
            <w:pPr>
              <w:spacing w:after="0"/>
              <w:rPr>
                <w:sz w:val="20"/>
                <w:szCs w:val="20"/>
                <w:color w:val="auto"/>
              </w:rPr>
            </w:pPr>
            <w:r>
              <w:rPr>
                <w:rFonts w:ascii="Arial" w:cs="Arial" w:eastAsia="Arial" w:hAnsi="Arial"/>
                <w:sz w:val="20"/>
                <w:szCs w:val="20"/>
                <w:color w:val="auto"/>
              </w:rPr>
              <w:t>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1949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1951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1957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1968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Eleventh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1982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Twelfth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1987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Nineteenth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2003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2004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2009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2012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2013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2014</w:t>
            </w:r>
          </w:p>
        </w:tc>
      </w:tr>
    </w:tbl>
    <w:p>
      <w:pPr>
        <w:spacing w:after="0" w:line="200" w:lineRule="exact"/>
        <w:rPr>
          <w:sz w:val="20"/>
          <w:szCs w:val="20"/>
          <w:color w:val="auto"/>
        </w:rPr>
      </w:pPr>
    </w:p>
    <w:p>
      <w:pPr>
        <w:sectPr>
          <w:pgSz w:w="11900" w:h="16838" w:orient="portrait"/>
          <w:cols w:equalWidth="0" w:num="1">
            <w:col w:w="11420"/>
          </w:cols>
          <w:pgMar w:left="240" w:top="366"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6"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color w:val="auto"/>
        </w:rPr>
        <w:t>which supplemental indentures were filed and recorded in various official records in the State of Minnesota; and</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100" w:type="dxa"/>
            <w:vAlign w:val="bottom"/>
            <w:gridSpan w:val="3"/>
          </w:tcPr>
          <w:p>
            <w:pPr>
              <w:jc w:val="center"/>
              <w:ind w:left="142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86"/>
              </w:rPr>
              <w:t>Series</w:t>
            </w: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78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$26,000,000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4,000,000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line="230" w:lineRule="exact"/>
              <w:rPr>
                <w:sz w:val="20"/>
                <w:szCs w:val="20"/>
                <w:color w:val="auto"/>
              </w:rPr>
            </w:pPr>
            <w:r>
              <w:rPr>
                <w:rFonts w:ascii="Arial" w:cs="Arial" w:eastAsia="Arial" w:hAnsi="Arial"/>
                <w:sz w:val="20"/>
                <w:szCs w:val="20"/>
                <w:color w:val="auto"/>
              </w:rPr>
              <w:t>8</w:t>
            </w:r>
            <w:r>
              <w:rPr>
                <w:rFonts w:ascii="MS PGothic" w:cs="MS PGothic" w:eastAsia="MS PGothic" w:hAnsi="MS PGothic"/>
                <w:sz w:val="20"/>
                <w:szCs w:val="20"/>
                <w:color w:val="auto"/>
              </w:rPr>
              <w:t>‑</w:t>
            </w:r>
            <w:r>
              <w:rPr>
                <w:rFonts w:ascii="Arial" w:cs="Arial" w:eastAsia="Arial" w:hAnsi="Arial"/>
                <w:sz w:val="20"/>
                <w:szCs w:val="20"/>
                <w:color w:val="auto"/>
              </w:rPr>
              <w:t>1/8% Series due 2001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23,000,000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1/2% Series due 2005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1,150,000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13,500,000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3,600,000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35,000,000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20,000,000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42,000,000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42,000,000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15,000,000</w:t>
            </w:r>
          </w:p>
        </w:tc>
      </w:tr>
    </w:tbl>
    <w:p>
      <w:pPr>
        <w:spacing w:after="0" w:line="200" w:lineRule="exact"/>
        <w:rPr>
          <w:sz w:val="20"/>
          <w:szCs w:val="20"/>
          <w:color w:val="auto"/>
        </w:rPr>
      </w:pPr>
    </w:p>
    <w:p>
      <w:pPr>
        <w:sectPr>
          <w:pgSz w:w="11900" w:h="16838" w:orient="portrait"/>
          <w:cols w:equalWidth="0" w:num="1">
            <w:col w:w="11400"/>
          </w:cols>
          <w:pgMar w:left="240" w:top="366" w:right="25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366" w:right="259" w:bottom="1440" w:gutter="0" w:footer="0" w:header="0"/>
          <w:type w:val="continuous"/>
        </w:sectPr>
      </w:pPr>
    </w:p>
    <w:bookmarkStart w:id="59" w:name="page60"/>
    <w:bookmarkEnd w:id="59"/>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380" w:type="dxa"/>
            <w:vAlign w:val="bottom"/>
            <w:gridSpan w:val="3"/>
          </w:tcPr>
          <w:p>
            <w:pPr>
              <w:jc w:val="center"/>
              <w:ind w:left="170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86"/>
              </w:rPr>
              <w:t>Series</w:t>
            </w:r>
          </w:p>
        </w:tc>
        <w:tc>
          <w:tcPr>
            <w:tcW w:w="49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5.82%</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3.20%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4.08%</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85,000,000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85,000,000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1.83%</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3.30%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4.21%</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3.69%</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4.95%</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3.40%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2022</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5.05%</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2044</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Fifty-first Series, respectively; and</w:t>
      </w:r>
    </w:p>
    <w:p>
      <w:pPr>
        <w:spacing w:after="0" w:line="21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96" w:lineRule="exact"/>
        <w:rPr>
          <w:sz w:val="20"/>
          <w:szCs w:val="20"/>
          <w:color w:val="auto"/>
        </w:rPr>
      </w:pPr>
    </w:p>
    <w:p>
      <w:pPr>
        <w:jc w:val="both"/>
        <w:ind w:firstLine="608"/>
        <w:spacing w:after="0" w:line="273"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69"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WHEREAS, the Company now desires to create three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WHEREAS, the execution and delivery by the Company of this Thirty-seventh Supplemental Indenture, and the terms of the bonds of the Fifty-second Series, the Fifty-third Series and the Fifty-fourth Series, hereinafter referred to, have been duly authorized by the Board of Directors of the Company by appropriate resolutions of said Board of Directors;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1" w:right="239" w:bottom="1440" w:gutter="0" w:footer="0" w:header="0"/>
        </w:sectPr>
      </w:pPr>
    </w:p>
    <w:bookmarkStart w:id="60" w:name="page61"/>
    <w:bookmarkEnd w:id="60"/>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16"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Philip L. Watson,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Thirty-seventh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73"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61" w:name="page62"/>
    <w:bookmarkEnd w:id="61"/>
    <w:p>
      <w:pPr>
        <w:jc w:val="both"/>
        <w:ind w:firstLine="608"/>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Thirty-seventh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Thirty-seventh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75" w:lineRule="exact"/>
        <w:rPr>
          <w:sz w:val="20"/>
          <w:szCs w:val="20"/>
          <w:color w:val="auto"/>
        </w:rPr>
      </w:pPr>
    </w:p>
    <w:p>
      <w:pPr>
        <w:jc w:val="both"/>
        <w:ind w:right="20" w:firstLine="608"/>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IN TRUST NEVERTHELESS, for the same purposes and upon the same terms, trusts and conditions and subject to and with the same provisos and covenants as are set forth in the Mortgage, as supplemented, this Thirty-seventh Supplemental Indenture being supplemental thereto.</w:t>
      </w:r>
    </w:p>
    <w:p>
      <w:pPr>
        <w:spacing w:after="0" w:line="18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Fifty-second Series of Bonds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“3.02% Series due September 15, 2021” (herein sometimes referred to as the “Fifty-second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Fifty-second Series shall be dated as in Section 10 of the Mortgage provided, mature on September 15, 2021 (the “Fifty-second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September 16, 2014 (computed on the basis of a 360-day year of twelve thirty-day months) at the rate of 3.02% per annum, payable semi-annually on March 15 and September 15 of each year, commencing March 15, 2015,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Fifty-second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Fifty-second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5" w:lineRule="exact"/>
        <w:rPr>
          <w:sz w:val="20"/>
          <w:szCs w:val="20"/>
          <w:color w:val="auto"/>
        </w:rPr>
      </w:pPr>
    </w:p>
    <w:p>
      <w:pPr>
        <w:jc w:val="both"/>
        <w:ind w:firstLine="616"/>
        <w:spacing w:after="0" w:line="269" w:lineRule="auto"/>
        <w:tabs>
          <w:tab w:leader="none" w:pos="106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March 15, 2021 (six months prior to the Fifty-second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Fifty-second Series at 100% of the principal amount so prepaid, and the Make-Whole Amount determined for the Settlement Date specified by the Company in such notice with respect to such principal amount. The Company will give each registered owner of bonds of the Fifty-second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Fifty-second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Fifty-second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79"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At any time on or after March 15, 2021, the bonds of the Fifty-second series will be redeemable at the option of the Company, in whole or in part, on not less than 30 nor more than 60 days’ notice prior to the Settlement Date, at a redemption price equal to 100% of the principal amount of the bonds of the Fifty-second Series to be redeemed, plus accrued and unpaid interest thereon to the Settlement Date. The bonds of the Fifty-second Series are not otherwise subject to voluntary or optional prepayment.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0" w:right="239" w:bottom="1440" w:gutter="0" w:footer="0" w:header="0"/>
        </w:sectPr>
      </w:pPr>
    </w:p>
    <w:bookmarkStart w:id="63" w:name="page64"/>
    <w:bookmarkEnd w:id="63"/>
    <w:p>
      <w:pPr>
        <w:jc w:val="both"/>
        <w:ind w:firstLine="656"/>
        <w:spacing w:after="0" w:line="248" w:lineRule="auto"/>
        <w:tabs>
          <w:tab w:leader="none" w:pos="1105"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Fifty-second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Fifty-second Series to be prepaid shall be allocated by the Company among all of the bonds of the Fifty-second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28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Fifty-second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Fifty-second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Fifty-second Series, an amount equal to the excess, if any, of the Discounted Value of the Remaining Scheduled Payments with respect to the Called Principal of such bond of the Fifty-second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Fifty-second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Fifty-second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Fifty-second Series is payable) equal to the Reinvestment Yield with respect to such Called Principal.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0" w:right="239" w:bottom="1440" w:gutter="0" w:footer="0" w:header="0"/>
        </w:sectPr>
      </w:pPr>
    </w:p>
    <w:bookmarkStart w:id="64" w:name="page65"/>
    <w:bookmarkEnd w:id="64"/>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Fifty-second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Fifty-second Series.</w:t>
      </w:r>
    </w:p>
    <w:p>
      <w:pPr>
        <w:spacing w:after="0" w:line="18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Fifty-second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Fifty-second Series, then the amount of the next succeeding scheduled interest payment will be reduced by the amount of interest accrued to such Settlement Date and required to be paid on such Settlement Date pursuant to subsection (I) of this section.</w:t>
      </w:r>
    </w:p>
    <w:p>
      <w:pPr>
        <w:spacing w:after="0" w:line="196"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Fifty-second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0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Fifty-second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Fifty-second Series shall be transferable (subject to the provisions of Section 12 of the Mortgage) at the office or agency of the Company in the Borough of Manhattan, The City of New York. The Company shall not be required to make transfers or exchanges of bonds of the Fifty-second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65" w:name="page66"/>
    <w:bookmarkEnd w:id="65"/>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Fifty-second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Fifty-second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Thirty-seventh Supplemental Indenture and upon compliance with the applicable provisions of the Mortgage and receipt of consideration therefor by the Company, there shall be an initial issue of bonds of the Fifty-second Series for the aggregate principal amount of $60,000,000.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Fifty-third Series of Bonds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“3.74% Series due September 15, 2029” (herein sometimes referred to as the “Fifty-third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Fifty-third Series shall be dated as in Section 10 of the Mortgage provided, mature on September 15, 2029 (the “Fifty-third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September 16, 2014 (computed on the basis of a 360-day year of twelve thirty-day months) at the rate of 3.74% per annum, payable semi-annually on March 15 and September 15 of each year, commencing March 15, 2015,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Fifty-third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Fifty-third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5" w:lineRule="exact"/>
        <w:rPr>
          <w:sz w:val="20"/>
          <w:szCs w:val="20"/>
          <w:color w:val="auto"/>
        </w:rPr>
      </w:pPr>
    </w:p>
    <w:p>
      <w:pPr>
        <w:jc w:val="both"/>
        <w:ind w:firstLine="616"/>
        <w:spacing w:after="0" w:line="270" w:lineRule="auto"/>
        <w:tabs>
          <w:tab w:leader="none" w:pos="1094"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March 15, 2029 (six months prior to the Fifty-third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Fifty-third Series at 100% of the principal amount so prepaid, and the Make-Whole Amount determined for the Settlement Date specified by the Company in such notice with respect to such principal amount. The Company will give each registered owner of bonds of the Fifty-third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Fifty-third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Fifty-third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20"/>
          <w:szCs w:val="20"/>
          <w:color w:val="auto"/>
        </w:rPr>
        <w:t>Trustee. The Trustees shall be under no duty to inquire into, may conclusively presume the correctness of, and shall be fully protected in relying upon the information set forth in any such notice or certificate.</w:t>
      </w:r>
    </w:p>
    <w:p>
      <w:pPr>
        <w:spacing w:after="0" w:line="177"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At any time on or after March 15, 2029, the bonds of the Fifty-third series will be redeemable at the option of the Company, in whole or in part, on not less than 30 nor more than 60 days’ notice prior to the Settlement Date, at a redemption price equal to 100% of the principal amount of the bonds of the Fifty-third Series to be redeemed, plus accrued and unpaid interest thereon to the Settlement Date. The bonds of the Fifty-third Series are not otherwise subject to voluntary or optional prepayment.</w:t>
      </w:r>
    </w:p>
    <w:p>
      <w:pPr>
        <w:spacing w:after="0" w:line="171" w:lineRule="exact"/>
        <w:rPr>
          <w:sz w:val="20"/>
          <w:szCs w:val="20"/>
          <w:color w:val="auto"/>
        </w:rPr>
      </w:pPr>
    </w:p>
    <w:p>
      <w:pPr>
        <w:jc w:val="both"/>
        <w:ind w:firstLine="656"/>
        <w:spacing w:after="0" w:line="248" w:lineRule="auto"/>
        <w:tabs>
          <w:tab w:leader="none" w:pos="1132"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Fifty-third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Fifty-third Series to be prepaid shall be allocated by the Company among all of the bonds of the Fifty-third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207"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Fifty-third Series pursuant to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Fifty-third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Fifty-third Series, an amount equal to the excess, if any, of the Discounted Value of the Remaining Scheduled Payments with respect to the Called Principal of such bond of the Fifty-third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Fifty-third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Fifty-third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Fifty-third Series is payable) equal to the Reinvestment Yield with respect to such Called Principal.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67" w:name="page68"/>
    <w:bookmarkEnd w:id="67"/>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Fifty-third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Fifty-third Series.</w:t>
      </w:r>
    </w:p>
    <w:p>
      <w:pPr>
        <w:spacing w:after="0" w:line="18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Fifty-third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Fifty-third Series, then the amount of the next succeeding scheduled interest payment will be reduced by the amount of interest accrued to such Settlement Date and required to be paid on such Settlement Date pursuant to subsection (I) of this section.</w:t>
      </w:r>
    </w:p>
    <w:p>
      <w:pPr>
        <w:spacing w:after="0" w:line="197"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Fifty-third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0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Fifty-third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Fifty-third Series shall be transferable (subject to the provisions of Section 12 of the Mortgage) at the office or agency of the Company in the Borough of Manhattan, The City of New York. The Company shall not be required to make transfers or exchanges of bonds of the Fifty-third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6" w:right="239" w:bottom="1440" w:gutter="0" w:footer="0" w:header="0"/>
        </w:sectPr>
      </w:pPr>
    </w:p>
    <w:bookmarkStart w:id="68" w:name="page69"/>
    <w:bookmarkEnd w:id="68"/>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Fifty-third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Fifty-third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Thirty-seventh Supplemental Indenture and upon compliance with the applicable provisions of the Mortgage and receipt of consideration therefor by the Company, there shall be an initial issue of bonds of the Fifty-third Series for the aggregate principal amount of $50,000,000.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Fifty-fourth Series of Bonds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“4.39% Series due September 15, 2044” (herein sometimes referred to as the “Fifty-fourth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Fifty-fourth Series shall be dated as in Section 10 of the Mortgage provided, mature on September 15, 2044 (the “Fifty-fourth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September 16, 2014 (computed on the basis of a 360-day year of twelve thirty-day months) at the rate of 4.39% per annum, payable semi-annually on March 15 and September 15 of each year, commencing March 15, 2015,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Fifty-fourth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Fifty-fourth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69" w:name="page70"/>
    <w:bookmarkEnd w:id="69"/>
    <w:p>
      <w:pPr>
        <w:jc w:val="both"/>
        <w:ind w:firstLine="616"/>
        <w:spacing w:after="0" w:line="26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March 15, 2044 (six months prior to the Fifty-fourth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Fifty-fourth Series at 100% of the principal amount so prepaid, and the Make-Whole Amount determined for the Settlement Date specified by the Company in such notice with respect to such principal amount. The Company will give each registered owner of bonds of the Fifty-fourth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Fifty-fourth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Fifty-fourth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79"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At any time on or after March 15, 2044, the bonds of the Fifty-fourth series will be redeemable at the option of the Company, in whole or in part, on not less than 30 nor more than 60 days’ notice prior to the Settlement Date, at a redemption price equal to 100% of the principal amount of the bonds of the Fifty-fourth Series to be redeemed, plus accrued and unpaid interest thereon to the Settlement Date. The bonds of the Fifty-fourth Series are not otherwise subject to voluntary or optional prepayment.</w:t>
      </w:r>
    </w:p>
    <w:p>
      <w:pPr>
        <w:spacing w:after="0" w:line="171" w:lineRule="exact"/>
        <w:rPr>
          <w:sz w:val="20"/>
          <w:szCs w:val="20"/>
          <w:color w:val="auto"/>
        </w:rPr>
      </w:pPr>
    </w:p>
    <w:p>
      <w:pPr>
        <w:jc w:val="both"/>
        <w:ind w:firstLine="656"/>
        <w:spacing w:after="0" w:line="248" w:lineRule="auto"/>
        <w:tabs>
          <w:tab w:leader="none" w:pos="1119"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Fifty-fourth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Fifty-fourth Series to be prepaid shall be allocated by the Company among all of the bonds of the Fifty-fourth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302"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Fifty-fourth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Fifty-fourth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0" w:right="239" w:bottom="1440" w:gutter="0" w:footer="0" w:header="0"/>
        </w:sectPr>
      </w:pPr>
    </w:p>
    <w:bookmarkStart w:id="70" w:name="page71"/>
    <w:bookmarkEnd w:id="70"/>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Fifty-fourth Series, an amount equal to the excess, if any, of the Discounted Value of the Remaining Scheduled Payments with respect to the Called Principal of such bond of the Fifty-fourth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Fifty-fourth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Fifty-fourth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Fifty-fourth Series is payable) equal to the Reinvestment Yield with respect to such Called Principal.</w:t>
      </w:r>
    </w:p>
    <w:p>
      <w:pPr>
        <w:spacing w:after="0" w:line="195"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Fifty-fourth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Fifty-fourth Series.</w:t>
      </w:r>
    </w:p>
    <w:p>
      <w:pPr>
        <w:spacing w:after="0" w:line="18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Fifty-fourth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Fifty-fourth Series, then the amount of the next succeeding scheduled interest payment will be reduced by the amount of interest accrued to such Settlement Date and required to be paid on such Settlement Date pursuant to subsection (I) of this section.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0" w:right="239" w:bottom="1440" w:gutter="0" w:footer="0" w:header="0"/>
        </w:sectPr>
      </w:pPr>
    </w:p>
    <w:bookmarkStart w:id="71" w:name="page72"/>
    <w:bookmarkEnd w:id="71"/>
    <w:p>
      <w:pPr>
        <w:ind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Fifty-fourth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0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Fifty-fourth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Fifty-fourth Series shall be transferable (subject to the provisions of Section 12 of the Mortgage) at the office or agency of the Company in the Borough of Manhattan, The City of New York. The Company shall not be required to make transfers or exchanges of bonds of the Fifty-fourth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6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Fifty-fourth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Fifty-fourth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Thirty-seventh Supplemental Indenture and upon compliance with the applicable provisions of the Mortgage and receipt of consideration therefor by the Company, there shall be an initial issue of bonds of the Fifty-fourth Series for the aggregate principal amount of $50,000,000.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Consent to Amendments</w:t>
      </w:r>
      <w:r>
        <w:rPr>
          <w:rFonts w:ascii="Arial" w:cs="Arial" w:eastAsia="Arial" w:hAnsi="Arial"/>
          <w:sz w:val="20"/>
          <w:szCs w:val="20"/>
          <w:color w:val="auto"/>
        </w:rPr>
        <w:t xml:space="preserve"> Each initial and future holder of bonds of the Fifty-second Series, the Fifty-third Series and the Fifty-fourth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SECTION 1. The Company reserves the right, without any vote, consent or other action by the holders of bonds of the Fifty-second Series, the Fifty-third Series, the Fifty-fourth Series or any subsequent series, to amend the Mortgage, as herein or heretofore supplemented as follows:</w:t>
      </w:r>
    </w:p>
    <w:p>
      <w:pPr>
        <w:spacing w:after="0" w:line="186" w:lineRule="exact"/>
        <w:rPr>
          <w:sz w:val="20"/>
          <w:szCs w:val="20"/>
          <w:color w:val="auto"/>
        </w:rPr>
      </w:pPr>
    </w:p>
    <w:p>
      <w:pPr>
        <w:ind w:firstLine="1305"/>
        <w:spacing w:after="0" w:line="260" w:lineRule="auto"/>
        <w:tabs>
          <w:tab w:leader="none" w:pos="1629" w:val="left"/>
        </w:tabs>
        <w:numPr>
          <w:ilvl w:val="0"/>
          <w:numId w:val="32"/>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72" w:name="page73"/>
    <w:bookmarkEnd w:id="72"/>
    <w:p>
      <w:pPr>
        <w:ind w:left="1260"/>
        <w:spacing w:after="0"/>
        <w:rPr>
          <w:sz w:val="20"/>
          <w:szCs w:val="20"/>
          <w:color w:val="auto"/>
        </w:rPr>
      </w:pPr>
      <w:r>
        <w:rPr>
          <w:rFonts w:ascii="Arial" w:cs="Arial" w:eastAsia="Arial" w:hAnsi="Arial"/>
          <w:sz w:val="20"/>
          <w:szCs w:val="20"/>
          <w:color w:val="auto"/>
        </w:rPr>
        <w:t>(B) By adding the following at the end of the first sentence of Section 101:</w:t>
      </w:r>
    </w:p>
    <w:p>
      <w:pPr>
        <w:spacing w:after="0" w:line="200" w:lineRule="exact"/>
        <w:rPr>
          <w:sz w:val="20"/>
          <w:szCs w:val="20"/>
          <w:color w:val="auto"/>
        </w:rPr>
      </w:pPr>
    </w:p>
    <w:p>
      <w:pPr>
        <w:spacing w:after="0" w:line="232"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216"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September 15, 2021, September 15, 2029 and September 15, 2044” after the words “and July 15, 2022 and July 15, 2044.”</w:t>
      </w:r>
    </w:p>
    <w:p>
      <w:pPr>
        <w:spacing w:after="0" w:line="177"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SECTION 2. Subject to the amendments provided for in this Thirty-seventh Supplemental Indenture, the terms defined in the Mortgage, as heretofore supplemented, shall, for all purposes of this Thirty-seventh Supplemental Indenture, have the meanings specified in the Mortgage, as heretofore supplemented.</w:t>
      </w:r>
    </w:p>
    <w:p>
      <w:pPr>
        <w:spacing w:after="0" w:line="186"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9"/>
          <w:szCs w:val="19"/>
          <w:color w:val="auto"/>
        </w:rPr>
        <w:t>SECTION 3. The holders of bonds of the Fifty-second Series, the Fifty-third Series and the Fifty-fourth Series consent that the Company may, but shall not be obligated to, fix a record date for the purpose of determining the holders of bonds of the Fifty-second Series, the Fifty-third Series and the Fifty-fourth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79"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53"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The Trustees shall not be responsible in any manner whatsoever for or in respect of the validity or sufficiency of this Thirty-seventh Supplemental Indenture or for or in respect of the recitals contained herein, all of which recitals are made by the Company solely. In general, each and every term and condition contained in Article XVII of the Mortgage shall apply to and form part of this Thirty-seventh Supplemental Indenture with the same force and effect as if the same were herein set forth in full with such omissions, variations and insertions, if any, as may be appropriate to make the same conform to the provisions of this Thirty-seventh Supplemental Indenture.</w:t>
      </w:r>
    </w:p>
    <w:p>
      <w:pPr>
        <w:spacing w:after="0" w:line="165"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SECTION 5. Whenever in this Thirty-seventh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Thirty-seventh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95"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9"/>
          <w:szCs w:val="19"/>
          <w:color w:val="auto"/>
        </w:rPr>
        <w:t>SECTION 6. Nothing in this Thirty-seventh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Thirty-seventh Supplemental Indenture or any covenant, condition, stipulation, promise or agreement hereof, and all the covenants, conditions, stipulations, promises and agreements in this Thirty-seventh Supplemental Indenture contained by and on behalf of the Company shall be for the sole and exclusive benefit of the parties hereto, and of the holders of the bonds and of the coupons Outstanding under the Mortgage.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6" w:right="239" w:bottom="1440" w:gutter="0" w:footer="0" w:header="0"/>
        </w:sectPr>
      </w:pPr>
    </w:p>
    <w:bookmarkStart w:id="73" w:name="page74"/>
    <w:bookmarkEnd w:id="73"/>
    <w:p>
      <w:pPr>
        <w:ind w:firstLine="608"/>
        <w:spacing w:after="0" w:line="260" w:lineRule="auto"/>
        <w:rPr>
          <w:sz w:val="20"/>
          <w:szCs w:val="20"/>
          <w:color w:val="auto"/>
        </w:rPr>
      </w:pPr>
      <w:r>
        <w:rPr>
          <w:rFonts w:ascii="Arial" w:cs="Arial" w:eastAsia="Arial" w:hAnsi="Arial"/>
          <w:sz w:val="20"/>
          <w:szCs w:val="20"/>
          <w:color w:val="auto"/>
        </w:rPr>
        <w:t>SECTION 7. This Thirty-seventh Supplemental Indenture shall be executed in several counterparts, each of which shall be an original and all of which shall constitute but one and the same instrument.</w:t>
      </w:r>
    </w:p>
    <w:p>
      <w:pPr>
        <w:spacing w:after="0" w:line="177" w:lineRule="exact"/>
        <w:rPr>
          <w:sz w:val="20"/>
          <w:szCs w:val="20"/>
          <w:color w:val="auto"/>
        </w:rPr>
      </w:pPr>
    </w:p>
    <w:p>
      <w:pPr>
        <w:ind w:firstLine="608"/>
        <w:spacing w:after="0" w:line="260"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Thirty-seventh Supplemental Indenture.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6" w:right="239" w:bottom="1440" w:gutter="0" w:footer="0" w:header="0"/>
        </w:sectPr>
      </w:pPr>
    </w:p>
    <w:bookmarkStart w:id="74" w:name="page75"/>
    <w:bookmarkEnd w:id="74"/>
    <w:p>
      <w:pPr>
        <w:jc w:val="both"/>
        <w:ind w:firstLine="648"/>
        <w:spacing w:after="0" w:line="276"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Philip L. Watson has hereunto set his hand and affixed his seal, all in The City of New York,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ALLETE, Inc.</w:t>
      </w:r>
    </w:p>
    <w:p>
      <w:pPr>
        <w:spacing w:after="0" w:line="394" w:lineRule="exact"/>
        <w:rPr>
          <w:sz w:val="20"/>
          <w:szCs w:val="20"/>
          <w:color w:val="auto"/>
        </w:rPr>
      </w:pPr>
    </w:p>
    <w:p>
      <w:pPr>
        <w:ind w:left="386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981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and</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President-Business Support</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Deborah A. Amberg</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Senior Vice President, General Counsel</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sectPr>
      </w:pPr>
    </w:p>
    <w:bookmarkStart w:id="75" w:name="page76"/>
    <w:bookmarkEnd w:id="75"/>
    <w:p>
      <w:pPr>
        <w:ind w:left="45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Trustee</w:t>
      </w:r>
    </w:p>
    <w:p>
      <w:pPr>
        <w:spacing w:after="0" w:line="148"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Pr>
          <w:p>
            <w:pPr>
              <w:ind w:left="40"/>
              <w:spacing w:after="0"/>
              <w:rPr>
                <w:sz w:val="20"/>
                <w:szCs w:val="20"/>
                <w:color w:val="auto"/>
              </w:rPr>
            </w:pPr>
            <w:r>
              <w:rPr>
                <w:rFonts w:ascii="Arial" w:cs="Arial" w:eastAsia="Arial" w:hAnsi="Arial"/>
                <w:sz w:val="18"/>
                <w:szCs w:val="18"/>
                <w:color w:val="auto"/>
              </w:rPr>
              <w:t>/s/ Laurence J. O'Brien</w:t>
            </w:r>
          </w:p>
        </w:tc>
      </w:tr>
      <w:tr>
        <w:trPr>
          <w:trHeight w:val="27"/>
        </w:trPr>
        <w:tc>
          <w:tcPr>
            <w:tcW w:w="6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Laurence J. O'Brien</w:t>
            </w:r>
          </w:p>
        </w:tc>
      </w:tr>
      <w:tr>
        <w:trPr>
          <w:trHeight w:val="270"/>
        </w:trPr>
        <w:tc>
          <w:tcPr>
            <w:tcW w:w="620" w:type="dxa"/>
            <w:vAlign w:val="bottom"/>
          </w:tcPr>
          <w:p>
            <w:pPr>
              <w:spacing w:after="0"/>
              <w:rPr>
                <w:sz w:val="23"/>
                <w:szCs w:val="23"/>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Thomas 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Thomas Hacker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/s/ Philip L. Watson</w:t>
            </w:r>
          </w:p>
        </w:tc>
        <w:tc>
          <w:tcPr>
            <w:tcW w:w="1460" w:type="dxa"/>
            <w:vAlign w:val="bottom"/>
          </w:tcPr>
          <w:p>
            <w:pPr>
              <w:ind w:left="840"/>
              <w:spacing w:after="0"/>
              <w:rPr>
                <w:sz w:val="20"/>
                <w:szCs w:val="20"/>
                <w:color w:val="auto"/>
              </w:rPr>
            </w:pPr>
            <w:r>
              <w:rPr>
                <w:rFonts w:ascii="Arial" w:cs="Arial" w:eastAsia="Arial" w:hAnsi="Arial"/>
                <w:sz w:val="18"/>
                <w:szCs w:val="18"/>
                <w:color w:val="auto"/>
              </w:rPr>
              <w:t>L.S.</w:t>
            </w:r>
          </w:p>
        </w:tc>
      </w:tr>
      <w:tr>
        <w:trPr>
          <w:trHeight w:val="27"/>
        </w:trPr>
        <w:tc>
          <w:tcPr>
            <w:tcW w:w="2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Arial" w:cs="Arial" w:eastAsia="Arial" w:hAnsi="Arial"/>
                <w:sz w:val="18"/>
                <w:szCs w:val="18"/>
                <w:color w:val="auto"/>
              </w:rPr>
              <w:t>Philip L. Watson</w:t>
            </w: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Executed, sealed and delivered by The Bank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 Mellon and Philip L. Watson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Arsala Kidwal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Thirty-seventh Supplemental Indenture dated as of September 1, 2014</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Trustees’ Signature Page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825" w:right="1440"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firstLine="648"/>
        <w:spacing w:after="0" w:line="249" w:lineRule="auto"/>
        <w:rPr>
          <w:sz w:val="20"/>
          <w:szCs w:val="20"/>
          <w:color w:val="auto"/>
        </w:rPr>
      </w:pPr>
      <w:r>
        <w:rPr>
          <w:rFonts w:ascii="Arial" w:cs="Arial" w:eastAsia="Arial" w:hAnsi="Arial"/>
          <w:sz w:val="18"/>
          <w:szCs w:val="18"/>
          <w:color w:val="auto"/>
        </w:rPr>
        <w:t>On this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2014, the foregoing instrument was acknowledged before me by Steven Q. DeVinck, Chief Financial Officer and Senior Vice President-Business Support of ALLETE, Inc., a Minnesota corporation, on behalf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Jan. 31, 2020</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right="220" w:firstLine="648"/>
        <w:spacing w:after="0" w:line="232" w:lineRule="auto"/>
        <w:rPr>
          <w:sz w:val="20"/>
          <w:szCs w:val="20"/>
          <w:color w:val="auto"/>
        </w:rPr>
      </w:pPr>
      <w:r>
        <w:rPr>
          <w:rFonts w:ascii="Arial" w:cs="Arial" w:eastAsia="Arial" w:hAnsi="Arial"/>
          <w:sz w:val="19"/>
          <w:szCs w:val="19"/>
          <w:color w:val="auto"/>
        </w:rPr>
        <w:t>On this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September, 2014, the foregoing instrument was acknowledged before me by Deborah A. Amberg, Senior Vice President, General Counsel and Secretary of ALLETE, Inc., a Minnesota corporation, 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Jan.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825" w:right="6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366" w:right="239" w:bottom="1440" w:gutter="0" w:footer="0" w:header="0"/>
        </w:sectPr>
      </w:pPr>
    </w:p>
    <w:p>
      <w:pPr>
        <w:ind w:left="260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420"/>
          </w:cols>
          <w:pgMar w:left="240" w:top="36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366" w:right="239" w:bottom="1440" w:gutter="0" w:footer="0" w:header="0"/>
          <w:type w:val="continuous"/>
        </w:sectPr>
      </w:pPr>
    </w:p>
    <w:p>
      <w:pPr>
        <w:spacing w:after="0" w:line="9" w:lineRule="exact"/>
        <w:rPr>
          <w:sz w:val="20"/>
          <w:szCs w:val="20"/>
          <w:color w:val="auto"/>
        </w:rPr>
      </w:pPr>
    </w:p>
    <w:p>
      <w:pPr>
        <w:ind w:firstLine="608"/>
        <w:spacing w:after="0" w:line="249" w:lineRule="auto"/>
        <w:rPr>
          <w:sz w:val="20"/>
          <w:szCs w:val="20"/>
          <w:color w:val="auto"/>
        </w:rPr>
      </w:pPr>
      <w:r>
        <w:rPr>
          <w:rFonts w:ascii="Arial" w:cs="Arial" w:eastAsia="Arial" w:hAnsi="Arial"/>
          <w:sz w:val="18"/>
          <w:szCs w:val="18"/>
          <w:color w:val="auto"/>
        </w:rPr>
        <w:t>On this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2014, the foregoing instrument was acknowledged before me by Laurance O'Brien and Thomas Hacker, the Vice President and Vice President, respectively, of The Bank of New York Mellon, the corporation named in the foregoing instrument.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September, 2014.</w:t>
      </w:r>
    </w:p>
    <w:p>
      <w:pPr>
        <w:spacing w:after="0" w:line="3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058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Danny Lee, Notary Public</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State of New York, NO. 01LE6161129</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Qualified in New York County</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Commission Expires February 20, 2015</w:t>
      </w:r>
    </w:p>
    <w:p>
      <w:pPr>
        <w:sectPr>
          <w:pgSz w:w="11900" w:h="16838" w:orient="portrait"/>
          <w:cols w:equalWidth="0" w:num="1">
            <w:col w:w="11420"/>
          </w:cols>
          <w:pgMar w:left="240" w:top="36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366" w:right="239" w:bottom="1440" w:gutter="0" w:footer="0" w:header="0"/>
          <w:type w:val="continuous"/>
        </w:sectPr>
      </w:pPr>
    </w:p>
    <w:p>
      <w:pPr>
        <w:ind w:left="260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420"/>
          </w:cols>
          <w:pgMar w:left="240" w:top="36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366" w:right="239" w:bottom="1440" w:gutter="0" w:footer="0" w:header="0"/>
          <w:type w:val="continuous"/>
        </w:sectPr>
      </w:pPr>
    </w:p>
    <w:p>
      <w:pPr>
        <w:spacing w:after="0" w:line="9" w:lineRule="exact"/>
        <w:rPr>
          <w:sz w:val="20"/>
          <w:szCs w:val="20"/>
          <w:color w:val="auto"/>
        </w:rPr>
      </w:pPr>
    </w:p>
    <w:p>
      <w:pPr>
        <w:ind w:right="20" w:firstLine="608"/>
        <w:spacing w:after="0" w:line="222" w:lineRule="auto"/>
        <w:rPr>
          <w:sz w:val="20"/>
          <w:szCs w:val="20"/>
          <w:color w:val="auto"/>
        </w:rPr>
      </w:pPr>
      <w:r>
        <w:rPr>
          <w:rFonts w:ascii="Arial" w:cs="Arial" w:eastAsia="Arial" w:hAnsi="Arial"/>
          <w:sz w:val="20"/>
          <w:szCs w:val="20"/>
          <w:color w:val="auto"/>
        </w:rPr>
        <w:t>On this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September, 2014, the foregoing instrument was acknowledged before me by Philip L. Watson, the person described in and who executed the foregoing instrument.</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September, 2014.</w:t>
      </w:r>
    </w:p>
    <w:p>
      <w:pPr>
        <w:spacing w:after="0" w:line="3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Danny Lee, Notary Public</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State of New York, NO. 01LE6161129</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Qualified in New York County</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Commission Expires February 20, 2015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6" w:right="2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November 3, 2014</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November 3, 2014</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2014,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2014</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2014</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81" w:name="page82"/>
    <w:bookmarkEnd w:id="81"/>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$434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the quarter ended September 30, 2014, BNI Coal, owner of Center Mine, received no significant and substantial (S&amp;S) citations under Section 104(a) of the Mine Safety Act. It received $434 in penalties related to non-S&amp;S violations that occurred in the second quarter of 2014, but had not been assessed prior to filing ALLETE's second quarter 10-Q. In 2013, BNI Coal had a S&amp;S citation under Section 104(a) of the Mine and Safety Act for which the Mine Safety and Health Administration proposed a penalty of $52,500; a hearing case has been filed in relation to this penalty. For the quarter ended September 30, 2014,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82" w:name="page83"/>
    <w:bookmarkEnd w:id="82"/>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380"/>
          </w:cols>
          <w:pgMar w:left="240" w:top="845" w:right="27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November 3, 2014</w:t>
      </w:r>
    </w:p>
    <w:p>
      <w:pPr>
        <w:spacing w:after="0" w:line="96" w:lineRule="exact"/>
        <w:rPr>
          <w:sz w:val="20"/>
          <w:szCs w:val="20"/>
          <w:color w:val="auto"/>
        </w:rPr>
      </w:pPr>
    </w:p>
    <w:p>
      <w:pPr>
        <w:sectPr>
          <w:pgSz w:w="11900" w:h="16838" w:orient="portrait"/>
          <w:cols w:equalWidth="0" w:num="2">
            <w:col w:w="7940" w:space="720"/>
            <w:col w:w="2720"/>
          </w:cols>
          <w:pgMar w:left="240" w:top="845" w:right="27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-76835</wp:posOffset>
            </wp:positionV>
            <wp:extent cx="134620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620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00" w:space="660"/>
            <w:col w:w="2720"/>
          </w:cols>
          <w:pgMar w:left="240" w:top="845" w:right="27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380"/>
          </w:cols>
          <w:pgMar w:left="240" w:top="845" w:right="279" w:bottom="1440" w:gutter="0" w:footer="0" w:header="0"/>
          <w:type w:val="continuous"/>
        </w:sect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ALLETE, Inc. reports third quarter earnings of 97 cents per share</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Company projects year-end earnings to be in the upper end of its guidance range</w:t>
      </w:r>
    </w:p>
    <w:p>
      <w:pPr>
        <w:spacing w:after="0" w:line="3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DULUTH, Minn. - ALLETE, Inc. (NYSE:ALE) today reported third quarter 2014 earnings of 97 cents per share on net income of $41.6 million and revenue of $288.9 million, compared to earnings of 63 cents, net income of $25.2 million and revenue of $251 million in the third quarter a year ago.</w:t>
      </w:r>
    </w:p>
    <w:p>
      <w:pPr>
        <w:spacing w:after="0" w:line="14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Compared with a year ago, earnings increased due to cost recovery revenue related to a major wind energy expansion and an environmental retrofit to Minnesota Power’s largest electric generating unit, and also because of a change in the quarterly timing of a conservation improvement incentive. An $8.7 million state Conservation Improvement Program (CIP) financial incentive recorded in the third quarter increased from $7.1 million in 2013, when the incentive was booked in the fourth quarter.</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“These strong financial results are a direct result of our capital investments in renewable energy, environmental improvements and conservation,” said ALLETE Chairman, President and Chief Executive Officer Alan R. Hodnik. “Our Bison Wind Energy expansion in North Dakota and the Boswell Energy Center retrofit now underway make up a significant share of an annual capital expenditure budget that’s the largest in our company’s history.”</w:t>
      </w:r>
    </w:p>
    <w:p>
      <w:pPr>
        <w:spacing w:after="0" w:line="14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Quarterly revenue for the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rose by $29.4 million due to higher cost recovery revenue, the CIP incentive, and higher electricity sales. Electric sales increased almost five percent in the quarter compared to last year, with sales to industrial customers increasing by about one percent. Sales to other power suppliers increased over 37 percent compared to last year, reflecting Minnesota Power selling a portion of its output from the Square Butte plant to Minnkota Power. Partially offsetting the higher revenue were higher operating expenses. Net income for the segment increased $16.6 million from the same period in 2013.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Investments and Other</w:t>
      </w:r>
      <w:r>
        <w:rPr>
          <w:rFonts w:ascii="Arial" w:cs="Arial" w:eastAsia="Arial" w:hAnsi="Arial"/>
          <w:sz w:val="16"/>
          <w:szCs w:val="16"/>
          <w:color w:val="auto"/>
        </w:rPr>
        <w:t xml:space="preserve"> segment includes solid financial performance from ALLETE Clean Energy, which acquired three wind farms earlier this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2013 included gains on sales of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Quarterly earnings were diluted by seven cents per share due to the increased issuance of common shares needed to fund major capital improvements.</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Hodnik said the company now expects its year-end 2014 earnings to be in the upper end of its stated guidance range of $2.75 to $2.95. He noted that the earnings guidance excludes 3 cents per share of costs recorded in the first quarter related to the ALLETE Clean Energy acquisition, and a second quarter non-recurring 6 cents per share charge associated with an EPA settlement.</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ALLETE will host a conference call and webcast at 10 a.m. Eastern Time this morning to discuss details of its quarterly financial performance. Interested parties may listen live by calling (877) 303-5852, or by accessing the webcast at www.allete.com. A replay of the call will be available through November 5, 2014 by calling</w:t>
      </w:r>
    </w:p>
    <w:p>
      <w:pPr>
        <w:spacing w:after="0"/>
        <w:rPr>
          <w:sz w:val="20"/>
          <w:szCs w:val="20"/>
          <w:color w:val="auto"/>
        </w:rPr>
      </w:pPr>
      <w:r>
        <w:rPr>
          <w:rFonts w:ascii="Arial" w:cs="Arial" w:eastAsia="Arial" w:hAnsi="Arial"/>
          <w:sz w:val="18"/>
          <w:szCs w:val="18"/>
          <w:color w:val="auto"/>
        </w:rPr>
        <w:t>(855) 859-2056, pass code 16959429.</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BNI Coal in Center, N.D., ALLETE Clean Energy, based in Duluth, and has an eight percent equity interest in the American Transmission Co.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ectPr>
          <w:pgSz w:w="11900" w:h="16838" w:orient="portrait"/>
          <w:cols w:equalWidth="0" w:num="1">
            <w:col w:w="11380"/>
          </w:cols>
          <w:pgMar w:left="240" w:top="845" w:right="279" w:bottom="1440" w:gutter="0" w:footer="0" w:header="0"/>
          <w:type w:val="continuous"/>
        </w:sectPr>
      </w:pPr>
    </w:p>
    <w:bookmarkStart w:id="83" w:name="page84"/>
    <w:bookmarkEnd w:id="83"/>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665" w:right="2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96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26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40" w:type="dxa"/>
            <w:vAlign w:val="bottom"/>
          </w:tcPr>
          <w:p>
            <w:pPr>
              <w:spacing w:after="0"/>
              <w:rPr>
                <w:sz w:val="23"/>
                <w:szCs w:val="23"/>
                <w:color w:val="auto"/>
              </w:rPr>
            </w:pPr>
          </w:p>
        </w:tc>
        <w:tc>
          <w:tcPr>
            <w:tcW w:w="296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264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40" w:type="dxa"/>
            <w:vAlign w:val="bottom"/>
          </w:tcPr>
          <w:p>
            <w:pPr>
              <w:spacing w:after="0"/>
              <w:rPr>
                <w:sz w:val="23"/>
                <w:szCs w:val="23"/>
                <w:color w:val="auto"/>
              </w:rPr>
            </w:pPr>
          </w:p>
        </w:tc>
        <w:tc>
          <w:tcPr>
            <w:tcW w:w="16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$288.9</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$251.0</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$846.1</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$750.4</w:t>
            </w:r>
          </w:p>
        </w:tc>
      </w:tr>
      <w:tr>
        <w:trPr>
          <w:trHeight w:val="237"/>
        </w:trPr>
        <w:tc>
          <w:tcPr>
            <w:tcW w:w="5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88.9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80.5</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268.7</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245.7</w:t>
            </w:r>
          </w:p>
        </w:tc>
      </w:tr>
      <w:tr>
        <w:trPr>
          <w:trHeight w:val="27"/>
        </w:trPr>
        <w:tc>
          <w:tcPr>
            <w:tcW w:w="5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105.7</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102.7</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340.6</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311.2</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33.5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29.4</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99.5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86.3</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228.1</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212.6</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708.8</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643.2</w:t>
            </w:r>
          </w:p>
        </w:tc>
      </w:tr>
      <w:tr>
        <w:trPr>
          <w:trHeight w:val="243"/>
        </w:trPr>
        <w:tc>
          <w:tcPr>
            <w:tcW w:w="5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60.8</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38.4</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137.3</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107.2</w:t>
            </w:r>
          </w:p>
        </w:tc>
      </w:tr>
      <w:tr>
        <w:trPr>
          <w:trHeight w:val="237"/>
        </w:trPr>
        <w:tc>
          <w:tcPr>
            <w:tcW w:w="5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(13.2)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(12.7)</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(39.5)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(37.8)</w:t>
            </w:r>
          </w:p>
        </w:tc>
      </w:tr>
      <w:tr>
        <w:trPr>
          <w:trHeight w:val="27"/>
        </w:trPr>
        <w:tc>
          <w:tcPr>
            <w:tcW w:w="5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5.3</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4.9</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15.6</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15.1</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7.5</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(4.5)</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(17.9)</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(15.2)</w:t>
            </w:r>
          </w:p>
        </w:tc>
      </w:tr>
      <w:tr>
        <w:trPr>
          <w:trHeight w:val="237"/>
        </w:trPr>
        <w:tc>
          <w:tcPr>
            <w:tcW w:w="5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55.0</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33.9</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119.4</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92.0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13.4</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8.7</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27.1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20.3</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41.6</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25.2</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92.3</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71.7</w:t>
            </w:r>
          </w:p>
        </w:tc>
      </w:tr>
      <w:tr>
        <w:trPr>
          <w:trHeight w:val="237"/>
        </w:trPr>
        <w:tc>
          <w:tcPr>
            <w:tcW w:w="5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1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0.4</w:t>
            </w: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$41.6</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$25.2</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$91.9</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$71.7</w:t>
            </w:r>
          </w:p>
        </w:tc>
      </w:tr>
      <w:tr>
        <w:trPr>
          <w:trHeight w:val="237"/>
        </w:trPr>
        <w:tc>
          <w:tcPr>
            <w:tcW w:w="5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16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Basic</w:t>
            </w:r>
          </w:p>
        </w:tc>
        <w:tc>
          <w:tcPr>
            <w:tcW w:w="1660" w:type="dxa"/>
            <w:vAlign w:val="bottom"/>
          </w:tcPr>
          <w:p>
            <w:pPr>
              <w:jc w:val="right"/>
              <w:ind w:right="350"/>
              <w:spacing w:after="0"/>
              <w:rPr>
                <w:sz w:val="20"/>
                <w:szCs w:val="20"/>
                <w:color w:val="auto"/>
              </w:rPr>
            </w:pPr>
            <w:r>
              <w:rPr>
                <w:rFonts w:ascii="Arial" w:cs="Arial" w:eastAsia="Arial" w:hAnsi="Arial"/>
                <w:sz w:val="18"/>
                <w:szCs w:val="18"/>
                <w:color w:val="auto"/>
              </w:rPr>
              <w:t>42.9</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39.8</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42.1</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39.4</w:t>
            </w:r>
          </w:p>
        </w:tc>
      </w:tr>
      <w:tr>
        <w:trPr>
          <w:trHeight w:val="27"/>
        </w:trPr>
        <w:tc>
          <w:tcPr>
            <w:tcW w:w="5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42.9</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39.9</w:t>
            </w:r>
          </w:p>
        </w:tc>
        <w:tc>
          <w:tcPr>
            <w:tcW w:w="1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42.3</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39.5</w:t>
            </w:r>
          </w:p>
        </w:tc>
      </w:tr>
      <w:tr>
        <w:trPr>
          <w:trHeight w:val="237"/>
        </w:trPr>
        <w:tc>
          <w:tcPr>
            <w:tcW w:w="5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1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$0.97</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$0.63</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$2.18</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$0.97</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$0.63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$2.17</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$1.81</w:t>
            </w:r>
          </w:p>
        </w:tc>
      </w:tr>
      <w:tr>
        <w:trPr>
          <w:trHeight w:val="27"/>
        </w:trPr>
        <w:tc>
          <w:tcPr>
            <w:tcW w:w="5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$0.49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$0.475</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$1.47</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$1.425</w:t>
            </w:r>
          </w:p>
        </w:tc>
      </w:tr>
      <w:tr>
        <w:trPr>
          <w:trHeight w:val="27"/>
        </w:trPr>
        <w:tc>
          <w:tcPr>
            <w:tcW w:w="5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$286.8</w:t>
            </w:r>
          </w:p>
        </w:tc>
        <w:tc>
          <w:tcPr>
            <w:tcW w:w="84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3,121.5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2,576.5</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509.7</w:t>
            </w:r>
          </w:p>
        </w:tc>
        <w:tc>
          <w:tcPr>
            <w:tcW w:w="84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97"/>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116.8</w:t>
            </w: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189"/>
        </w:trPr>
        <w:tc>
          <w:tcPr>
            <w:tcW w:w="3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Pr>
          <w:p>
            <w:pPr>
              <w:ind w:left="260"/>
              <w:spacing w:after="0" w:line="189" w:lineRule="exact"/>
              <w:rPr>
                <w:sz w:val="20"/>
                <w:szCs w:val="20"/>
                <w:color w:val="auto"/>
              </w:rPr>
            </w:pPr>
            <w:r>
              <w:rPr>
                <w:rFonts w:ascii="Arial" w:cs="Arial" w:eastAsia="Arial" w:hAnsi="Arial"/>
                <w:sz w:val="18"/>
                <w:szCs w:val="18"/>
                <w:color w:val="auto"/>
              </w:rPr>
              <w:t>Postretirement Benefit Plans</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1,530.7</w:t>
            </w:r>
          </w:p>
        </w:tc>
        <w:tc>
          <w:tcPr>
            <w:tcW w:w="840" w:type="dxa"/>
            <w:vAlign w:val="bottom"/>
          </w:tcPr>
          <w:p>
            <w:pPr>
              <w:jc w:val="right"/>
              <w:spacing w:after="0"/>
              <w:rPr>
                <w:sz w:val="20"/>
                <w:szCs w:val="20"/>
                <w:color w:val="auto"/>
              </w:rPr>
            </w:pPr>
            <w:r>
              <w:rPr>
                <w:rFonts w:ascii="Arial" w:cs="Arial" w:eastAsia="Arial" w:hAnsi="Arial"/>
                <w:sz w:val="18"/>
                <w:szCs w:val="18"/>
                <w:color w:val="auto"/>
              </w:rPr>
              <w:t>1,342.9</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$3,476.8</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r>
      <w:tr>
        <w:trPr>
          <w:trHeight w:val="20"/>
        </w:trPr>
        <w:tc>
          <w:tcPr>
            <w:tcW w:w="30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80"/>
          </w:cols>
          <w:pgMar w:left="260" w:top="364" w:right="25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360" w:type="dxa"/>
            <w:vAlign w:val="bottom"/>
          </w:tcPr>
          <w:p>
            <w:pPr>
              <w:spacing w:after="0"/>
              <w:rPr>
                <w:sz w:val="20"/>
                <w:szCs w:val="20"/>
                <w:color w:val="auto"/>
              </w:rPr>
            </w:pPr>
          </w:p>
        </w:tc>
        <w:tc>
          <w:tcPr>
            <w:tcW w:w="314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3"/>
                <w:szCs w:val="23"/>
                <w:color w:val="auto"/>
              </w:rPr>
            </w:pP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70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890"/>
              <w:spacing w:after="0"/>
              <w:rPr>
                <w:sz w:val="20"/>
                <w:szCs w:val="20"/>
                <w:color w:val="auto"/>
              </w:rPr>
            </w:pPr>
            <w:r>
              <w:rPr>
                <w:rFonts w:ascii="Arial" w:cs="Arial" w:eastAsia="Arial" w:hAnsi="Arial"/>
                <w:sz w:val="18"/>
                <w:szCs w:val="18"/>
                <w:b w:val="1"/>
                <w:bCs w:val="1"/>
                <w:color w:val="auto"/>
                <w:w w:val="89"/>
              </w:rPr>
              <w:t>2013</w:t>
            </w:r>
          </w:p>
        </w:tc>
        <w:tc>
          <w:tcPr>
            <w:tcW w:w="2000" w:type="dxa"/>
            <w:vAlign w:val="bottom"/>
          </w:tcPr>
          <w:p>
            <w:pPr>
              <w:jc w:val="right"/>
              <w:ind w:right="125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7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$41.2</w:t>
            </w:r>
          </w:p>
        </w:tc>
        <w:tc>
          <w:tcPr>
            <w:tcW w:w="13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$24.6</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$92.6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$73.0</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2700" w:type="dxa"/>
            <w:vAlign w:val="bottom"/>
          </w:tcPr>
          <w:p>
            <w:pPr>
              <w:jc w:val="right"/>
              <w:ind w:right="750"/>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0.6</w:t>
            </w:r>
          </w:p>
        </w:tc>
        <w:tc>
          <w:tcPr>
            <w:tcW w:w="2000" w:type="dxa"/>
            <w:vAlign w:val="bottom"/>
          </w:tcPr>
          <w:p>
            <w:pPr>
              <w:jc w:val="right"/>
              <w:ind w:right="810"/>
              <w:spacing w:after="0"/>
              <w:rPr>
                <w:sz w:val="20"/>
                <w:szCs w:val="20"/>
                <w:color w:val="auto"/>
              </w:rPr>
            </w:pPr>
            <w:r>
              <w:rPr>
                <w:rFonts w:ascii="Arial" w:cs="Arial" w:eastAsia="Arial" w:hAnsi="Arial"/>
                <w:sz w:val="18"/>
                <w:szCs w:val="18"/>
                <w:color w:val="auto"/>
              </w:rPr>
              <w:t>(0.7)</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(1.3)</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7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$41.6</w:t>
            </w:r>
          </w:p>
        </w:tc>
        <w:tc>
          <w:tcPr>
            <w:tcW w:w="13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$25.2</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$91.9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$71.7</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7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$0.97</w:t>
            </w:r>
          </w:p>
        </w:tc>
        <w:tc>
          <w:tcPr>
            <w:tcW w:w="13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$0.63</w:t>
            </w:r>
          </w:p>
        </w:tc>
        <w:tc>
          <w:tcPr>
            <w:tcW w:w="2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$2.17</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$1.81</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88"/>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600"/>
              <w:spacing w:after="0"/>
              <w:rPr>
                <w:sz w:val="20"/>
                <w:szCs w:val="20"/>
                <w:color w:val="auto"/>
              </w:rPr>
            </w:pPr>
            <w:r>
              <w:rPr>
                <w:rFonts w:ascii="Arial" w:cs="Arial" w:eastAsia="Arial" w:hAnsi="Arial"/>
                <w:sz w:val="18"/>
                <w:szCs w:val="18"/>
                <w:color w:val="auto"/>
              </w:rPr>
              <w:t>High</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$51.56</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$54.14</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$52.73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$54.14</w:t>
            </w: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$44.39</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$45.78</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$44.39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$41.39</w:t>
            </w:r>
          </w:p>
        </w:tc>
      </w:tr>
      <w:tr>
        <w:trPr>
          <w:trHeight w:val="243"/>
        </w:trPr>
        <w:tc>
          <w:tcPr>
            <w:tcW w:w="4220" w:type="dxa"/>
            <w:vAlign w:val="bottom"/>
          </w:tcPr>
          <w:p>
            <w:pPr>
              <w:ind w:left="600"/>
              <w:spacing w:after="0"/>
              <w:rPr>
                <w:sz w:val="20"/>
                <w:szCs w:val="20"/>
                <w:color w:val="auto"/>
              </w:rPr>
            </w:pPr>
            <w:r>
              <w:rPr>
                <w:rFonts w:ascii="Arial" w:cs="Arial" w:eastAsia="Arial" w:hAnsi="Arial"/>
                <w:sz w:val="18"/>
                <w:szCs w:val="18"/>
                <w:color w:val="auto"/>
              </w:rPr>
              <w:t>Close</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$44.39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$48.30</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$44.39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$48.30</w:t>
            </w: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$34.37</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$31.60</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$34.37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$31.60</w:t>
            </w:r>
          </w:p>
        </w:tc>
      </w:tr>
      <w:tr>
        <w:trPr>
          <w:trHeight w:val="594"/>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244</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259</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891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864</w:t>
            </w:r>
          </w:p>
        </w:tc>
      </w:tr>
      <w:tr>
        <w:trPr>
          <w:trHeight w:val="243"/>
        </w:trPr>
        <w:tc>
          <w:tcPr>
            <w:tcW w:w="42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369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379</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1,097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1,091</w:t>
            </w: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203</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242</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643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741</w:t>
            </w:r>
          </w:p>
        </w:tc>
      </w:tr>
      <w:tr>
        <w:trPr>
          <w:trHeight w:val="243"/>
        </w:trPr>
        <w:tc>
          <w:tcPr>
            <w:tcW w:w="422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1,911</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1,894</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5,515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5,508</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2,727</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2,774</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8,146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8,204</w:t>
            </w:r>
          </w:p>
        </w:tc>
      </w:tr>
      <w:tr>
        <w:trPr>
          <w:trHeight w:val="243"/>
        </w:trPr>
        <w:tc>
          <w:tcPr>
            <w:tcW w:w="42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751</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547</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2,082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1,748</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3,478</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3,321</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10,228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9,952</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28</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92</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90</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3,506</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3,347</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10,320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10,042</w:t>
            </w:r>
          </w:p>
        </w:tc>
      </w:tr>
      <w:tr>
        <w:trPr>
          <w:trHeight w:val="588"/>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$26.4</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$26.1</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$92.4</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$86.0</w:t>
            </w:r>
          </w:p>
        </w:tc>
      </w:tr>
      <w:tr>
        <w:trPr>
          <w:trHeight w:val="243"/>
        </w:trPr>
        <w:tc>
          <w:tcPr>
            <w:tcW w:w="42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34.9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33.4</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100.8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95.9</w:t>
            </w: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14.6</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17.7</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45.6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w:t>
            </w:r>
          </w:p>
        </w:tc>
      </w:tr>
      <w:tr>
        <w:trPr>
          <w:trHeight w:val="243"/>
        </w:trPr>
        <w:tc>
          <w:tcPr>
            <w:tcW w:w="422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117.8</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107.8</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337.7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317.9</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193.7</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185.0</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576.5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549.8</w:t>
            </w:r>
          </w:p>
        </w:tc>
      </w:tr>
      <w:tr>
        <w:trPr>
          <w:trHeight w:val="243"/>
        </w:trPr>
        <w:tc>
          <w:tcPr>
            <w:tcW w:w="42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700" w:type="dxa"/>
            <w:vAlign w:val="bottom"/>
          </w:tcPr>
          <w:p>
            <w:pPr>
              <w:jc w:val="right"/>
              <w:ind w:right="470"/>
              <w:spacing w:after="0"/>
              <w:rPr>
                <w:sz w:val="20"/>
                <w:szCs w:val="20"/>
                <w:color w:val="auto"/>
              </w:rPr>
            </w:pPr>
            <w:r>
              <w:rPr>
                <w:rFonts w:ascii="Arial" w:cs="Arial" w:eastAsia="Arial" w:hAnsi="Arial"/>
                <w:sz w:val="18"/>
                <w:szCs w:val="18"/>
                <w:color w:val="auto"/>
              </w:rPr>
              <w:t>31.2</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21.1</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84.9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65.8</w:t>
            </w:r>
          </w:p>
        </w:tc>
      </w:tr>
      <w:tr>
        <w:trPr>
          <w:trHeight w:val="27"/>
        </w:trPr>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30.9</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20.3</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88.2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68.0</w:t>
            </w:r>
          </w:p>
        </w:tc>
      </w:tr>
      <w:tr>
        <w:trPr>
          <w:trHeight w:val="237"/>
        </w:trPr>
        <w:tc>
          <w:tcPr>
            <w:tcW w:w="4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7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$255.8</w:t>
            </w: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$226.4</w:t>
            </w:r>
          </w:p>
        </w:tc>
        <w:tc>
          <w:tcPr>
            <w:tcW w:w="20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$749.6</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$683.6</w:t>
            </w:r>
          </w:p>
        </w:tc>
      </w:tr>
      <w:tr>
        <w:trPr>
          <w:trHeight w:val="27"/>
        </w:trPr>
        <w:tc>
          <w:tcPr>
            <w:tcW w:w="4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4"/>
      <w:numFmt w:val="bullet"/>
      <w:start w:val="1"/>
    </w:lvl>
  </w:abstractNum>
  <w:abstractNum w:abstractNumId="17">
    <w:nsid w:val="189A769B"/>
    <w:multiLevelType w:val="hybridMultilevel"/>
    <w:lvl w:ilvl="0">
      <w:lvlJc w:val="left"/>
      <w:lvlText w:val="%1"/>
      <w:numFmt w:val="decimal"/>
      <w:start w:val="32"/>
    </w:lvl>
  </w:abstractNum>
  <w:abstractNum w:abstractNumId="18">
    <w:nsid w:val="54E49EB4"/>
    <w:multiLevelType w:val="hybridMultilevel"/>
    <w:lvl w:ilvl="0">
      <w:lvlJc w:val="left"/>
      <w:lvlText w:val="%1"/>
      <w:numFmt w:val="decimal"/>
      <w:start w:val="99"/>
    </w:lvl>
  </w:abstractNum>
  <w:abstractNum w:abstractNumId="19">
    <w:nsid w:val="71F32454"/>
    <w:multiLevelType w:val="hybridMultilevel"/>
    <w:lvl w:ilvl="0">
      <w:lvlJc w:val="left"/>
      <w:lvlText w:val="(%1)"/>
      <w:numFmt w:val="upperLetter"/>
      <w:start w:val="9"/>
    </w:lvl>
  </w:abstractNum>
  <w:abstractNum w:abstractNumId="20">
    <w:nsid w:val="2CA88611"/>
    <w:multiLevelType w:val="hybridMultilevel"/>
    <w:lvl w:ilvl="0">
      <w:lvlJc w:val="left"/>
      <w:lvlText w:val="(%1)"/>
      <w:numFmt w:val="upperLetter"/>
      <w:start w:val="35"/>
    </w:lvl>
  </w:abstractNum>
  <w:abstractNum w:abstractNumId="21">
    <w:nsid w:val="836C40E"/>
    <w:multiLevelType w:val="hybridMultilevel"/>
    <w:lvl w:ilvl="0">
      <w:lvlJc w:val="left"/>
      <w:lvlText w:val="(%1)"/>
      <w:numFmt w:val="upperLetter"/>
      <w:start w:val="61"/>
    </w:lvl>
  </w:abstractNum>
  <w:abstractNum w:abstractNumId="22">
    <w:nsid w:val="2901D82"/>
    <w:multiLevelType w:val="hybridMultilevel"/>
    <w:lvl w:ilvl="0">
      <w:lvlJc w:val="left"/>
      <w:lvlText w:val="(%1)"/>
      <w:numFmt w:val="upperLetter"/>
      <w:start w:val="22"/>
    </w:lvl>
  </w:abstractNum>
  <w:abstractNum w:abstractNumId="23">
    <w:nsid w:val="3A95F874"/>
    <w:multiLevelType w:val="hybridMultilevel"/>
    <w:lvl w:ilvl="0">
      <w:lvlJc w:val="left"/>
      <w:lvlText w:val="(%1)"/>
      <w:numFmt w:val="upperLetter"/>
      <w:start w:val="9"/>
    </w:lvl>
  </w:abstractNum>
  <w:abstractNum w:abstractNumId="24">
    <w:nsid w:val="8138641"/>
    <w:multiLevelType w:val="hybridMultilevel"/>
    <w:lvl w:ilvl="0">
      <w:lvlJc w:val="left"/>
      <w:lvlText w:val="(%1)"/>
      <w:numFmt w:val="upperLetter"/>
      <w:start w:val="35"/>
    </w:lvl>
  </w:abstractNum>
  <w:abstractNum w:abstractNumId="25">
    <w:nsid w:val="1E7FF521"/>
    <w:multiLevelType w:val="hybridMultilevel"/>
    <w:lvl w:ilvl="0">
      <w:lvlJc w:val="left"/>
      <w:lvlText w:val="(%1)"/>
      <w:numFmt w:val="upperLetter"/>
      <w:start w:val="61"/>
    </w:lvl>
  </w:abstractNum>
  <w:abstractNum w:abstractNumId="26">
    <w:nsid w:val="7C3DBD3D"/>
    <w:multiLevelType w:val="hybridMultilevel"/>
    <w:lvl w:ilvl="0">
      <w:lvlJc w:val="left"/>
      <w:lvlText w:val="(%1)"/>
      <w:numFmt w:val="upperLetter"/>
      <w:start w:val="22"/>
    </w:lvl>
  </w:abstractNum>
  <w:abstractNum w:abstractNumId="27">
    <w:nsid w:val="737B8DDC"/>
    <w:multiLevelType w:val="hybridMultilevel"/>
    <w:lvl w:ilvl="0">
      <w:lvlJc w:val="left"/>
      <w:lvlText w:val="(%1)"/>
      <w:numFmt w:val="upperLetter"/>
      <w:start w:val="9"/>
    </w:lvl>
  </w:abstractNum>
  <w:abstractNum w:abstractNumId="28">
    <w:nsid w:val="6CEAF087"/>
    <w:multiLevelType w:val="hybridMultilevel"/>
    <w:lvl w:ilvl="0">
      <w:lvlJc w:val="left"/>
      <w:lvlText w:val="(%1)"/>
      <w:numFmt w:val="upperLetter"/>
      <w:start w:val="35"/>
    </w:lvl>
  </w:abstractNum>
  <w:abstractNum w:abstractNumId="29">
    <w:nsid w:val="22221A70"/>
    <w:multiLevelType w:val="hybridMultilevel"/>
    <w:lvl w:ilvl="0">
      <w:lvlJc w:val="left"/>
      <w:lvlText w:val="(%1)"/>
      <w:numFmt w:val="upperLetter"/>
      <w:start w:val="61"/>
    </w:lvl>
  </w:abstractNum>
  <w:abstractNum w:abstractNumId="30">
    <w:nsid w:val="4516DDE9"/>
    <w:multiLevelType w:val="hybridMultilevel"/>
    <w:lvl w:ilvl="0">
      <w:lvlJc w:val="left"/>
      <w:lvlText w:val="(%1)"/>
      <w:numFmt w:val="upperLetter"/>
      <w:start w:val="22"/>
    </w:lvl>
  </w:abstractNum>
  <w:abstractNum w:abstractNumId="31">
    <w:nsid w:val="3006C83E"/>
    <w:multiLevelType w:val="hybridMultilevel"/>
    <w:lvl w:ilvl="0">
      <w:lvlJc w:val="left"/>
      <w:lvlText w:val="(%1)"/>
      <w:numFmt w:val="upp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2019-12-05T12:32:55Z</dcterms:created>
  <dcterms:modified xsi:type="dcterms:W3CDTF">2019-12-05T12:32:55Z</dcterms:modified>
</cp:coreProperties>
</file>