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32" w:lineRule="exact"/>
        <w:rPr>
          <w:sz w:val="24"/>
          <w:szCs w:val="24"/>
          <w:color w:val="auto"/>
        </w:rPr>
      </w:pPr>
    </w:p>
    <w:p>
      <w:pPr>
        <w:ind w:left="900" w:right="4700" w:hanging="598"/>
        <w:spacing w:after="0" w:line="504"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Annual Report Pursuant to Section 13 or 15(d) of the Securities Exchange Act of 1934 For the fiscal year ended </w:t>
      </w:r>
      <w:r>
        <w:rPr>
          <w:rFonts w:ascii="Arial" w:cs="Arial" w:eastAsia="Arial" w:hAnsi="Arial"/>
          <w:sz w:val="17"/>
          <w:szCs w:val="17"/>
          <w:b w:val="1"/>
          <w:bCs w:val="1"/>
          <w:color w:val="auto"/>
        </w:rPr>
        <w:t>December 31, 2010</w:t>
      </w:r>
    </w:p>
    <w:p>
      <w:pPr>
        <w:spacing w:after="0" w:line="34" w:lineRule="exact"/>
        <w:rPr>
          <w:sz w:val="24"/>
          <w:szCs w:val="24"/>
          <w:color w:val="auto"/>
        </w:rPr>
      </w:pPr>
    </w:p>
    <w:p>
      <w:pPr>
        <w:ind w:left="900" w:right="4520" w:hanging="598"/>
        <w:spacing w:after="0" w:line="554" w:lineRule="auto"/>
        <w:tabs>
          <w:tab w:leader="none" w:pos="9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No. </w:t>
      </w:r>
      <w:r>
        <w:rPr>
          <w:rFonts w:ascii="Arial" w:cs="Arial" w:eastAsia="Arial" w:hAnsi="Arial"/>
          <w:sz w:val="17"/>
          <w:szCs w:val="17"/>
          <w:b w:val="1"/>
          <w:bCs w:val="1"/>
          <w:color w:val="auto"/>
        </w:rPr>
        <w:t>1-3548</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ALLETE, Inc.</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454" w:right="239" w:bottom="0" w:gutter="0" w:footer="0" w:header="0"/>
        </w:sectPr>
      </w:pPr>
    </w:p>
    <w:p>
      <w:pPr>
        <w:spacing w:after="0" w:line="25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Minnesota</w:t>
      </w:r>
    </w:p>
    <w:p>
      <w:pPr>
        <w:spacing w:after="0" w:line="22" w:lineRule="exact"/>
        <w:rPr>
          <w:sz w:val="24"/>
          <w:szCs w:val="24"/>
          <w:color w:val="auto"/>
        </w:rPr>
      </w:pPr>
    </w:p>
    <w:p>
      <w:pPr>
        <w:jc w:val="center"/>
        <w:ind w:right="11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jc w:val="center"/>
        <w:ind w:right="1560"/>
        <w:spacing w:after="0"/>
        <w:rPr>
          <w:sz w:val="20"/>
          <w:szCs w:val="20"/>
          <w:color w:val="auto"/>
        </w:rPr>
      </w:pPr>
      <w:r>
        <w:rPr>
          <w:rFonts w:ascii="Arial" w:cs="Arial" w:eastAsia="Arial" w:hAnsi="Arial"/>
          <w:sz w:val="17"/>
          <w:szCs w:val="17"/>
          <w:b w:val="1"/>
          <w:bCs w:val="1"/>
          <w:color w:val="auto"/>
        </w:rPr>
        <w:t>41-0418150</w:t>
      </w:r>
    </w:p>
    <w:p>
      <w:pPr>
        <w:spacing w:after="0" w:line="22" w:lineRule="exact"/>
        <w:rPr>
          <w:sz w:val="24"/>
          <w:szCs w:val="24"/>
          <w:color w:val="auto"/>
        </w:rPr>
      </w:pPr>
    </w:p>
    <w:p>
      <w:pPr>
        <w:jc w:val="center"/>
        <w:ind w:right="156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700" w:space="720"/>
            <w:col w:w="4000"/>
          </w:cols>
          <w:pgMar w:left="240" w:top="454" w:right="239" w:bottom="0" w:gutter="0" w:footer="0" w:header="0"/>
          <w:type w:val="continuous"/>
        </w:sect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(218) 279-5000</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454" w:right="239" w:bottom="0" w:gutter="0" w:footer="0" w:header="0"/>
          <w:type w:val="continuous"/>
        </w:sectPr>
      </w:pPr>
    </w:p>
    <w:p>
      <w:pPr>
        <w:spacing w:after="0" w:line="270"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Title of Each Class</w:t>
      </w:r>
    </w:p>
    <w:p>
      <w:pPr>
        <w:spacing w:after="0" w:line="18" w:lineRule="exact"/>
        <w:rPr>
          <w:sz w:val="24"/>
          <w:szCs w:val="24"/>
          <w:color w:val="auto"/>
        </w:rPr>
      </w:pPr>
    </w:p>
    <w:p>
      <w:pPr>
        <w:jc w:val="center"/>
        <w:ind w:right="520"/>
        <w:spacing w:after="0"/>
        <w:rPr>
          <w:sz w:val="20"/>
          <w:szCs w:val="20"/>
          <w:color w:val="auto"/>
        </w:rPr>
      </w:pPr>
      <w:r>
        <w:rPr>
          <w:rFonts w:ascii="Arial" w:cs="Arial" w:eastAsia="Arial" w:hAnsi="Arial"/>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Name of Each Stock Exchange on Which Registered</w:t>
      </w:r>
    </w:p>
    <w:p>
      <w:pPr>
        <w:spacing w:after="0" w:line="41"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6180" w:space="720"/>
            <w:col w:w="4520"/>
          </w:cols>
          <w:pgMar w:left="240" w:top="454" w:right="239" w:bottom="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0" w:lineRule="exact"/>
        <w:rPr>
          <w:sz w:val="24"/>
          <w:szCs w:val="24"/>
          <w:color w:val="auto"/>
        </w:rPr>
      </w:pPr>
    </w:p>
    <w:p>
      <w:pPr>
        <w:spacing w:after="0" w:line="196" w:lineRule="exact"/>
        <w:tabs>
          <w:tab w:leader="none" w:pos="128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0" w:lineRule="exact"/>
        <w:rPr>
          <w:sz w:val="24"/>
          <w:szCs w:val="24"/>
          <w:color w:val="auto"/>
        </w:rPr>
      </w:pPr>
    </w:p>
    <w:p>
      <w:pPr>
        <w:spacing w:after="0" w:line="196" w:lineRule="exact"/>
        <w:tabs>
          <w:tab w:leader="none" w:pos="134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 x</w:t>
      </w:r>
    </w:p>
    <w:p>
      <w:pPr>
        <w:spacing w:after="0" w:line="264" w:lineRule="exact"/>
        <w:rPr>
          <w:sz w:val="24"/>
          <w:szCs w:val="24"/>
          <w:color w:val="auto"/>
        </w:rPr>
      </w:pPr>
    </w:p>
    <w:p>
      <w:pPr>
        <w:jc w:val="both"/>
        <w:spacing w:after="0" w:line="257"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0" w:lineRule="exact"/>
        <w:rPr>
          <w:sz w:val="24"/>
          <w:szCs w:val="24"/>
          <w:color w:val="auto"/>
        </w:rPr>
      </w:pPr>
    </w:p>
    <w:p>
      <w:pPr>
        <w:spacing w:after="0" w:line="196" w:lineRule="exact"/>
        <w:tabs>
          <w:tab w:leader="none" w:pos="128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64" w:lineRule="exact"/>
        <w:rPr>
          <w:sz w:val="24"/>
          <w:szCs w:val="24"/>
          <w:color w:val="auto"/>
        </w:rPr>
      </w:pPr>
    </w:p>
    <w:p>
      <w:pPr>
        <w:jc w:val="both"/>
        <w:spacing w:after="0" w:line="257"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0" w:lineRule="exact"/>
        <w:rPr>
          <w:sz w:val="24"/>
          <w:szCs w:val="24"/>
          <w:color w:val="auto"/>
        </w:rPr>
      </w:pPr>
    </w:p>
    <w:p>
      <w:pPr>
        <w:spacing w:after="0" w:line="196" w:lineRule="exact"/>
        <w:tabs>
          <w:tab w:leader="none" w:pos="128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64" w:lineRule="exact"/>
        <w:rPr>
          <w:sz w:val="24"/>
          <w:szCs w:val="24"/>
          <w:color w:val="auto"/>
        </w:rPr>
      </w:pPr>
    </w:p>
    <w:p>
      <w:pPr>
        <w:jc w:val="both"/>
        <w:spacing w:after="0" w:line="300"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9"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(as defined in Rule 12b-2 of the Act).</w:t>
      </w:r>
    </w:p>
    <w:p>
      <w:pPr>
        <w:spacing w:after="0" w:line="1" w:lineRule="exact"/>
        <w:rPr>
          <w:sz w:val="24"/>
          <w:szCs w:val="24"/>
          <w:color w:val="auto"/>
        </w:rPr>
      </w:pPr>
    </w:p>
    <w:p>
      <w:pPr>
        <w:spacing w:after="0" w:line="196" w:lineRule="exact"/>
        <w:tabs>
          <w:tab w:leader="none" w:pos="2900" w:val="left"/>
          <w:tab w:leader="none" w:pos="5260" w:val="left"/>
          <w:tab w:leader="none" w:pos="8040" w:val="left"/>
        </w:tabs>
        <w:rPr>
          <w:sz w:val="20"/>
          <w:szCs w:val="20"/>
          <w:color w:val="auto"/>
        </w:rPr>
      </w:pPr>
      <w:r>
        <w:rPr>
          <w:rFonts w:ascii="Arial" w:cs="Arial" w:eastAsia="Arial" w:hAnsi="Arial"/>
          <w:sz w:val="17"/>
          <w:szCs w:val="17"/>
          <w:color w:val="auto"/>
        </w:rPr>
        <w:t>Large Accelerated Filer x</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00" w:lineRule="exact"/>
        <w:rPr>
          <w:sz w:val="24"/>
          <w:szCs w:val="24"/>
          <w:color w:val="auto"/>
        </w:rPr>
      </w:pPr>
    </w:p>
    <w:p>
      <w:pPr>
        <w:spacing w:after="0" w:line="196" w:lineRule="exact"/>
        <w:tabs>
          <w:tab w:leader="none" w:pos="134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 x</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The aggregate market value of voting stock held by nonaffiliates on June 30, 2010, was $1,214,198,439.</w:t>
      </w:r>
    </w:p>
    <w:p>
      <w:pPr>
        <w:sectPr>
          <w:pgSz w:w="11900" w:h="16838" w:orient="portrait"/>
          <w:cols w:equalWidth="0" w:num="1">
            <w:col w:w="11420"/>
          </w:cols>
          <w:pgMar w:left="240" w:top="45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As of February 1, 2011, there were 35,820,559 shares of ALLETE Common Stock, without par value, outstanding.</w:t>
      </w: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Portions of the Proxy Statement for the 2011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534670</wp:posOffset>
            </wp:positionV>
            <wp:extent cx="72605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35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7"/>
                <w:szCs w:val="17"/>
                <w:b w:val="1"/>
                <w:bCs w:val="1"/>
                <w:color w:val="auto"/>
              </w:rPr>
              <w:t>Index</w:t>
            </w:r>
          </w:p>
        </w:tc>
        <w:tc>
          <w:tcPr>
            <w:tcW w:w="8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7"/>
        </w:trPr>
        <w:tc>
          <w:tcPr>
            <w:tcW w:w="92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Definitions</w:t>
            </w:r>
          </w:p>
        </w:tc>
        <w:tc>
          <w:tcPr>
            <w:tcW w:w="8520" w:type="dxa"/>
            <w:vAlign w:val="bottom"/>
            <w:shd w:val="clear" w:color="auto" w:fill="CCEEFF"/>
          </w:tcPr>
          <w:p>
            <w:pPr>
              <w:spacing w:after="0"/>
              <w:rPr>
                <w:sz w:val="17"/>
                <w:szCs w:val="17"/>
                <w:color w:val="auto"/>
              </w:rPr>
            </w:pP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3</w:t>
            </w:r>
          </w:p>
        </w:tc>
      </w:tr>
      <w:tr>
        <w:trPr>
          <w:trHeight w:val="201"/>
        </w:trPr>
        <w:tc>
          <w:tcPr>
            <w:tcW w:w="944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r>
      <w:tr>
        <w:trPr>
          <w:trHeight w:val="201"/>
        </w:trPr>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Safe Harbor Statement Under the Private Securities Litigation Reform Act of 1995</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5</w:t>
            </w:r>
          </w:p>
        </w:tc>
      </w:tr>
      <w:tr>
        <w:trPr>
          <w:trHeight w:val="201"/>
        </w:trPr>
        <w:tc>
          <w:tcPr>
            <w:tcW w:w="9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w:t>
            </w:r>
          </w:p>
        </w:tc>
        <w:tc>
          <w:tcPr>
            <w:tcW w:w="85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8520" w:type="dxa"/>
            <w:vAlign w:val="bottom"/>
          </w:tcPr>
          <w:p>
            <w:pPr>
              <w:ind w:left="140"/>
              <w:spacing w:after="0"/>
              <w:rPr>
                <w:sz w:val="20"/>
                <w:szCs w:val="20"/>
                <w:color w:val="auto"/>
              </w:rPr>
            </w:pPr>
            <w:r>
              <w:rPr>
                <w:rFonts w:ascii="Arial" w:cs="Arial" w:eastAsia="Arial" w:hAnsi="Arial"/>
                <w:sz w:val="17"/>
                <w:szCs w:val="17"/>
                <w:color w:val="auto"/>
              </w:rPr>
              <w:t>Business</w:t>
            </w:r>
          </w:p>
        </w:tc>
        <w:tc>
          <w:tcPr>
            <w:tcW w:w="1980" w:type="dxa"/>
            <w:vAlign w:val="bottom"/>
          </w:tcPr>
          <w:p>
            <w:pPr>
              <w:ind w:left="1580"/>
              <w:spacing w:after="0"/>
              <w:rPr>
                <w:sz w:val="20"/>
                <w:szCs w:val="20"/>
                <w:color w:val="auto"/>
              </w:rPr>
            </w:pPr>
            <w:r>
              <w:rPr>
                <w:rFonts w:ascii="Arial" w:cs="Arial" w:eastAsia="Arial" w:hAnsi="Arial"/>
                <w:sz w:val="17"/>
                <w:szCs w:val="17"/>
                <w:color w:val="auto"/>
              </w:rPr>
              <w:t>6</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Regulated Operations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6</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Electric Sales / Customers</w:t>
            </w:r>
          </w:p>
        </w:tc>
        <w:tc>
          <w:tcPr>
            <w:tcW w:w="1980" w:type="dxa"/>
            <w:vAlign w:val="bottom"/>
          </w:tcPr>
          <w:p>
            <w:pPr>
              <w:ind w:left="1580"/>
              <w:spacing w:after="0"/>
              <w:rPr>
                <w:sz w:val="20"/>
                <w:szCs w:val="20"/>
                <w:color w:val="auto"/>
              </w:rPr>
            </w:pPr>
            <w:r>
              <w:rPr>
                <w:rFonts w:ascii="Arial" w:cs="Arial" w:eastAsia="Arial" w:hAnsi="Arial"/>
                <w:sz w:val="17"/>
                <w:szCs w:val="17"/>
                <w:color w:val="auto"/>
              </w:rPr>
              <w:t>6</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Power Supply</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9</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Transmission and Distribution</w:t>
            </w:r>
          </w:p>
        </w:tc>
        <w:tc>
          <w:tcPr>
            <w:tcW w:w="1980" w:type="dxa"/>
            <w:vAlign w:val="bottom"/>
          </w:tcPr>
          <w:p>
            <w:pPr>
              <w:ind w:left="1580"/>
              <w:spacing w:after="0"/>
              <w:rPr>
                <w:sz w:val="20"/>
                <w:szCs w:val="20"/>
                <w:color w:val="auto"/>
              </w:rPr>
            </w:pPr>
            <w:r>
              <w:rPr>
                <w:rFonts w:ascii="Arial" w:cs="Arial" w:eastAsia="Arial" w:hAnsi="Arial"/>
                <w:sz w:val="17"/>
                <w:szCs w:val="17"/>
                <w:color w:val="auto"/>
              </w:rPr>
              <w:t>11</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Investment in ATC</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11</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Properties</w:t>
            </w:r>
          </w:p>
        </w:tc>
        <w:tc>
          <w:tcPr>
            <w:tcW w:w="1980" w:type="dxa"/>
            <w:vAlign w:val="bottom"/>
          </w:tcPr>
          <w:p>
            <w:pPr>
              <w:ind w:left="1580"/>
              <w:spacing w:after="0"/>
              <w:rPr>
                <w:sz w:val="20"/>
                <w:szCs w:val="20"/>
                <w:color w:val="auto"/>
              </w:rPr>
            </w:pPr>
            <w:r>
              <w:rPr>
                <w:rFonts w:ascii="Arial" w:cs="Arial" w:eastAsia="Arial" w:hAnsi="Arial"/>
                <w:sz w:val="17"/>
                <w:szCs w:val="17"/>
                <w:color w:val="auto"/>
              </w:rPr>
              <w:t>11</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Regulatory Matters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12</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Regional Organizations</w:t>
            </w:r>
          </w:p>
        </w:tc>
        <w:tc>
          <w:tcPr>
            <w:tcW w:w="1980" w:type="dxa"/>
            <w:vAlign w:val="bottom"/>
          </w:tcPr>
          <w:p>
            <w:pPr>
              <w:ind w:left="1580"/>
              <w:spacing w:after="0"/>
              <w:rPr>
                <w:sz w:val="20"/>
                <w:szCs w:val="20"/>
                <w:color w:val="auto"/>
              </w:rPr>
            </w:pPr>
            <w:r>
              <w:rPr>
                <w:rFonts w:ascii="Arial" w:cs="Arial" w:eastAsia="Arial" w:hAnsi="Arial"/>
                <w:sz w:val="17"/>
                <w:szCs w:val="17"/>
                <w:color w:val="auto"/>
              </w:rPr>
              <w:t>14</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Minnesota Legislation</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14</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Competition</w:t>
            </w:r>
          </w:p>
        </w:tc>
        <w:tc>
          <w:tcPr>
            <w:tcW w:w="1980" w:type="dxa"/>
            <w:vAlign w:val="bottom"/>
          </w:tcPr>
          <w:p>
            <w:pPr>
              <w:ind w:left="1580"/>
              <w:spacing w:after="0"/>
              <w:rPr>
                <w:sz w:val="20"/>
                <w:szCs w:val="20"/>
                <w:color w:val="auto"/>
              </w:rPr>
            </w:pPr>
            <w:r>
              <w:rPr>
                <w:rFonts w:ascii="Arial" w:cs="Arial" w:eastAsia="Arial" w:hAnsi="Arial"/>
                <w:sz w:val="17"/>
                <w:szCs w:val="17"/>
                <w:color w:val="auto"/>
              </w:rPr>
              <w:t>14</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Franchises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15</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Investments and Other</w:t>
            </w:r>
          </w:p>
        </w:tc>
        <w:tc>
          <w:tcPr>
            <w:tcW w:w="1980" w:type="dxa"/>
            <w:vAlign w:val="bottom"/>
          </w:tcPr>
          <w:p>
            <w:pPr>
              <w:ind w:left="1580"/>
              <w:spacing w:after="0"/>
              <w:rPr>
                <w:sz w:val="20"/>
                <w:szCs w:val="20"/>
                <w:color w:val="auto"/>
              </w:rPr>
            </w:pPr>
            <w:r>
              <w:rPr>
                <w:rFonts w:ascii="Arial" w:cs="Arial" w:eastAsia="Arial" w:hAnsi="Arial"/>
                <w:sz w:val="17"/>
                <w:szCs w:val="17"/>
                <w:color w:val="auto"/>
              </w:rPr>
              <w:t>15</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BNI Coal</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15</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ALLETE Properties</w:t>
            </w:r>
          </w:p>
        </w:tc>
        <w:tc>
          <w:tcPr>
            <w:tcW w:w="1980" w:type="dxa"/>
            <w:vAlign w:val="bottom"/>
          </w:tcPr>
          <w:p>
            <w:pPr>
              <w:ind w:left="1580"/>
              <w:spacing w:after="0"/>
              <w:rPr>
                <w:sz w:val="20"/>
                <w:szCs w:val="20"/>
                <w:color w:val="auto"/>
              </w:rPr>
            </w:pPr>
            <w:r>
              <w:rPr>
                <w:rFonts w:ascii="Arial" w:cs="Arial" w:eastAsia="Arial" w:hAnsi="Arial"/>
                <w:sz w:val="17"/>
                <w:szCs w:val="17"/>
                <w:color w:val="auto"/>
              </w:rPr>
              <w:t>15</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Non-Rate Base Generation</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16</w:t>
            </w:r>
          </w:p>
        </w:tc>
      </w:tr>
      <w:tr>
        <w:trPr>
          <w:trHeight w:val="201"/>
        </w:trPr>
        <w:tc>
          <w:tcPr>
            <w:tcW w:w="920" w:type="dxa"/>
            <w:vAlign w:val="bottom"/>
          </w:tcPr>
          <w:p>
            <w:pPr>
              <w:spacing w:after="0"/>
              <w:rPr>
                <w:sz w:val="17"/>
                <w:szCs w:val="17"/>
                <w:color w:val="auto"/>
              </w:rPr>
            </w:pPr>
          </w:p>
        </w:tc>
        <w:tc>
          <w:tcPr>
            <w:tcW w:w="8520" w:type="dxa"/>
            <w:vAlign w:val="bottom"/>
          </w:tcPr>
          <w:p>
            <w:pPr>
              <w:ind w:left="800"/>
              <w:spacing w:after="0"/>
              <w:rPr>
                <w:sz w:val="20"/>
                <w:szCs w:val="20"/>
                <w:color w:val="auto"/>
              </w:rPr>
            </w:pPr>
            <w:r>
              <w:rPr>
                <w:rFonts w:ascii="Arial" w:cs="Arial" w:eastAsia="Arial" w:hAnsi="Arial"/>
                <w:sz w:val="17"/>
                <w:szCs w:val="17"/>
                <w:color w:val="auto"/>
              </w:rPr>
              <w:t>Other</w:t>
            </w:r>
          </w:p>
        </w:tc>
        <w:tc>
          <w:tcPr>
            <w:tcW w:w="1980" w:type="dxa"/>
            <w:vAlign w:val="bottom"/>
          </w:tcPr>
          <w:p>
            <w:pPr>
              <w:ind w:left="1580"/>
              <w:spacing w:after="0"/>
              <w:rPr>
                <w:sz w:val="20"/>
                <w:szCs w:val="20"/>
                <w:color w:val="auto"/>
              </w:rPr>
            </w:pPr>
            <w:r>
              <w:rPr>
                <w:rFonts w:ascii="Arial" w:cs="Arial" w:eastAsia="Arial" w:hAnsi="Arial"/>
                <w:sz w:val="17"/>
                <w:szCs w:val="17"/>
                <w:color w:val="auto"/>
              </w:rPr>
              <w:t>16</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Environmental Matters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16</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Employees</w:t>
            </w:r>
          </w:p>
        </w:tc>
        <w:tc>
          <w:tcPr>
            <w:tcW w:w="1980" w:type="dxa"/>
            <w:vAlign w:val="bottom"/>
          </w:tcPr>
          <w:p>
            <w:pPr>
              <w:ind w:left="1580"/>
              <w:spacing w:after="0"/>
              <w:rPr>
                <w:sz w:val="20"/>
                <w:szCs w:val="20"/>
                <w:color w:val="auto"/>
              </w:rPr>
            </w:pPr>
            <w:r>
              <w:rPr>
                <w:rFonts w:ascii="Arial" w:cs="Arial" w:eastAsia="Arial" w:hAnsi="Arial"/>
                <w:sz w:val="17"/>
                <w:szCs w:val="17"/>
                <w:color w:val="auto"/>
              </w:rPr>
              <w:t>20</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Availability of Information</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20</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Executive Officers of the Registrant</w:t>
            </w:r>
          </w:p>
        </w:tc>
        <w:tc>
          <w:tcPr>
            <w:tcW w:w="1980" w:type="dxa"/>
            <w:vAlign w:val="bottom"/>
          </w:tcPr>
          <w:p>
            <w:pPr>
              <w:ind w:left="1580"/>
              <w:spacing w:after="0"/>
              <w:rPr>
                <w:sz w:val="20"/>
                <w:szCs w:val="20"/>
                <w:color w:val="auto"/>
              </w:rPr>
            </w:pPr>
            <w:r>
              <w:rPr>
                <w:rFonts w:ascii="Arial" w:cs="Arial" w:eastAsia="Arial" w:hAnsi="Arial"/>
                <w:sz w:val="17"/>
                <w:szCs w:val="17"/>
                <w:color w:val="auto"/>
              </w:rPr>
              <w:t>21</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1A.</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Risk Factors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22</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1B.</w:t>
            </w:r>
          </w:p>
        </w:tc>
        <w:tc>
          <w:tcPr>
            <w:tcW w:w="8520" w:type="dxa"/>
            <w:vAlign w:val="bottom"/>
          </w:tcPr>
          <w:p>
            <w:pPr>
              <w:ind w:left="140"/>
              <w:spacing w:after="0"/>
              <w:rPr>
                <w:sz w:val="20"/>
                <w:szCs w:val="20"/>
                <w:color w:val="auto"/>
              </w:rPr>
            </w:pPr>
            <w:r>
              <w:rPr>
                <w:rFonts w:ascii="Arial" w:cs="Arial" w:eastAsia="Arial" w:hAnsi="Arial"/>
                <w:sz w:val="17"/>
                <w:szCs w:val="17"/>
                <w:color w:val="auto"/>
              </w:rPr>
              <w:t>Unresolved Staff Comments</w:t>
            </w:r>
          </w:p>
        </w:tc>
        <w:tc>
          <w:tcPr>
            <w:tcW w:w="1980" w:type="dxa"/>
            <w:vAlign w:val="bottom"/>
          </w:tcPr>
          <w:p>
            <w:pPr>
              <w:ind w:left="1580"/>
              <w:spacing w:after="0"/>
              <w:rPr>
                <w:sz w:val="20"/>
                <w:szCs w:val="20"/>
                <w:color w:val="auto"/>
              </w:rPr>
            </w:pPr>
            <w:r>
              <w:rPr>
                <w:rFonts w:ascii="Arial" w:cs="Arial" w:eastAsia="Arial" w:hAnsi="Arial"/>
                <w:sz w:val="17"/>
                <w:szCs w:val="17"/>
                <w:color w:val="auto"/>
              </w:rPr>
              <w:t>25</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Properties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25</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3.</w:t>
            </w:r>
          </w:p>
        </w:tc>
        <w:tc>
          <w:tcPr>
            <w:tcW w:w="8520" w:type="dxa"/>
            <w:vAlign w:val="bottom"/>
          </w:tcPr>
          <w:p>
            <w:pPr>
              <w:ind w:left="140"/>
              <w:spacing w:after="0"/>
              <w:rPr>
                <w:sz w:val="20"/>
                <w:szCs w:val="20"/>
                <w:color w:val="auto"/>
              </w:rPr>
            </w:pPr>
            <w:r>
              <w:rPr>
                <w:rFonts w:ascii="Arial" w:cs="Arial" w:eastAsia="Arial" w:hAnsi="Arial"/>
                <w:sz w:val="17"/>
                <w:szCs w:val="17"/>
                <w:color w:val="auto"/>
              </w:rPr>
              <w:t>Legal Proceedings</w:t>
            </w:r>
          </w:p>
        </w:tc>
        <w:tc>
          <w:tcPr>
            <w:tcW w:w="1980" w:type="dxa"/>
            <w:vAlign w:val="bottom"/>
          </w:tcPr>
          <w:p>
            <w:pPr>
              <w:ind w:left="1580"/>
              <w:spacing w:after="0"/>
              <w:rPr>
                <w:sz w:val="20"/>
                <w:szCs w:val="20"/>
                <w:color w:val="auto"/>
              </w:rPr>
            </w:pPr>
            <w:r>
              <w:rPr>
                <w:rFonts w:ascii="Arial" w:cs="Arial" w:eastAsia="Arial" w:hAnsi="Arial"/>
                <w:sz w:val="17"/>
                <w:szCs w:val="17"/>
                <w:color w:val="auto"/>
              </w:rPr>
              <w:t>25</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Removed and Reserved</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25</w:t>
            </w:r>
          </w:p>
        </w:tc>
      </w:tr>
      <w:tr>
        <w:trPr>
          <w:trHeight w:val="201"/>
        </w:trPr>
        <w:tc>
          <w:tcPr>
            <w:tcW w:w="9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Item 5.</w:t>
            </w:r>
          </w:p>
        </w:tc>
        <w:tc>
          <w:tcPr>
            <w:tcW w:w="852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Market for Registrant’s Common Equity, Related Stockholder Matters and</w:t>
            </w:r>
          </w:p>
        </w:tc>
        <w:tc>
          <w:tcPr>
            <w:tcW w:w="1980" w:type="dxa"/>
            <w:vAlign w:val="bottom"/>
            <w:shd w:val="clear" w:color="auto" w:fill="CCEEFF"/>
          </w:tcPr>
          <w:p>
            <w:pPr>
              <w:spacing w:after="0"/>
              <w:rPr>
                <w:sz w:val="16"/>
                <w:szCs w:val="16"/>
                <w:color w:val="auto"/>
              </w:rPr>
            </w:pPr>
          </w:p>
        </w:tc>
      </w:tr>
      <w:tr>
        <w:trPr>
          <w:trHeight w:val="214"/>
        </w:trPr>
        <w:tc>
          <w:tcPr>
            <w:tcW w:w="920" w:type="dxa"/>
            <w:vAlign w:val="bottom"/>
            <w:shd w:val="clear" w:color="auto" w:fill="CCEEFF"/>
          </w:tcPr>
          <w:p>
            <w:pPr>
              <w:spacing w:after="0"/>
              <w:rPr>
                <w:sz w:val="18"/>
                <w:szCs w:val="18"/>
                <w:color w:val="auto"/>
              </w:rPr>
            </w:pPr>
          </w:p>
        </w:tc>
        <w:tc>
          <w:tcPr>
            <w:tcW w:w="8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Issuer Purchases of Equity Securities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26</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6.</w:t>
            </w:r>
          </w:p>
        </w:tc>
        <w:tc>
          <w:tcPr>
            <w:tcW w:w="8520" w:type="dxa"/>
            <w:vAlign w:val="bottom"/>
          </w:tcPr>
          <w:p>
            <w:pPr>
              <w:ind w:left="140"/>
              <w:spacing w:after="0"/>
              <w:rPr>
                <w:sz w:val="20"/>
                <w:szCs w:val="20"/>
                <w:color w:val="auto"/>
              </w:rPr>
            </w:pPr>
            <w:r>
              <w:rPr>
                <w:rFonts w:ascii="Arial" w:cs="Arial" w:eastAsia="Arial" w:hAnsi="Arial"/>
                <w:sz w:val="17"/>
                <w:szCs w:val="17"/>
                <w:color w:val="auto"/>
              </w:rPr>
              <w:t>Selected Financial Data</w:t>
            </w:r>
          </w:p>
        </w:tc>
        <w:tc>
          <w:tcPr>
            <w:tcW w:w="1980" w:type="dxa"/>
            <w:vAlign w:val="bottom"/>
          </w:tcPr>
          <w:p>
            <w:pPr>
              <w:ind w:left="1580"/>
              <w:spacing w:after="0"/>
              <w:rPr>
                <w:sz w:val="20"/>
                <w:szCs w:val="20"/>
                <w:color w:val="auto"/>
              </w:rPr>
            </w:pPr>
            <w:r>
              <w:rPr>
                <w:rFonts w:ascii="Arial" w:cs="Arial" w:eastAsia="Arial" w:hAnsi="Arial"/>
                <w:sz w:val="17"/>
                <w:szCs w:val="17"/>
                <w:color w:val="auto"/>
              </w:rPr>
              <w:t>27</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7.</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28</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Overview</w:t>
            </w:r>
          </w:p>
        </w:tc>
        <w:tc>
          <w:tcPr>
            <w:tcW w:w="1980" w:type="dxa"/>
            <w:vAlign w:val="bottom"/>
          </w:tcPr>
          <w:p>
            <w:pPr>
              <w:ind w:left="1580"/>
              <w:spacing w:after="0"/>
              <w:rPr>
                <w:sz w:val="20"/>
                <w:szCs w:val="20"/>
                <w:color w:val="auto"/>
              </w:rPr>
            </w:pPr>
            <w:r>
              <w:rPr>
                <w:rFonts w:ascii="Arial" w:cs="Arial" w:eastAsia="Arial" w:hAnsi="Arial"/>
                <w:sz w:val="17"/>
                <w:szCs w:val="17"/>
                <w:color w:val="auto"/>
              </w:rPr>
              <w:t>28</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2010 Compared to 2009</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29</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2009 Compared to 2008</w:t>
            </w:r>
          </w:p>
        </w:tc>
        <w:tc>
          <w:tcPr>
            <w:tcW w:w="1980" w:type="dxa"/>
            <w:vAlign w:val="bottom"/>
          </w:tcPr>
          <w:p>
            <w:pPr>
              <w:ind w:left="1580"/>
              <w:spacing w:after="0"/>
              <w:rPr>
                <w:sz w:val="20"/>
                <w:szCs w:val="20"/>
                <w:color w:val="auto"/>
              </w:rPr>
            </w:pPr>
            <w:r>
              <w:rPr>
                <w:rFonts w:ascii="Arial" w:cs="Arial" w:eastAsia="Arial" w:hAnsi="Arial"/>
                <w:sz w:val="17"/>
                <w:szCs w:val="17"/>
                <w:color w:val="auto"/>
              </w:rPr>
              <w:t>31</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Critical Accounting Estimates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33</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Outlook</w:t>
            </w:r>
          </w:p>
        </w:tc>
        <w:tc>
          <w:tcPr>
            <w:tcW w:w="1980" w:type="dxa"/>
            <w:vAlign w:val="bottom"/>
          </w:tcPr>
          <w:p>
            <w:pPr>
              <w:ind w:left="1580"/>
              <w:spacing w:after="0"/>
              <w:rPr>
                <w:sz w:val="20"/>
                <w:szCs w:val="20"/>
                <w:color w:val="auto"/>
              </w:rPr>
            </w:pPr>
            <w:r>
              <w:rPr>
                <w:rFonts w:ascii="Arial" w:cs="Arial" w:eastAsia="Arial" w:hAnsi="Arial"/>
                <w:sz w:val="17"/>
                <w:szCs w:val="17"/>
                <w:color w:val="auto"/>
              </w:rPr>
              <w:t>34</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Liquidity and Capital Resources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39</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Capital Requirements</w:t>
            </w:r>
          </w:p>
        </w:tc>
        <w:tc>
          <w:tcPr>
            <w:tcW w:w="1980" w:type="dxa"/>
            <w:vAlign w:val="bottom"/>
          </w:tcPr>
          <w:p>
            <w:pPr>
              <w:ind w:left="1580"/>
              <w:spacing w:after="0"/>
              <w:rPr>
                <w:sz w:val="20"/>
                <w:szCs w:val="20"/>
                <w:color w:val="auto"/>
              </w:rPr>
            </w:pPr>
            <w:r>
              <w:rPr>
                <w:rFonts w:ascii="Arial" w:cs="Arial" w:eastAsia="Arial" w:hAnsi="Arial"/>
                <w:sz w:val="17"/>
                <w:szCs w:val="17"/>
                <w:color w:val="auto"/>
              </w:rPr>
              <w:t>42</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Environmental and Other Matters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42</w:t>
            </w:r>
          </w:p>
        </w:tc>
      </w:tr>
      <w:tr>
        <w:trPr>
          <w:trHeight w:val="201"/>
        </w:trPr>
        <w:tc>
          <w:tcPr>
            <w:tcW w:w="920" w:type="dxa"/>
            <w:vAlign w:val="bottom"/>
          </w:tcPr>
          <w:p>
            <w:pPr>
              <w:spacing w:after="0"/>
              <w:rPr>
                <w:sz w:val="17"/>
                <w:szCs w:val="17"/>
                <w:color w:val="auto"/>
              </w:rPr>
            </w:pPr>
          </w:p>
        </w:tc>
        <w:tc>
          <w:tcPr>
            <w:tcW w:w="8520" w:type="dxa"/>
            <w:vAlign w:val="bottom"/>
          </w:tcPr>
          <w:p>
            <w:pPr>
              <w:ind w:left="140"/>
              <w:spacing w:after="0"/>
              <w:rPr>
                <w:sz w:val="20"/>
                <w:szCs w:val="20"/>
                <w:color w:val="auto"/>
              </w:rPr>
            </w:pPr>
            <w:r>
              <w:rPr>
                <w:rFonts w:ascii="Arial" w:cs="Arial" w:eastAsia="Arial" w:hAnsi="Arial"/>
                <w:sz w:val="17"/>
                <w:szCs w:val="17"/>
                <w:color w:val="auto"/>
              </w:rPr>
              <w:t>Market Risk</w:t>
            </w:r>
          </w:p>
        </w:tc>
        <w:tc>
          <w:tcPr>
            <w:tcW w:w="1980" w:type="dxa"/>
            <w:vAlign w:val="bottom"/>
          </w:tcPr>
          <w:p>
            <w:pPr>
              <w:ind w:left="1580"/>
              <w:spacing w:after="0"/>
              <w:rPr>
                <w:sz w:val="20"/>
                <w:szCs w:val="20"/>
                <w:color w:val="auto"/>
              </w:rPr>
            </w:pPr>
            <w:r>
              <w:rPr>
                <w:rFonts w:ascii="Arial" w:cs="Arial" w:eastAsia="Arial" w:hAnsi="Arial"/>
                <w:sz w:val="17"/>
                <w:szCs w:val="17"/>
                <w:color w:val="auto"/>
              </w:rPr>
              <w:t>42</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Recently Adopted Accounting Standards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43</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7A.</w:t>
            </w:r>
          </w:p>
        </w:tc>
        <w:tc>
          <w:tcPr>
            <w:tcW w:w="8520" w:type="dxa"/>
            <w:vAlign w:val="bottom"/>
          </w:tcPr>
          <w:p>
            <w:pPr>
              <w:ind w:left="140"/>
              <w:spacing w:after="0"/>
              <w:rPr>
                <w:sz w:val="20"/>
                <w:szCs w:val="20"/>
                <w:color w:val="auto"/>
              </w:rPr>
            </w:pPr>
            <w:r>
              <w:rPr>
                <w:rFonts w:ascii="Arial" w:cs="Arial" w:eastAsia="Arial" w:hAnsi="Arial"/>
                <w:sz w:val="17"/>
                <w:szCs w:val="17"/>
                <w:color w:val="auto"/>
              </w:rPr>
              <w:t>Quantitative and Qualitative Disclosures about Market Risk</w:t>
            </w:r>
          </w:p>
        </w:tc>
        <w:tc>
          <w:tcPr>
            <w:tcW w:w="1980" w:type="dxa"/>
            <w:vAlign w:val="bottom"/>
          </w:tcPr>
          <w:p>
            <w:pPr>
              <w:ind w:left="1580"/>
              <w:spacing w:after="0"/>
              <w:rPr>
                <w:sz w:val="20"/>
                <w:szCs w:val="20"/>
                <w:color w:val="auto"/>
              </w:rPr>
            </w:pPr>
            <w:r>
              <w:rPr>
                <w:rFonts w:ascii="Arial" w:cs="Arial" w:eastAsia="Arial" w:hAnsi="Arial"/>
                <w:sz w:val="17"/>
                <w:szCs w:val="17"/>
                <w:color w:val="auto"/>
              </w:rPr>
              <w:t>43</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8.</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Financial Statements and Supplementary Data</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43</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9.</w:t>
            </w:r>
          </w:p>
        </w:tc>
        <w:tc>
          <w:tcPr>
            <w:tcW w:w="8520" w:type="dxa"/>
            <w:vAlign w:val="bottom"/>
          </w:tcPr>
          <w:p>
            <w:pPr>
              <w:ind w:left="14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980" w:type="dxa"/>
            <w:vAlign w:val="bottom"/>
          </w:tcPr>
          <w:p>
            <w:pPr>
              <w:ind w:left="1580"/>
              <w:spacing w:after="0"/>
              <w:rPr>
                <w:sz w:val="20"/>
                <w:szCs w:val="20"/>
                <w:color w:val="auto"/>
              </w:rPr>
            </w:pPr>
            <w:r>
              <w:rPr>
                <w:rFonts w:ascii="Arial" w:cs="Arial" w:eastAsia="Arial" w:hAnsi="Arial"/>
                <w:sz w:val="17"/>
                <w:szCs w:val="17"/>
                <w:color w:val="auto"/>
              </w:rPr>
              <w:t>43</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9A.</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Controls and Procedures</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44</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9B.</w:t>
            </w:r>
          </w:p>
        </w:tc>
        <w:tc>
          <w:tcPr>
            <w:tcW w:w="8520" w:type="dxa"/>
            <w:vAlign w:val="bottom"/>
          </w:tcPr>
          <w:p>
            <w:pPr>
              <w:ind w:left="140"/>
              <w:spacing w:after="0"/>
              <w:rPr>
                <w:sz w:val="20"/>
                <w:szCs w:val="20"/>
                <w:color w:val="auto"/>
              </w:rPr>
            </w:pPr>
            <w:r>
              <w:rPr>
                <w:rFonts w:ascii="Arial" w:cs="Arial" w:eastAsia="Arial" w:hAnsi="Arial"/>
                <w:sz w:val="17"/>
                <w:szCs w:val="17"/>
                <w:color w:val="auto"/>
              </w:rPr>
              <w:t>Other Information</w:t>
            </w:r>
          </w:p>
        </w:tc>
        <w:tc>
          <w:tcPr>
            <w:tcW w:w="1980" w:type="dxa"/>
            <w:vAlign w:val="bottom"/>
          </w:tcPr>
          <w:p>
            <w:pPr>
              <w:ind w:left="1580"/>
              <w:spacing w:after="0"/>
              <w:rPr>
                <w:sz w:val="20"/>
                <w:szCs w:val="20"/>
                <w:color w:val="auto"/>
              </w:rPr>
            </w:pPr>
            <w:r>
              <w:rPr>
                <w:rFonts w:ascii="Arial" w:cs="Arial" w:eastAsia="Arial" w:hAnsi="Arial"/>
                <w:sz w:val="17"/>
                <w:szCs w:val="17"/>
                <w:color w:val="auto"/>
              </w:rPr>
              <w:t>44</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III</w:t>
            </w:r>
          </w:p>
        </w:tc>
        <w:tc>
          <w:tcPr>
            <w:tcW w:w="85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10.</w:t>
            </w:r>
          </w:p>
        </w:tc>
        <w:tc>
          <w:tcPr>
            <w:tcW w:w="8520" w:type="dxa"/>
            <w:vAlign w:val="bottom"/>
          </w:tcPr>
          <w:p>
            <w:pPr>
              <w:ind w:left="140"/>
              <w:spacing w:after="0"/>
              <w:rPr>
                <w:sz w:val="20"/>
                <w:szCs w:val="20"/>
                <w:color w:val="auto"/>
              </w:rPr>
            </w:pPr>
            <w:r>
              <w:rPr>
                <w:rFonts w:ascii="Arial" w:cs="Arial" w:eastAsia="Arial" w:hAnsi="Arial"/>
                <w:sz w:val="17"/>
                <w:szCs w:val="17"/>
                <w:color w:val="auto"/>
              </w:rPr>
              <w:t>Directors, Executive Officers and Corporate Governance</w:t>
            </w:r>
          </w:p>
        </w:tc>
        <w:tc>
          <w:tcPr>
            <w:tcW w:w="1980" w:type="dxa"/>
            <w:vAlign w:val="bottom"/>
          </w:tcPr>
          <w:p>
            <w:pPr>
              <w:ind w:left="1580"/>
              <w:spacing w:after="0"/>
              <w:rPr>
                <w:sz w:val="20"/>
                <w:szCs w:val="20"/>
                <w:color w:val="auto"/>
              </w:rPr>
            </w:pPr>
            <w:r>
              <w:rPr>
                <w:rFonts w:ascii="Arial" w:cs="Arial" w:eastAsia="Arial" w:hAnsi="Arial"/>
                <w:sz w:val="17"/>
                <w:szCs w:val="17"/>
                <w:color w:val="auto"/>
              </w:rPr>
              <w:t>45</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11.</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Executive Compensation</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45</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12.</w:t>
            </w:r>
          </w:p>
        </w:tc>
        <w:tc>
          <w:tcPr>
            <w:tcW w:w="8520" w:type="dxa"/>
            <w:vAlign w:val="bottom"/>
          </w:tcPr>
          <w:p>
            <w:pPr>
              <w:ind w:left="14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980" w:type="dxa"/>
            <w:vAlign w:val="bottom"/>
          </w:tcPr>
          <w:p>
            <w:pPr>
              <w:ind w:left="1580"/>
              <w:spacing w:after="0"/>
              <w:rPr>
                <w:sz w:val="20"/>
                <w:szCs w:val="20"/>
                <w:color w:val="auto"/>
              </w:rPr>
            </w:pPr>
            <w:r>
              <w:rPr>
                <w:rFonts w:ascii="Arial" w:cs="Arial" w:eastAsia="Arial" w:hAnsi="Arial"/>
                <w:sz w:val="17"/>
                <w:szCs w:val="17"/>
                <w:color w:val="auto"/>
              </w:rPr>
              <w:t>45</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Item 13.</w:t>
            </w:r>
          </w:p>
        </w:tc>
        <w:tc>
          <w:tcPr>
            <w:tcW w:w="8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98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45</w:t>
            </w: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14.</w:t>
            </w:r>
          </w:p>
        </w:tc>
        <w:tc>
          <w:tcPr>
            <w:tcW w:w="8520" w:type="dxa"/>
            <w:vAlign w:val="bottom"/>
          </w:tcPr>
          <w:p>
            <w:pPr>
              <w:ind w:left="140"/>
              <w:spacing w:after="0"/>
              <w:rPr>
                <w:sz w:val="20"/>
                <w:szCs w:val="20"/>
                <w:color w:val="auto"/>
              </w:rPr>
            </w:pPr>
            <w:r>
              <w:rPr>
                <w:rFonts w:ascii="Arial" w:cs="Arial" w:eastAsia="Arial" w:hAnsi="Arial"/>
                <w:sz w:val="17"/>
                <w:szCs w:val="17"/>
                <w:color w:val="auto"/>
              </w:rPr>
              <w:t>Principal Accounting Fees and Services</w:t>
            </w:r>
          </w:p>
        </w:tc>
        <w:tc>
          <w:tcPr>
            <w:tcW w:w="1980" w:type="dxa"/>
            <w:vAlign w:val="bottom"/>
          </w:tcPr>
          <w:p>
            <w:pPr>
              <w:ind w:left="1580"/>
              <w:spacing w:after="0"/>
              <w:rPr>
                <w:sz w:val="20"/>
                <w:szCs w:val="20"/>
                <w:color w:val="auto"/>
              </w:rPr>
            </w:pPr>
            <w:r>
              <w:rPr>
                <w:rFonts w:ascii="Arial" w:cs="Arial" w:eastAsia="Arial" w:hAnsi="Arial"/>
                <w:sz w:val="17"/>
                <w:szCs w:val="17"/>
                <w:color w:val="auto"/>
              </w:rPr>
              <w:t>45</w:t>
            </w:r>
          </w:p>
        </w:tc>
      </w:tr>
      <w:tr>
        <w:trPr>
          <w:trHeight w:val="201"/>
        </w:trPr>
        <w:tc>
          <w:tcPr>
            <w:tcW w:w="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 IV</w:t>
            </w:r>
          </w:p>
        </w:tc>
        <w:tc>
          <w:tcPr>
            <w:tcW w:w="85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01"/>
        </w:trPr>
        <w:tc>
          <w:tcPr>
            <w:tcW w:w="920" w:type="dxa"/>
            <w:vAlign w:val="bottom"/>
          </w:tcPr>
          <w:p>
            <w:pPr>
              <w:spacing w:after="0"/>
              <w:rPr>
                <w:sz w:val="20"/>
                <w:szCs w:val="20"/>
                <w:color w:val="auto"/>
              </w:rPr>
            </w:pPr>
            <w:r>
              <w:rPr>
                <w:rFonts w:ascii="Arial" w:cs="Arial" w:eastAsia="Arial" w:hAnsi="Arial"/>
                <w:sz w:val="17"/>
                <w:szCs w:val="17"/>
                <w:color w:val="auto"/>
              </w:rPr>
              <w:t>Item 15.</w:t>
            </w:r>
          </w:p>
        </w:tc>
        <w:tc>
          <w:tcPr>
            <w:tcW w:w="8520" w:type="dxa"/>
            <w:vAlign w:val="bottom"/>
          </w:tcPr>
          <w:p>
            <w:pPr>
              <w:ind w:left="140"/>
              <w:spacing w:after="0"/>
              <w:rPr>
                <w:sz w:val="20"/>
                <w:szCs w:val="20"/>
                <w:color w:val="auto"/>
              </w:rPr>
            </w:pPr>
            <w:r>
              <w:rPr>
                <w:rFonts w:ascii="Arial" w:cs="Arial" w:eastAsia="Arial" w:hAnsi="Arial"/>
                <w:sz w:val="17"/>
                <w:szCs w:val="17"/>
                <w:color w:val="auto"/>
              </w:rPr>
              <w:t>Exhibits and Financial Statement Schedules</w:t>
            </w:r>
          </w:p>
        </w:tc>
        <w:tc>
          <w:tcPr>
            <w:tcW w:w="1980" w:type="dxa"/>
            <w:vAlign w:val="bottom"/>
          </w:tcPr>
          <w:p>
            <w:pPr>
              <w:ind w:left="1580"/>
              <w:spacing w:after="0"/>
              <w:rPr>
                <w:sz w:val="20"/>
                <w:szCs w:val="20"/>
                <w:color w:val="auto"/>
              </w:rPr>
            </w:pPr>
            <w:r>
              <w:rPr>
                <w:rFonts w:ascii="Arial" w:cs="Arial" w:eastAsia="Arial" w:hAnsi="Arial"/>
                <w:sz w:val="17"/>
                <w:szCs w:val="17"/>
                <w:color w:val="auto"/>
              </w:rPr>
              <w:t>46</w:t>
            </w:r>
          </w:p>
        </w:tc>
      </w:tr>
      <w:tr>
        <w:trPr>
          <w:trHeight w:val="201"/>
        </w:trPr>
        <w:tc>
          <w:tcPr>
            <w:tcW w:w="920" w:type="dxa"/>
            <w:vAlign w:val="bottom"/>
            <w:shd w:val="clear" w:color="auto" w:fill="CCEEFF"/>
          </w:tcPr>
          <w:p>
            <w:pPr>
              <w:spacing w:after="0"/>
              <w:rPr>
                <w:sz w:val="17"/>
                <w:szCs w:val="17"/>
                <w:color w:val="auto"/>
              </w:rPr>
            </w:pPr>
          </w:p>
        </w:tc>
        <w:tc>
          <w:tcPr>
            <w:tcW w:w="85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01"/>
        </w:trPr>
        <w:tc>
          <w:tcPr>
            <w:tcW w:w="920" w:type="dxa"/>
            <w:vAlign w:val="bottom"/>
          </w:tcPr>
          <w:p>
            <w:pPr>
              <w:spacing w:after="0"/>
              <w:rPr>
                <w:sz w:val="20"/>
                <w:szCs w:val="20"/>
                <w:color w:val="auto"/>
              </w:rPr>
            </w:pPr>
            <w:r>
              <w:rPr>
                <w:rFonts w:ascii="Arial" w:cs="Arial" w:eastAsia="Arial" w:hAnsi="Arial"/>
                <w:sz w:val="17"/>
                <w:szCs w:val="17"/>
                <w:b w:val="1"/>
                <w:bCs w:val="1"/>
                <w:color w:val="auto"/>
              </w:rPr>
              <w:t>Signatures</w:t>
            </w:r>
          </w:p>
        </w:tc>
        <w:tc>
          <w:tcPr>
            <w:tcW w:w="8520" w:type="dxa"/>
            <w:vAlign w:val="bottom"/>
          </w:tcPr>
          <w:p>
            <w:pPr>
              <w:spacing w:after="0"/>
              <w:rPr>
                <w:sz w:val="17"/>
                <w:szCs w:val="17"/>
                <w:color w:val="auto"/>
              </w:rPr>
            </w:pPr>
          </w:p>
        </w:tc>
        <w:tc>
          <w:tcPr>
            <w:tcW w:w="1980" w:type="dxa"/>
            <w:vAlign w:val="bottom"/>
          </w:tcPr>
          <w:p>
            <w:pPr>
              <w:ind w:left="1580"/>
              <w:spacing w:after="0"/>
              <w:rPr>
                <w:sz w:val="20"/>
                <w:szCs w:val="20"/>
                <w:color w:val="auto"/>
              </w:rPr>
            </w:pPr>
            <w:r>
              <w:rPr>
                <w:rFonts w:ascii="Arial" w:cs="Arial" w:eastAsia="Arial" w:hAnsi="Arial"/>
                <w:sz w:val="17"/>
                <w:szCs w:val="17"/>
                <w:color w:val="auto"/>
              </w:rPr>
              <w:t>50</w:t>
            </w:r>
          </w:p>
        </w:tc>
      </w:tr>
      <w:tr>
        <w:trPr>
          <w:trHeight w:val="201"/>
        </w:trPr>
        <w:tc>
          <w:tcPr>
            <w:tcW w:w="9440" w:type="dxa"/>
            <w:vAlign w:val="bottom"/>
            <w:gridSpan w:val="2"/>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17"/>
        </w:trPr>
        <w:tc>
          <w:tcPr>
            <w:tcW w:w="9440" w:type="dxa"/>
            <w:vAlign w:val="bottom"/>
            <w:gridSpan w:val="2"/>
          </w:tcPr>
          <w:p>
            <w:pPr>
              <w:spacing w:after="0"/>
              <w:rPr>
                <w:sz w:val="20"/>
                <w:szCs w:val="20"/>
                <w:color w:val="auto"/>
              </w:rPr>
            </w:pPr>
            <w:r>
              <w:rPr>
                <w:rFonts w:ascii="Arial" w:cs="Arial" w:eastAsia="Arial" w:hAnsi="Arial"/>
                <w:sz w:val="17"/>
                <w:szCs w:val="17"/>
                <w:b w:val="1"/>
                <w:bCs w:val="1"/>
                <w:color w:val="auto"/>
              </w:rPr>
              <w:t>Consolidated Financial Statements</w:t>
            </w:r>
          </w:p>
        </w:tc>
        <w:tc>
          <w:tcPr>
            <w:tcW w:w="1980" w:type="dxa"/>
            <w:vAlign w:val="bottom"/>
          </w:tcPr>
          <w:p>
            <w:pPr>
              <w:ind w:left="1580"/>
              <w:spacing w:after="0"/>
              <w:rPr>
                <w:sz w:val="20"/>
                <w:szCs w:val="20"/>
                <w:color w:val="auto"/>
              </w:rPr>
            </w:pPr>
            <w:r>
              <w:rPr>
                <w:rFonts w:ascii="Arial" w:cs="Arial" w:eastAsia="Arial" w:hAnsi="Arial"/>
                <w:sz w:val="17"/>
                <w:szCs w:val="17"/>
                <w:color w:val="auto"/>
              </w:rPr>
              <w:t>53</w:t>
            </w:r>
          </w:p>
        </w:tc>
      </w:tr>
      <w:tr>
        <w:trPr>
          <w:trHeight w:val="393"/>
        </w:trPr>
        <w:tc>
          <w:tcPr>
            <w:tcW w:w="920" w:type="dxa"/>
            <w:vAlign w:val="bottom"/>
          </w:tcPr>
          <w:p>
            <w:pPr>
              <w:spacing w:after="0"/>
              <w:rPr>
                <w:sz w:val="24"/>
                <w:szCs w:val="24"/>
                <w:color w:val="auto"/>
              </w:rPr>
            </w:pPr>
          </w:p>
        </w:tc>
        <w:tc>
          <w:tcPr>
            <w:tcW w:w="8520" w:type="dxa"/>
            <w:vAlign w:val="bottom"/>
          </w:tcPr>
          <w:p>
            <w:pPr>
              <w:ind w:left="3900"/>
              <w:spacing w:after="0"/>
              <w:rPr>
                <w:sz w:val="20"/>
                <w:szCs w:val="20"/>
                <w:color w:val="auto"/>
              </w:rPr>
            </w:pPr>
            <w:r>
              <w:rPr>
                <w:rFonts w:ascii="Arial" w:cs="Arial" w:eastAsia="Arial" w:hAnsi="Arial"/>
                <w:sz w:val="17"/>
                <w:szCs w:val="17"/>
                <w:color w:val="auto"/>
              </w:rPr>
              <w:t>ALLETE 2010 Form 10-K</w:t>
            </w:r>
          </w:p>
        </w:tc>
        <w:tc>
          <w:tcPr>
            <w:tcW w:w="19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8520" w:type="dxa"/>
            <w:vAlign w:val="bottom"/>
          </w:tcPr>
          <w:p>
            <w:pPr>
              <w:ind w:left="4760"/>
              <w:spacing w:after="0"/>
              <w:rPr>
                <w:sz w:val="20"/>
                <w:szCs w:val="20"/>
                <w:color w:val="auto"/>
              </w:rPr>
            </w:pPr>
            <w:r>
              <w:rPr>
                <w:rFonts w:ascii="Arial" w:cs="Arial" w:eastAsia="Arial" w:hAnsi="Arial"/>
                <w:sz w:val="13"/>
                <w:szCs w:val="13"/>
                <w:color w:val="auto"/>
              </w:rPr>
              <w:t>2</w:t>
            </w:r>
          </w:p>
        </w:tc>
        <w:tc>
          <w:tcPr>
            <w:tcW w:w="1980" w:type="dxa"/>
            <w:vAlign w:val="bottom"/>
          </w:tcPr>
          <w:p>
            <w:pPr>
              <w:spacing w:after="0"/>
              <w:rPr>
                <w:sz w:val="14"/>
                <w:szCs w:val="14"/>
                <w:color w:val="auto"/>
              </w:rPr>
            </w:pPr>
          </w:p>
        </w:tc>
      </w:tr>
      <w:tr>
        <w:trPr>
          <w:trHeight w:val="321"/>
        </w:trPr>
        <w:tc>
          <w:tcPr>
            <w:tcW w:w="920" w:type="dxa"/>
            <w:vAlign w:val="bottom"/>
            <w:tcBorders>
              <w:bottom w:val="single" w:sz="8" w:color="808080"/>
            </w:tcBorders>
          </w:tcPr>
          <w:p>
            <w:pPr>
              <w:spacing w:after="0"/>
              <w:rPr>
                <w:sz w:val="24"/>
                <w:szCs w:val="24"/>
                <w:color w:val="auto"/>
              </w:rPr>
            </w:pPr>
          </w:p>
        </w:tc>
        <w:tc>
          <w:tcPr>
            <w:tcW w:w="85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Definitions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abbreviations or acronyms are used in the text. References in this report to “we,” “us” and “our” are to ALLETE, Inc. and its subsidiaries, collectively.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Term</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ALLETE</w:t>
            </w:r>
          </w:p>
        </w:tc>
        <w:tc>
          <w:tcPr>
            <w:tcW w:w="9100" w:type="dxa"/>
            <w:vAlign w:val="bottom"/>
          </w:tcPr>
          <w:p>
            <w:pPr>
              <w:ind w:left="480"/>
              <w:spacing w:after="0"/>
              <w:rPr>
                <w:sz w:val="20"/>
                <w:szCs w:val="20"/>
                <w:color w:val="auto"/>
              </w:rPr>
            </w:pPr>
            <w:r>
              <w:rPr>
                <w:rFonts w:ascii="Arial" w:cs="Arial" w:eastAsia="Arial" w:hAnsi="Arial"/>
                <w:sz w:val="17"/>
                <w:szCs w:val="17"/>
                <w:color w:val="auto"/>
              </w:rPr>
              <w:t>ALLETE, Inc.</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ALLETE Properties</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ALLETE Properties, LLC and its subsidiaries</w:t>
            </w:r>
          </w:p>
        </w:tc>
      </w:tr>
      <w:tr>
        <w:trPr>
          <w:trHeight w:val="189"/>
        </w:trPr>
        <w:tc>
          <w:tcPr>
            <w:tcW w:w="2320" w:type="dxa"/>
            <w:vAlign w:val="bottom"/>
          </w:tcPr>
          <w:p>
            <w:pPr>
              <w:spacing w:after="0" w:line="189" w:lineRule="exact"/>
              <w:rPr>
                <w:sz w:val="20"/>
                <w:szCs w:val="20"/>
                <w:color w:val="auto"/>
              </w:rPr>
            </w:pPr>
            <w:r>
              <w:rPr>
                <w:rFonts w:ascii="Arial" w:cs="Arial" w:eastAsia="Arial" w:hAnsi="Arial"/>
                <w:sz w:val="17"/>
                <w:szCs w:val="17"/>
                <w:color w:val="auto"/>
              </w:rPr>
              <w:t>AFUDC</w:t>
            </w:r>
          </w:p>
        </w:tc>
        <w:tc>
          <w:tcPr>
            <w:tcW w:w="9100" w:type="dxa"/>
            <w:vAlign w:val="bottom"/>
          </w:tcPr>
          <w:p>
            <w:pPr>
              <w:ind w:left="480"/>
              <w:spacing w:after="0" w:line="189" w:lineRule="exact"/>
              <w:rPr>
                <w:sz w:val="20"/>
                <w:szCs w:val="20"/>
                <w:color w:val="auto"/>
              </w:rPr>
            </w:pPr>
            <w:r>
              <w:rPr>
                <w:rFonts w:ascii="Arial" w:cs="Arial" w:eastAsia="Arial" w:hAnsi="Arial"/>
                <w:sz w:val="17"/>
                <w:szCs w:val="17"/>
                <w:color w:val="auto"/>
                <w:w w:val="92"/>
              </w:rPr>
              <w:t>Allowance for Funds Used During Construction - the cost of both debt and equity funds used to finance utility plant additions</w:t>
            </w:r>
          </w:p>
        </w:tc>
      </w:tr>
      <w:tr>
        <w:trPr>
          <w:trHeight w:val="213"/>
        </w:trPr>
        <w:tc>
          <w:tcPr>
            <w:tcW w:w="2320" w:type="dxa"/>
            <w:vAlign w:val="bottom"/>
          </w:tcPr>
          <w:p>
            <w:pPr>
              <w:spacing w:after="0"/>
              <w:rPr>
                <w:sz w:val="18"/>
                <w:szCs w:val="18"/>
                <w:color w:val="auto"/>
              </w:rPr>
            </w:pPr>
          </w:p>
        </w:tc>
        <w:tc>
          <w:tcPr>
            <w:tcW w:w="9100" w:type="dxa"/>
            <w:vAlign w:val="bottom"/>
          </w:tcPr>
          <w:p>
            <w:pPr>
              <w:ind w:left="480"/>
              <w:spacing w:after="0"/>
              <w:rPr>
                <w:sz w:val="20"/>
                <w:szCs w:val="20"/>
                <w:color w:val="auto"/>
              </w:rPr>
            </w:pPr>
            <w:r>
              <w:rPr>
                <w:rFonts w:ascii="Arial" w:cs="Arial" w:eastAsia="Arial" w:hAnsi="Arial"/>
                <w:sz w:val="17"/>
                <w:szCs w:val="17"/>
                <w:color w:val="auto"/>
              </w:rPr>
              <w:t>during construction periods</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ARS</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Auction Rate Securities</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ATC</w:t>
            </w:r>
          </w:p>
        </w:tc>
        <w:tc>
          <w:tcPr>
            <w:tcW w:w="9100" w:type="dxa"/>
            <w:vAlign w:val="bottom"/>
          </w:tcPr>
          <w:p>
            <w:pPr>
              <w:ind w:left="480"/>
              <w:spacing w:after="0"/>
              <w:rPr>
                <w:sz w:val="20"/>
                <w:szCs w:val="20"/>
                <w:color w:val="auto"/>
              </w:rPr>
            </w:pPr>
            <w:r>
              <w:rPr>
                <w:rFonts w:ascii="Arial" w:cs="Arial" w:eastAsia="Arial" w:hAnsi="Arial"/>
                <w:sz w:val="17"/>
                <w:szCs w:val="17"/>
                <w:color w:val="auto"/>
              </w:rPr>
              <w:t>American Transmission Company LLC</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Basin</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Basin Electric Power Cooperative</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Bison 1</w:t>
            </w:r>
          </w:p>
        </w:tc>
        <w:tc>
          <w:tcPr>
            <w:tcW w:w="9100" w:type="dxa"/>
            <w:vAlign w:val="bottom"/>
          </w:tcPr>
          <w:p>
            <w:pPr>
              <w:ind w:left="480"/>
              <w:spacing w:after="0"/>
              <w:rPr>
                <w:sz w:val="20"/>
                <w:szCs w:val="20"/>
                <w:color w:val="auto"/>
              </w:rPr>
            </w:pPr>
            <w:r>
              <w:rPr>
                <w:rFonts w:ascii="Arial" w:cs="Arial" w:eastAsia="Arial" w:hAnsi="Arial"/>
                <w:sz w:val="17"/>
                <w:szCs w:val="17"/>
                <w:color w:val="auto"/>
              </w:rPr>
              <w:t>Bison 1 Wind Project</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Bison 2</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Bison 2 Wind Project</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BNI Coal</w:t>
            </w:r>
          </w:p>
        </w:tc>
        <w:tc>
          <w:tcPr>
            <w:tcW w:w="9100" w:type="dxa"/>
            <w:vAlign w:val="bottom"/>
          </w:tcPr>
          <w:p>
            <w:pPr>
              <w:ind w:left="480"/>
              <w:spacing w:after="0"/>
              <w:rPr>
                <w:sz w:val="20"/>
                <w:szCs w:val="20"/>
                <w:color w:val="auto"/>
              </w:rPr>
            </w:pPr>
            <w:r>
              <w:rPr>
                <w:rFonts w:ascii="Arial" w:cs="Arial" w:eastAsia="Arial" w:hAnsi="Arial"/>
                <w:sz w:val="17"/>
                <w:szCs w:val="17"/>
                <w:color w:val="auto"/>
              </w:rPr>
              <w:t>BNI Coal, Ltd.</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Boswell</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Boswell Energy Center</w:t>
            </w:r>
          </w:p>
        </w:tc>
      </w:tr>
      <w:tr>
        <w:trPr>
          <w:trHeight w:val="214"/>
        </w:trPr>
        <w:tc>
          <w:tcPr>
            <w:tcW w:w="2320" w:type="dxa"/>
            <w:vAlign w:val="bottom"/>
          </w:tcPr>
          <w:p>
            <w:pPr>
              <w:spacing w:after="0" w:line="213" w:lineRule="exact"/>
              <w:rPr>
                <w:sz w:val="20"/>
                <w:szCs w:val="20"/>
                <w:color w:val="auto"/>
              </w:rPr>
            </w:pPr>
            <w:r>
              <w:rPr>
                <w:rFonts w:ascii="Arial" w:cs="Arial" w:eastAsia="Arial" w:hAnsi="Arial"/>
                <w:sz w:val="17"/>
                <w:szCs w:val="17"/>
                <w:color w:val="auto"/>
              </w:rPr>
              <w:t>CO</w:t>
            </w:r>
            <w:r>
              <w:rPr>
                <w:rFonts w:ascii="Arial" w:cs="Arial" w:eastAsia="Arial" w:hAnsi="Arial"/>
                <w:sz w:val="23"/>
                <w:szCs w:val="23"/>
                <w:color w:val="auto"/>
                <w:vertAlign w:val="subscript"/>
              </w:rPr>
              <w:t>2</w:t>
            </w:r>
          </w:p>
        </w:tc>
        <w:tc>
          <w:tcPr>
            <w:tcW w:w="9100" w:type="dxa"/>
            <w:vAlign w:val="bottom"/>
          </w:tcPr>
          <w:p>
            <w:pPr>
              <w:ind w:left="480"/>
              <w:spacing w:after="0"/>
              <w:rPr>
                <w:sz w:val="20"/>
                <w:szCs w:val="20"/>
                <w:color w:val="auto"/>
              </w:rPr>
            </w:pPr>
            <w:r>
              <w:rPr>
                <w:rFonts w:ascii="Arial" w:cs="Arial" w:eastAsia="Arial" w:hAnsi="Arial"/>
                <w:sz w:val="17"/>
                <w:szCs w:val="17"/>
                <w:color w:val="auto"/>
              </w:rPr>
              <w:t>Carbon Dioxide</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Company</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ALLETE, Inc. and its subsidiaries</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DC</w:t>
            </w:r>
          </w:p>
        </w:tc>
        <w:tc>
          <w:tcPr>
            <w:tcW w:w="9100" w:type="dxa"/>
            <w:vAlign w:val="bottom"/>
          </w:tcPr>
          <w:p>
            <w:pPr>
              <w:ind w:left="480"/>
              <w:spacing w:after="0"/>
              <w:rPr>
                <w:sz w:val="20"/>
                <w:szCs w:val="20"/>
                <w:color w:val="auto"/>
              </w:rPr>
            </w:pPr>
            <w:r>
              <w:rPr>
                <w:rFonts w:ascii="Arial" w:cs="Arial" w:eastAsia="Arial" w:hAnsi="Arial"/>
                <w:sz w:val="17"/>
                <w:szCs w:val="17"/>
                <w:color w:val="auto"/>
              </w:rPr>
              <w:t>Direct Current</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EPA</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Environmental Protection Agency</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ESOP</w:t>
            </w:r>
          </w:p>
        </w:tc>
        <w:tc>
          <w:tcPr>
            <w:tcW w:w="9100" w:type="dxa"/>
            <w:vAlign w:val="bottom"/>
          </w:tcPr>
          <w:p>
            <w:pPr>
              <w:ind w:left="480"/>
              <w:spacing w:after="0"/>
              <w:rPr>
                <w:sz w:val="20"/>
                <w:szCs w:val="20"/>
                <w:color w:val="auto"/>
              </w:rPr>
            </w:pPr>
            <w:r>
              <w:rPr>
                <w:rFonts w:ascii="Arial" w:cs="Arial" w:eastAsia="Arial" w:hAnsi="Arial"/>
                <w:sz w:val="17"/>
                <w:szCs w:val="17"/>
                <w:color w:val="auto"/>
              </w:rPr>
              <w:t>Employee Stock Ownership Plan</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FASB</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Financial Accounting Standards Board</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FERC</w:t>
            </w:r>
          </w:p>
        </w:tc>
        <w:tc>
          <w:tcPr>
            <w:tcW w:w="9100" w:type="dxa"/>
            <w:vAlign w:val="bottom"/>
          </w:tcPr>
          <w:p>
            <w:pPr>
              <w:ind w:left="480"/>
              <w:spacing w:after="0"/>
              <w:rPr>
                <w:sz w:val="20"/>
                <w:szCs w:val="20"/>
                <w:color w:val="auto"/>
              </w:rPr>
            </w:pPr>
            <w:r>
              <w:rPr>
                <w:rFonts w:ascii="Arial" w:cs="Arial" w:eastAsia="Arial" w:hAnsi="Arial"/>
                <w:sz w:val="17"/>
                <w:szCs w:val="17"/>
                <w:color w:val="auto"/>
              </w:rPr>
              <w:t>Federal Energy Regulatory Commission</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Form 8-K</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ALLETE Current Report on Form 8-K</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Form 10-K</w:t>
            </w:r>
          </w:p>
        </w:tc>
        <w:tc>
          <w:tcPr>
            <w:tcW w:w="9100" w:type="dxa"/>
            <w:vAlign w:val="bottom"/>
          </w:tcPr>
          <w:p>
            <w:pPr>
              <w:ind w:left="480"/>
              <w:spacing w:after="0"/>
              <w:rPr>
                <w:sz w:val="20"/>
                <w:szCs w:val="20"/>
                <w:color w:val="auto"/>
              </w:rPr>
            </w:pPr>
            <w:r>
              <w:rPr>
                <w:rFonts w:ascii="Arial" w:cs="Arial" w:eastAsia="Arial" w:hAnsi="Arial"/>
                <w:sz w:val="17"/>
                <w:szCs w:val="17"/>
                <w:color w:val="auto"/>
              </w:rPr>
              <w:t>ALLETE Annual Report on Form 10-K</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Form 10-Q</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ALLETE Quarterly Report on Form 10-Q</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FTR</w:t>
            </w:r>
          </w:p>
        </w:tc>
        <w:tc>
          <w:tcPr>
            <w:tcW w:w="9100" w:type="dxa"/>
            <w:vAlign w:val="bottom"/>
          </w:tcPr>
          <w:p>
            <w:pPr>
              <w:ind w:left="480"/>
              <w:spacing w:after="0"/>
              <w:rPr>
                <w:sz w:val="20"/>
                <w:szCs w:val="20"/>
                <w:color w:val="auto"/>
              </w:rPr>
            </w:pPr>
            <w:r>
              <w:rPr>
                <w:rFonts w:ascii="Arial" w:cs="Arial" w:eastAsia="Arial" w:hAnsi="Arial"/>
                <w:sz w:val="17"/>
                <w:szCs w:val="17"/>
                <w:color w:val="auto"/>
              </w:rPr>
              <w:t>Financial Transmission Rights</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GAAP</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GHG</w:t>
            </w:r>
          </w:p>
        </w:tc>
        <w:tc>
          <w:tcPr>
            <w:tcW w:w="9100" w:type="dxa"/>
            <w:vAlign w:val="bottom"/>
          </w:tcPr>
          <w:p>
            <w:pPr>
              <w:ind w:left="480"/>
              <w:spacing w:after="0"/>
              <w:rPr>
                <w:sz w:val="20"/>
                <w:szCs w:val="20"/>
                <w:color w:val="auto"/>
              </w:rPr>
            </w:pPr>
            <w:r>
              <w:rPr>
                <w:rFonts w:ascii="Arial" w:cs="Arial" w:eastAsia="Arial" w:hAnsi="Arial"/>
                <w:sz w:val="17"/>
                <w:szCs w:val="17"/>
                <w:color w:val="auto"/>
              </w:rPr>
              <w:t>Greenhouse Gases</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Hibbard</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Hibbard Renewable Energy Center</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IBEW Local 31</w:t>
            </w:r>
          </w:p>
        </w:tc>
        <w:tc>
          <w:tcPr>
            <w:tcW w:w="9100" w:type="dxa"/>
            <w:vAlign w:val="bottom"/>
          </w:tcPr>
          <w:p>
            <w:pPr>
              <w:ind w:left="480"/>
              <w:spacing w:after="0"/>
              <w:rPr>
                <w:sz w:val="20"/>
                <w:szCs w:val="20"/>
                <w:color w:val="auto"/>
              </w:rPr>
            </w:pPr>
            <w:r>
              <w:rPr>
                <w:rFonts w:ascii="Arial" w:cs="Arial" w:eastAsia="Arial" w:hAnsi="Arial"/>
                <w:sz w:val="17"/>
                <w:szCs w:val="17"/>
                <w:color w:val="auto"/>
              </w:rPr>
              <w:t>International Brotherhood of Electrical Workers Local 31</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IBEW Local 1593</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International Brotherhood of Electrical Workers Local 1593</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Invest Direct</w:t>
            </w:r>
          </w:p>
        </w:tc>
        <w:tc>
          <w:tcPr>
            <w:tcW w:w="9100" w:type="dxa"/>
            <w:vAlign w:val="bottom"/>
          </w:tcPr>
          <w:p>
            <w:pPr>
              <w:ind w:left="480"/>
              <w:spacing w:after="0"/>
              <w:rPr>
                <w:sz w:val="20"/>
                <w:szCs w:val="20"/>
                <w:color w:val="auto"/>
              </w:rPr>
            </w:pPr>
            <w:r>
              <w:rPr>
                <w:rFonts w:ascii="Arial" w:cs="Arial" w:eastAsia="Arial" w:hAnsi="Arial"/>
                <w:sz w:val="17"/>
                <w:szCs w:val="17"/>
                <w:color w:val="auto"/>
              </w:rPr>
              <w:t>ALLETE’s Direct Stock Purchase and Dividend Reinvestment Plan</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kV</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Kilovolt(s)</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Laskin</w:t>
            </w:r>
          </w:p>
        </w:tc>
        <w:tc>
          <w:tcPr>
            <w:tcW w:w="9100" w:type="dxa"/>
            <w:vAlign w:val="bottom"/>
          </w:tcPr>
          <w:p>
            <w:pPr>
              <w:ind w:left="480"/>
              <w:spacing w:after="0"/>
              <w:rPr>
                <w:sz w:val="20"/>
                <w:szCs w:val="20"/>
                <w:color w:val="auto"/>
              </w:rPr>
            </w:pPr>
            <w:r>
              <w:rPr>
                <w:rFonts w:ascii="Arial" w:cs="Arial" w:eastAsia="Arial" w:hAnsi="Arial"/>
                <w:sz w:val="17"/>
                <w:szCs w:val="17"/>
                <w:color w:val="auto"/>
              </w:rPr>
              <w:t>Laskin Energy Center</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Manitoba Hydro</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Manitoba Hydro-Electric Board</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MBtu</w:t>
            </w:r>
          </w:p>
        </w:tc>
        <w:tc>
          <w:tcPr>
            <w:tcW w:w="9100" w:type="dxa"/>
            <w:vAlign w:val="bottom"/>
          </w:tcPr>
          <w:p>
            <w:pPr>
              <w:ind w:left="480"/>
              <w:spacing w:after="0"/>
              <w:rPr>
                <w:sz w:val="20"/>
                <w:szCs w:val="20"/>
                <w:color w:val="auto"/>
              </w:rPr>
            </w:pPr>
            <w:r>
              <w:rPr>
                <w:rFonts w:ascii="Arial" w:cs="Arial" w:eastAsia="Arial" w:hAnsi="Arial"/>
                <w:sz w:val="17"/>
                <w:szCs w:val="17"/>
                <w:color w:val="auto"/>
              </w:rPr>
              <w:t>Million British thermal units</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Medicare Part D</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Medicare Part D provision of the Patient Protection and Affordable Care Act of 2010</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Mesabi Nugget</w:t>
            </w:r>
          </w:p>
        </w:tc>
        <w:tc>
          <w:tcPr>
            <w:tcW w:w="9100" w:type="dxa"/>
            <w:vAlign w:val="bottom"/>
          </w:tcPr>
          <w:p>
            <w:pPr>
              <w:ind w:left="480"/>
              <w:spacing w:after="0"/>
              <w:rPr>
                <w:sz w:val="20"/>
                <w:szCs w:val="20"/>
                <w:color w:val="auto"/>
              </w:rPr>
            </w:pPr>
            <w:r>
              <w:rPr>
                <w:rFonts w:ascii="Arial" w:cs="Arial" w:eastAsia="Arial" w:hAnsi="Arial"/>
                <w:sz w:val="17"/>
                <w:szCs w:val="17"/>
                <w:color w:val="auto"/>
              </w:rPr>
              <w:t>Mesabi Nugget Delaware, LLC</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Minnesota Power</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 operating division of ALLETE, Inc.</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Minnkota Power</w:t>
            </w:r>
          </w:p>
        </w:tc>
        <w:tc>
          <w:tcPr>
            <w:tcW w:w="9100" w:type="dxa"/>
            <w:vAlign w:val="bottom"/>
          </w:tcPr>
          <w:p>
            <w:pPr>
              <w:ind w:left="480"/>
              <w:spacing w:after="0"/>
              <w:rPr>
                <w:sz w:val="20"/>
                <w:szCs w:val="20"/>
                <w:color w:val="auto"/>
              </w:rPr>
            </w:pPr>
            <w:r>
              <w:rPr>
                <w:rFonts w:ascii="Arial" w:cs="Arial" w:eastAsia="Arial" w:hAnsi="Arial"/>
                <w:sz w:val="17"/>
                <w:szCs w:val="17"/>
                <w:color w:val="auto"/>
              </w:rPr>
              <w:t>Minnkota Power Cooperative, Inc.</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MISO</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Midwest Independent Transmission System Operator, Inc.</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Moody’s</w:t>
            </w:r>
          </w:p>
        </w:tc>
        <w:tc>
          <w:tcPr>
            <w:tcW w:w="9100" w:type="dxa"/>
            <w:vAlign w:val="bottom"/>
          </w:tcPr>
          <w:p>
            <w:pPr>
              <w:ind w:left="480"/>
              <w:spacing w:after="0"/>
              <w:rPr>
                <w:sz w:val="20"/>
                <w:szCs w:val="20"/>
                <w:color w:val="auto"/>
              </w:rPr>
            </w:pPr>
            <w:r>
              <w:rPr>
                <w:rFonts w:ascii="Arial" w:cs="Arial" w:eastAsia="Arial" w:hAnsi="Arial"/>
                <w:sz w:val="17"/>
                <w:szCs w:val="17"/>
                <w:color w:val="auto"/>
              </w:rPr>
              <w:t>Moody’s Investors Service, Inc.</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MPCA</w:t>
            </w:r>
          </w:p>
        </w:tc>
        <w:tc>
          <w:tcPr>
            <w:tcW w:w="9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Minnesota Pollution Control Agency</w:t>
            </w:r>
          </w:p>
        </w:tc>
      </w:tr>
      <w:tr>
        <w:trPr>
          <w:trHeight w:val="635"/>
        </w:trPr>
        <w:tc>
          <w:tcPr>
            <w:tcW w:w="2320" w:type="dxa"/>
            <w:vAlign w:val="bottom"/>
          </w:tcPr>
          <w:p>
            <w:pPr>
              <w:spacing w:after="0"/>
              <w:rPr>
                <w:sz w:val="24"/>
                <w:szCs w:val="24"/>
                <w:color w:val="auto"/>
              </w:rPr>
            </w:pPr>
          </w:p>
        </w:tc>
        <w:tc>
          <w:tcPr>
            <w:tcW w:w="9100" w:type="dxa"/>
            <w:vAlign w:val="bottom"/>
          </w:tcPr>
          <w:p>
            <w:pPr>
              <w:ind w:left="2500"/>
              <w:spacing w:after="0"/>
              <w:rPr>
                <w:sz w:val="20"/>
                <w:szCs w:val="20"/>
                <w:color w:val="auto"/>
              </w:rPr>
            </w:pPr>
            <w:r>
              <w:rPr>
                <w:rFonts w:ascii="Arial" w:cs="Arial" w:eastAsia="Arial" w:hAnsi="Arial"/>
                <w:sz w:val="17"/>
                <w:szCs w:val="17"/>
                <w:color w:val="auto"/>
              </w:rPr>
              <w:t>ALLETE 2010 Form 10-K</w:t>
            </w:r>
          </w:p>
        </w:tc>
      </w:tr>
      <w:tr>
        <w:trPr>
          <w:trHeight w:val="171"/>
        </w:trPr>
        <w:tc>
          <w:tcPr>
            <w:tcW w:w="2320" w:type="dxa"/>
            <w:vAlign w:val="bottom"/>
          </w:tcPr>
          <w:p>
            <w:pPr>
              <w:spacing w:after="0"/>
              <w:rPr>
                <w:sz w:val="14"/>
                <w:szCs w:val="14"/>
                <w:color w:val="auto"/>
              </w:rPr>
            </w:pPr>
          </w:p>
        </w:tc>
        <w:tc>
          <w:tcPr>
            <w:tcW w:w="9100" w:type="dxa"/>
            <w:vAlign w:val="bottom"/>
          </w:tcPr>
          <w:p>
            <w:pPr>
              <w:ind w:left="3340"/>
              <w:spacing w:after="0"/>
              <w:rPr>
                <w:sz w:val="20"/>
                <w:szCs w:val="20"/>
                <w:color w:val="auto"/>
              </w:rPr>
            </w:pPr>
            <w:r>
              <w:rPr>
                <w:rFonts w:ascii="Arial" w:cs="Arial" w:eastAsia="Arial" w:hAnsi="Arial"/>
                <w:sz w:val="13"/>
                <w:szCs w:val="13"/>
                <w:color w:val="auto"/>
              </w:rPr>
              <w:t>3</w:t>
            </w:r>
          </w:p>
        </w:tc>
      </w:tr>
      <w:tr>
        <w:trPr>
          <w:trHeight w:val="296"/>
        </w:trPr>
        <w:tc>
          <w:tcPr>
            <w:tcW w:w="232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9180" w:type="dxa"/>
            <w:vAlign w:val="bottom"/>
          </w:tcPr>
          <w:p>
            <w:pPr>
              <w:jc w:val="center"/>
              <w:ind w:right="2157"/>
              <w:spacing w:after="0"/>
              <w:rPr>
                <w:sz w:val="20"/>
                <w:szCs w:val="20"/>
                <w:color w:val="auto"/>
              </w:rPr>
            </w:pPr>
            <w:r>
              <w:rPr>
                <w:rFonts w:ascii="Arial" w:cs="Arial" w:eastAsia="Arial" w:hAnsi="Arial"/>
                <w:sz w:val="17"/>
                <w:szCs w:val="17"/>
                <w:b w:val="1"/>
                <w:bCs w:val="1"/>
                <w:color w:val="auto"/>
                <w:w w:val="90"/>
              </w:rPr>
              <w:t>Definitions (Continued)</w:t>
            </w:r>
          </w:p>
        </w:tc>
      </w:tr>
      <w:tr>
        <w:trPr>
          <w:trHeight w:val="227"/>
        </w:trPr>
        <w:tc>
          <w:tcPr>
            <w:tcW w:w="2240" w:type="dxa"/>
            <w:vAlign w:val="bottom"/>
          </w:tcPr>
          <w:p>
            <w:pPr>
              <w:spacing w:after="0"/>
              <w:rPr>
                <w:sz w:val="19"/>
                <w:szCs w:val="19"/>
                <w:color w:val="auto"/>
              </w:rPr>
            </w:pPr>
          </w:p>
        </w:tc>
        <w:tc>
          <w:tcPr>
            <w:tcW w:w="9180" w:type="dxa"/>
            <w:vAlign w:val="bottom"/>
          </w:tcPr>
          <w:p>
            <w:pPr>
              <w:spacing w:after="0"/>
              <w:rPr>
                <w:sz w:val="19"/>
                <w:szCs w:val="19"/>
                <w:color w:val="auto"/>
              </w:rPr>
            </w:pP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MPUC</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Minnesota Public Utilities Commission</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MW / MWh</w:t>
            </w:r>
          </w:p>
        </w:tc>
        <w:tc>
          <w:tcPr>
            <w:tcW w:w="9180" w:type="dxa"/>
            <w:vAlign w:val="bottom"/>
          </w:tcPr>
          <w:p>
            <w:pPr>
              <w:ind w:left="560"/>
              <w:spacing w:after="0"/>
              <w:rPr>
                <w:sz w:val="20"/>
                <w:szCs w:val="20"/>
                <w:color w:val="auto"/>
              </w:rPr>
            </w:pPr>
            <w:r>
              <w:rPr>
                <w:rFonts w:ascii="Arial" w:cs="Arial" w:eastAsia="Arial" w:hAnsi="Arial"/>
                <w:sz w:val="17"/>
                <w:szCs w:val="17"/>
                <w:color w:val="auto"/>
              </w:rPr>
              <w:t>Megawatt(s) / Megawatt-hour(s)</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NextEra Energy</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NextEra Energy Resources, LLC</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NDPSC</w:t>
            </w:r>
          </w:p>
        </w:tc>
        <w:tc>
          <w:tcPr>
            <w:tcW w:w="9180" w:type="dxa"/>
            <w:vAlign w:val="bottom"/>
          </w:tcPr>
          <w:p>
            <w:pPr>
              <w:ind w:left="560"/>
              <w:spacing w:after="0"/>
              <w:rPr>
                <w:sz w:val="20"/>
                <w:szCs w:val="20"/>
                <w:color w:val="auto"/>
              </w:rPr>
            </w:pPr>
            <w:r>
              <w:rPr>
                <w:rFonts w:ascii="Arial" w:cs="Arial" w:eastAsia="Arial" w:hAnsi="Arial"/>
                <w:sz w:val="17"/>
                <w:szCs w:val="17"/>
                <w:color w:val="auto"/>
              </w:rPr>
              <w:t>North Dakota Public Service Commission</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NOL</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Operating Loss</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Non-residential</w:t>
            </w:r>
          </w:p>
        </w:tc>
        <w:tc>
          <w:tcPr>
            <w:tcW w:w="9180" w:type="dxa"/>
            <w:vAlign w:val="bottom"/>
          </w:tcPr>
          <w:p>
            <w:pPr>
              <w:ind w:left="560"/>
              <w:spacing w:after="0"/>
              <w:rPr>
                <w:sz w:val="20"/>
                <w:szCs w:val="20"/>
                <w:color w:val="auto"/>
              </w:rPr>
            </w:pPr>
            <w:r>
              <w:rPr>
                <w:rFonts w:ascii="Arial" w:cs="Arial" w:eastAsia="Arial" w:hAnsi="Arial"/>
                <w:sz w:val="17"/>
                <w:szCs w:val="17"/>
                <w:color w:val="auto"/>
              </w:rPr>
              <w:t>Retail commercial, non-retail commercial, office, industrial, warehouse, storage and institutional</w:t>
            </w:r>
          </w:p>
        </w:tc>
      </w:tr>
      <w:tr>
        <w:trPr>
          <w:trHeight w:val="214"/>
        </w:trPr>
        <w:tc>
          <w:tcPr>
            <w:tcW w:w="2240" w:type="dxa"/>
            <w:vAlign w:val="bottom"/>
            <w:shd w:val="clear" w:color="auto" w:fill="CCEEFF"/>
          </w:tcPr>
          <w:p>
            <w:pPr>
              <w:spacing w:after="0" w:line="213" w:lineRule="exact"/>
              <w:rPr>
                <w:sz w:val="20"/>
                <w:szCs w:val="20"/>
                <w:color w:val="auto"/>
              </w:rPr>
            </w:pPr>
            <w:r>
              <w:rPr>
                <w:rFonts w:ascii="Arial" w:cs="Arial" w:eastAsia="Arial" w:hAnsi="Arial"/>
                <w:sz w:val="17"/>
                <w:szCs w:val="17"/>
                <w:color w:val="auto"/>
              </w:rPr>
              <w:t>NO</w:t>
            </w:r>
            <w:r>
              <w:rPr>
                <w:rFonts w:ascii="Arial" w:cs="Arial" w:eastAsia="Arial" w:hAnsi="Arial"/>
                <w:sz w:val="23"/>
                <w:szCs w:val="23"/>
                <w:color w:val="auto"/>
                <w:vertAlign w:val="subscript"/>
              </w:rPr>
              <w:t>2</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Nitrogen Dioxide</w:t>
            </w:r>
          </w:p>
        </w:tc>
      </w:tr>
      <w:tr>
        <w:trPr>
          <w:trHeight w:val="214"/>
        </w:trPr>
        <w:tc>
          <w:tcPr>
            <w:tcW w:w="2240" w:type="dxa"/>
            <w:vAlign w:val="bottom"/>
          </w:tcPr>
          <w:p>
            <w:pPr>
              <w:spacing w:after="0" w:line="213" w:lineRule="exact"/>
              <w:rPr>
                <w:sz w:val="20"/>
                <w:szCs w:val="20"/>
                <w:color w:val="auto"/>
              </w:rPr>
            </w:pPr>
            <w:r>
              <w:rPr>
                <w:rFonts w:ascii="Arial" w:cs="Arial" w:eastAsia="Arial" w:hAnsi="Arial"/>
                <w:sz w:val="17"/>
                <w:szCs w:val="17"/>
                <w:color w:val="auto"/>
              </w:rPr>
              <w:t>NO</w:t>
            </w:r>
            <w:r>
              <w:rPr>
                <w:rFonts w:ascii="Arial" w:cs="Arial" w:eastAsia="Arial" w:hAnsi="Arial"/>
                <w:sz w:val="23"/>
                <w:szCs w:val="23"/>
                <w:color w:val="auto"/>
                <w:vertAlign w:val="subscript"/>
              </w:rPr>
              <w:t>X</w:t>
            </w:r>
          </w:p>
        </w:tc>
        <w:tc>
          <w:tcPr>
            <w:tcW w:w="9180" w:type="dxa"/>
            <w:vAlign w:val="bottom"/>
          </w:tcPr>
          <w:p>
            <w:pPr>
              <w:ind w:left="560"/>
              <w:spacing w:after="0"/>
              <w:rPr>
                <w:sz w:val="20"/>
                <w:szCs w:val="20"/>
                <w:color w:val="auto"/>
              </w:rPr>
            </w:pPr>
            <w:r>
              <w:rPr>
                <w:rFonts w:ascii="Arial" w:cs="Arial" w:eastAsia="Arial" w:hAnsi="Arial"/>
                <w:sz w:val="17"/>
                <w:szCs w:val="17"/>
                <w:color w:val="auto"/>
              </w:rPr>
              <w:t>Nitrogen Oxides</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Note ___</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Note ___ to the consolidated financial statements in this Form 10-K</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NPDES</w:t>
            </w:r>
          </w:p>
        </w:tc>
        <w:tc>
          <w:tcPr>
            <w:tcW w:w="9180" w:type="dxa"/>
            <w:vAlign w:val="bottom"/>
          </w:tcPr>
          <w:p>
            <w:pPr>
              <w:ind w:left="560"/>
              <w:spacing w:after="0"/>
              <w:rPr>
                <w:sz w:val="20"/>
                <w:szCs w:val="20"/>
                <w:color w:val="auto"/>
              </w:rPr>
            </w:pPr>
            <w:r>
              <w:rPr>
                <w:rFonts w:ascii="Arial" w:cs="Arial" w:eastAsia="Arial" w:hAnsi="Arial"/>
                <w:sz w:val="17"/>
                <w:szCs w:val="17"/>
                <w:color w:val="auto"/>
              </w:rPr>
              <w:t>National Pollutant Discharge Elimination System</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NYSE</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New York Stock Exchange</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OES</w:t>
            </w:r>
          </w:p>
        </w:tc>
        <w:tc>
          <w:tcPr>
            <w:tcW w:w="9180" w:type="dxa"/>
            <w:vAlign w:val="bottom"/>
          </w:tcPr>
          <w:p>
            <w:pPr>
              <w:ind w:left="560"/>
              <w:spacing w:after="0"/>
              <w:rPr>
                <w:sz w:val="20"/>
                <w:szCs w:val="20"/>
                <w:color w:val="auto"/>
              </w:rPr>
            </w:pPr>
            <w:r>
              <w:rPr>
                <w:rFonts w:ascii="Arial" w:cs="Arial" w:eastAsia="Arial" w:hAnsi="Arial"/>
                <w:sz w:val="17"/>
                <w:szCs w:val="17"/>
                <w:color w:val="auto"/>
              </w:rPr>
              <w:t>Minnesota Office of Energy Security</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Oliver Wind I</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Oliver Wind I Energy Center</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Oliver Wind II</w:t>
            </w:r>
          </w:p>
        </w:tc>
        <w:tc>
          <w:tcPr>
            <w:tcW w:w="9180" w:type="dxa"/>
            <w:vAlign w:val="bottom"/>
          </w:tcPr>
          <w:p>
            <w:pPr>
              <w:ind w:left="560"/>
              <w:spacing w:after="0"/>
              <w:rPr>
                <w:sz w:val="20"/>
                <w:szCs w:val="20"/>
                <w:color w:val="auto"/>
              </w:rPr>
            </w:pPr>
            <w:r>
              <w:rPr>
                <w:rFonts w:ascii="Arial" w:cs="Arial" w:eastAsia="Arial" w:hAnsi="Arial"/>
                <w:sz w:val="17"/>
                <w:szCs w:val="17"/>
                <w:color w:val="auto"/>
              </w:rPr>
              <w:t>Oliver Wind II Energy Center</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Palm Coast Park</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Palm Coast Park development project in Florida</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Palm Coast Park District</w:t>
            </w:r>
          </w:p>
        </w:tc>
        <w:tc>
          <w:tcPr>
            <w:tcW w:w="9180" w:type="dxa"/>
            <w:vAlign w:val="bottom"/>
          </w:tcPr>
          <w:p>
            <w:pPr>
              <w:ind w:left="560"/>
              <w:spacing w:after="0"/>
              <w:rPr>
                <w:sz w:val="20"/>
                <w:szCs w:val="20"/>
                <w:color w:val="auto"/>
              </w:rPr>
            </w:pPr>
            <w:r>
              <w:rPr>
                <w:rFonts w:ascii="Arial" w:cs="Arial" w:eastAsia="Arial" w:hAnsi="Arial"/>
                <w:sz w:val="17"/>
                <w:szCs w:val="17"/>
                <w:color w:val="auto"/>
              </w:rPr>
              <w:t>Palm Coast Park Community Development District</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PolyMet</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PolyMet Mining Corporation</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PPA</w:t>
            </w:r>
          </w:p>
        </w:tc>
        <w:tc>
          <w:tcPr>
            <w:tcW w:w="9180" w:type="dxa"/>
            <w:vAlign w:val="bottom"/>
          </w:tcPr>
          <w:p>
            <w:pPr>
              <w:ind w:left="560"/>
              <w:spacing w:after="0"/>
              <w:rPr>
                <w:sz w:val="20"/>
                <w:szCs w:val="20"/>
                <w:color w:val="auto"/>
              </w:rPr>
            </w:pPr>
            <w:r>
              <w:rPr>
                <w:rFonts w:ascii="Arial" w:cs="Arial" w:eastAsia="Arial" w:hAnsi="Arial"/>
                <w:sz w:val="17"/>
                <w:szCs w:val="17"/>
                <w:color w:val="auto"/>
              </w:rPr>
              <w:t>Power Purchase Agreement</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PSCW</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Public Service Commission of Wisconsin</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PUHCA 2005</w:t>
            </w:r>
          </w:p>
        </w:tc>
        <w:tc>
          <w:tcPr>
            <w:tcW w:w="9180" w:type="dxa"/>
            <w:vAlign w:val="bottom"/>
          </w:tcPr>
          <w:p>
            <w:pPr>
              <w:ind w:left="560"/>
              <w:spacing w:after="0"/>
              <w:rPr>
                <w:sz w:val="20"/>
                <w:szCs w:val="20"/>
                <w:color w:val="auto"/>
              </w:rPr>
            </w:pPr>
            <w:r>
              <w:rPr>
                <w:rFonts w:ascii="Arial" w:cs="Arial" w:eastAsia="Arial" w:hAnsi="Arial"/>
                <w:sz w:val="17"/>
                <w:szCs w:val="17"/>
                <w:color w:val="auto"/>
              </w:rPr>
              <w:t>Public Utility Holding Company Act of 2005</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Rainy River Energy</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Rainy River Energy Corporation - Wisconsin</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RSOP</w:t>
            </w:r>
          </w:p>
        </w:tc>
        <w:tc>
          <w:tcPr>
            <w:tcW w:w="9180" w:type="dxa"/>
            <w:vAlign w:val="bottom"/>
          </w:tcPr>
          <w:p>
            <w:pPr>
              <w:ind w:left="560"/>
              <w:spacing w:after="0"/>
              <w:rPr>
                <w:sz w:val="20"/>
                <w:szCs w:val="20"/>
                <w:color w:val="auto"/>
              </w:rPr>
            </w:pPr>
            <w:r>
              <w:rPr>
                <w:rFonts w:ascii="Arial" w:cs="Arial" w:eastAsia="Arial" w:hAnsi="Arial"/>
                <w:sz w:val="17"/>
                <w:szCs w:val="17"/>
                <w:color w:val="auto"/>
              </w:rPr>
              <w:t>Retirement Savings and Stock Ownership Plan</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SEC</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Securities and Exchange Commission</w:t>
            </w:r>
          </w:p>
        </w:tc>
      </w:tr>
      <w:tr>
        <w:trPr>
          <w:trHeight w:val="214"/>
        </w:trPr>
        <w:tc>
          <w:tcPr>
            <w:tcW w:w="2240" w:type="dxa"/>
            <w:vAlign w:val="bottom"/>
          </w:tcPr>
          <w:p>
            <w:pPr>
              <w:spacing w:after="0" w:line="213" w:lineRule="exact"/>
              <w:rPr>
                <w:sz w:val="20"/>
                <w:szCs w:val="20"/>
                <w:color w:val="auto"/>
              </w:rPr>
            </w:pPr>
            <w:r>
              <w:rPr>
                <w:rFonts w:ascii="Arial" w:cs="Arial" w:eastAsia="Arial" w:hAnsi="Arial"/>
                <w:sz w:val="17"/>
                <w:szCs w:val="17"/>
                <w:color w:val="auto"/>
              </w:rPr>
              <w:t>SO</w:t>
            </w:r>
            <w:r>
              <w:rPr>
                <w:rFonts w:ascii="Arial" w:cs="Arial" w:eastAsia="Arial" w:hAnsi="Arial"/>
                <w:sz w:val="23"/>
                <w:szCs w:val="23"/>
                <w:color w:val="auto"/>
                <w:vertAlign w:val="subscript"/>
              </w:rPr>
              <w:t>2</w:t>
            </w:r>
          </w:p>
        </w:tc>
        <w:tc>
          <w:tcPr>
            <w:tcW w:w="9180" w:type="dxa"/>
            <w:vAlign w:val="bottom"/>
          </w:tcPr>
          <w:p>
            <w:pPr>
              <w:ind w:left="560"/>
              <w:spacing w:after="0"/>
              <w:rPr>
                <w:sz w:val="20"/>
                <w:szCs w:val="20"/>
                <w:color w:val="auto"/>
              </w:rPr>
            </w:pPr>
            <w:r>
              <w:rPr>
                <w:rFonts w:ascii="Arial" w:cs="Arial" w:eastAsia="Arial" w:hAnsi="Arial"/>
                <w:sz w:val="17"/>
                <w:szCs w:val="17"/>
                <w:color w:val="auto"/>
              </w:rPr>
              <w:t>Sulfur Dioxide</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Square Butte</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Square Butte Electric Cooperative</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Standard &amp; Poor’s</w:t>
            </w:r>
          </w:p>
        </w:tc>
        <w:tc>
          <w:tcPr>
            <w:tcW w:w="9180" w:type="dxa"/>
            <w:vAlign w:val="bottom"/>
          </w:tcPr>
          <w:p>
            <w:pPr>
              <w:ind w:left="560"/>
              <w:spacing w:after="0"/>
              <w:rPr>
                <w:sz w:val="20"/>
                <w:szCs w:val="20"/>
                <w:color w:val="auto"/>
              </w:rPr>
            </w:pPr>
            <w:r>
              <w:rPr>
                <w:rFonts w:ascii="Arial" w:cs="Arial" w:eastAsia="Arial" w:hAnsi="Arial"/>
                <w:sz w:val="17"/>
                <w:szCs w:val="17"/>
                <w:color w:val="auto"/>
              </w:rPr>
              <w:t>Standard &amp; Poor’s Ratings Services, a division of The McGraw-Hill Companies, Inc.</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SWL&amp;P</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Superior Water, Light and Power Company</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Taconite Harbor</w:t>
            </w:r>
          </w:p>
        </w:tc>
        <w:tc>
          <w:tcPr>
            <w:tcW w:w="9180" w:type="dxa"/>
            <w:vAlign w:val="bottom"/>
          </w:tcPr>
          <w:p>
            <w:pPr>
              <w:ind w:left="560"/>
              <w:spacing w:after="0"/>
              <w:rPr>
                <w:sz w:val="20"/>
                <w:szCs w:val="20"/>
                <w:color w:val="auto"/>
              </w:rPr>
            </w:pPr>
            <w:r>
              <w:rPr>
                <w:rFonts w:ascii="Arial" w:cs="Arial" w:eastAsia="Arial" w:hAnsi="Arial"/>
                <w:sz w:val="17"/>
                <w:szCs w:val="17"/>
                <w:color w:val="auto"/>
              </w:rPr>
              <w:t>Taconite Harbor Energy Center</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Taconite Ridge</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Taconite Ridge Energy Center</w:t>
            </w:r>
          </w:p>
        </w:tc>
      </w:tr>
      <w:tr>
        <w:trPr>
          <w:trHeight w:val="201"/>
        </w:trPr>
        <w:tc>
          <w:tcPr>
            <w:tcW w:w="2240" w:type="dxa"/>
            <w:vAlign w:val="bottom"/>
          </w:tcPr>
          <w:p>
            <w:pPr>
              <w:spacing w:after="0"/>
              <w:rPr>
                <w:sz w:val="20"/>
                <w:szCs w:val="20"/>
                <w:color w:val="auto"/>
              </w:rPr>
            </w:pPr>
            <w:r>
              <w:rPr>
                <w:rFonts w:ascii="Arial" w:cs="Arial" w:eastAsia="Arial" w:hAnsi="Arial"/>
                <w:sz w:val="17"/>
                <w:szCs w:val="17"/>
                <w:color w:val="auto"/>
              </w:rPr>
              <w:t>Town Center</w:t>
            </w:r>
          </w:p>
        </w:tc>
        <w:tc>
          <w:tcPr>
            <w:tcW w:w="9180" w:type="dxa"/>
            <w:vAlign w:val="bottom"/>
          </w:tcPr>
          <w:p>
            <w:pPr>
              <w:ind w:left="560"/>
              <w:spacing w:after="0"/>
              <w:rPr>
                <w:sz w:val="20"/>
                <w:szCs w:val="20"/>
                <w:color w:val="auto"/>
              </w:rPr>
            </w:pPr>
            <w:r>
              <w:rPr>
                <w:rFonts w:ascii="Arial" w:cs="Arial" w:eastAsia="Arial" w:hAnsi="Arial"/>
                <w:sz w:val="17"/>
                <w:szCs w:val="17"/>
                <w:color w:val="auto"/>
              </w:rPr>
              <w:t>Town Center at Palm Coast development project in Florida</w:t>
            </w: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Town Center District</w:t>
            </w:r>
          </w:p>
        </w:tc>
        <w:tc>
          <w:tcPr>
            <w:tcW w:w="9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Town Center at Palm Coast Community Development District</w:t>
            </w:r>
          </w:p>
        </w:tc>
      </w:tr>
      <w:tr>
        <w:trPr>
          <w:trHeight w:val="213"/>
        </w:trPr>
        <w:tc>
          <w:tcPr>
            <w:tcW w:w="2240" w:type="dxa"/>
            <w:vAlign w:val="bottom"/>
          </w:tcPr>
          <w:p>
            <w:pPr>
              <w:spacing w:after="0"/>
              <w:rPr>
                <w:sz w:val="20"/>
                <w:szCs w:val="20"/>
                <w:color w:val="auto"/>
              </w:rPr>
            </w:pPr>
            <w:r>
              <w:rPr>
                <w:rFonts w:ascii="Arial" w:cs="Arial" w:eastAsia="Arial" w:hAnsi="Arial"/>
                <w:sz w:val="17"/>
                <w:szCs w:val="17"/>
                <w:color w:val="auto"/>
              </w:rPr>
              <w:t>WDNR</w:t>
            </w:r>
          </w:p>
        </w:tc>
        <w:tc>
          <w:tcPr>
            <w:tcW w:w="9180" w:type="dxa"/>
            <w:vAlign w:val="bottom"/>
          </w:tcPr>
          <w:p>
            <w:pPr>
              <w:ind w:left="560"/>
              <w:spacing w:after="0"/>
              <w:rPr>
                <w:sz w:val="20"/>
                <w:szCs w:val="20"/>
                <w:color w:val="auto"/>
              </w:rPr>
            </w:pPr>
            <w:r>
              <w:rPr>
                <w:rFonts w:ascii="Arial" w:cs="Arial" w:eastAsia="Arial" w:hAnsi="Arial"/>
                <w:sz w:val="17"/>
                <w:szCs w:val="17"/>
                <w:color w:val="auto"/>
              </w:rPr>
              <w:t>Wisconsin Department of Natural Resources</w:t>
            </w:r>
          </w:p>
        </w:tc>
      </w:tr>
      <w:tr>
        <w:trPr>
          <w:trHeight w:val="850"/>
        </w:trPr>
        <w:tc>
          <w:tcPr>
            <w:tcW w:w="2240" w:type="dxa"/>
            <w:vAlign w:val="bottom"/>
          </w:tcPr>
          <w:p>
            <w:pPr>
              <w:spacing w:after="0"/>
              <w:rPr>
                <w:sz w:val="24"/>
                <w:szCs w:val="24"/>
                <w:color w:val="auto"/>
              </w:rPr>
            </w:pPr>
          </w:p>
        </w:tc>
        <w:tc>
          <w:tcPr>
            <w:tcW w:w="9180" w:type="dxa"/>
            <w:vAlign w:val="bottom"/>
          </w:tcPr>
          <w:p>
            <w:pPr>
              <w:jc w:val="center"/>
              <w:ind w:right="2137"/>
              <w:spacing w:after="0"/>
              <w:rPr>
                <w:sz w:val="20"/>
                <w:szCs w:val="20"/>
                <w:color w:val="auto"/>
              </w:rPr>
            </w:pPr>
            <w:r>
              <w:rPr>
                <w:rFonts w:ascii="Arial" w:cs="Arial" w:eastAsia="Arial" w:hAnsi="Arial"/>
                <w:sz w:val="17"/>
                <w:szCs w:val="17"/>
                <w:color w:val="auto"/>
                <w:w w:val="94"/>
              </w:rPr>
              <w:t>ALLETE 2010 Form 10-K</w:t>
            </w:r>
          </w:p>
        </w:tc>
      </w:tr>
      <w:tr>
        <w:trPr>
          <w:trHeight w:val="171"/>
        </w:trPr>
        <w:tc>
          <w:tcPr>
            <w:tcW w:w="2240" w:type="dxa"/>
            <w:vAlign w:val="bottom"/>
          </w:tcPr>
          <w:p>
            <w:pPr>
              <w:spacing w:after="0"/>
              <w:rPr>
                <w:sz w:val="14"/>
                <w:szCs w:val="14"/>
                <w:color w:val="auto"/>
              </w:rPr>
            </w:pPr>
          </w:p>
        </w:tc>
        <w:tc>
          <w:tcPr>
            <w:tcW w:w="9180" w:type="dxa"/>
            <w:vAlign w:val="bottom"/>
          </w:tcPr>
          <w:p>
            <w:pPr>
              <w:jc w:val="center"/>
              <w:ind w:right="2177"/>
              <w:spacing w:after="0"/>
              <w:rPr>
                <w:sz w:val="20"/>
                <w:szCs w:val="20"/>
                <w:color w:val="auto"/>
              </w:rPr>
            </w:pPr>
            <w:r>
              <w:rPr>
                <w:rFonts w:ascii="Arial" w:cs="Arial" w:eastAsia="Arial" w:hAnsi="Arial"/>
                <w:sz w:val="13"/>
                <w:szCs w:val="13"/>
                <w:color w:val="auto"/>
              </w:rPr>
              <w:t>4</w:t>
            </w:r>
          </w:p>
        </w:tc>
      </w:tr>
      <w:tr>
        <w:trPr>
          <w:trHeight w:val="321"/>
        </w:trPr>
        <w:tc>
          <w:tcPr>
            <w:tcW w:w="224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Safe Harbor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Private Securities Litigation Reform Act of 1995</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“projects,̶1; “will likely result,”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Annual Report on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06" w:lineRule="exact"/>
        <w:rPr>
          <w:sz w:val="20"/>
          <w:szCs w:val="20"/>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objectives;</w:t>
      </w:r>
    </w:p>
    <w:p>
      <w:pPr>
        <w:spacing w:after="0" w:line="17" w:lineRule="exact"/>
        <w:rPr>
          <w:rFonts w:ascii="Arial" w:cs="Arial" w:eastAsia="Arial" w:hAnsi="Arial"/>
          <w:sz w:val="17"/>
          <w:szCs w:val="17"/>
          <w:color w:val="auto"/>
        </w:rPr>
      </w:pPr>
    </w:p>
    <w:p>
      <w:pPr>
        <w:jc w:val="both"/>
        <w:ind w:left="800" w:hanging="799"/>
        <w:spacing w:after="0" w:line="262"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prevailing governmental policies, regulatory actions, and legislation, including those of the United States Congress, state legislatures, the FERC, the MPUC, the PSCW, the NDPSC, the EPA and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6"/>
          <w:szCs w:val="16"/>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expansion and integrate acquisitions;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impacts of climate change and future regulation to restrict the emissions of GHG on our Regulated Operations;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effects of restructuring initiatives in the electric industry;</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and geographic factors, including political and economic risks;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and compliance with laws and regulations;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natural disasters and pandemic diseases;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wholesale power market conditions;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population growth rates and demographic patterns;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effects of competition, including competition for retail and wholesale customers;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real estate market;</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pricing and transportation of commodities;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rates or policies or in rates of inflation;</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project delays or changes in project costs;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management of construction materials and skilled construction labor for capital projects;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operating expenses and capital expenditures;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and domestic economic conditions affecting us or our customers;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capital markets and bank financing;</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interest rates and the performance of the financial markets;</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replace a mature workforce and retain qualified, skilled and experienced personnel; and</w:t>
      </w:r>
    </w:p>
    <w:p>
      <w:pPr>
        <w:spacing w:after="0" w:line="5" w:lineRule="exact"/>
        <w:rPr>
          <w:rFonts w:ascii="Arial" w:cs="Arial" w:eastAsia="Arial" w:hAnsi="Arial"/>
          <w:sz w:val="17"/>
          <w:szCs w:val="17"/>
          <w:color w:val="auto"/>
        </w:rPr>
      </w:pPr>
    </w:p>
    <w:p>
      <w:pPr>
        <w:ind w:left="800" w:hanging="799"/>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legal and administrative proceedings (whether civil or criminal) and settlements that affect the business and profitability of ALLETE.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-3564255</wp:posOffset>
            </wp:positionV>
            <wp:extent cx="7256145" cy="127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-2797810</wp:posOffset>
            </wp:positionV>
            <wp:extent cx="7256145" cy="127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-2542540</wp:posOffset>
            </wp:positionV>
            <wp:extent cx="7256145" cy="127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-2287270</wp:posOffset>
            </wp:positionV>
            <wp:extent cx="7256145" cy="12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-2032000</wp:posOffset>
            </wp:positionV>
            <wp:extent cx="7256145" cy="12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-1776095</wp:posOffset>
            </wp:positionV>
            <wp:extent cx="7256145" cy="127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-1520825</wp:posOffset>
            </wp:positionV>
            <wp:extent cx="7256145" cy="12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-1265555</wp:posOffset>
            </wp:positionV>
            <wp:extent cx="7256145" cy="12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-1010285</wp:posOffset>
            </wp:positionV>
            <wp:extent cx="7256145" cy="12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-754380</wp:posOffset>
            </wp:positionV>
            <wp:extent cx="7256145" cy="127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-499110</wp:posOffset>
            </wp:positionV>
            <wp:extent cx="7256145" cy="12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-243840</wp:posOffset>
            </wp:positionV>
            <wp:extent cx="7256145" cy="12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Additional disclosures regarding factors that could cause our results and performance to differ from results or performance anticipated by this report are discussed in Item 1A under the heading “Risk Factors” beginning on page 22 of this Annual Report on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 al results to differ materially from those contained in any forward-looking statement. Readers are urged to carefully review and consider the various disclosures made by us in this Annual Report on Form 10-K and in our other reports filed with the SEC that attempt to advise interested parties of the factors that may affect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Part I</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 that owns</w:t>
      </w:r>
      <w:r>
        <w:rPr>
          <w:rFonts w:ascii="Arial" w:cs="Arial" w:eastAsia="Arial" w:hAnsi="Arial"/>
          <w:sz w:val="17"/>
          <w:szCs w:val="17"/>
          <w:b w:val="1"/>
          <w:bCs w:val="1"/>
          <w:color w:val="auto"/>
        </w:rPr>
        <w:t xml:space="preserve"> </w:t>
      </w:r>
      <w:r>
        <w:rPr>
          <w:rFonts w:ascii="Arial" w:cs="Arial" w:eastAsia="Arial" w:hAnsi="Arial"/>
          <w:sz w:val="17"/>
          <w:szCs w:val="17"/>
          <w:color w:val="auto"/>
        </w:rPr>
        <w:t>and maintains electric transmission assets in parts of Wisconsin, Michigan, Minnesota and Illinois. Minnesota Power provides regulated utility electric service in northeastern Minnesota to 146,000 retail customers and wholesale electric service to 16 non-affiliated municipalities. Minnesota Power also provides regulated utility electric service to 1 private utility in Wisconsin. SWL&amp;P, a wholly-owned subsidiary of ALLETE, is also a private utility in Wisconsin and a customer of Minnesota Power. SWL&amp;P provides regulated electric, natural gas and water service in northwestern Wisconsin to 15,000 electric custome 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segment also includes a small amount of non-rate base generation, approximately 7,000 acres of land held-for-sale in Minnesota, and earnings on cash and investments.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 is incorporated under the laws of Minnesota. Our corporate headquarters are in Duluth, Minnesota. Statistical information is presented as of December 31, 2010, unless otherwise indicated. All subsidiaries of ALLETE are wholly owned unless otherwise specifically indicated. References in this report to “we,” “us” and “our” are to ALLETE and its subsidiaries, collectively.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3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2010</w:t>
            </w:r>
          </w:p>
        </w:tc>
        <w:tc>
          <w:tcPr>
            <w:tcW w:w="1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2009</w:t>
            </w:r>
          </w:p>
        </w:tc>
        <w:tc>
          <w:tcPr>
            <w:tcW w:w="8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2008</w:t>
            </w:r>
          </w:p>
        </w:tc>
      </w:tr>
      <w:tr>
        <w:trPr>
          <w:trHeight w:val="201"/>
        </w:trPr>
        <w:tc>
          <w:tcPr>
            <w:tcW w:w="6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Consolidated Operating Revenue – Millions</w:t>
            </w:r>
          </w:p>
        </w:tc>
        <w:tc>
          <w:tcPr>
            <w:tcW w:w="35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$907.0</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$759.1</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$801.0</w:t>
            </w:r>
          </w:p>
        </w:tc>
      </w:tr>
      <w:tr>
        <w:trPr>
          <w:trHeight w:val="201"/>
        </w:trPr>
        <w:tc>
          <w:tcPr>
            <w:tcW w:w="6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Percentage of Consolidated Operating Revenue</w:t>
            </w:r>
          </w:p>
        </w:tc>
        <w:tc>
          <w:tcPr>
            <w:tcW w:w="3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1"/>
        </w:trPr>
        <w:tc>
          <w:tcPr>
            <w:tcW w:w="6000" w:type="dxa"/>
            <w:vAlign w:val="bottom"/>
          </w:tcPr>
          <w:p>
            <w:pPr>
              <w:ind w:left="160"/>
              <w:spacing w:after="0"/>
              <w:rPr>
                <w:sz w:val="20"/>
                <w:szCs w:val="20"/>
                <w:color w:val="auto"/>
              </w:rPr>
            </w:pPr>
            <w:r>
              <w:rPr>
                <w:rFonts w:ascii="Arial" w:cs="Arial" w:eastAsia="Arial" w:hAnsi="Arial"/>
                <w:sz w:val="17"/>
                <w:szCs w:val="17"/>
                <w:color w:val="auto"/>
              </w:rPr>
              <w:t>Regulated Operations</w:t>
            </w:r>
          </w:p>
        </w:tc>
        <w:tc>
          <w:tcPr>
            <w:tcW w:w="3560" w:type="dxa"/>
            <w:vAlign w:val="bottom"/>
          </w:tcPr>
          <w:p>
            <w:pPr>
              <w:jc w:val="right"/>
              <w:ind w:right="196"/>
              <w:spacing w:after="0"/>
              <w:rPr>
                <w:sz w:val="20"/>
                <w:szCs w:val="20"/>
                <w:color w:val="auto"/>
              </w:rPr>
            </w:pPr>
            <w:r>
              <w:rPr>
                <w:rFonts w:ascii="Arial" w:cs="Arial" w:eastAsia="Arial" w:hAnsi="Arial"/>
                <w:sz w:val="17"/>
                <w:szCs w:val="17"/>
                <w:color w:val="auto"/>
              </w:rPr>
              <w:t>92%</w:t>
            </w: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90%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89%</w:t>
            </w:r>
          </w:p>
        </w:tc>
      </w:tr>
      <w:tr>
        <w:trPr>
          <w:trHeight w:val="206"/>
        </w:trPr>
        <w:tc>
          <w:tcPr>
            <w:tcW w:w="6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Investments and Other</w:t>
            </w:r>
          </w:p>
        </w:tc>
        <w:tc>
          <w:tcPr>
            <w:tcW w:w="35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8%</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r>
      <w:tr>
        <w:trPr>
          <w:trHeight w:val="206"/>
        </w:trPr>
        <w:tc>
          <w:tcPr>
            <w:tcW w:w="60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100%</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100%</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100%</w:t>
            </w:r>
          </w:p>
        </w:tc>
      </w:tr>
    </w:tbl>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20"/>
                <w:szCs w:val="20"/>
                <w:color w:val="auto"/>
              </w:rPr>
            </w:pPr>
            <w:r>
              <w:rPr>
                <w:rFonts w:ascii="Arial" w:cs="Arial" w:eastAsia="Arial" w:hAnsi="Arial"/>
                <w:sz w:val="17"/>
                <w:szCs w:val="17"/>
                <w:b w:val="1"/>
                <w:bCs w:val="1"/>
                <w:color w:val="auto"/>
              </w:rPr>
              <w:t>REGULATED OPERATIONS</w:t>
            </w: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7"/>
        </w:trPr>
        <w:tc>
          <w:tcPr>
            <w:tcW w:w="4240" w:type="dxa"/>
            <w:vAlign w:val="bottom"/>
          </w:tcPr>
          <w:p>
            <w:pPr>
              <w:spacing w:after="0"/>
              <w:rPr>
                <w:sz w:val="20"/>
                <w:szCs w:val="20"/>
                <w:color w:val="auto"/>
              </w:rPr>
            </w:pPr>
            <w:r>
              <w:rPr>
                <w:rFonts w:ascii="Arial" w:cs="Arial" w:eastAsia="Arial" w:hAnsi="Arial"/>
                <w:sz w:val="17"/>
                <w:szCs w:val="17"/>
                <w:b w:val="1"/>
                <w:bCs w:val="1"/>
                <w:color w:val="auto"/>
              </w:rPr>
              <w:t>Electric Sales / Customers</w:t>
            </w: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4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Regulated Utility Electric Sales</w:t>
            </w:r>
          </w:p>
        </w:tc>
        <w:tc>
          <w:tcPr>
            <w:tcW w:w="2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4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2010</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2009</w:t>
            </w: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2008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 of Kilowatt-hours</w:t>
            </w:r>
          </w:p>
        </w:tc>
        <w:tc>
          <w:tcPr>
            <w:tcW w:w="2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Retail and Municipals</w:t>
            </w:r>
          </w:p>
        </w:tc>
        <w:tc>
          <w:tcPr>
            <w:tcW w:w="2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Residential</w:t>
            </w:r>
          </w:p>
        </w:tc>
        <w:tc>
          <w:tcPr>
            <w:tcW w:w="24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1,150</w:t>
            </w: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9</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1,164</w:t>
            </w:r>
          </w:p>
        </w:tc>
        <w:tc>
          <w:tcPr>
            <w:tcW w:w="9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10</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1,172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r>
      <w:tr>
        <w:trPr>
          <w:trHeight w:val="201"/>
        </w:trPr>
        <w:tc>
          <w:tcPr>
            <w:tcW w:w="4240" w:type="dxa"/>
            <w:vAlign w:val="bottom"/>
          </w:tcPr>
          <w:p>
            <w:pPr>
              <w:ind w:left="160"/>
              <w:spacing w:after="0"/>
              <w:rPr>
                <w:sz w:val="20"/>
                <w:szCs w:val="20"/>
                <w:color w:val="auto"/>
              </w:rPr>
            </w:pPr>
            <w:r>
              <w:rPr>
                <w:rFonts w:ascii="Arial" w:cs="Arial" w:eastAsia="Arial" w:hAnsi="Arial"/>
                <w:sz w:val="17"/>
                <w:szCs w:val="17"/>
                <w:color w:val="auto"/>
              </w:rPr>
              <w:t>Commercial</w:t>
            </w:r>
          </w:p>
        </w:tc>
        <w:tc>
          <w:tcPr>
            <w:tcW w:w="2440" w:type="dxa"/>
            <w:vAlign w:val="bottom"/>
          </w:tcPr>
          <w:p>
            <w:pPr>
              <w:jc w:val="right"/>
              <w:ind w:right="196"/>
              <w:spacing w:after="0"/>
              <w:rPr>
                <w:sz w:val="20"/>
                <w:szCs w:val="20"/>
                <w:color w:val="auto"/>
              </w:rPr>
            </w:pPr>
            <w:r>
              <w:rPr>
                <w:rFonts w:ascii="Arial" w:cs="Arial" w:eastAsia="Arial" w:hAnsi="Arial"/>
                <w:sz w:val="17"/>
                <w:szCs w:val="17"/>
                <w:color w:val="auto"/>
              </w:rPr>
              <w:t>1,433</w:t>
            </w:r>
          </w:p>
        </w:tc>
        <w:tc>
          <w:tcPr>
            <w:tcW w:w="900" w:type="dxa"/>
            <w:vAlign w:val="bottom"/>
          </w:tcPr>
          <w:p>
            <w:pPr>
              <w:jc w:val="right"/>
              <w:ind w:right="296"/>
              <w:spacing w:after="0"/>
              <w:rPr>
                <w:sz w:val="20"/>
                <w:szCs w:val="20"/>
                <w:color w:val="auto"/>
              </w:rPr>
            </w:pPr>
            <w:r>
              <w:rPr>
                <w:rFonts w:ascii="Arial" w:cs="Arial" w:eastAsia="Arial" w:hAnsi="Arial"/>
                <w:sz w:val="17"/>
                <w:szCs w:val="17"/>
                <w:color w:val="auto"/>
              </w:rPr>
              <w:t>11</w:t>
            </w:r>
          </w:p>
        </w:tc>
        <w:tc>
          <w:tcPr>
            <w:tcW w:w="1120" w:type="dxa"/>
            <w:vAlign w:val="bottom"/>
          </w:tcPr>
          <w:p>
            <w:pPr>
              <w:jc w:val="right"/>
              <w:ind w:right="196"/>
              <w:spacing w:after="0"/>
              <w:rPr>
                <w:sz w:val="20"/>
                <w:szCs w:val="20"/>
                <w:color w:val="auto"/>
              </w:rPr>
            </w:pPr>
            <w:r>
              <w:rPr>
                <w:rFonts w:ascii="Arial" w:cs="Arial" w:eastAsia="Arial" w:hAnsi="Arial"/>
                <w:sz w:val="17"/>
                <w:szCs w:val="17"/>
                <w:color w:val="auto"/>
              </w:rPr>
              <w:t>1,420</w:t>
            </w:r>
          </w:p>
        </w:tc>
        <w:tc>
          <w:tcPr>
            <w:tcW w:w="980" w:type="dxa"/>
            <w:vAlign w:val="bottom"/>
          </w:tcPr>
          <w:p>
            <w:pPr>
              <w:jc w:val="right"/>
              <w:ind w:right="356"/>
              <w:spacing w:after="0"/>
              <w:rPr>
                <w:sz w:val="20"/>
                <w:szCs w:val="20"/>
                <w:color w:val="auto"/>
              </w:rPr>
            </w:pPr>
            <w:r>
              <w:rPr>
                <w:rFonts w:ascii="Arial" w:cs="Arial" w:eastAsia="Arial" w:hAnsi="Arial"/>
                <w:sz w:val="17"/>
                <w:szCs w:val="17"/>
                <w:color w:val="auto"/>
              </w:rPr>
              <w:t>12</w:t>
            </w:r>
          </w:p>
        </w:tc>
        <w:tc>
          <w:tcPr>
            <w:tcW w:w="1200" w:type="dxa"/>
            <w:vAlign w:val="bottom"/>
          </w:tcPr>
          <w:p>
            <w:pPr>
              <w:jc w:val="right"/>
              <w:ind w:right="236"/>
              <w:spacing w:after="0"/>
              <w:rPr>
                <w:sz w:val="20"/>
                <w:szCs w:val="20"/>
                <w:color w:val="auto"/>
              </w:rPr>
            </w:pPr>
            <w:r>
              <w:rPr>
                <w:rFonts w:ascii="Arial" w:cs="Arial" w:eastAsia="Arial" w:hAnsi="Arial"/>
                <w:sz w:val="17"/>
                <w:szCs w:val="17"/>
                <w:color w:val="auto"/>
              </w:rPr>
              <w:t>1,454</w:t>
            </w: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r>
      <w:tr>
        <w:trPr>
          <w:trHeight w:val="201"/>
        </w:trPr>
        <w:tc>
          <w:tcPr>
            <w:tcW w:w="4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Industrial</w:t>
            </w:r>
          </w:p>
        </w:tc>
        <w:tc>
          <w:tcPr>
            <w:tcW w:w="24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6,804</w:t>
            </w: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52</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4,475</w:t>
            </w:r>
          </w:p>
        </w:tc>
        <w:tc>
          <w:tcPr>
            <w:tcW w:w="9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37</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7,192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r>
      <w:tr>
        <w:trPr>
          <w:trHeight w:val="206"/>
        </w:trPr>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Municipals (FERC rate regulated)</w:t>
            </w:r>
          </w:p>
        </w:tc>
        <w:tc>
          <w:tcPr>
            <w:tcW w:w="24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1,006</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7</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992</w:t>
            </w: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8</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1,002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r>
      <w:tr>
        <w:trPr>
          <w:trHeight w:val="206"/>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Retail and Municipals</w:t>
            </w:r>
          </w:p>
        </w:tc>
        <w:tc>
          <w:tcPr>
            <w:tcW w:w="24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10,393</w:t>
            </w:r>
          </w:p>
        </w:tc>
        <w:tc>
          <w:tcPr>
            <w:tcW w:w="9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79</w:t>
            </w:r>
          </w:p>
        </w:tc>
        <w:tc>
          <w:tcPr>
            <w:tcW w:w="11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8,051</w:t>
            </w:r>
          </w:p>
        </w:tc>
        <w:tc>
          <w:tcPr>
            <w:tcW w:w="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67</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10,820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r>
      <w:tr>
        <w:trPr>
          <w:trHeight w:val="206"/>
        </w:trPr>
        <w:tc>
          <w:tcPr>
            <w:tcW w:w="4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Power Suppliers</w:t>
            </w:r>
          </w:p>
        </w:tc>
        <w:tc>
          <w:tcPr>
            <w:tcW w:w="24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2,745</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21</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4,056</w:t>
            </w: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33</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1,800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r>
      <w:tr>
        <w:trPr>
          <w:trHeight w:val="206"/>
        </w:trPr>
        <w:tc>
          <w:tcPr>
            <w:tcW w:w="4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Total Regulated Utility Electric Sales</w:t>
            </w:r>
          </w:p>
        </w:tc>
        <w:tc>
          <w:tcPr>
            <w:tcW w:w="24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13,138</w:t>
            </w:r>
          </w:p>
        </w:tc>
        <w:tc>
          <w:tcPr>
            <w:tcW w:w="9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100</w:t>
            </w:r>
          </w:p>
        </w:tc>
        <w:tc>
          <w:tcPr>
            <w:tcW w:w="11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12,107</w:t>
            </w:r>
          </w:p>
        </w:tc>
        <w:tc>
          <w:tcPr>
            <w:tcW w:w="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100</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12,620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Due to the high concentration of industrial sales, Minnesota Power is not subject to significant seasonal fluctuations. The operations of our industrial customers, which make up a large portion of our sales portfolio as shown in the table above, are not typically subject to significant seasonal variations.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Industrial Customers</w:t>
      </w:r>
      <w:r>
        <w:rPr>
          <w:rFonts w:ascii="Arial" w:cs="Arial" w:eastAsia="Arial" w:hAnsi="Arial"/>
          <w:sz w:val="17"/>
          <w:szCs w:val="17"/>
          <w:color w:val="auto"/>
        </w:rPr>
        <w:t>. In 2010, our industrial customers represented 52 percent of total regulated utility kilowatt-hour sales. Our industrial customers are primarily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taconite, paper, pulp and wood products, and pipeline industries.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Industrial Customer Electric Sales</w:t>
            </w:r>
          </w:p>
        </w:tc>
        <w:tc>
          <w:tcPr>
            <w:tcW w:w="2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3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2010</w:t>
            </w: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2009</w:t>
            </w: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2008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 of Kilowatt-hours</w:t>
            </w:r>
          </w:p>
        </w:tc>
        <w:tc>
          <w:tcPr>
            <w:tcW w:w="2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600" w:type="dxa"/>
            <w:vAlign w:val="bottom"/>
          </w:tcPr>
          <w:p>
            <w:pPr>
              <w:spacing w:after="0"/>
              <w:rPr>
                <w:sz w:val="20"/>
                <w:szCs w:val="20"/>
                <w:color w:val="auto"/>
              </w:rPr>
            </w:pPr>
            <w:r>
              <w:rPr>
                <w:rFonts w:ascii="Arial" w:cs="Arial" w:eastAsia="Arial" w:hAnsi="Arial"/>
                <w:sz w:val="17"/>
                <w:szCs w:val="17"/>
                <w:color w:val="auto"/>
              </w:rPr>
              <w:t>Taconite Producers</w:t>
            </w:r>
          </w:p>
        </w:tc>
        <w:tc>
          <w:tcPr>
            <w:tcW w:w="2300" w:type="dxa"/>
            <w:vAlign w:val="bottom"/>
          </w:tcPr>
          <w:p>
            <w:pPr>
              <w:jc w:val="right"/>
              <w:ind w:right="196"/>
              <w:spacing w:after="0"/>
              <w:rPr>
                <w:sz w:val="20"/>
                <w:szCs w:val="20"/>
                <w:color w:val="auto"/>
              </w:rPr>
            </w:pPr>
            <w:r>
              <w:rPr>
                <w:rFonts w:ascii="Arial" w:cs="Arial" w:eastAsia="Arial" w:hAnsi="Arial"/>
                <w:sz w:val="17"/>
                <w:szCs w:val="17"/>
                <w:color w:val="auto"/>
              </w:rPr>
              <w:t>4,324</w:t>
            </w:r>
          </w:p>
        </w:tc>
        <w:tc>
          <w:tcPr>
            <w:tcW w:w="960" w:type="dxa"/>
            <w:vAlign w:val="bottom"/>
          </w:tcPr>
          <w:p>
            <w:pPr>
              <w:jc w:val="right"/>
              <w:ind w:right="336"/>
              <w:spacing w:after="0"/>
              <w:rPr>
                <w:sz w:val="20"/>
                <w:szCs w:val="20"/>
                <w:color w:val="auto"/>
              </w:rPr>
            </w:pPr>
            <w:r>
              <w:rPr>
                <w:rFonts w:ascii="Arial" w:cs="Arial" w:eastAsia="Arial" w:hAnsi="Arial"/>
                <w:sz w:val="17"/>
                <w:szCs w:val="17"/>
                <w:color w:val="auto"/>
              </w:rPr>
              <w:t>64</w:t>
            </w: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2,124</w:t>
            </w:r>
          </w:p>
        </w:tc>
        <w:tc>
          <w:tcPr>
            <w:tcW w:w="980" w:type="dxa"/>
            <w:vAlign w:val="bottom"/>
          </w:tcPr>
          <w:p>
            <w:pPr>
              <w:jc w:val="right"/>
              <w:ind w:right="416"/>
              <w:spacing w:after="0"/>
              <w:rPr>
                <w:sz w:val="20"/>
                <w:szCs w:val="20"/>
                <w:color w:val="auto"/>
              </w:rPr>
            </w:pPr>
            <w:r>
              <w:rPr>
                <w:rFonts w:ascii="Arial" w:cs="Arial" w:eastAsia="Arial" w:hAnsi="Arial"/>
                <w:sz w:val="17"/>
                <w:szCs w:val="17"/>
                <w:color w:val="auto"/>
              </w:rPr>
              <w:t>47</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4,579</w:t>
            </w:r>
          </w:p>
        </w:tc>
        <w:tc>
          <w:tcPr>
            <w:tcW w:w="46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7"/>
                <w:szCs w:val="17"/>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Paper, Pulp and Wood Products</w:t>
            </w:r>
          </w:p>
        </w:tc>
        <w:tc>
          <w:tcPr>
            <w:tcW w:w="23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1,573</w:t>
            </w:r>
          </w:p>
        </w:tc>
        <w:tc>
          <w:tcPr>
            <w:tcW w:w="96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23</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1,454</w:t>
            </w:r>
          </w:p>
        </w:tc>
        <w:tc>
          <w:tcPr>
            <w:tcW w:w="9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33</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1,567</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7"/>
                <w:szCs w:val="17"/>
                <w:color w:val="auto"/>
              </w:rPr>
            </w:pPr>
          </w:p>
        </w:tc>
      </w:tr>
      <w:tr>
        <w:trPr>
          <w:trHeight w:val="201"/>
        </w:trPr>
        <w:tc>
          <w:tcPr>
            <w:tcW w:w="4600" w:type="dxa"/>
            <w:vAlign w:val="bottom"/>
          </w:tcPr>
          <w:p>
            <w:pPr>
              <w:spacing w:after="0"/>
              <w:rPr>
                <w:sz w:val="20"/>
                <w:szCs w:val="20"/>
                <w:color w:val="auto"/>
              </w:rPr>
            </w:pPr>
            <w:r>
              <w:rPr>
                <w:rFonts w:ascii="Arial" w:cs="Arial" w:eastAsia="Arial" w:hAnsi="Arial"/>
                <w:sz w:val="17"/>
                <w:szCs w:val="17"/>
                <w:color w:val="auto"/>
              </w:rPr>
              <w:t>Pipelines</w:t>
            </w:r>
          </w:p>
        </w:tc>
        <w:tc>
          <w:tcPr>
            <w:tcW w:w="2300" w:type="dxa"/>
            <w:vAlign w:val="bottom"/>
          </w:tcPr>
          <w:p>
            <w:pPr>
              <w:jc w:val="right"/>
              <w:ind w:right="196"/>
              <w:spacing w:after="0"/>
              <w:rPr>
                <w:sz w:val="20"/>
                <w:szCs w:val="20"/>
                <w:color w:val="auto"/>
              </w:rPr>
            </w:pPr>
            <w:r>
              <w:rPr>
                <w:rFonts w:ascii="Arial" w:cs="Arial" w:eastAsia="Arial" w:hAnsi="Arial"/>
                <w:sz w:val="17"/>
                <w:szCs w:val="17"/>
                <w:color w:val="auto"/>
              </w:rPr>
              <w:t>494</w:t>
            </w:r>
          </w:p>
        </w:tc>
        <w:tc>
          <w:tcPr>
            <w:tcW w:w="960" w:type="dxa"/>
            <w:vAlign w:val="bottom"/>
          </w:tcPr>
          <w:p>
            <w:pPr>
              <w:jc w:val="right"/>
              <w:ind w:right="336"/>
              <w:spacing w:after="0"/>
              <w:rPr>
                <w:sz w:val="20"/>
                <w:szCs w:val="20"/>
                <w:color w:val="auto"/>
              </w:rPr>
            </w:pPr>
            <w:r>
              <w:rPr>
                <w:rFonts w:ascii="Arial" w:cs="Arial" w:eastAsia="Arial" w:hAnsi="Arial"/>
                <w:sz w:val="17"/>
                <w:szCs w:val="17"/>
                <w:color w:val="auto"/>
              </w:rPr>
              <w:t>7</w:t>
            </w: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504</w:t>
            </w:r>
          </w:p>
        </w:tc>
        <w:tc>
          <w:tcPr>
            <w:tcW w:w="980" w:type="dxa"/>
            <w:vAlign w:val="bottom"/>
          </w:tcPr>
          <w:p>
            <w:pPr>
              <w:jc w:val="right"/>
              <w:ind w:right="416"/>
              <w:spacing w:after="0"/>
              <w:rPr>
                <w:sz w:val="20"/>
                <w:szCs w:val="20"/>
                <w:color w:val="auto"/>
              </w:rPr>
            </w:pPr>
            <w:r>
              <w:rPr>
                <w:rFonts w:ascii="Arial" w:cs="Arial" w:eastAsia="Arial" w:hAnsi="Arial"/>
                <w:sz w:val="17"/>
                <w:szCs w:val="17"/>
                <w:color w:val="auto"/>
              </w:rPr>
              <w:t>11</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582</w:t>
            </w:r>
          </w:p>
        </w:tc>
        <w:tc>
          <w:tcPr>
            <w:tcW w:w="46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r>
      <w:tr>
        <w:trPr>
          <w:trHeight w:val="206"/>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Industrial</w:t>
            </w:r>
          </w:p>
        </w:tc>
        <w:tc>
          <w:tcPr>
            <w:tcW w:w="23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413</w:t>
            </w:r>
          </w:p>
        </w:tc>
        <w:tc>
          <w:tcPr>
            <w:tcW w:w="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6</w:t>
            </w:r>
          </w:p>
        </w:tc>
        <w:tc>
          <w:tcPr>
            <w:tcW w:w="10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393</w:t>
            </w:r>
          </w:p>
        </w:tc>
        <w:tc>
          <w:tcPr>
            <w:tcW w:w="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9</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464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r>
      <w:tr>
        <w:trPr>
          <w:trHeight w:val="206"/>
        </w:trPr>
        <w:tc>
          <w:tcPr>
            <w:tcW w:w="46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Industrial Customer Electric Sales</w:t>
            </w:r>
          </w:p>
        </w:tc>
        <w:tc>
          <w:tcPr>
            <w:tcW w:w="23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6,804</w:t>
            </w: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100</w:t>
            </w: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4,475</w:t>
            </w: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100</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7,192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Approximately 60 percent of the ore consumed by integrated steel facilities in the United States originates from six taconite customers of Minnesota Power, which represented 4,324 million kilowatt-hours, or 64 percent, of our total industrial sales in 2010.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2010, the domestic steel industry rebounded from the low levels of production seen in 2009. According to the American Iron and Steel Institute (AISI), United States raw steel production operated at approximately 70 percent of capacity in 2010, up significantly from 2009 levels of approximately 50 percent. Domestic steel demand rebounded for automobiles and durable goods, while still remaining soft for structural and construction steel products.</w:t>
      </w:r>
    </w:p>
    <w:p>
      <w:pPr>
        <w:spacing w:after="0" w:line="18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Annual 2010 taconite production in Minnesota increased from the 18 million tons produced in 2009 to approximately 36 million tons in 2010 (40 million tons in 2008), representing about 85 percent of capacity. As a result, kilowatt-hour sales to our taconite customers in 2010 were more than double our 2009 sales.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Projections from the AISI translate to United States steel production levels at about 75 percent of capacity in 2011. There has been a general historical correlation between U.S. steel production and Minnesota taconite production. Based on these projections Minnesota Power expects 2011 taconite production in Minnesota to be in the range of 2010 production levels. We will continue to market available power to Other Power Suppliers, when necessary, in an effort to mitigate the earnings impact of lower industrial sales. Other Power Supply sales are dependent upon the availability of generation and are sold at market-based prices into the MISO market on a daily basis or through bilateral agreements of various durations.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serving the taconite industry, Minnesota Power also serves a number of customers in the paper, pulp and wood products industry, which represented 1,573 million kilowatt-hours, or 23 percent, of our total industrial sales in 2010. In total, we serve four major paper and pulp mills directly and one paper mill indirectly by providing wholesale service to the retail provider of electricity to the mill. Minnesota Power’s paper and pulp customers ran at, or very near, full capacity for the majority of 2010, as the paper industry stabilized and pricing and demand levels recovered following the global recession.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pipeline industry is the third key industrial class served by Minnesota Power with services provided to two crude oil pipelines and one refinery indirectly through SWL&amp;P, which represented 494 million kilowatt-hours, or 7 percent, of our total industrial sales in 2010. These customers have a common reliance on the importation of Canadian crude oil. After near-capacity operations for the past four years, both pipeline operators are executing expansion plans to transport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Large Power Customer Contracts. </w:t>
      </w:r>
      <w:r>
        <w:rPr>
          <w:rFonts w:ascii="Arial" w:cs="Arial" w:eastAsia="Arial" w:hAnsi="Arial"/>
          <w:sz w:val="17"/>
          <w:szCs w:val="17"/>
          <w:color w:val="auto"/>
        </w:rPr>
        <w:t>Minnesota Power has 9 Large Power contracts with 10 Large Power Customers. All of these contracts serve requirements of 10 MW</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of customer load. The customers consist of five taconite producing facilities (two of which are owned by one company and are served under a single contract), one iron nugget plant, and four paper and pulp mills.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Large Power Customer Contracts (Continued)</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Four of the Large Power Customers have interruptible service which provides a discou nted demand rate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All contracts with Large Power Customers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Minnesota Power, as permitted by the MPUC, requires its taconite-producing Large Power Customers to pay weekly for electric usage based on monthly energy usage estimates. These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Status for Minnesota Power Large Power Customers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February 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12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Earliest</w:t>
            </w:r>
          </w:p>
        </w:tc>
      </w:tr>
      <w:tr>
        <w:trPr>
          <w:trHeight w:val="22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Customer</w:t>
            </w:r>
          </w:p>
        </w:tc>
        <w:tc>
          <w:tcPr>
            <w:tcW w:w="12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Industry</w:t>
            </w:r>
          </w:p>
        </w:tc>
        <w:tc>
          <w:tcPr>
            <w:tcW w:w="2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b w:val="1"/>
                <w:bCs w:val="1"/>
                <w:color w:val="auto"/>
              </w:rPr>
              <w:t>Location</w:t>
            </w:r>
          </w:p>
        </w:tc>
        <w:tc>
          <w:tcPr>
            <w:tcW w:w="29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7"/>
                <w:szCs w:val="17"/>
                <w:b w:val="1"/>
                <w:bCs w:val="1"/>
                <w:color w:val="auto"/>
              </w:rPr>
              <w:t>Ownership</w:t>
            </w:r>
          </w:p>
        </w:tc>
        <w:tc>
          <w:tcPr>
            <w:tcW w:w="21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Termination Date</w:t>
            </w: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 xml:space="preserve">ArcelorMittal USA – Minorca Mine </w:t>
            </w:r>
            <w:r>
              <w:rPr>
                <w:rFonts w:ascii="Arial" w:cs="Arial" w:eastAsia="Arial" w:hAnsi="Arial"/>
                <w:sz w:val="17"/>
                <w:szCs w:val="17"/>
                <w:i w:val="1"/>
                <w:iCs w:val="1"/>
                <w:color w:val="auto"/>
              </w:rPr>
              <w:t>(a)</w:t>
            </w:r>
          </w:p>
        </w:tc>
        <w:tc>
          <w:tcPr>
            <w:tcW w:w="1200" w:type="dxa"/>
            <w:vAlign w:val="bottom"/>
          </w:tcPr>
          <w:p>
            <w:pPr>
              <w:ind w:left="260"/>
              <w:spacing w:after="0"/>
              <w:rPr>
                <w:sz w:val="20"/>
                <w:szCs w:val="20"/>
                <w:color w:val="auto"/>
              </w:rPr>
            </w:pPr>
            <w:r>
              <w:rPr>
                <w:rFonts w:ascii="Arial" w:cs="Arial" w:eastAsia="Arial" w:hAnsi="Arial"/>
                <w:sz w:val="17"/>
                <w:szCs w:val="17"/>
                <w:color w:val="auto"/>
              </w:rPr>
              <w:t>Taconite</w:t>
            </w:r>
          </w:p>
        </w:tc>
        <w:tc>
          <w:tcPr>
            <w:tcW w:w="2120" w:type="dxa"/>
            <w:vAlign w:val="bottom"/>
          </w:tcPr>
          <w:p>
            <w:pPr>
              <w:ind w:left="100"/>
              <w:spacing w:after="0"/>
              <w:rPr>
                <w:sz w:val="20"/>
                <w:szCs w:val="20"/>
                <w:color w:val="auto"/>
              </w:rPr>
            </w:pPr>
            <w:r>
              <w:rPr>
                <w:rFonts w:ascii="Arial" w:cs="Arial" w:eastAsia="Arial" w:hAnsi="Arial"/>
                <w:sz w:val="17"/>
                <w:szCs w:val="17"/>
                <w:color w:val="auto"/>
              </w:rPr>
              <w:t>Virginia, MN</w:t>
            </w:r>
          </w:p>
        </w:tc>
        <w:tc>
          <w:tcPr>
            <w:tcW w:w="2960" w:type="dxa"/>
            <w:vAlign w:val="bottom"/>
          </w:tcPr>
          <w:p>
            <w:pPr>
              <w:ind w:left="80"/>
              <w:spacing w:after="0"/>
              <w:rPr>
                <w:sz w:val="20"/>
                <w:szCs w:val="20"/>
                <w:color w:val="auto"/>
              </w:rPr>
            </w:pPr>
            <w:r>
              <w:rPr>
                <w:rFonts w:ascii="Arial" w:cs="Arial" w:eastAsia="Arial" w:hAnsi="Arial"/>
                <w:sz w:val="17"/>
                <w:szCs w:val="17"/>
                <w:color w:val="auto"/>
              </w:rPr>
              <w:t>ArcelorMittal USA Inc.</w:t>
            </w:r>
          </w:p>
        </w:tc>
        <w:tc>
          <w:tcPr>
            <w:tcW w:w="2120" w:type="dxa"/>
            <w:vAlign w:val="bottom"/>
          </w:tcPr>
          <w:p>
            <w:pPr>
              <w:ind w:left="280"/>
              <w:spacing w:after="0"/>
              <w:rPr>
                <w:sz w:val="20"/>
                <w:szCs w:val="20"/>
                <w:color w:val="auto"/>
              </w:rPr>
            </w:pPr>
            <w:r>
              <w:rPr>
                <w:rFonts w:ascii="Arial" w:cs="Arial" w:eastAsia="Arial" w:hAnsi="Arial"/>
                <w:sz w:val="17"/>
                <w:szCs w:val="17"/>
                <w:color w:val="auto"/>
              </w:rPr>
              <w:t>January 31, 2015</w:t>
            </w: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Hibbing Taconite Co. </w:t>
            </w:r>
            <w:r>
              <w:rPr>
                <w:rFonts w:ascii="Arial" w:cs="Arial" w:eastAsia="Arial" w:hAnsi="Arial"/>
                <w:sz w:val="17"/>
                <w:szCs w:val="17"/>
                <w:i w:val="1"/>
                <w:iCs w:val="1"/>
                <w:color w:val="auto"/>
              </w:rPr>
              <w:t>(c)</w:t>
            </w:r>
          </w:p>
        </w:tc>
        <w:tc>
          <w:tcPr>
            <w:tcW w:w="12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Taconite</w:t>
            </w:r>
          </w:p>
        </w:tc>
        <w:tc>
          <w:tcPr>
            <w:tcW w:w="21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Hibbing, MN</w:t>
            </w:r>
          </w:p>
        </w:tc>
        <w:tc>
          <w:tcPr>
            <w:tcW w:w="2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62.3% ArcelorMittal USA Inc.</w:t>
            </w:r>
          </w:p>
        </w:tc>
        <w:tc>
          <w:tcPr>
            <w:tcW w:w="212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December 31, 2015</w:t>
            </w:r>
          </w:p>
        </w:tc>
      </w:tr>
      <w:tr>
        <w:trPr>
          <w:trHeight w:val="201"/>
        </w:trPr>
        <w:tc>
          <w:tcPr>
            <w:tcW w:w="3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23.0% Cliffs Natural Resources Inc.</w:t>
            </w:r>
          </w:p>
        </w:tc>
        <w:tc>
          <w:tcPr>
            <w:tcW w:w="2120" w:type="dxa"/>
            <w:vAlign w:val="bottom"/>
            <w:shd w:val="clear" w:color="auto" w:fill="CCEEFF"/>
          </w:tcPr>
          <w:p>
            <w:pPr>
              <w:spacing w:after="0"/>
              <w:rPr>
                <w:sz w:val="17"/>
                <w:szCs w:val="17"/>
                <w:color w:val="auto"/>
              </w:rPr>
            </w:pPr>
          </w:p>
        </w:tc>
      </w:tr>
      <w:tr>
        <w:trPr>
          <w:trHeight w:val="214"/>
        </w:trPr>
        <w:tc>
          <w:tcPr>
            <w:tcW w:w="3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7"/>
              </w:rPr>
              <w:t>14.7% United States Steel Corporation</w:t>
            </w:r>
          </w:p>
        </w:tc>
        <w:tc>
          <w:tcPr>
            <w:tcW w:w="2120" w:type="dxa"/>
            <w:vAlign w:val="bottom"/>
            <w:shd w:val="clear" w:color="auto" w:fill="CCEEFF"/>
          </w:tcPr>
          <w:p>
            <w:pPr>
              <w:spacing w:after="0"/>
              <w:rPr>
                <w:sz w:val="18"/>
                <w:szCs w:val="18"/>
                <w:color w:val="auto"/>
              </w:rPr>
            </w:pP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color w:val="auto"/>
              </w:rPr>
              <w:t>United States Steel Corporation (USS)</w:t>
            </w:r>
          </w:p>
        </w:tc>
        <w:tc>
          <w:tcPr>
            <w:tcW w:w="1200" w:type="dxa"/>
            <w:vAlign w:val="bottom"/>
          </w:tcPr>
          <w:p>
            <w:pPr>
              <w:ind w:left="260"/>
              <w:spacing w:after="0" w:line="189" w:lineRule="exact"/>
              <w:rPr>
                <w:sz w:val="20"/>
                <w:szCs w:val="20"/>
                <w:color w:val="auto"/>
              </w:rPr>
            </w:pPr>
            <w:r>
              <w:rPr>
                <w:rFonts w:ascii="Arial" w:cs="Arial" w:eastAsia="Arial" w:hAnsi="Arial"/>
                <w:sz w:val="17"/>
                <w:szCs w:val="17"/>
                <w:color w:val="auto"/>
              </w:rPr>
              <w:t>Taconite</w:t>
            </w:r>
          </w:p>
        </w:tc>
        <w:tc>
          <w:tcPr>
            <w:tcW w:w="2120" w:type="dxa"/>
            <w:vAlign w:val="bottom"/>
          </w:tcPr>
          <w:p>
            <w:pPr>
              <w:ind w:left="100"/>
              <w:spacing w:after="0" w:line="189" w:lineRule="exact"/>
              <w:rPr>
                <w:sz w:val="20"/>
                <w:szCs w:val="20"/>
                <w:color w:val="auto"/>
              </w:rPr>
            </w:pPr>
            <w:r>
              <w:rPr>
                <w:rFonts w:ascii="Arial" w:cs="Arial" w:eastAsia="Arial" w:hAnsi="Arial"/>
                <w:sz w:val="17"/>
                <w:szCs w:val="17"/>
                <w:color w:val="auto"/>
                <w:w w:val="97"/>
              </w:rPr>
              <w:t>Mt. Iron, MN and Keewatin,</w:t>
            </w:r>
          </w:p>
        </w:tc>
        <w:tc>
          <w:tcPr>
            <w:tcW w:w="2960" w:type="dxa"/>
            <w:vAlign w:val="bottom"/>
          </w:tcPr>
          <w:p>
            <w:pPr>
              <w:ind w:left="80"/>
              <w:spacing w:after="0" w:line="189" w:lineRule="exact"/>
              <w:rPr>
                <w:sz w:val="20"/>
                <w:szCs w:val="20"/>
                <w:color w:val="auto"/>
              </w:rPr>
            </w:pPr>
            <w:r>
              <w:rPr>
                <w:rFonts w:ascii="Arial" w:cs="Arial" w:eastAsia="Arial" w:hAnsi="Arial"/>
                <w:sz w:val="17"/>
                <w:szCs w:val="17"/>
                <w:color w:val="auto"/>
              </w:rPr>
              <w:t>United States Steel Corporation</w:t>
            </w:r>
          </w:p>
        </w:tc>
        <w:tc>
          <w:tcPr>
            <w:tcW w:w="2120" w:type="dxa"/>
            <w:vAlign w:val="bottom"/>
          </w:tcPr>
          <w:p>
            <w:pPr>
              <w:ind w:left="280"/>
              <w:spacing w:after="0" w:line="189" w:lineRule="exact"/>
              <w:rPr>
                <w:sz w:val="20"/>
                <w:szCs w:val="20"/>
                <w:color w:val="auto"/>
              </w:rPr>
            </w:pPr>
            <w:r>
              <w:rPr>
                <w:rFonts w:ascii="Arial" w:cs="Arial" w:eastAsia="Arial" w:hAnsi="Arial"/>
                <w:sz w:val="17"/>
                <w:szCs w:val="17"/>
                <w:color w:val="auto"/>
              </w:rPr>
              <w:t>January 31, 2015</w:t>
            </w:r>
          </w:p>
        </w:tc>
      </w:tr>
      <w:tr>
        <w:trPr>
          <w:trHeight w:val="213"/>
        </w:trPr>
        <w:tc>
          <w:tcPr>
            <w:tcW w:w="3020" w:type="dxa"/>
            <w:vAlign w:val="bottom"/>
          </w:tcPr>
          <w:p>
            <w:pPr>
              <w:spacing w:after="0"/>
              <w:rPr>
                <w:sz w:val="20"/>
                <w:szCs w:val="20"/>
                <w:color w:val="auto"/>
              </w:rPr>
            </w:pPr>
            <w:r>
              <w:rPr>
                <w:rFonts w:ascii="Arial" w:cs="Arial" w:eastAsia="Arial" w:hAnsi="Arial"/>
                <w:sz w:val="17"/>
                <w:szCs w:val="17"/>
                <w:color w:val="auto"/>
              </w:rPr>
              <w:t xml:space="preserve">(USS – Minnesota Ore) </w:t>
            </w:r>
            <w:r>
              <w:rPr>
                <w:rFonts w:ascii="Arial" w:cs="Arial" w:eastAsia="Arial" w:hAnsi="Arial"/>
                <w:sz w:val="17"/>
                <w:szCs w:val="17"/>
                <w:i w:val="1"/>
                <w:iCs w:val="1"/>
                <w:color w:val="auto"/>
              </w:rPr>
              <w:t>(a,b)</w:t>
            </w:r>
          </w:p>
        </w:tc>
        <w:tc>
          <w:tcPr>
            <w:tcW w:w="120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MN</w:t>
            </w:r>
          </w:p>
        </w:tc>
        <w:tc>
          <w:tcPr>
            <w:tcW w:w="29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United Taconite LLC </w:t>
            </w:r>
            <w:r>
              <w:rPr>
                <w:rFonts w:ascii="Arial" w:cs="Arial" w:eastAsia="Arial" w:hAnsi="Arial"/>
                <w:sz w:val="17"/>
                <w:szCs w:val="17"/>
                <w:i w:val="1"/>
                <w:iCs w:val="1"/>
                <w:color w:val="auto"/>
              </w:rPr>
              <w:t>(c)</w:t>
            </w:r>
          </w:p>
        </w:tc>
        <w:tc>
          <w:tcPr>
            <w:tcW w:w="1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Taconite</w:t>
            </w:r>
          </w:p>
        </w:tc>
        <w:tc>
          <w:tcPr>
            <w:tcW w:w="2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Eveleth, MN</w:t>
            </w: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Cliffs Natural Resources Inc.</w:t>
            </w:r>
          </w:p>
        </w:tc>
        <w:tc>
          <w:tcPr>
            <w:tcW w:w="2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December 31, 2015</w:t>
            </w: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color w:val="auto"/>
              </w:rPr>
              <w:t xml:space="preserve">Mesabi Nugget Delaware, LLC </w:t>
            </w:r>
            <w:r>
              <w:rPr>
                <w:rFonts w:ascii="Arial" w:cs="Arial" w:eastAsia="Arial" w:hAnsi="Arial"/>
                <w:sz w:val="17"/>
                <w:szCs w:val="17"/>
                <w:i w:val="1"/>
                <w:iCs w:val="1"/>
                <w:color w:val="auto"/>
              </w:rPr>
              <w:t>(c)</w:t>
            </w:r>
          </w:p>
        </w:tc>
        <w:tc>
          <w:tcPr>
            <w:tcW w:w="1200" w:type="dxa"/>
            <w:vAlign w:val="bottom"/>
          </w:tcPr>
          <w:p>
            <w:pPr>
              <w:ind w:left="260"/>
              <w:spacing w:after="0" w:line="189" w:lineRule="exact"/>
              <w:rPr>
                <w:sz w:val="20"/>
                <w:szCs w:val="20"/>
                <w:color w:val="auto"/>
              </w:rPr>
            </w:pPr>
            <w:r>
              <w:rPr>
                <w:rFonts w:ascii="Arial" w:cs="Arial" w:eastAsia="Arial" w:hAnsi="Arial"/>
                <w:sz w:val="17"/>
                <w:szCs w:val="17"/>
                <w:color w:val="auto"/>
              </w:rPr>
              <w:t>Iron Nugget</w:t>
            </w:r>
          </w:p>
        </w:tc>
        <w:tc>
          <w:tcPr>
            <w:tcW w:w="2120" w:type="dxa"/>
            <w:vAlign w:val="bottom"/>
          </w:tcPr>
          <w:p>
            <w:pPr>
              <w:ind w:left="100"/>
              <w:spacing w:after="0" w:line="189" w:lineRule="exact"/>
              <w:rPr>
                <w:sz w:val="20"/>
                <w:szCs w:val="20"/>
                <w:color w:val="auto"/>
              </w:rPr>
            </w:pPr>
            <w:r>
              <w:rPr>
                <w:rFonts w:ascii="Arial" w:cs="Arial" w:eastAsia="Arial" w:hAnsi="Arial"/>
                <w:sz w:val="17"/>
                <w:szCs w:val="17"/>
                <w:color w:val="auto"/>
              </w:rPr>
              <w:t>Hoyt Lakes, MN</w:t>
            </w:r>
          </w:p>
        </w:tc>
        <w:tc>
          <w:tcPr>
            <w:tcW w:w="2960" w:type="dxa"/>
            <w:vAlign w:val="bottom"/>
          </w:tcPr>
          <w:p>
            <w:pPr>
              <w:ind w:left="80"/>
              <w:spacing w:after="0" w:line="189" w:lineRule="exact"/>
              <w:rPr>
                <w:sz w:val="20"/>
                <w:szCs w:val="20"/>
                <w:color w:val="auto"/>
              </w:rPr>
            </w:pPr>
            <w:r>
              <w:rPr>
                <w:rFonts w:ascii="Arial" w:cs="Arial" w:eastAsia="Arial" w:hAnsi="Arial"/>
                <w:sz w:val="17"/>
                <w:szCs w:val="17"/>
                <w:color w:val="auto"/>
              </w:rPr>
              <w:t>Steel Dynamics, Inc (80%)</w:t>
            </w:r>
          </w:p>
        </w:tc>
        <w:tc>
          <w:tcPr>
            <w:tcW w:w="2120" w:type="dxa"/>
            <w:vAlign w:val="bottom"/>
          </w:tcPr>
          <w:p>
            <w:pPr>
              <w:ind w:left="280"/>
              <w:spacing w:after="0" w:line="189" w:lineRule="exact"/>
              <w:rPr>
                <w:sz w:val="20"/>
                <w:szCs w:val="20"/>
                <w:color w:val="auto"/>
              </w:rPr>
            </w:pPr>
            <w:r>
              <w:rPr>
                <w:rFonts w:ascii="Arial" w:cs="Arial" w:eastAsia="Arial" w:hAnsi="Arial"/>
                <w:sz w:val="17"/>
                <w:szCs w:val="17"/>
                <w:color w:val="auto"/>
              </w:rPr>
              <w:t>December 31, 2017</w:t>
            </w:r>
          </w:p>
        </w:tc>
      </w:tr>
      <w:tr>
        <w:trPr>
          <w:trHeight w:val="213"/>
        </w:trPr>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Kobe Steel USA (20%)</w:t>
            </w:r>
          </w:p>
        </w:tc>
        <w:tc>
          <w:tcPr>
            <w:tcW w:w="2120" w:type="dxa"/>
            <w:vAlign w:val="bottom"/>
          </w:tcPr>
          <w:p>
            <w:pPr>
              <w:spacing w:after="0"/>
              <w:rPr>
                <w:sz w:val="18"/>
                <w:szCs w:val="18"/>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UPM, Blandin Paper Mill </w:t>
            </w:r>
            <w:r>
              <w:rPr>
                <w:rFonts w:ascii="Arial" w:cs="Arial" w:eastAsia="Arial" w:hAnsi="Arial"/>
                <w:sz w:val="17"/>
                <w:szCs w:val="17"/>
                <w:i w:val="1"/>
                <w:iCs w:val="1"/>
                <w:color w:val="auto"/>
              </w:rPr>
              <w:t>(a)</w:t>
            </w:r>
          </w:p>
        </w:tc>
        <w:tc>
          <w:tcPr>
            <w:tcW w:w="1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Paper</w:t>
            </w:r>
          </w:p>
        </w:tc>
        <w:tc>
          <w:tcPr>
            <w:tcW w:w="2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Grand Rapids, MN</w:t>
            </w: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UPM-Kymmene Corporation</w:t>
            </w:r>
          </w:p>
        </w:tc>
        <w:tc>
          <w:tcPr>
            <w:tcW w:w="2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January 31, 2015</w:t>
            </w: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 xml:space="preserve">Boise White Paper, LLC </w:t>
            </w:r>
            <w:r>
              <w:rPr>
                <w:rFonts w:ascii="Arial" w:cs="Arial" w:eastAsia="Arial" w:hAnsi="Arial"/>
                <w:sz w:val="17"/>
                <w:szCs w:val="17"/>
                <w:i w:val="1"/>
                <w:iCs w:val="1"/>
                <w:color w:val="auto"/>
              </w:rPr>
              <w:t>(c)</w:t>
            </w:r>
          </w:p>
        </w:tc>
        <w:tc>
          <w:tcPr>
            <w:tcW w:w="1200" w:type="dxa"/>
            <w:vAlign w:val="bottom"/>
          </w:tcPr>
          <w:p>
            <w:pPr>
              <w:ind w:left="260"/>
              <w:spacing w:after="0"/>
              <w:rPr>
                <w:sz w:val="20"/>
                <w:szCs w:val="20"/>
                <w:color w:val="auto"/>
              </w:rPr>
            </w:pPr>
            <w:r>
              <w:rPr>
                <w:rFonts w:ascii="Arial" w:cs="Arial" w:eastAsia="Arial" w:hAnsi="Arial"/>
                <w:sz w:val="17"/>
                <w:szCs w:val="17"/>
                <w:color w:val="auto"/>
              </w:rPr>
              <w:t>Paper</w:t>
            </w:r>
          </w:p>
        </w:tc>
        <w:tc>
          <w:tcPr>
            <w:tcW w:w="2120" w:type="dxa"/>
            <w:vAlign w:val="bottom"/>
          </w:tcPr>
          <w:p>
            <w:pPr>
              <w:ind w:left="100"/>
              <w:spacing w:after="0"/>
              <w:rPr>
                <w:sz w:val="20"/>
                <w:szCs w:val="20"/>
                <w:color w:val="auto"/>
              </w:rPr>
            </w:pPr>
            <w:r>
              <w:rPr>
                <w:rFonts w:ascii="Arial" w:cs="Arial" w:eastAsia="Arial" w:hAnsi="Arial"/>
                <w:sz w:val="17"/>
                <w:szCs w:val="17"/>
                <w:color w:val="auto"/>
              </w:rPr>
              <w:t>International Falls, MN</w:t>
            </w:r>
          </w:p>
        </w:tc>
        <w:tc>
          <w:tcPr>
            <w:tcW w:w="2960" w:type="dxa"/>
            <w:vAlign w:val="bottom"/>
          </w:tcPr>
          <w:p>
            <w:pPr>
              <w:ind w:left="80"/>
              <w:spacing w:after="0"/>
              <w:rPr>
                <w:sz w:val="20"/>
                <w:szCs w:val="20"/>
                <w:color w:val="auto"/>
              </w:rPr>
            </w:pPr>
            <w:r>
              <w:rPr>
                <w:rFonts w:ascii="Arial" w:cs="Arial" w:eastAsia="Arial" w:hAnsi="Arial"/>
                <w:sz w:val="17"/>
                <w:szCs w:val="17"/>
                <w:color w:val="auto"/>
              </w:rPr>
              <w:t>Boise Paper Holdings, LLC</w:t>
            </w:r>
          </w:p>
        </w:tc>
        <w:tc>
          <w:tcPr>
            <w:tcW w:w="2120" w:type="dxa"/>
            <w:vAlign w:val="bottom"/>
          </w:tcPr>
          <w:p>
            <w:pPr>
              <w:ind w:left="280"/>
              <w:spacing w:after="0"/>
              <w:rPr>
                <w:sz w:val="20"/>
                <w:szCs w:val="20"/>
                <w:color w:val="auto"/>
              </w:rPr>
            </w:pPr>
            <w:r>
              <w:rPr>
                <w:rFonts w:ascii="Arial" w:cs="Arial" w:eastAsia="Arial" w:hAnsi="Arial"/>
                <w:sz w:val="17"/>
                <w:szCs w:val="17"/>
                <w:color w:val="auto"/>
              </w:rPr>
              <w:t>December 31, 2013</w:t>
            </w: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Sappi Cloquet LLC </w:t>
            </w:r>
            <w:r>
              <w:rPr>
                <w:rFonts w:ascii="Arial" w:cs="Arial" w:eastAsia="Arial" w:hAnsi="Arial"/>
                <w:sz w:val="17"/>
                <w:szCs w:val="17"/>
                <w:i w:val="1"/>
                <w:iCs w:val="1"/>
                <w:color w:val="auto"/>
              </w:rPr>
              <w:t>(a)</w:t>
            </w:r>
          </w:p>
        </w:tc>
        <w:tc>
          <w:tcPr>
            <w:tcW w:w="33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Paper and Pulp Cloquet, MN</w:t>
            </w: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Sappi Limited</w:t>
            </w:r>
          </w:p>
        </w:tc>
        <w:tc>
          <w:tcPr>
            <w:tcW w:w="2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January 31, 2015</w:t>
            </w:r>
          </w:p>
        </w:tc>
      </w:tr>
      <w:tr>
        <w:trPr>
          <w:trHeight w:val="206"/>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NewPage Corporation – Duluth Mills </w:t>
            </w:r>
            <w:r>
              <w:rPr>
                <w:rFonts w:ascii="Arial" w:cs="Arial" w:eastAsia="Arial" w:hAnsi="Arial"/>
                <w:sz w:val="17"/>
                <w:szCs w:val="17"/>
                <w:i w:val="1"/>
                <w:iCs w:val="1"/>
                <w:color w:val="auto"/>
              </w:rPr>
              <w:t>(a)</w:t>
            </w:r>
          </w:p>
        </w:tc>
        <w:tc>
          <w:tcPr>
            <w:tcW w:w="332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color w:val="auto"/>
              </w:rPr>
              <w:t>Paper and Pulp Duluth, MN</w:t>
            </w:r>
          </w:p>
        </w:tc>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NewPage Corporation</w:t>
            </w:r>
          </w:p>
        </w:tc>
        <w:tc>
          <w:tcPr>
            <w:tcW w:w="21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January 31, 2015</w:t>
            </w:r>
          </w:p>
        </w:tc>
      </w:tr>
    </w:tbl>
    <w:p>
      <w:pPr>
        <w:spacing w:after="0" w:line="214" w:lineRule="exact"/>
        <w:rPr>
          <w:sz w:val="20"/>
          <w:szCs w:val="20"/>
          <w:color w:val="auto"/>
        </w:rPr>
      </w:pPr>
    </w:p>
    <w:p>
      <w:pPr>
        <w:ind w:left="300" w:hanging="299"/>
        <w:spacing w:after="0" w:line="254" w:lineRule="auto"/>
        <w:tabs>
          <w:tab w:leader="none" w:pos="3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2015.</w:t>
      </w:r>
    </w:p>
    <w:p>
      <w:pPr>
        <w:ind w:left="300" w:hanging="299"/>
        <w:spacing w:after="0"/>
        <w:tabs>
          <w:tab w:leader="none" w:pos="3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United States Steel Corporation owns both the Minntac Plant in Mountain Iron, MN and the Keewatin Taconite Plant in Keewatin, MN.</w:t>
      </w:r>
    </w:p>
    <w:p>
      <w:pPr>
        <w:spacing w:after="0" w:line="5" w:lineRule="exact"/>
        <w:rPr>
          <w:rFonts w:ascii="Arial" w:cs="Arial" w:eastAsia="Arial" w:hAnsi="Arial"/>
          <w:sz w:val="17"/>
          <w:szCs w:val="17"/>
          <w:i w:val="1"/>
          <w:iCs w:val="1"/>
          <w:color w:val="auto"/>
        </w:rPr>
      </w:pPr>
    </w:p>
    <w:p>
      <w:pPr>
        <w:ind w:left="300" w:hanging="299"/>
        <w:spacing w:after="0"/>
        <w:tabs>
          <w:tab w:leader="none" w:pos="3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As of February 1, 2011, the contract has not reached the period of advance notice of cancellation.</w:t>
      </w: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Residential and Commercial Customers. </w:t>
      </w:r>
      <w:r>
        <w:rPr>
          <w:rFonts w:ascii="Arial" w:cs="Arial" w:eastAsia="Arial" w:hAnsi="Arial"/>
          <w:sz w:val="17"/>
          <w:szCs w:val="17"/>
          <w:color w:val="auto"/>
        </w:rPr>
        <w:t>In 2010, our residential and commercial customers represented 20 percent of total regulated utility kilowatt-hour sales.</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provides regulated utility electric service in northeastern Minnesota to approximately 146,000 residential and commercial customers. SWL&amp;P provides regulated electric, natural gas and water service in northwestern Wisconsin to approximately 15,000 electric customers, 12,000 natural gas customers and 10,000 water customers.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Municipal Customers. </w:t>
      </w:r>
      <w:r>
        <w:rPr>
          <w:rFonts w:ascii="Arial" w:cs="Arial" w:eastAsia="Arial" w:hAnsi="Arial"/>
          <w:sz w:val="17"/>
          <w:szCs w:val="17"/>
          <w:color w:val="auto"/>
        </w:rPr>
        <w:t>In 2010, our municipal customers represented 7 percent of total regulated utility kilowatt-hour sales, which included 16 municipalities in</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and 1 private utility in Wisconsin. SWL&amp;P, a wholly-owned subsidiary of ALLETE, is also a private utility in Wisconsin and a customer of Minnesota Power. In 2008, Minnesota Power entered into formula-based rate contracts with these customers which will continue until the required three-year advance notice of cancellation has been given. To date, no termination notices have been received. Under the formula-based rates provision, wholesale rates are set at the beginning of the year based on expected costs and provid e for a true-up calculation for actual costs.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Other Power Suppliers. </w:t>
      </w:r>
      <w:r>
        <w:rPr>
          <w:rFonts w:ascii="Arial" w:cs="Arial" w:eastAsia="Arial" w:hAnsi="Arial"/>
          <w:sz w:val="17"/>
          <w:szCs w:val="17"/>
          <w:color w:val="auto"/>
        </w:rPr>
        <w:t>The Company also enters into off-system sales with Other Power Suppliers. These sales are dependent upon the availability of generation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sold at market-based prices into the MISO market on a daily basis or through bilateral agreements of various durations.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Basin Power Sales Agreement. </w:t>
      </w:r>
      <w:r>
        <w:rPr>
          <w:rFonts w:ascii="Arial" w:cs="Arial" w:eastAsia="Arial" w:hAnsi="Arial"/>
          <w:sz w:val="17"/>
          <w:szCs w:val="17"/>
          <w:color w:val="auto"/>
        </w:rPr>
        <w:t>On October 29, 2009, Minnesota Power entered into an agreement to sell 100 MW of capacity and energy for a ten-year period to Basin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began in May 2010. The capacity charge is based on a fixed monthly schedule with a minimum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Supply</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order to meet our customers’ electric requirements, we utilize a mix of Company generation and purchased power. The Company’s generation is primarily coal-fired, but also includes approximately 101 MW of hydro generation from ten hydro stations in Minnesota, approximately 62 MW of wind generation, and 76 MW of biomass co-fired generation. Purchased power is made up of long-term coal, wind and hydro power purchase agreements and market purchases. The following table reflects the Company’s generating capabilities as of December 31, 2010 and total electrical output for 2010. Minnesota Power had an annual net peak load of 1,604 MW on August 30, 2010.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Supply (Continued)</w:t>
      </w:r>
    </w:p>
    <w:tbl>
      <w:tblPr>
        <w:tblLayout w:type="fixed"/>
        <w:tblInd w:w="0" w:type="dxa"/>
        <w:tblCellMar>
          <w:top w:w="0" w:type="dxa"/>
          <w:left w:w="0" w:type="dxa"/>
          <w:bottom w:w="0" w:type="dxa"/>
          <w:right w:w="0" w:type="dxa"/>
        </w:tblCellMar>
      </w:tblPr>
      <w:tr>
        <w:trPr>
          <w:trHeight w:val="191"/>
        </w:trPr>
        <w:tc>
          <w:tcPr>
            <w:tcW w:w="50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left="556"/>
              <w:spacing w:after="0" w:line="191" w:lineRule="exact"/>
              <w:rPr>
                <w:sz w:val="20"/>
                <w:szCs w:val="20"/>
                <w:color w:val="auto"/>
              </w:rPr>
            </w:pPr>
            <w:r>
              <w:rPr>
                <w:rFonts w:ascii="Arial" w:cs="Arial" w:eastAsia="Arial" w:hAnsi="Arial"/>
                <w:sz w:val="17"/>
                <w:szCs w:val="17"/>
                <w:b w:val="1"/>
                <w:bCs w:val="1"/>
                <w:color w:val="auto"/>
                <w:w w:val="89"/>
              </w:rPr>
              <w:t>Year Ended</w:t>
            </w:r>
          </w:p>
        </w:tc>
        <w:tc>
          <w:tcPr>
            <w:tcW w:w="780" w:type="dxa"/>
            <w:vAlign w:val="bottom"/>
            <w:shd w:val="clear" w:color="auto" w:fill="CCEEFF"/>
          </w:tcPr>
          <w:p>
            <w:pPr>
              <w:spacing w:after="0"/>
              <w:rPr>
                <w:sz w:val="16"/>
                <w:szCs w:val="16"/>
                <w:color w:val="auto"/>
              </w:rPr>
            </w:pP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Regulated Utility</w:t>
            </w:r>
          </w:p>
        </w:tc>
        <w:tc>
          <w:tcPr>
            <w:tcW w:w="1880" w:type="dxa"/>
            <w:vAlign w:val="bottom"/>
            <w:shd w:val="clear" w:color="auto" w:fill="CCEEFF"/>
          </w:tcPr>
          <w:p>
            <w:pPr>
              <w:jc w:val="center"/>
              <w:ind w:left="996"/>
              <w:spacing w:after="0"/>
              <w:rPr>
                <w:sz w:val="20"/>
                <w:szCs w:val="20"/>
                <w:color w:val="auto"/>
              </w:rPr>
            </w:pPr>
            <w:r>
              <w:rPr>
                <w:rFonts w:ascii="Arial" w:cs="Arial" w:eastAsia="Arial" w:hAnsi="Arial"/>
                <w:sz w:val="17"/>
                <w:szCs w:val="17"/>
                <w:b w:val="1"/>
                <w:bCs w:val="1"/>
                <w:color w:val="auto"/>
                <w:w w:val="96"/>
              </w:rPr>
              <w:t>Unit</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Year</w:t>
            </w:r>
          </w:p>
        </w:tc>
        <w:tc>
          <w:tcPr>
            <w:tcW w:w="1060" w:type="dxa"/>
            <w:vAlign w:val="bottom"/>
            <w:shd w:val="clear" w:color="auto" w:fill="CCEEFF"/>
          </w:tcPr>
          <w:p>
            <w:pPr>
              <w:jc w:val="center"/>
              <w:ind w:right="76"/>
              <w:spacing w:after="0"/>
              <w:rPr>
                <w:sz w:val="20"/>
                <w:szCs w:val="20"/>
                <w:color w:val="auto"/>
              </w:rPr>
            </w:pPr>
            <w:r>
              <w:rPr>
                <w:rFonts w:ascii="Arial" w:cs="Arial" w:eastAsia="Arial" w:hAnsi="Arial"/>
                <w:sz w:val="17"/>
                <w:szCs w:val="17"/>
                <w:b w:val="1"/>
                <w:bCs w:val="1"/>
                <w:color w:val="auto"/>
                <w:w w:val="94"/>
              </w:rPr>
              <w:t>Net</w:t>
            </w:r>
          </w:p>
        </w:tc>
        <w:tc>
          <w:tcPr>
            <w:tcW w:w="246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b w:val="1"/>
                <w:bCs w:val="1"/>
                <w:color w:val="auto"/>
                <w:w w:val="88"/>
              </w:rPr>
              <w:t>December 31, 2010</w:t>
            </w:r>
          </w:p>
        </w:tc>
      </w:tr>
      <w:tr>
        <w:trPr>
          <w:trHeight w:val="223"/>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Power Supply</w:t>
            </w:r>
          </w:p>
        </w:tc>
        <w:tc>
          <w:tcPr>
            <w:tcW w:w="1880" w:type="dxa"/>
            <w:vAlign w:val="bottom"/>
            <w:tcBorders>
              <w:bottom w:val="single" w:sz="8" w:color="auto"/>
            </w:tcBorders>
            <w:shd w:val="clear" w:color="auto" w:fill="CCEEFF"/>
          </w:tcPr>
          <w:p>
            <w:pPr>
              <w:jc w:val="center"/>
              <w:ind w:left="996"/>
              <w:spacing w:after="0"/>
              <w:rPr>
                <w:sz w:val="20"/>
                <w:szCs w:val="20"/>
                <w:color w:val="auto"/>
              </w:rPr>
            </w:pPr>
            <w:r>
              <w:rPr>
                <w:rFonts w:ascii="Arial" w:cs="Arial" w:eastAsia="Arial" w:hAnsi="Arial"/>
                <w:sz w:val="17"/>
                <w:szCs w:val="17"/>
                <w:b w:val="1"/>
                <w:bCs w:val="1"/>
                <w:color w:val="auto"/>
                <w:w w:val="87"/>
              </w:rPr>
              <w:t>No.</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Installed</w:t>
            </w:r>
          </w:p>
        </w:tc>
        <w:tc>
          <w:tcPr>
            <w:tcW w:w="10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7"/>
                <w:szCs w:val="17"/>
                <w:b w:val="1"/>
                <w:bCs w:val="1"/>
                <w:color w:val="auto"/>
                <w:w w:val="93"/>
              </w:rPr>
              <w:t>Capability</w:t>
            </w:r>
          </w:p>
        </w:tc>
        <w:tc>
          <w:tcPr>
            <w:tcW w:w="2460" w:type="dxa"/>
            <w:vAlign w:val="bottom"/>
            <w:tcBorders>
              <w:bottom w:val="single" w:sz="8" w:color="auto"/>
            </w:tcBorders>
            <w:gridSpan w:val="2"/>
            <w:shd w:val="clear" w:color="auto" w:fill="CCEEFF"/>
          </w:tcPr>
          <w:p>
            <w:pPr>
              <w:jc w:val="center"/>
              <w:ind w:right="56"/>
              <w:spacing w:after="0"/>
              <w:rPr>
                <w:sz w:val="20"/>
                <w:szCs w:val="20"/>
                <w:color w:val="auto"/>
              </w:rPr>
            </w:pPr>
            <w:r>
              <w:rPr>
                <w:rFonts w:ascii="Arial" w:cs="Arial" w:eastAsia="Arial" w:hAnsi="Arial"/>
                <w:sz w:val="17"/>
                <w:szCs w:val="17"/>
                <w:b w:val="1"/>
                <w:bCs w:val="1"/>
                <w:color w:val="auto"/>
                <w:w w:val="87"/>
              </w:rPr>
              <w:t>Generation and Purchases</w:t>
            </w:r>
          </w:p>
        </w:tc>
      </w:tr>
      <w:tr>
        <w:trPr>
          <w:trHeight w:val="201"/>
        </w:trPr>
        <w:tc>
          <w:tcPr>
            <w:tcW w:w="5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jc w:val="center"/>
              <w:ind w:right="56"/>
              <w:spacing w:after="0"/>
              <w:rPr>
                <w:sz w:val="20"/>
                <w:szCs w:val="20"/>
                <w:color w:val="auto"/>
              </w:rPr>
            </w:pPr>
            <w:r>
              <w:rPr>
                <w:rFonts w:ascii="Arial" w:cs="Arial" w:eastAsia="Arial" w:hAnsi="Arial"/>
                <w:sz w:val="17"/>
                <w:szCs w:val="17"/>
                <w:b w:val="1"/>
                <w:bCs w:val="1"/>
                <w:color w:val="auto"/>
              </w:rPr>
              <w:t>MW</w:t>
            </w:r>
          </w:p>
        </w:tc>
        <w:tc>
          <w:tcPr>
            <w:tcW w:w="1680" w:type="dxa"/>
            <w:vAlign w:val="bottom"/>
          </w:tcPr>
          <w:p>
            <w:pPr>
              <w:jc w:val="right"/>
              <w:ind w:right="856"/>
              <w:spacing w:after="0"/>
              <w:rPr>
                <w:sz w:val="20"/>
                <w:szCs w:val="20"/>
                <w:color w:val="auto"/>
              </w:rPr>
            </w:pPr>
            <w:r>
              <w:rPr>
                <w:rFonts w:ascii="Arial" w:cs="Arial" w:eastAsia="Arial" w:hAnsi="Arial"/>
                <w:sz w:val="17"/>
                <w:szCs w:val="17"/>
                <w:b w:val="1"/>
                <w:bCs w:val="1"/>
                <w:color w:val="auto"/>
              </w:rPr>
              <w:t>MWh</w:t>
            </w:r>
          </w:p>
        </w:tc>
        <w:tc>
          <w:tcPr>
            <w:tcW w:w="780" w:type="dxa"/>
            <w:vAlign w:val="bottom"/>
          </w:tcPr>
          <w:p>
            <w:pPr>
              <w:jc w:val="right"/>
              <w:ind w:right="456"/>
              <w:spacing w:after="0"/>
              <w:rPr>
                <w:sz w:val="20"/>
                <w:szCs w:val="20"/>
                <w:color w:val="auto"/>
              </w:rPr>
            </w:pPr>
            <w:r>
              <w:rPr>
                <w:rFonts w:ascii="Arial" w:cs="Arial" w:eastAsia="Arial" w:hAnsi="Arial"/>
                <w:sz w:val="17"/>
                <w:szCs w:val="17"/>
                <w:b w:val="1"/>
                <w:bCs w:val="1"/>
                <w:color w:val="auto"/>
              </w:rPr>
              <w:t>%</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Coal-Fired</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5040" w:type="dxa"/>
            <w:vAlign w:val="bottom"/>
          </w:tcPr>
          <w:p>
            <w:pPr>
              <w:ind w:left="300"/>
              <w:spacing w:after="0"/>
              <w:rPr>
                <w:sz w:val="20"/>
                <w:szCs w:val="20"/>
                <w:color w:val="auto"/>
              </w:rPr>
            </w:pPr>
            <w:r>
              <w:rPr>
                <w:rFonts w:ascii="Arial" w:cs="Arial" w:eastAsia="Arial" w:hAnsi="Arial"/>
                <w:sz w:val="17"/>
                <w:szCs w:val="17"/>
                <w:color w:val="auto"/>
              </w:rPr>
              <w:t>Boswell Energy Center</w:t>
            </w:r>
          </w:p>
        </w:tc>
        <w:tc>
          <w:tcPr>
            <w:tcW w:w="1880" w:type="dxa"/>
            <w:vAlign w:val="bottom"/>
          </w:tcPr>
          <w:p>
            <w:pPr>
              <w:jc w:val="center"/>
              <w:ind w:left="996"/>
              <w:spacing w:after="0"/>
              <w:rPr>
                <w:sz w:val="20"/>
                <w:szCs w:val="20"/>
                <w:color w:val="auto"/>
              </w:rPr>
            </w:pPr>
            <w:r>
              <w:rPr>
                <w:rFonts w:ascii="Arial" w:cs="Arial" w:eastAsia="Arial" w:hAnsi="Arial"/>
                <w:sz w:val="17"/>
                <w:szCs w:val="17"/>
                <w:color w:val="auto"/>
                <w:w w:val="84"/>
              </w:rPr>
              <w:t>1</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1958</w:t>
            </w: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68</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 Cohasset, MN</w:t>
            </w:r>
          </w:p>
        </w:tc>
        <w:tc>
          <w:tcPr>
            <w:tcW w:w="188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84"/>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1960</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66</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5040" w:type="dxa"/>
            <w:vAlign w:val="bottom"/>
          </w:tcPr>
          <w:p>
            <w:pPr>
              <w:spacing w:after="0"/>
              <w:rPr>
                <w:sz w:val="17"/>
                <w:szCs w:val="17"/>
                <w:color w:val="auto"/>
              </w:rPr>
            </w:pPr>
          </w:p>
        </w:tc>
        <w:tc>
          <w:tcPr>
            <w:tcW w:w="1880" w:type="dxa"/>
            <w:vAlign w:val="bottom"/>
          </w:tcPr>
          <w:p>
            <w:pPr>
              <w:jc w:val="center"/>
              <w:ind w:left="996"/>
              <w:spacing w:after="0"/>
              <w:rPr>
                <w:sz w:val="20"/>
                <w:szCs w:val="20"/>
                <w:color w:val="auto"/>
              </w:rPr>
            </w:pPr>
            <w:r>
              <w:rPr>
                <w:rFonts w:ascii="Arial" w:cs="Arial" w:eastAsia="Arial" w:hAnsi="Arial"/>
                <w:sz w:val="17"/>
                <w:szCs w:val="17"/>
                <w:color w:val="auto"/>
                <w:w w:val="84"/>
              </w:rPr>
              <w:t>3</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1973</w:t>
            </w: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362</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50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center"/>
              <w:ind w:left="996"/>
              <w:spacing w:after="0"/>
              <w:rPr>
                <w:sz w:val="20"/>
                <w:szCs w:val="20"/>
                <w:color w:val="auto"/>
              </w:rPr>
            </w:pPr>
            <w:r>
              <w:rPr>
                <w:rFonts w:ascii="Arial" w:cs="Arial" w:eastAsia="Arial" w:hAnsi="Arial"/>
                <w:sz w:val="17"/>
                <w:szCs w:val="17"/>
                <w:color w:val="auto"/>
                <w:w w:val="84"/>
              </w:rPr>
              <w:t>4</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1980</w:t>
            </w: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468</w:t>
            </w:r>
          </w:p>
        </w:tc>
        <w:tc>
          <w:tcPr>
            <w:tcW w:w="16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964</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5,680,246</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42.2%</w:t>
            </w:r>
          </w:p>
        </w:tc>
      </w:tr>
      <w:tr>
        <w:trPr>
          <w:trHeight w:val="201"/>
        </w:trPr>
        <w:tc>
          <w:tcPr>
            <w:tcW w:w="5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Laskin Energy Center</w:t>
            </w:r>
          </w:p>
        </w:tc>
        <w:tc>
          <w:tcPr>
            <w:tcW w:w="188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84"/>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1953</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56</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50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in Hoyt Lakes, MN</w:t>
            </w:r>
          </w:p>
        </w:tc>
        <w:tc>
          <w:tcPr>
            <w:tcW w:w="188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84"/>
              </w:rPr>
              <w:t>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1953</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51</w:t>
            </w: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06"/>
        </w:trPr>
        <w:tc>
          <w:tcPr>
            <w:tcW w:w="50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107</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516,369</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3.8</w:t>
            </w:r>
          </w:p>
        </w:tc>
      </w:tr>
      <w:tr>
        <w:trPr>
          <w:trHeight w:val="201"/>
        </w:trPr>
        <w:tc>
          <w:tcPr>
            <w:tcW w:w="5040" w:type="dxa"/>
            <w:vAlign w:val="bottom"/>
          </w:tcPr>
          <w:p>
            <w:pPr>
              <w:ind w:left="300"/>
              <w:spacing w:after="0"/>
              <w:rPr>
                <w:sz w:val="20"/>
                <w:szCs w:val="20"/>
                <w:color w:val="auto"/>
              </w:rPr>
            </w:pPr>
            <w:r>
              <w:rPr>
                <w:rFonts w:ascii="Arial" w:cs="Arial" w:eastAsia="Arial" w:hAnsi="Arial"/>
                <w:sz w:val="17"/>
                <w:szCs w:val="17"/>
                <w:color w:val="auto"/>
              </w:rPr>
              <w:t>Taconite Harbor Energy Center</w:t>
            </w:r>
          </w:p>
        </w:tc>
        <w:tc>
          <w:tcPr>
            <w:tcW w:w="1880" w:type="dxa"/>
            <w:vAlign w:val="bottom"/>
          </w:tcPr>
          <w:p>
            <w:pPr>
              <w:jc w:val="center"/>
              <w:ind w:left="996"/>
              <w:spacing w:after="0"/>
              <w:rPr>
                <w:sz w:val="20"/>
                <w:szCs w:val="20"/>
                <w:color w:val="auto"/>
              </w:rPr>
            </w:pPr>
            <w:r>
              <w:rPr>
                <w:rFonts w:ascii="Arial" w:cs="Arial" w:eastAsia="Arial" w:hAnsi="Arial"/>
                <w:sz w:val="17"/>
                <w:szCs w:val="17"/>
                <w:color w:val="auto"/>
                <w:w w:val="84"/>
              </w:rPr>
              <w:t>1</w:t>
            </w: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1957</w:t>
            </w: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76</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 Schroeder, MN</w:t>
            </w:r>
          </w:p>
        </w:tc>
        <w:tc>
          <w:tcPr>
            <w:tcW w:w="188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84"/>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1957</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76</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84"/>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1967</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79</w:t>
            </w: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06"/>
        </w:trPr>
        <w:tc>
          <w:tcPr>
            <w:tcW w:w="50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231</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1,244,316</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9.2</w:t>
            </w:r>
          </w:p>
        </w:tc>
      </w:tr>
      <w:tr>
        <w:trPr>
          <w:trHeight w:val="206"/>
        </w:trPr>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Coal</w:t>
            </w: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1,302</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7,440,931</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55.2</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Biomass/Coal/Natural Gas</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5040" w:type="dxa"/>
            <w:vAlign w:val="bottom"/>
          </w:tcPr>
          <w:p>
            <w:pPr>
              <w:ind w:left="300"/>
              <w:spacing w:after="0"/>
              <w:rPr>
                <w:sz w:val="20"/>
                <w:szCs w:val="20"/>
                <w:color w:val="auto"/>
              </w:rPr>
            </w:pPr>
            <w:r>
              <w:rPr>
                <w:rFonts w:ascii="Arial" w:cs="Arial" w:eastAsia="Arial" w:hAnsi="Arial"/>
                <w:sz w:val="17"/>
                <w:szCs w:val="17"/>
                <w:color w:val="auto"/>
              </w:rPr>
              <w:t>Hibbard Renewable Energy Center</w:t>
            </w:r>
          </w:p>
        </w:tc>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5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in Duluth, MN</w:t>
            </w:r>
          </w:p>
        </w:tc>
        <w:tc>
          <w:tcPr>
            <w:tcW w:w="188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7"/>
                <w:szCs w:val="17"/>
                <w:color w:val="auto"/>
                <w:w w:val="95"/>
              </w:rPr>
              <w:t>3 &amp; 4</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1949, 1951</w:t>
            </w: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54</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163,945</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1.2</w:t>
            </w:r>
          </w:p>
        </w:tc>
      </w:tr>
      <w:tr>
        <w:trPr>
          <w:trHeight w:val="206"/>
        </w:trPr>
        <w:tc>
          <w:tcPr>
            <w:tcW w:w="50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9"/>
        </w:trPr>
        <w:tc>
          <w:tcPr>
            <w:tcW w:w="504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Cloquet Energy Center</w:t>
            </w:r>
          </w:p>
        </w:tc>
        <w:tc>
          <w:tcPr>
            <w:tcW w:w="1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9"/>
        </w:trPr>
        <w:tc>
          <w:tcPr>
            <w:tcW w:w="5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in Cloquet, MN</w:t>
            </w:r>
          </w:p>
        </w:tc>
        <w:tc>
          <w:tcPr>
            <w:tcW w:w="1880" w:type="dxa"/>
            <w:vAlign w:val="bottom"/>
            <w:tcBorders>
              <w:bottom w:val="single" w:sz="8" w:color="auto"/>
            </w:tcBorders>
            <w:shd w:val="clear" w:color="auto" w:fill="CCEEFF"/>
          </w:tcPr>
          <w:p>
            <w:pPr>
              <w:jc w:val="center"/>
              <w:ind w:left="996"/>
              <w:spacing w:after="0"/>
              <w:rPr>
                <w:sz w:val="20"/>
                <w:szCs w:val="20"/>
                <w:color w:val="auto"/>
              </w:rPr>
            </w:pPr>
            <w:r>
              <w:rPr>
                <w:rFonts w:ascii="Arial" w:cs="Arial" w:eastAsia="Arial" w:hAnsi="Arial"/>
                <w:sz w:val="17"/>
                <w:szCs w:val="17"/>
                <w:color w:val="auto"/>
                <w:w w:val="84"/>
              </w:rPr>
              <w:t>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2001</w:t>
            </w: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22</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104,636</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0.8</w:t>
            </w:r>
          </w:p>
        </w:tc>
      </w:tr>
      <w:tr>
        <w:trPr>
          <w:trHeight w:val="206"/>
        </w:trPr>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Biomass/Coal/Natural Gas</w:t>
            </w: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76</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268,581</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2.0</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Hydro</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Group consisting of ten stations in MN</w:t>
            </w:r>
          </w:p>
        </w:tc>
        <w:tc>
          <w:tcPr>
            <w:tcW w:w="188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90"/>
              </w:rPr>
              <w:t>Various</w:t>
            </w: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101</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418,286</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3.1</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Wind </w:t>
            </w:r>
            <w:r>
              <w:rPr>
                <w:rFonts w:ascii="Arial" w:cs="Arial" w:eastAsia="Arial" w:hAnsi="Arial"/>
                <w:sz w:val="17"/>
                <w:szCs w:val="17"/>
                <w:i w:val="1"/>
                <w:iCs w:val="1"/>
                <w:color w:val="auto"/>
              </w:rPr>
              <w:t>(a)</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9"/>
        </w:trPr>
        <w:tc>
          <w:tcPr>
            <w:tcW w:w="5040" w:type="dxa"/>
            <w:vAlign w:val="bottom"/>
          </w:tcPr>
          <w:p>
            <w:pPr>
              <w:ind w:left="160"/>
              <w:spacing w:after="0" w:line="189" w:lineRule="exact"/>
              <w:rPr>
                <w:sz w:val="20"/>
                <w:szCs w:val="20"/>
                <w:color w:val="auto"/>
              </w:rPr>
            </w:pPr>
            <w:r>
              <w:rPr>
                <w:rFonts w:ascii="Arial" w:cs="Arial" w:eastAsia="Arial" w:hAnsi="Arial"/>
                <w:sz w:val="17"/>
                <w:szCs w:val="17"/>
                <w:color w:val="auto"/>
              </w:rPr>
              <w:t>Taconite Ridge</w:t>
            </w:r>
          </w:p>
        </w:tc>
        <w:tc>
          <w:tcPr>
            <w:tcW w:w="1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in Mt. Iron, MN</w:t>
            </w:r>
          </w:p>
        </w:tc>
        <w:tc>
          <w:tcPr>
            <w:tcW w:w="188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93"/>
              </w:rPr>
              <w:t>1-10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2008</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4</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63,958</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0.5</w:t>
            </w:r>
          </w:p>
        </w:tc>
      </w:tr>
      <w:tr>
        <w:trPr>
          <w:trHeight w:val="206"/>
        </w:trPr>
        <w:tc>
          <w:tcPr>
            <w:tcW w:w="50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9"/>
        </w:trPr>
        <w:tc>
          <w:tcPr>
            <w:tcW w:w="5040" w:type="dxa"/>
            <w:vAlign w:val="bottom"/>
          </w:tcPr>
          <w:p>
            <w:pPr>
              <w:ind w:left="160"/>
              <w:spacing w:after="0" w:line="189" w:lineRule="exact"/>
              <w:rPr>
                <w:sz w:val="20"/>
                <w:szCs w:val="20"/>
                <w:color w:val="auto"/>
              </w:rPr>
            </w:pPr>
            <w:r>
              <w:rPr>
                <w:rFonts w:ascii="Arial" w:cs="Arial" w:eastAsia="Arial" w:hAnsi="Arial"/>
                <w:sz w:val="17"/>
                <w:szCs w:val="17"/>
                <w:color w:val="auto"/>
              </w:rPr>
              <w:t>Bison 1</w:t>
            </w:r>
          </w:p>
        </w:tc>
        <w:tc>
          <w:tcPr>
            <w:tcW w:w="1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in Center, ND</w:t>
            </w:r>
          </w:p>
        </w:tc>
        <w:tc>
          <w:tcPr>
            <w:tcW w:w="188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93"/>
              </w:rPr>
              <w:t>1-16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2010</w:t>
            </w: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8</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10,274</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0.1</w:t>
            </w:r>
          </w:p>
        </w:tc>
      </w:tr>
      <w:tr>
        <w:trPr>
          <w:trHeight w:val="206"/>
        </w:trPr>
        <w:tc>
          <w:tcPr>
            <w:tcW w:w="50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Wind</w:t>
            </w: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12</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74,232</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0.6</w:t>
            </w:r>
          </w:p>
        </w:tc>
      </w:tr>
      <w:tr>
        <w:trPr>
          <w:trHeight w:val="206"/>
        </w:trPr>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Company Generation</w:t>
            </w: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1,491</w:t>
            </w: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8,202,030</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60.9</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Long-Term Purchased Power</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5040" w:type="dxa"/>
            <w:vAlign w:val="bottom"/>
          </w:tcPr>
          <w:p>
            <w:pPr>
              <w:ind w:left="300"/>
              <w:spacing w:after="0"/>
              <w:rPr>
                <w:sz w:val="20"/>
                <w:szCs w:val="20"/>
                <w:color w:val="auto"/>
              </w:rPr>
            </w:pPr>
            <w:r>
              <w:rPr>
                <w:rFonts w:ascii="Arial" w:cs="Arial" w:eastAsia="Arial" w:hAnsi="Arial"/>
                <w:sz w:val="17"/>
                <w:szCs w:val="17"/>
                <w:color w:val="auto"/>
              </w:rPr>
              <w:t>Lignite Coal – Square Butte near Center, ND</w:t>
            </w:r>
          </w:p>
        </w:tc>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jc w:val="right"/>
              <w:ind w:right="456"/>
              <w:spacing w:after="0"/>
              <w:rPr>
                <w:sz w:val="20"/>
                <w:szCs w:val="20"/>
                <w:color w:val="auto"/>
              </w:rPr>
            </w:pPr>
            <w:r>
              <w:rPr>
                <w:rFonts w:ascii="Arial" w:cs="Arial" w:eastAsia="Arial" w:hAnsi="Arial"/>
                <w:sz w:val="17"/>
                <w:szCs w:val="17"/>
                <w:color w:val="auto"/>
              </w:rPr>
              <w:t>1,294,082</w:t>
            </w:r>
          </w:p>
        </w:tc>
        <w:tc>
          <w:tcPr>
            <w:tcW w:w="780" w:type="dxa"/>
            <w:vAlign w:val="bottom"/>
          </w:tcPr>
          <w:p>
            <w:pPr>
              <w:jc w:val="right"/>
              <w:ind w:right="156"/>
              <w:spacing w:after="0"/>
              <w:rPr>
                <w:sz w:val="20"/>
                <w:szCs w:val="20"/>
                <w:color w:val="auto"/>
              </w:rPr>
            </w:pPr>
            <w:r>
              <w:rPr>
                <w:rFonts w:ascii="Arial" w:cs="Arial" w:eastAsia="Arial" w:hAnsi="Arial"/>
                <w:sz w:val="17"/>
                <w:szCs w:val="17"/>
                <w:color w:val="auto"/>
              </w:rPr>
              <w:t>9.6</w:t>
            </w:r>
          </w:p>
        </w:tc>
      </w:tr>
      <w:tr>
        <w:trPr>
          <w:trHeight w:val="201"/>
        </w:trPr>
        <w:tc>
          <w:tcPr>
            <w:tcW w:w="5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Wind – Oliver County, ND</w:t>
            </w: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331,541</w:t>
            </w: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2.5</w:t>
            </w:r>
          </w:p>
        </w:tc>
      </w:tr>
      <w:tr>
        <w:trPr>
          <w:trHeight w:val="206"/>
        </w:trPr>
        <w:tc>
          <w:tcPr>
            <w:tcW w:w="50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Hydro – Manitoba Hydro in Winnipeg, MB, Canada</w:t>
            </w: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523,825</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3.9</w:t>
            </w:r>
          </w:p>
        </w:tc>
      </w:tr>
      <w:tr>
        <w:trPr>
          <w:trHeight w:val="206"/>
        </w:trPr>
        <w:tc>
          <w:tcPr>
            <w:tcW w:w="50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Long-Term Purchased Power</w:t>
            </w: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2,149,448</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16.0</w:t>
            </w:r>
          </w:p>
        </w:tc>
      </w:tr>
      <w:tr>
        <w:trPr>
          <w:trHeight w:val="201"/>
        </w:trPr>
        <w:tc>
          <w:tcPr>
            <w:tcW w:w="5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Purchased Power</w:t>
            </w:r>
            <w:r>
              <w:rPr>
                <w:rFonts w:ascii="Arial" w:cs="Arial" w:eastAsia="Arial" w:hAnsi="Arial"/>
                <w:sz w:val="17"/>
                <w:szCs w:val="17"/>
                <w:i w:val="1"/>
                <w:iCs w:val="1"/>
                <w:color w:val="auto"/>
              </w:rPr>
              <w:t>(b)</w:t>
            </w: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3,112,782</w:t>
            </w:r>
          </w:p>
        </w:tc>
        <w:tc>
          <w:tcPr>
            <w:tcW w:w="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23.1</w:t>
            </w:r>
          </w:p>
        </w:tc>
      </w:tr>
      <w:tr>
        <w:trPr>
          <w:trHeight w:val="206"/>
        </w:trPr>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Purchased Power</w:t>
            </w:r>
          </w:p>
        </w:tc>
        <w:tc>
          <w:tcPr>
            <w:tcW w:w="1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5,262,230</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39.1</w:t>
            </w:r>
          </w:p>
        </w:tc>
      </w:tr>
      <w:tr>
        <w:trPr>
          <w:trHeight w:val="206"/>
        </w:trPr>
        <w:tc>
          <w:tcPr>
            <w:tcW w:w="50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18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1,491</w:t>
            </w:r>
          </w:p>
        </w:tc>
        <w:tc>
          <w:tcPr>
            <w:tcW w:w="1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13,464,260</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100.0%</w:t>
            </w:r>
          </w:p>
        </w:tc>
      </w:tr>
    </w:tbl>
    <w:p>
      <w:pPr>
        <w:spacing w:after="0" w:line="214" w:lineRule="exact"/>
        <w:rPr>
          <w:sz w:val="20"/>
          <w:szCs w:val="20"/>
          <w:color w:val="auto"/>
        </w:rPr>
      </w:pPr>
    </w:p>
    <w:p>
      <w:pPr>
        <w:jc w:val="both"/>
        <w:ind w:left="300" w:hanging="277"/>
        <w:spacing w:after="0" w:line="267" w:lineRule="auto"/>
        <w:tabs>
          <w:tab w:leader="none" w:pos="3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nameplate capacity of Taconite Ridge is 25 MW. The nameplate capacity of the first phase of Bison 1 is 36.8 MW and was commissioned December 8, 2010. The capacity reflected in the table is actual accredited capacity of the facility. Accredited capacity is the amount of net generating capability associated with the facility for which capacity credit was obtained using limited historical data. As more data is collected, actual accredited capacity may increase.</w:t>
      </w:r>
    </w:p>
    <w:p>
      <w:pPr>
        <w:spacing w:after="0" w:line="1" w:lineRule="exact"/>
        <w:rPr>
          <w:rFonts w:ascii="Arial" w:cs="Arial" w:eastAsia="Arial" w:hAnsi="Arial"/>
          <w:sz w:val="16"/>
          <w:szCs w:val="16"/>
          <w:i w:val="1"/>
          <w:iCs w:val="1"/>
          <w:color w:val="auto"/>
        </w:rPr>
      </w:pPr>
    </w:p>
    <w:p>
      <w:pPr>
        <w:ind w:left="300" w:hanging="277"/>
        <w:spacing w:after="0"/>
        <w:tabs>
          <w:tab w:leader="none" w:pos="3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Includes short-term market purchases in the MISO market and from Other Power Suppliers.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coal region located in Montana and Wyoming. Coal consumption in</w:t>
      </w:r>
      <w:r>
        <w:rPr>
          <w:rFonts w:ascii="Arial" w:cs="Arial" w:eastAsia="Arial" w:hAnsi="Arial"/>
          <w:sz w:val="17"/>
          <w:szCs w:val="17"/>
          <w:b w:val="1"/>
          <w:bCs w:val="1"/>
          <w:color w:val="auto"/>
        </w:rPr>
        <w:t xml:space="preserve"> </w:t>
      </w:r>
      <w:r>
        <w:rPr>
          <w:rFonts w:ascii="Arial" w:cs="Arial" w:eastAsia="Arial" w:hAnsi="Arial"/>
          <w:sz w:val="17"/>
          <w:szCs w:val="17"/>
          <w:color w:val="auto"/>
        </w:rPr>
        <w:t>2010 for electric generation at Minnesota Power’s coal-fired generating stations was approximately 4.6 million tons. As of December 31, 2010, Minnesota Power had a coal inventory of about 824,000 tons. Minnesota Power’s primary coal supply agreements have expiration dates through 2013. Under these agreements, Minnesota Power has the flexibility to procure 50 percent to 70 percent of its total coal requirements. In 2011, Minnesota Power expects to obtain coal under these coal supply agreements and in the spot market. This diversity in coal supply options allows Minnesota Power to manage its coal market price and supply risk and to take advantage of favorable spot market prices. Minnesota Power continues to explore future coal supply options. We believe that adequate supplies of low-sulfur, sub-bituminous coal will continue to be available.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also has transportation agreements in place for the delivery of a significant portion of its coal requirements. These transportation agreements expire in various years between 2013 and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Supply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Coal Delivered to Minnesota Power</w:t>
            </w:r>
          </w:p>
        </w:tc>
        <w:tc>
          <w:tcPr>
            <w:tcW w:w="3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6"/>
        </w:trPr>
        <w:tc>
          <w:tcPr>
            <w:tcW w:w="5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38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2010</w:t>
            </w: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2009</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2008</w:t>
            </w:r>
          </w:p>
        </w:tc>
      </w:tr>
      <w:tr>
        <w:trPr>
          <w:trHeight w:val="201"/>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Average Price per Ton</w:t>
            </w:r>
          </w:p>
        </w:tc>
        <w:tc>
          <w:tcPr>
            <w:tcW w:w="38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$25.49</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$24.99</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$22.73</w:t>
            </w:r>
          </w:p>
        </w:tc>
      </w:tr>
      <w:tr>
        <w:trPr>
          <w:trHeight w:val="206"/>
        </w:trPr>
        <w:tc>
          <w:tcPr>
            <w:tcW w:w="5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Average Price per MBtu</w:t>
            </w:r>
          </w:p>
        </w:tc>
        <w:tc>
          <w:tcPr>
            <w:tcW w:w="38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$1.42</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$1.37</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$1.25</w:t>
            </w:r>
          </w:p>
        </w:tc>
      </w:tr>
    </w:tbl>
    <w:p>
      <w:pPr>
        <w:spacing w:after="0" w:line="21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Long-Term Purchased Power</w:t>
      </w:r>
      <w:r>
        <w:rPr>
          <w:rFonts w:ascii="Arial" w:cs="Arial" w:eastAsia="Arial" w:hAnsi="Arial"/>
          <w:sz w:val="15"/>
          <w:szCs w:val="15"/>
          <w:color w:val="auto"/>
        </w:rPr>
        <w:t>. Minnesota Power has contracts to purchase capacity and energy from various entities. The largest contract is with Square Butte.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agreement with Square Butte, which expires at the end of 2026, Minnesota Power is currently entitled to 50 percent of the output of a 455-MW coal-fired generating unit located near Center, North Dakota. (See Note 10. Commitments, Guarantees, and Contingencies.) BNI Coal supplies lignite coal to Square Butte. This lignite supply is sufficient to provide fuel for the anticipated useful life of the generating unit. Square Butte’s cost of lignite burned in 2010 was approximately $1.28 per MBtu.</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two wind PPAs with an affiliate of NextEra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We pay a contracted energy price and will receive any potential renewable energy or environmental air quality credits. There are no fixed capacity charges and we only pay for energy as it is delivered to us.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 PPA with Manitoba Hydro that began in May 2009 and expires in April 2015. Under the agreement with Manitoba Hydro, Minnesota Power is currently purchasing 50 MW of capacity and the energy associated with that capacity. Both the capacity price and the energy price are adjusted annually by the change in a governmental inflationary index.</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April 30, 2010, Minnesota Power signed a definitive agreement with Manitoba Hydro, subject to MPUC approval, to purchase surplus energy from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is committed to purchase at least one million MWh of energy over the contract term. On September 1, 2010, we filed a petition with the MPUC to approve our PPA with Manitoba Hydro. On October 28, 2010, the OES filed comments recommending approval.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Transmission and Distribution</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electric transmission and distribution lines of 500 kV (8 miles), 250 kV (465 miles), 230 kV (632 miles), 161 kV (43 miles), 138 kV (128 miles), 115 kV (1,100 miles) and less than 115 kV (6,234 miles). We own and operate 167 substations with a total capacity of 11,102 megavoltamperes. Some of our transmission and distribution lines interconnect with other utilities.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ATC</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Rainy River Energy, our wholly owned subsidiary, owns approximately 8 percent of ATC, a Wisconsin-based utility that owns and maintains electric transmission assets in parts of Wisconsin, Michigan, Minnesota and Illinois. ATC rates are based on a FERC approved 12.2 percent return on common equity dedicated to utility plant. We account for our investment in ATC under the equity method of accounting. As of December 31, 2010, our equity investment balance in ATC was $93.3 million ($88.4 million at December 31, 2009). (See Note 6. Investment in ATC.)</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own office and service buildings, an energy control center, repair shops, and storerooms in various localities. All of our electric plants are subject to mortgages, which collateralize the outstanding first mortgage bonds of Minnesota Power and SWL&amp;P. Generally, we hold fee interest in our real properties subject only to the lien of the mortgages. Most of our electric lines are located on land not owned in fee, but are covered by appropriate easement rights or by necessary permits from governmental authorities. WPPI Energy owns 20 percent of Boswell Unit 4. WPPI Energy has the right to use our transmission line facilities to transport its share of Boswell generation. (See Note 4. Jointly-Owned Electric Facility.)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subject to the jurisdiction of various regulatory authorities. The MPUC has regulatory authority over Minnesota Power’s service area in Minnesota, retail rates, retail services, issuance of ALLETE securities and other matters. The FERC has jurisdiction over the licensing of hydroelectric projects, the establishment of rates and charges for the sale of electricity for resale and transmission of electricity in interstate commerce, certain accounting and record-keeping practices and ATC.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Electric Rates. </w:t>
      </w:r>
      <w:r>
        <w:rPr>
          <w:rFonts w:ascii="Arial" w:cs="Arial" w:eastAsia="Arial" w:hAnsi="Arial"/>
          <w:sz w:val="16"/>
          <w:szCs w:val="16"/>
          <w:color w:val="auto"/>
        </w:rPr>
        <w:t>All rates and contract terms in our Regulated Operations are subject to approval by appropriate regulatory authorities. Minnesota Power designs its</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 service rates based on cost of service studies under which allocations are made to the various classes of customers as approved by the MPUC. Nearly all retail sales include billing adjustment clauses, which adjust electric service rates for changes in the cost of fuel and purchased energy, recovery of current and deferred conservation improvement program expenditures and recovery of certain environmental and renewable expenditures.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published by the Edison Electric Institute (</w:t>
      </w:r>
      <w:r>
        <w:rPr>
          <w:rFonts w:ascii="Arial" w:cs="Arial" w:eastAsia="Arial" w:hAnsi="Arial"/>
          <w:sz w:val="17"/>
          <w:szCs w:val="17"/>
          <w:i w:val="1"/>
          <w:iCs w:val="1"/>
          <w:color w:val="auto"/>
        </w:rPr>
        <w:t>Typical Bills and Average Rates Report – Summer 2010</w:t>
      </w:r>
      <w:r>
        <w:rPr>
          <w:rFonts w:ascii="Arial" w:cs="Arial" w:eastAsia="Arial" w:hAnsi="Arial"/>
          <w:sz w:val="17"/>
          <w:szCs w:val="17"/>
          <w:color w:val="auto"/>
        </w:rPr>
        <w:t xml:space="preserve"> and </w:t>
      </w:r>
      <w:r>
        <w:rPr>
          <w:rFonts w:ascii="Arial" w:cs="Arial" w:eastAsia="Arial" w:hAnsi="Arial"/>
          <w:sz w:val="17"/>
          <w:szCs w:val="17"/>
          <w:i w:val="1"/>
          <w:iCs w:val="1"/>
          <w:color w:val="auto"/>
        </w:rPr>
        <w:t>Rankings – July 1, 2010</w:t>
      </w:r>
      <w:r>
        <w:rPr>
          <w:rFonts w:ascii="Arial" w:cs="Arial" w:eastAsia="Arial" w:hAnsi="Arial"/>
          <w:sz w:val="17"/>
          <w:szCs w:val="17"/>
          <w:color w:val="auto"/>
        </w:rPr>
        <w:t>) ranked Minnesota Power as having the sixteenth lowest average retail rates out of 168 utilities in the United States. Minnesota Power had the lowest rates in Minnesota and fourth lowest in the region consisting of Iowa, Kansas, Minnesota, Missouri, North Dakota, South Dakota and Wisconsin.</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Minnesota Public Utilities Commission. </w:t>
      </w:r>
      <w:r>
        <w:rPr>
          <w:rFonts w:ascii="Arial" w:cs="Arial" w:eastAsia="Arial" w:hAnsi="Arial"/>
          <w:sz w:val="17"/>
          <w:szCs w:val="17"/>
          <w:color w:val="auto"/>
        </w:rPr>
        <w:t>The MPUC has regulatory authority over Minnesota Power’s service area in Minnesota, retail rates, retail services,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other matters.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On November 2, 2009, Minnesota Power filed an $81 million retail rate increase request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 t. As a result of these increased sales, interim rates increased revenues to approximately $52 million for 2010.</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2, 2010, Minnesota Power received a written order from the MPUC approving a retail electric rate increase of approximately $54 million, a 10.38 percent return on common equity and a 54.29 percent equity ratio, subject to reconsideration. In a hearing on January 19, 2011, the MPUC denied all reconsideration requests. Final rates will be implemented after MPUC acceptance of the compliance filing, estimated in the second quarter of 2011. Minnesota Power will continue to collect interim rates from its customers until the new rates go into effect. We expect no interim rate refunds will be issued.</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North Dakota Wind Development. </w:t>
      </w:r>
      <w:r>
        <w:rPr>
          <w:rFonts w:ascii="Arial" w:cs="Arial" w:eastAsia="Arial" w:hAnsi="Arial"/>
          <w:sz w:val="16"/>
          <w:szCs w:val="16"/>
          <w:color w:val="auto"/>
        </w:rPr>
        <w:t>On December 31, 2009, we purchased an existing 250 kV DC transmission line from Square Butte for $69.7 million. The 465-mile</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line runs from Center, North Dakota, to Duluth, Minnesota. We use this line to transport increasing amounts of wind energy from North Dakota while gradually phasing out coal-based electricity delivered to our system over this transmission line from Square Butte’s lignite coal-fired generating unit.</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Bison 1 is a two phase, 82 MW wind project in North Dakota. All permitting has been received and the first phase was completed in 2010. Phase one included construction of a 22-mile, 230 kV transmission line and the installation of 16 2.3 MW wind turbines, all of which were in-service at the end of 2010. Phase two is expected to be completed late in 2011 and consists of the installation of 15 3.0 MW wind turbines. Bison 1 is expected to have a total capital investment of approximately $177 million, of which $121 million was spent through December 31, 2010. In 2009, the MPUC approved Minnesota Power’s petition seeking current cost recovery eligibility for investments and expenditures related to Bison 1, and in July 2010, the MPUC approved our petition establishing rates effective August 1, 2010.</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Bison 2 is a 105 MW wind project in North Dakota which, if approved by the MPUC, is expected to be completed by the end of 2012. The total project investment is estimated to be approximately $160 million, and construction would begin upon the receipt of all regulatory and permitting approvals. We will file for MPUC approval for the project and NDPSC site permit approval in the first quarter of 2011. Once the Bison 2 project and related permitting are approved by the MPUC, we will seek current cost recovery eligibility for our investment.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Hibbard Biomass Upgrade Project. </w:t>
      </w:r>
      <w:r>
        <w:rPr>
          <w:rFonts w:ascii="Arial" w:cs="Arial" w:eastAsia="Arial" w:hAnsi="Arial"/>
          <w:sz w:val="17"/>
          <w:szCs w:val="17"/>
          <w:color w:val="auto"/>
        </w:rPr>
        <w:t>Hibbard is a 50 MW biomass/coal/natural gas facility located in Duluth, Minnesota. The upgrade project, which was approved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MPUC in September 2009, is designed to leverage existing assets to increase biomass renewable energy production at an expected total cost of approximately $22 million. Upon receipt of any necessary permitting approvals, construction would begin in 2011, and could be completed by the end of 2012. We also plan to seek current cost recovery authorization for the project from the MPUC in 2011.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 (Continued)</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5, 2009, Minnesota Power filed with the MPUC its 2010 Integrated Resource Plan, a comprehensive estimate of future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202" w:lineRule="exact"/>
        <w:rPr>
          <w:sz w:val="20"/>
          <w:szCs w:val="20"/>
          <w:color w:val="auto"/>
        </w:rPr>
      </w:pPr>
    </w:p>
    <w:p>
      <w:pPr>
        <w:ind w:left="600" w:hanging="1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system flexibility to adapt to volatile business cycles and varied future industrial load scenarios;</w:t>
      </w:r>
    </w:p>
    <w:p>
      <w:pPr>
        <w:spacing w:after="0" w:line="17" w:lineRule="exact"/>
        <w:rPr>
          <w:rFonts w:ascii="Arial" w:cs="Arial" w:eastAsia="Arial" w:hAnsi="Arial"/>
          <w:sz w:val="17"/>
          <w:szCs w:val="17"/>
          <w:color w:val="auto"/>
        </w:rPr>
      </w:pPr>
    </w:p>
    <w:p>
      <w:pPr>
        <w:ind w:left="600" w:hanging="122"/>
        <w:spacing w:after="0" w:line="195"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Reductions in the emission of GHGs (primarily CO</w:t>
      </w:r>
      <w:r>
        <w:rPr>
          <w:rFonts w:ascii="Arial" w:cs="Arial" w:eastAsia="Arial" w:hAnsi="Arial"/>
          <w:sz w:val="23"/>
          <w:szCs w:val="23"/>
          <w:color w:val="auto"/>
          <w:vertAlign w:val="subscript"/>
        </w:rPr>
        <w:t>2</w:t>
      </w:r>
      <w:r>
        <w:rPr>
          <w:rFonts w:ascii="Arial" w:cs="Arial" w:eastAsia="Arial" w:hAnsi="Arial"/>
          <w:sz w:val="17"/>
          <w:szCs w:val="17"/>
          <w:color w:val="auto"/>
        </w:rPr>
        <w:t>); and</w:t>
      </w:r>
    </w:p>
    <w:p>
      <w:pPr>
        <w:ind w:left="600" w:hanging="1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mandated renewable energy standards.</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To achieve these objectives over the coming years, we plan to reshape our generation portfolio by adding 300 to 500 MW of renewable energy to our generation mix, and exploring options to incorporate peaking or intermediate resources. The first phase of the Bison 1 wind project in North Dakota was put into service in 2010 and the second phase is expected to be in service in late 2011, increasing our renewable generation by a total of 82 MW. The Bison 2 105 MW wind project, if approved by the MPUC, along with the Hibbard Biomass Upgrade Project, will continue our expansion into renewable energy to meet our Integrated Resource Plan goals.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We expect MPUC action on our Integrated Resource Plan filing in 2011.</w:t>
      </w:r>
    </w:p>
    <w:p>
      <w:pPr>
        <w:spacing w:after="0" w:line="20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color w:val="auto"/>
        </w:rPr>
        <w:t xml:space="preserve">Transmission Investments. </w:t>
      </w:r>
      <w:r>
        <w:rPr>
          <w:rFonts w:ascii="Arial" w:cs="Arial" w:eastAsia="Arial" w:hAnsi="Arial"/>
          <w:sz w:val="15"/>
          <w:szCs w:val="15"/>
          <w:color w:val="auto"/>
        </w:rPr>
        <w:t>We have an approved cost recovery rider in place for certain transmission expenditures, and our current billing factor was approved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MPUC in June 2009. The billing factor allows us to charge our retail customers on a current basis for the costs of constructing certain transmission facilities plus a return on the capital invested. In our 2010 rate case, the MPUC approved moving completed transmission projects from the current cost recovery rider to base rates. In July 2010, we filed for an updated billing factor that includes additional transmission projects and expenses which we expect to be approved in early 2011.</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i w:val="1"/>
          <w:iCs w:val="1"/>
          <w:color w:val="auto"/>
        </w:rPr>
        <w:t xml:space="preserve">Conservation Improvement Program (CIP). </w:t>
      </w:r>
      <w:r>
        <w:rPr>
          <w:rFonts w:ascii="Arial" w:cs="Arial" w:eastAsia="Arial" w:hAnsi="Arial"/>
          <w:sz w:val="15"/>
          <w:szCs w:val="15"/>
          <w:color w:val="auto"/>
        </w:rPr>
        <w:t>Minnesota requires electric utilities to spend a minimum of 1.5 percent of gross operating revenues from service provided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state on energy CIPs each year. These investments are recovered from retail customers through a billing adjustment and amounts included in retail base rates. The MPUC allows utilities to accumulate, in a deferred account for future cost recovery, all CIP expenditures, as well as a carrying charge on the deferred account balance. Minnesota’s Next Generation Energy Act of 2007 introduced, in addition to minimum spending requirements, an energy-saving goal of 1.5 percent of gross annual retail electric energy sales by 2010. In June 2008, a biennial filing was submitted for 2009 and 2010, and subsequently approv ed by the OES. Minnesota Power’s CIP investment goal was $4.6 million for 2010 ($4.6 million for 2009; $3.7 million for 2008), with actual spending of $5.6 million in 2010 ($5.5 million in 2009; $4.8 million in 2008). For future program years, Minnesota Power will build upon current successful CIPs in an effort to meet or exceed the newly established 1.5 percent energy-saving goal. In June 2010, a triennial filing was submitted for 2011 through 2013, and subsequently approved by the OES.</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auto"/>
        </w:rPr>
        <w:t xml:space="preserve">Federal Energy Regulatory Commission. </w:t>
      </w:r>
      <w:r>
        <w:rPr>
          <w:rFonts w:ascii="Arial" w:cs="Arial" w:eastAsia="Arial" w:hAnsi="Arial"/>
          <w:sz w:val="16"/>
          <w:szCs w:val="16"/>
          <w:color w:val="auto"/>
        </w:rPr>
        <w:t>The FERC has jurisdiction over the licensing of hydroelectric projects, the establishment of rates and charges for the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electricity for resale and transmission of electricity in interstate commerce, certain accounting and record-keeping practices and the operations of ATC.</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Minnesota Power’s non-affiliated municipal customers consist of 16 municipalities in Minnesota and 1 private utility in Wisconsin. SWL&amp;P, a wholly-owned subsidiary of ALLETE, is also a private utility in Wisconsin and a customer of Minnesota Power. In 2008, Minnesota Power entered into formula-based rate contracts with these customers which will continue until the required three-year advance notice of cancellation has been given. To date, no termination notices have been received. The rates included in these contracts are calculated using a cost-based formula methodology that is set at the beginning of the year using estimated costs, and provides for a true-up calculation for actual costs. Under the formula-based rates provision, wholesale rates, including the estimate to true-up to actual costs, were comparable in 2010 to 20 09, and are projected to be comparable in 2011.</w:t>
      </w:r>
    </w:p>
    <w:p>
      <w:pPr>
        <w:spacing w:after="0" w:line="20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Energy Policy Act of 2005 (EPAct 2005) was signed into law, which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promotion of energy efficiency and wise energy 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 (Continued)</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FERC has jurisdiction over rates for electric transmission service in interstate commerce and electricity sold at wholesale, hydro facility licensing, natural gas transportation, accounting practices and certain other activities of our utility subsidiaries, including enforcement of North American Electric Reliability Corporation mandatory electric reliability standards. State and local agencies have jurisdiction over many of our utility activities, including regulation of retail rates and environmental matters.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Violations of FERC rules are potentially subject to enforcement action by the FERC including financial penalties up to $1 million per day per violation.</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Public Service Commission of Wisconsin. </w:t>
      </w:r>
      <w:r>
        <w:rPr>
          <w:rFonts w:ascii="Arial" w:cs="Arial" w:eastAsia="Arial" w:hAnsi="Arial"/>
          <w:sz w:val="17"/>
          <w:szCs w:val="17"/>
          <w:color w:val="auto"/>
        </w:rPr>
        <w:t>The PSCW has regulatory authority over SWL&amp;P’s retail sales of electricity, natural gas, water, issuances of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matters.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2010, SWL&amp;P’s retail rates were based on a 2008 PSCW retail rate order, which was effective January 1, 2009. SWL&amp;P’s 2011 retail rates are based on a 2010 PSCW retail rate order, effective January 1, 2011, that allows for a 10.9 percent return on common equity. The new rates reflect a 2.4 percent average increase in retail utility rates for SWL&amp;P customers (a 12.80 percent increase in water rates, a 2.49 percent increase in natural gas rates and a 0.68 percent increase in electric rates). On an annualized basis, the rate increase will generate approximately $2 million in additional revenue.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North Dakota Public Service Commission. </w:t>
      </w:r>
      <w:r>
        <w:rPr>
          <w:rFonts w:ascii="Arial" w:cs="Arial" w:eastAsia="Arial" w:hAnsi="Arial"/>
          <w:sz w:val="17"/>
          <w:szCs w:val="17"/>
          <w:color w:val="auto"/>
        </w:rPr>
        <w:t>The NDPSC has jurisdiction over site and route permitting of generation and transmission facilities necessary for</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in North Dakota.</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10, 2010, the NDPSC approved the construction of a 22-mile, 230 kV transmission line that connected Bison 1 to the DC transmission line at the Square Butte Substation in Center, North Dakota.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Regional Organizations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Midwest Independent Transmission System Operator, Inc. </w:t>
      </w:r>
      <w:r>
        <w:rPr>
          <w:rFonts w:ascii="Arial" w:cs="Arial" w:eastAsia="Arial" w:hAnsi="Arial"/>
          <w:sz w:val="17"/>
          <w:szCs w:val="17"/>
          <w:color w:val="auto"/>
        </w:rPr>
        <w:t>Minnesota Power and SWL&amp;P are members of MISO, a regional transmission organization. While</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SWL&amp;P retain ownership of their respective transmission assets and control area functions, their transmission network is under the regional operational control of MISO. Minnesota Power and SWL&amp;P take and provide transmission service under the MISO open access transmission tariff. MISO continues its efforts to standardize rates, terms, and conditions of transmission service over its broad region, encompassing all or parts of 15 states and one Canadian province, and over 100,000 MW of generating capacity.</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Mid-Continent Area Power Pool (MAPP). </w:t>
      </w:r>
      <w:r>
        <w:rPr>
          <w:rFonts w:ascii="Arial" w:cs="Arial" w:eastAsia="Arial" w:hAnsi="Arial"/>
          <w:sz w:val="17"/>
          <w:szCs w:val="17"/>
          <w:color w:val="auto"/>
        </w:rPr>
        <w:t>Minnesota Power also participates in MAPP, a power pool operating in parts of nine states in the Upper Midwest and in two</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provinces. MAPP functions include a regional transmission committee that is charged with planning for the future transmission needs of the region as well as ensuring that all electric industry participants have equal access to the transmission system.</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Minnesota Legislation</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Renewable Energy. </w:t>
      </w:r>
      <w:r>
        <w:rPr>
          <w:rFonts w:ascii="Arial" w:cs="Arial" w:eastAsia="Arial" w:hAnsi="Arial"/>
          <w:sz w:val="16"/>
          <w:szCs w:val="16"/>
          <w:color w:val="auto"/>
        </w:rPr>
        <w:t>In February 2007, Minnesota enacted a law requiring 25 percent of Minnesota Power’s total retail energy sales in Minnesota to come from renewable</w:t>
      </w:r>
      <w:r>
        <w:rPr>
          <w:rFonts w:ascii="Arial" w:cs="Arial" w:eastAsia="Arial" w:hAnsi="Arial"/>
          <w:sz w:val="16"/>
          <w:szCs w:val="16"/>
          <w:i w:val="1"/>
          <w:iCs w:val="1"/>
          <w:color w:val="auto"/>
        </w:rPr>
        <w:t xml:space="preserve"> </w:t>
      </w:r>
      <w:r>
        <w:rPr>
          <w:rFonts w:ascii="Arial" w:cs="Arial" w:eastAsia="Arial" w:hAnsi="Arial"/>
          <w:sz w:val="16"/>
          <w:szCs w:val="16"/>
          <w:color w:val="auto"/>
        </w:rPr>
        <w:t>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Resources Plan filed October 5, 2009 with the MPUC. The law allows the MPUC to modify or delay meeting a milestone if implementation will cause significant ratepayer cost or technical reliability issues. If a utility is not in compliance with a milestone, the MPUC may order the utility to construct facilities, purchase r enewable energy or purchase renewable energy credits. We are currently on track to meet the 12 percent renewable energy sales milestone by 2012.</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Retail energy sales in Minnesota and Wisconsin are made to customers in assigned service territories. As a result, most retail electric customers in Minnesota do not have the ability to choose their electric supplier. Large energy users outside of a municipality of 2 MW and above may be allowed to choose a supplier upon MPUC approval. Minnesota Power serves 10 Large Power facilities over 10 MW, none of which have engaged in a competitive rate process. No other large commercial or small industrial customers have attempted to seek a provider outside of Minnesota Power’s service territory since 1994. Retail electric and natural gas customers in Wisconsin do not have the ability to choose their energy supplier. In both states, however, electricity may compete with other forms of energy. Customers may also choose to generate thei r own electricity, or substitute other fuels for their manufacturing processes.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 ended December 31, 2010, 7 percent of the Company’s energy sales were sales to municipal customers in Minnesota and a private utility in Wisconsin by contract under a formula-based rate approved by FERC. These customers have the right to seek an energy supply from any wholesale electric service provider upon contract expiration.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(Continued)</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transmission and other means. As a result, our sales to Other Power Suppliers and our purchases to supply our retail and wholesale load are in the competitive market.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Franchises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Minnesota Power holds franchises to construct and maintain an electric distribution and transmission system in 94 cities and towns located within its electric service territory. SWL&amp;P holds 17 similar franchises for electric, natural gas and/or water systems in 1 city and 16 villages and towns within its service territory. The remaining cities, villages and towns served by us do not require a franchise to operate within their boundaries. Our exclusive service territories are established by state regulatory agencies.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BNI Coal</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BNI Coal is a low-cost supplier of lignite in North Dakota, producing about 4 million tons annually. Two electric generating cooperatives, Minnkota Power and Square Butte, presently consume virtually all of BNI Coal’s production of lignite under cost-plus, fixed fee coal supply agreements extending through 2026. (See Item 1. Business – Long-Term Purchased Power and Note 10. Commitments, Guarantees and Contingencies.) The mining process disturbs and reclaims between 200 and 250 acres per year. Laws require that the reclaimed land be at least as productive as it was prior to mining. The average cost to reclaim one acre of land is approximately $35,000; however, depending on conditions, it could be significantly higher. Reclamation costs are included in the cost of coal passed through to customers. BNI Coal has lignite reserve s of an estimated 600 million tons.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ALLETE Properties</w:t>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ALLETE Properties is our Florida real estate investment. Our strategy for the assets is to complete and maintain key 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two major development projects are Town Center and Palm Coast Park. Ormond Crossings is a third major project that is currently in the planning stage. On February 16, 2010, the City of Ormond Beach, Florida, approved a Development Agreement for Ormond Crossings. The agreement will facilitate development of the project as currently planned. Separately, the Lake Swamp wetland mitigation bank was permitted on land that was previously part of Ormond Crossings. Market conditions will determine when our projects will be built out. See Item 7. Management’s Discussion and Analysis of Financial Condition and Results of Operations – Outlook for more information on ALLETE Properties’ land holdings.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Town Center. </w:t>
      </w:r>
      <w:r>
        <w:rPr>
          <w:rFonts w:ascii="Arial" w:cs="Arial" w:eastAsia="Arial" w:hAnsi="Arial"/>
          <w:sz w:val="17"/>
          <w:szCs w:val="17"/>
          <w:color w:val="auto"/>
        </w:rPr>
        <w:t>Town Center, which is located in the City of Palm Coast, is a mixed-use development with a neo-traditional downtown core area. Construction of the major</w:t>
      </w:r>
      <w:r>
        <w:rPr>
          <w:rFonts w:ascii="Arial" w:cs="Arial" w:eastAsia="Arial" w:hAnsi="Arial"/>
          <w:sz w:val="17"/>
          <w:szCs w:val="17"/>
          <w:b w:val="1"/>
          <w:bCs w:val="1"/>
          <w:color w:val="auto"/>
        </w:rPr>
        <w:t xml:space="preserve"> </w:t>
      </w:r>
      <w:r>
        <w:rPr>
          <w:rFonts w:ascii="Arial" w:cs="Arial" w:eastAsia="Arial" w:hAnsi="Arial"/>
          <w:sz w:val="17"/>
          <w:szCs w:val="17"/>
          <w:color w:val="auto"/>
        </w:rPr>
        <w:t>infrastructure improvements at Town Center was substantially complete at the end of 2008. At build-out, Town Center is expected to include approximately 3,000 residential units and 4.0 million square feet of various types of non-residential space. Sites have also been set aside for a new city hall, a community center, an art and entertainment center, and other public uses.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Palm Coast Park. </w:t>
      </w:r>
      <w:r>
        <w:rPr>
          <w:rFonts w:ascii="Arial" w:cs="Arial" w:eastAsia="Arial" w:hAnsi="Arial"/>
          <w:sz w:val="17"/>
          <w:szCs w:val="17"/>
          <w:color w:val="auto"/>
        </w:rPr>
        <w:t>Palm Coast Park, which is located in the City of Palm Coast, is a 4,700-acre mixed-use development. Construction of the major infrastructure</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at Palm Coast Park was substantially complete at the end of 2007. At build-out, Palm Coast Park is expected to include approximately 4,000 residential units and 3.0 million square feet of various types of non-residential space and public facilities.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Ormond Crossings. </w:t>
      </w:r>
      <w:r>
        <w:rPr>
          <w:rFonts w:ascii="Arial" w:cs="Arial" w:eastAsia="Arial" w:hAnsi="Arial"/>
          <w:sz w:val="16"/>
          <w:szCs w:val="16"/>
          <w:color w:val="auto"/>
        </w:rPr>
        <w:t>Ormond Crossings, which is located in the City of Ormond Beach, is a 3,000-acre, mixed-use development. Planning, engineering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permitting of the master infrastructure are ongoing. At build out, Ormond Crossings is expected to include approximately 3,000 residential units and 5.0 million square feet of various types of non-residential space and public facilities. We do not expect any development activity at Ormond Crossings in 2011.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ALLETE Properties (Continued)</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Lake Swamp. </w:t>
      </w:r>
      <w:r>
        <w:rPr>
          <w:rFonts w:ascii="Arial" w:cs="Arial" w:eastAsia="Arial" w:hAnsi="Arial"/>
          <w:sz w:val="17"/>
          <w:szCs w:val="17"/>
          <w:color w:val="auto"/>
        </w:rPr>
        <w:t>Lake Swamp wetland mitigation bank is a 1,900 acre regionally significant wetlands mitigation bank that was permitted by the St. Johns River Water</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District in 2008 and the U.S. Army Corps of Engineers in December 2009. Wetland mitigation credits will be used at Ormond Crossings and will also be available for sale to developers of other projects that are located in the bank’s service area. When additional credits are needed, applications will be submitted to expand the bank by approximately 1,000 acres.</w:t>
      </w:r>
    </w:p>
    <w:p>
      <w:pPr>
        <w:spacing w:after="0" w:line="200"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auto"/>
        </w:rPr>
        <w:t xml:space="preserve">Seller Financing. </w:t>
      </w:r>
      <w:r>
        <w:rPr>
          <w:rFonts w:ascii="Arial" w:cs="Arial" w:eastAsia="Arial" w:hAnsi="Arial"/>
          <w:sz w:val="16"/>
          <w:szCs w:val="16"/>
          <w:color w:val="auto"/>
        </w:rPr>
        <w:t>ALLETE Properties occasionally provides seller financing to certain qualified buyers. At December 31, 2010, outstanding finance receivables were</w:t>
      </w:r>
      <w:r>
        <w:rPr>
          <w:rFonts w:ascii="Arial" w:cs="Arial" w:eastAsia="Arial" w:hAnsi="Arial"/>
          <w:sz w:val="16"/>
          <w:szCs w:val="16"/>
          <w:b w:val="1"/>
          <w:bCs w:val="1"/>
          <w:color w:val="auto"/>
        </w:rPr>
        <w:t xml:space="preserve"> </w:t>
      </w:r>
      <w:r>
        <w:rPr>
          <w:rFonts w:ascii="Arial" w:cs="Arial" w:eastAsia="Arial" w:hAnsi="Arial"/>
          <w:sz w:val="16"/>
          <w:szCs w:val="16"/>
          <w:color w:val="auto"/>
        </w:rPr>
        <w:t>$3.7 million, with maturities up to 3 years. These finance receivables accrue interest at market-based rates and are collateralized by the financed properties.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Non-Rate Base Generation</w:t>
      </w:r>
    </w:p>
    <w:p>
      <w:pPr>
        <w:spacing w:after="0" w:line="23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As of December 31, 2010, non-rate base generation consists of 30 MW of generation at Rapids Energy Center. In 2010, we sold 0.1 million MWh of non-rate base generation (0.2 million in 2009 and 2008). In November 2009 Cloquet Energy Center was transferred from non-rate base generation to regulated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Year</w:t>
            </w:r>
          </w:p>
        </w:tc>
        <w:tc>
          <w:tcPr>
            <w:tcW w:w="1340" w:type="dxa"/>
            <w:vAlign w:val="bottom"/>
            <w:shd w:val="clear" w:color="auto" w:fill="CCEEFF"/>
          </w:tcPr>
          <w:p>
            <w:pPr>
              <w:jc w:val="center"/>
              <w:ind w:left="56"/>
              <w:spacing w:after="0"/>
              <w:rPr>
                <w:sz w:val="20"/>
                <w:szCs w:val="20"/>
                <w:color w:val="auto"/>
              </w:rPr>
            </w:pPr>
            <w:r>
              <w:rPr>
                <w:rFonts w:ascii="Arial" w:cs="Arial" w:eastAsia="Arial" w:hAnsi="Arial"/>
                <w:sz w:val="17"/>
                <w:szCs w:val="17"/>
                <w:b w:val="1"/>
                <w:bCs w:val="1"/>
                <w:color w:val="auto"/>
                <w:w w:val="86"/>
              </w:rPr>
              <w:t>Year</w:t>
            </w:r>
          </w:p>
        </w:tc>
        <w:tc>
          <w:tcPr>
            <w:tcW w:w="1560" w:type="dxa"/>
            <w:vAlign w:val="bottom"/>
            <w:shd w:val="clear" w:color="auto" w:fill="CCEEFF"/>
          </w:tcPr>
          <w:p>
            <w:pPr>
              <w:jc w:val="center"/>
              <w:ind w:left="116"/>
              <w:spacing w:after="0"/>
              <w:rPr>
                <w:sz w:val="20"/>
                <w:szCs w:val="20"/>
                <w:color w:val="auto"/>
              </w:rPr>
            </w:pPr>
            <w:r>
              <w:rPr>
                <w:rFonts w:ascii="Arial" w:cs="Arial" w:eastAsia="Arial" w:hAnsi="Arial"/>
                <w:sz w:val="17"/>
                <w:szCs w:val="17"/>
                <w:b w:val="1"/>
                <w:bCs w:val="1"/>
                <w:color w:val="auto"/>
                <w:w w:val="87"/>
              </w:rPr>
              <w:t>Net</w:t>
            </w:r>
          </w:p>
        </w:tc>
      </w:tr>
      <w:tr>
        <w:trPr>
          <w:trHeight w:val="223"/>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Non-Rate Base Power Supply</w:t>
            </w:r>
          </w:p>
        </w:tc>
        <w:tc>
          <w:tcPr>
            <w:tcW w:w="2600" w:type="dxa"/>
            <w:vAlign w:val="bottom"/>
            <w:tcBorders>
              <w:bottom w:val="single" w:sz="8" w:color="auto"/>
            </w:tcBorders>
            <w:shd w:val="clear" w:color="auto" w:fill="CCEEFF"/>
          </w:tcPr>
          <w:p>
            <w:pPr>
              <w:jc w:val="center"/>
              <w:ind w:left="1036"/>
              <w:spacing w:after="0"/>
              <w:rPr>
                <w:sz w:val="20"/>
                <w:szCs w:val="20"/>
                <w:color w:val="auto"/>
              </w:rPr>
            </w:pPr>
            <w:r>
              <w:rPr>
                <w:rFonts w:ascii="Arial" w:cs="Arial" w:eastAsia="Arial" w:hAnsi="Arial"/>
                <w:sz w:val="17"/>
                <w:szCs w:val="17"/>
                <w:b w:val="1"/>
                <w:bCs w:val="1"/>
                <w:color w:val="auto"/>
                <w:w w:val="92"/>
              </w:rPr>
              <w:t>Unit No.</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Installed</w:t>
            </w:r>
          </w:p>
        </w:tc>
        <w:tc>
          <w:tcPr>
            <w:tcW w:w="134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7"/>
                <w:szCs w:val="17"/>
                <w:b w:val="1"/>
                <w:bCs w:val="1"/>
                <w:color w:val="auto"/>
                <w:w w:val="92"/>
              </w:rPr>
              <w:t>Acquired</w:t>
            </w:r>
          </w:p>
        </w:tc>
        <w:tc>
          <w:tcPr>
            <w:tcW w:w="156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7"/>
                <w:szCs w:val="17"/>
                <w:b w:val="1"/>
                <w:bCs w:val="1"/>
                <w:color w:val="auto"/>
                <w:w w:val="97"/>
              </w:rPr>
              <w:t>Capability (MW)</w:t>
            </w:r>
          </w:p>
        </w:tc>
      </w:tr>
      <w:tr>
        <w:trPr>
          <w:trHeight w:val="201"/>
        </w:trPr>
        <w:tc>
          <w:tcPr>
            <w:tcW w:w="4320" w:type="dxa"/>
            <w:vAlign w:val="bottom"/>
          </w:tcPr>
          <w:p>
            <w:pPr>
              <w:spacing w:after="0"/>
              <w:rPr>
                <w:sz w:val="20"/>
                <w:szCs w:val="20"/>
                <w:color w:val="auto"/>
              </w:rPr>
            </w:pPr>
            <w:r>
              <w:rPr>
                <w:rFonts w:ascii="Arial" w:cs="Arial" w:eastAsia="Arial" w:hAnsi="Arial"/>
                <w:sz w:val="17"/>
                <w:szCs w:val="17"/>
                <w:color w:val="auto"/>
              </w:rPr>
              <w:t xml:space="preserve">Rapids Energy Center </w:t>
            </w:r>
            <w:r>
              <w:rPr>
                <w:rFonts w:ascii="Arial" w:cs="Arial" w:eastAsia="Arial" w:hAnsi="Arial"/>
                <w:sz w:val="17"/>
                <w:szCs w:val="17"/>
                <w:i w:val="1"/>
                <w:iCs w:val="1"/>
                <w:color w:val="auto"/>
              </w:rPr>
              <w:t>(a)</w:t>
            </w:r>
          </w:p>
        </w:tc>
        <w:tc>
          <w:tcPr>
            <w:tcW w:w="2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 Grand Rapids, MN</w:t>
            </w:r>
          </w:p>
        </w:tc>
        <w:tc>
          <w:tcPr>
            <w:tcW w:w="26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1"/>
        </w:trPr>
        <w:tc>
          <w:tcPr>
            <w:tcW w:w="4320" w:type="dxa"/>
            <w:vAlign w:val="bottom"/>
          </w:tcPr>
          <w:p>
            <w:pPr>
              <w:ind w:left="300"/>
              <w:spacing w:after="0"/>
              <w:rPr>
                <w:sz w:val="20"/>
                <w:szCs w:val="20"/>
                <w:color w:val="auto"/>
              </w:rPr>
            </w:pPr>
            <w:r>
              <w:rPr>
                <w:rFonts w:ascii="Arial" w:cs="Arial" w:eastAsia="Arial" w:hAnsi="Arial"/>
                <w:sz w:val="17"/>
                <w:szCs w:val="17"/>
                <w:color w:val="auto"/>
              </w:rPr>
              <w:t xml:space="preserve">Steam – Biomass </w:t>
            </w:r>
            <w:r>
              <w:rPr>
                <w:rFonts w:ascii="Arial" w:cs="Arial" w:eastAsia="Arial" w:hAnsi="Arial"/>
                <w:sz w:val="17"/>
                <w:szCs w:val="17"/>
                <w:i w:val="1"/>
                <w:iCs w:val="1"/>
                <w:color w:val="auto"/>
              </w:rPr>
              <w:t>(b)</w:t>
            </w:r>
          </w:p>
        </w:tc>
        <w:tc>
          <w:tcPr>
            <w:tcW w:w="2600" w:type="dxa"/>
            <w:vAlign w:val="bottom"/>
          </w:tcPr>
          <w:p>
            <w:pPr>
              <w:jc w:val="center"/>
              <w:ind w:left="1036"/>
              <w:spacing w:after="0"/>
              <w:rPr>
                <w:sz w:val="20"/>
                <w:szCs w:val="20"/>
                <w:color w:val="auto"/>
              </w:rPr>
            </w:pPr>
            <w:r>
              <w:rPr>
                <w:rFonts w:ascii="Arial" w:cs="Arial" w:eastAsia="Arial" w:hAnsi="Arial"/>
                <w:sz w:val="17"/>
                <w:szCs w:val="17"/>
                <w:color w:val="auto"/>
              </w:rPr>
              <w:t>6 &amp; 7</w:t>
            </w:r>
          </w:p>
        </w:tc>
        <w:tc>
          <w:tcPr>
            <w:tcW w:w="1600" w:type="dxa"/>
            <w:vAlign w:val="bottom"/>
          </w:tcPr>
          <w:p>
            <w:pPr>
              <w:jc w:val="right"/>
              <w:ind w:right="336"/>
              <w:spacing w:after="0"/>
              <w:rPr>
                <w:sz w:val="20"/>
                <w:szCs w:val="20"/>
                <w:color w:val="auto"/>
              </w:rPr>
            </w:pPr>
            <w:r>
              <w:rPr>
                <w:rFonts w:ascii="Arial" w:cs="Arial" w:eastAsia="Arial" w:hAnsi="Arial"/>
                <w:sz w:val="17"/>
                <w:szCs w:val="17"/>
                <w:color w:val="auto"/>
              </w:rPr>
              <w:t>1969, 1980</w:t>
            </w:r>
          </w:p>
        </w:tc>
        <w:tc>
          <w:tcPr>
            <w:tcW w:w="1340" w:type="dxa"/>
            <w:vAlign w:val="bottom"/>
          </w:tcPr>
          <w:p>
            <w:pPr>
              <w:jc w:val="center"/>
              <w:ind w:left="56"/>
              <w:spacing w:after="0"/>
              <w:rPr>
                <w:sz w:val="20"/>
                <w:szCs w:val="20"/>
                <w:color w:val="auto"/>
              </w:rPr>
            </w:pPr>
            <w:r>
              <w:rPr>
                <w:rFonts w:ascii="Arial" w:cs="Arial" w:eastAsia="Arial" w:hAnsi="Arial"/>
                <w:sz w:val="17"/>
                <w:szCs w:val="17"/>
                <w:color w:val="auto"/>
                <w:w w:val="84"/>
              </w:rPr>
              <w:t>2000</w:t>
            </w:r>
          </w:p>
        </w:tc>
        <w:tc>
          <w:tcPr>
            <w:tcW w:w="1560" w:type="dxa"/>
            <w:vAlign w:val="bottom"/>
          </w:tcPr>
          <w:p>
            <w:pPr>
              <w:jc w:val="right"/>
              <w:ind w:right="516"/>
              <w:spacing w:after="0"/>
              <w:rPr>
                <w:sz w:val="20"/>
                <w:szCs w:val="20"/>
                <w:color w:val="auto"/>
              </w:rPr>
            </w:pPr>
            <w:r>
              <w:rPr>
                <w:rFonts w:ascii="Arial" w:cs="Arial" w:eastAsia="Arial" w:hAnsi="Arial"/>
                <w:sz w:val="17"/>
                <w:szCs w:val="17"/>
                <w:color w:val="auto"/>
              </w:rPr>
              <w:t>29</w:t>
            </w:r>
          </w:p>
        </w:tc>
      </w:tr>
      <w:tr>
        <w:trPr>
          <w:trHeight w:val="206"/>
        </w:trPr>
        <w:tc>
          <w:tcPr>
            <w:tcW w:w="43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Hydro – Conventional Run-of-River</w:t>
            </w:r>
          </w:p>
        </w:tc>
        <w:tc>
          <w:tcPr>
            <w:tcW w:w="2600" w:type="dxa"/>
            <w:vAlign w:val="bottom"/>
            <w:tcBorders>
              <w:bottom w:val="single" w:sz="8" w:color="auto"/>
            </w:tcBorders>
            <w:shd w:val="clear" w:color="auto" w:fill="CCEEFF"/>
          </w:tcPr>
          <w:p>
            <w:pPr>
              <w:jc w:val="center"/>
              <w:ind w:left="1036"/>
              <w:spacing w:after="0"/>
              <w:rPr>
                <w:sz w:val="20"/>
                <w:szCs w:val="20"/>
                <w:color w:val="auto"/>
              </w:rPr>
            </w:pPr>
            <w:r>
              <w:rPr>
                <w:rFonts w:ascii="Arial" w:cs="Arial" w:eastAsia="Arial" w:hAnsi="Arial"/>
                <w:sz w:val="17"/>
                <w:szCs w:val="17"/>
                <w:color w:val="auto"/>
              </w:rPr>
              <w:t>4 &amp; 5</w:t>
            </w:r>
          </w:p>
        </w:tc>
        <w:tc>
          <w:tcPr>
            <w:tcW w:w="16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1917</w:t>
            </w:r>
          </w:p>
        </w:tc>
        <w:tc>
          <w:tcPr>
            <w:tcW w:w="134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7"/>
                <w:szCs w:val="17"/>
                <w:color w:val="auto"/>
                <w:w w:val="84"/>
              </w:rPr>
              <w:t>2000</w:t>
            </w:r>
          </w:p>
        </w:tc>
        <w:tc>
          <w:tcPr>
            <w:tcW w:w="15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1</w:t>
            </w:r>
          </w:p>
        </w:tc>
      </w:tr>
    </w:tbl>
    <w:p>
      <w:pPr>
        <w:spacing w:after="0" w:line="214" w:lineRule="exact"/>
        <w:rPr>
          <w:sz w:val="20"/>
          <w:szCs w:val="20"/>
          <w:color w:val="auto"/>
        </w:rPr>
      </w:pPr>
    </w:p>
    <w:p>
      <w:pPr>
        <w:ind w:left="300" w:hanging="299"/>
        <w:spacing w:after="0"/>
        <w:tabs>
          <w:tab w:leader="none" w:pos="3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net generation is primarily dedicated to the needs of one customer.</w:t>
      </w:r>
    </w:p>
    <w:p>
      <w:pPr>
        <w:spacing w:after="0" w:line="17" w:lineRule="exact"/>
        <w:rPr>
          <w:rFonts w:ascii="Arial" w:cs="Arial" w:eastAsia="Arial" w:hAnsi="Arial"/>
          <w:sz w:val="17"/>
          <w:szCs w:val="17"/>
          <w:i w:val="1"/>
          <w:iCs w:val="1"/>
          <w:color w:val="auto"/>
        </w:rPr>
      </w:pPr>
    </w:p>
    <w:p>
      <w:pPr>
        <w:ind w:left="300" w:hanging="299"/>
        <w:spacing w:after="0"/>
        <w:tabs>
          <w:tab w:leader="none" w:pos="3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Rapids Energy Center is supplemented by coal.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Minnesota Land. </w:t>
      </w:r>
      <w:r>
        <w:rPr>
          <w:rFonts w:ascii="Arial" w:cs="Arial" w:eastAsia="Arial" w:hAnsi="Arial"/>
          <w:sz w:val="17"/>
          <w:szCs w:val="17"/>
          <w:color w:val="auto"/>
        </w:rPr>
        <w:t>We have approximately 7,000 acres of land available-for-sale in Minnesota. We acquired the land in 2001 when we purchased the Taconite Harbor</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or other regulatory changes. Our intention is to reduce our exposure to these requirements by reshaping our generation portfolio, over time, to reduce our reliance on coal.</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(See Item 7. Management’s Discussion and Analysis of Financial Condition and Results of Operations – Capital Requirements.)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review environmental matters on a quarterly basis. Accruals for environmental liabilities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Air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electric utility industry is heavily regulated both at the Federal and State level to address air emissions. Minnesota Power’s generating facilities mainly burn low-sulfur western sub-bituminous coal. Square Butte, located in North Dakota, burns lignite coal. All of Minnesota Power’s generating facilities are equipped with pollution control equipment such as scrubbers, bag houses, and low NO</w:t>
      </w:r>
      <w:r>
        <w:rPr>
          <w:rFonts w:ascii="Arial" w:cs="Arial" w:eastAsia="Arial" w:hAnsi="Arial"/>
          <w:sz w:val="21"/>
          <w:szCs w:val="21"/>
          <w:color w:val="auto"/>
          <w:vertAlign w:val="subscript"/>
        </w:rPr>
        <w:t>x</w:t>
      </w:r>
      <w:r>
        <w:rPr>
          <w:rFonts w:ascii="Arial" w:cs="Arial" w:eastAsia="Arial" w:hAnsi="Arial"/>
          <w:sz w:val="15"/>
          <w:szCs w:val="15"/>
          <w:color w:val="auto"/>
        </w:rPr>
        <w:t xml:space="preserve"> technologies. These facilities are currently in compliance with applicable emission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New Source Review. </w:t>
      </w:r>
      <w:r>
        <w:rPr>
          <w:rFonts w:ascii="Arial" w:cs="Arial" w:eastAsia="Arial" w:hAnsi="Arial"/>
          <w:sz w:val="17"/>
          <w:szCs w:val="17"/>
          <w:color w:val="auto"/>
        </w:rPr>
        <w:t>In August 2008, Minnesota Power received a Notice of Violation (NOV) from the United States EPA asserting violations of the New Source Review</w:t>
      </w:r>
      <w:r>
        <w:rPr>
          <w:rFonts w:ascii="Arial" w:cs="Arial" w:eastAsia="Arial" w:hAnsi="Arial"/>
          <w:sz w:val="17"/>
          <w:szCs w:val="17"/>
          <w:i w:val="1"/>
          <w:iCs w:val="1"/>
          <w:color w:val="auto"/>
        </w:rPr>
        <w:t xml:space="preserve"> </w:t>
      </w:r>
      <w:r>
        <w:rPr>
          <w:rFonts w:ascii="Arial" w:cs="Arial" w:eastAsia="Arial" w:hAnsi="Arial"/>
          <w:sz w:val="17"/>
          <w:szCs w:val="17"/>
          <w:color w:val="auto"/>
        </w:rPr>
        <w:t>(NSR)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Minnesota Power believes the projects were in full compliance with the Clean Air Act, NSR requirements and applicable permits.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emissions at Laskin and Boswell, and continues to reduce emissions at Boswell.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EPA Transport Rule. </w:t>
      </w:r>
      <w:r>
        <w:rPr>
          <w:rFonts w:ascii="Arial" w:cs="Arial" w:eastAsia="Arial" w:hAnsi="Arial"/>
          <w:sz w:val="16"/>
          <w:szCs w:val="16"/>
          <w:color w:val="auto"/>
        </w:rPr>
        <w:t>On July 6, 2010, the EPA proposed a rule known as the Transport Rule (TR) requiring 31 states, including Minnesota and the District of Columbia,</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power plant SO</w:t>
      </w:r>
      <w:r>
        <w:rPr>
          <w:rFonts w:ascii="Arial" w:cs="Arial" w:eastAsia="Arial" w:hAnsi="Arial"/>
          <w:sz w:val="22"/>
          <w:szCs w:val="22"/>
          <w:color w:val="auto"/>
          <w:vertAlign w:val="subscript"/>
        </w:rPr>
        <w:t>2</w:t>
      </w:r>
      <w:r>
        <w:rPr>
          <w:rFonts w:ascii="Arial" w:cs="Arial" w:eastAsia="Arial" w:hAnsi="Arial"/>
          <w:sz w:val="16"/>
          <w:szCs w:val="16"/>
          <w:color w:val="auto"/>
        </w:rPr>
        <w:t xml:space="preserve"> and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emissions that can significantly contribute to ozone and fine particle pollution problems in other states. If adopted, the TR will replace the Clean Air Interstate Rule (CAIR) that was issued by the EPA in March 2005. Minnesota was included as one of the original 28 CAIR states but, following Minnesota Power’s successful challenge to CAIR, the EPA granted an administrative stay of the CAIR requirements in Minnesota while it prepared the TR. The proposed TR responds to the United States Court of Appeals for the District of Columbia Circuit’s remand of CAIR by replacing and reforming questionable provisions to address updated air quality standards, improved emissions data and reformed emissions transport modeling.</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EPA took public comments on the proposed rule through October 1, 2010, and plans to finalize the rule in June 2011. Emissions reductions are proposed to take effect in 2012, within one year of projected finalization of the rule.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EPA has not yet determined whether trading of emission allowances between regulated generating units or states may be implemented. Since 2006, we have made substantial investments in pollution control equipment at our Laskin, Taconite Harbor and Boswell generating units which have significantly reduced emissions. These reductions may or may not satisfy Minnesota Power’s obligations with respect to these requirements. We are unable to predict any additional compliance costs we might incur at this time.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 visibility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 eligible units complete and submit a BART emissions control retrofit study, which was completed for Taconite Harbor Unit 3 in November 2008. The retrofit work completed in 2009 at Boswell Unit 3 meets the BART requirement for that unit. In December 2009, the MPCA approved the SIP for submittal to the EPA for its review and approval. Approval of the Minnesota SIP by the EPA is pending. If approved, Minnesota Power will have five years to bring Taconite Harbor Unit 3 into compliance. It is uncertain what controls will ultimately be required at Taconite Harbor Unit 3 in connection with the regional haze rule.</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EPA National Emission Standards for Hazardous Air Pollutants (NESHAPs) for Electric Utility Units. </w:t>
      </w:r>
      <w:r>
        <w:rPr>
          <w:rFonts w:ascii="Arial" w:cs="Arial" w:eastAsia="Arial" w:hAnsi="Arial"/>
          <w:sz w:val="15"/>
          <w:szCs w:val="15"/>
          <w:color w:val="auto"/>
        </w:rPr>
        <w:t>Under Section 112 of the Clean Air Act, the EPA is required to set</w:t>
      </w:r>
      <w:r>
        <w:rPr>
          <w:rFonts w:ascii="Arial" w:cs="Arial" w:eastAsia="Arial" w:hAnsi="Arial"/>
          <w:sz w:val="15"/>
          <w:szCs w:val="15"/>
          <w:i w:val="1"/>
          <w:iCs w:val="1"/>
          <w:color w:val="auto"/>
        </w:rPr>
        <w:t xml:space="preserve"> </w:t>
      </w:r>
      <w:r>
        <w:rPr>
          <w:rFonts w:ascii="Arial" w:cs="Arial" w:eastAsia="Arial" w:hAnsi="Arial"/>
          <w:sz w:val="15"/>
          <w:szCs w:val="15"/>
          <w:color w:val="auto"/>
        </w:rPr>
        <w:t>emission standards for hazardous air pollutants for certain source categories. In December 2009, Minnesota Power and other utilities received an Information Collection Request from the EPA requiring that emissions data be provided and stack testing be performed in order to develop a database upon which to base future regulations. On March 30, 2010, Minnesota Power responded to the Information Collection Request. Stack testing was completed during the third quarter of 2010 and the results were submitted to the EPA. The EPA is subject to a consent decree which requires the EPA to propose a utility NESHAPs rul e by March 2011, with the final rule by November 2011. As part of the NESHAPs rulemaking, the EPA will develop Maximum Achievable Control Technology standards for utilities. Costs for complying with potential future mercury and other hazardous air pollutant regulations under the Clean Air Act cannot be estimated at this time.</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Minnesota Mercury Emission Reduction Act. </w:t>
      </w:r>
      <w:r>
        <w:rPr>
          <w:rFonts w:ascii="Arial" w:cs="Arial" w:eastAsia="Arial" w:hAnsi="Arial"/>
          <w:sz w:val="15"/>
          <w:szCs w:val="15"/>
          <w:color w:val="auto"/>
        </w:rPr>
        <w:t>Under Minnesota law, a mercury emissions reduction plan for Boswell Unit 4 is required to be submitted by July 1, 2015,</w:t>
      </w:r>
      <w:r>
        <w:rPr>
          <w:rFonts w:ascii="Arial" w:cs="Arial" w:eastAsia="Arial" w:hAnsi="Arial"/>
          <w:sz w:val="15"/>
          <w:szCs w:val="15"/>
          <w:i w:val="1"/>
          <w:iCs w:val="1"/>
          <w:color w:val="auto"/>
        </w:rPr>
        <w:t xml:space="preserve"> </w:t>
      </w:r>
      <w:r>
        <w:rPr>
          <w:rFonts w:ascii="Arial" w:cs="Arial" w:eastAsia="Arial" w:hAnsi="Arial"/>
          <w:sz w:val="15"/>
          <w:szCs w:val="15"/>
          <w:color w:val="auto"/>
        </w:rPr>
        <w:t>with implementation no later than December 31, 2018. The statute also calls for an evaluation of a mercury control alternative which provides for environmental and public health benefits without imposing excessive costs on the utility’s customers. Costs for the Boswell Unit 4 emission reduction plan cannot be estimated at this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Proposed and Finalized National Ambient Air Quality Standards. </w:t>
      </w:r>
      <w:r>
        <w:rPr>
          <w:rFonts w:ascii="Arial" w:cs="Arial" w:eastAsia="Arial" w:hAnsi="Arial"/>
          <w:sz w:val="17"/>
          <w:szCs w:val="17"/>
          <w:color w:val="auto"/>
        </w:rPr>
        <w:t>The EPA is required to review the National Ambient Air Quality Standards (NAAQS) every five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Each state is required to adopt plans describing how they will reduce emissions to attain these NAAQS if the state’s air quality is not in compliance with a NAAQS. These state plans often include more stringent air emission limitations on sources of air pollutants in the state. Four NAAQS have either recently been revised, or are currently in revision, as described below.</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is proposing to more stringently control emissions that result in ground level ozone. In January 2010, the EPA proposed to reduce the eight-hour</w:t>
      </w:r>
      <w:r>
        <w:rPr>
          <w:rFonts w:ascii="Arial" w:cs="Arial" w:eastAsia="Arial" w:hAnsi="Arial"/>
          <w:sz w:val="17"/>
          <w:szCs w:val="17"/>
          <w:i w:val="1"/>
          <w:iCs w:val="1"/>
          <w:color w:val="auto"/>
        </w:rPr>
        <w:t xml:space="preserve"> </w:t>
      </w:r>
      <w:r>
        <w:rPr>
          <w:rFonts w:ascii="Arial" w:cs="Arial" w:eastAsia="Arial" w:hAnsi="Arial"/>
          <w:sz w:val="17"/>
          <w:szCs w:val="17"/>
          <w:color w:val="auto"/>
        </w:rPr>
        <w:t>ozone standard and to adopt a secondary standard for the protection of sensitive vegetation from ozone-related damage. The EPA expects to issue final standards by July 2011. As proposed, states have until early 2014 to submit plans outlining how they will meet the standards.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color w:val="auto"/>
        </w:rPr>
        <w:t xml:space="preserve">Particulate Matter NAAQS. </w:t>
      </w:r>
      <w:r>
        <w:rPr>
          <w:rFonts w:ascii="Arial" w:cs="Arial" w:eastAsia="Arial" w:hAnsi="Arial"/>
          <w:sz w:val="16"/>
          <w:szCs w:val="16"/>
          <w:color w:val="auto"/>
        </w:rPr>
        <w:t>The EPA finalized the NAAQS Particulate Matter standards in September 2006. The EPA established a more stringent 24-hour average fine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particulate (PM</w:t>
      </w:r>
      <w:r>
        <w:rPr>
          <w:rFonts w:ascii="Arial" w:cs="Arial" w:eastAsia="Arial" w:hAnsi="Arial"/>
          <w:sz w:val="22"/>
          <w:szCs w:val="22"/>
          <w:color w:val="auto"/>
          <w:vertAlign w:val="subscript"/>
        </w:rPr>
        <w:t>2.5</w:t>
      </w:r>
      <w:r>
        <w:rPr>
          <w:rFonts w:ascii="Arial" w:cs="Arial" w:eastAsia="Arial" w:hAnsi="Arial"/>
          <w:sz w:val="16"/>
          <w:szCs w:val="16"/>
          <w:color w:val="auto"/>
        </w:rPr>
        <w:t>) standard and kept the annual average fine particulate matter standard and the 24-hour coarse particulate matter standard unchanged. The District of Columbia Circuit Court of Appeals has remanded the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 to the EPA, requiring consideration of lower annual average standard values. The EPA has indicated that ambient air quality monitoring for 2008 through 2010 will be used as a basis for states to characterize their attainment status. The EPA plans to finalize the new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standards in 2011, and state attainment status determination will likely not occur prior to 2013. As early as late 2014, affected sources would have to take additional control measures if modeling demonstrates non-compliance at the property boundary.</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23"/>
          <w:szCs w:val="23"/>
          <w:i w:val="1"/>
          <w:iCs w:val="1"/>
          <w:color w:val="auto"/>
          <w:vertAlign w:val="subscript"/>
        </w:rPr>
        <w:t>2</w:t>
      </w:r>
      <w:r>
        <w:rPr>
          <w:rFonts w:ascii="Arial" w:cs="Arial" w:eastAsia="Arial" w:hAnsi="Arial"/>
          <w:sz w:val="17"/>
          <w:szCs w:val="17"/>
          <w:i w:val="1"/>
          <w:iCs w:val="1"/>
          <w:color w:val="auto"/>
        </w:rPr>
        <w:t xml:space="preserve"> and NO</w:t>
      </w:r>
      <w:r>
        <w:rPr>
          <w:rFonts w:ascii="Arial" w:cs="Arial" w:eastAsia="Arial" w:hAnsi="Arial"/>
          <w:sz w:val="23"/>
          <w:szCs w:val="23"/>
          <w:i w:val="1"/>
          <w:iCs w:val="1"/>
          <w:color w:val="auto"/>
          <w:vertAlign w:val="subscript"/>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The EPA recently finalized new one-hour NAAQS for SO</w:t>
      </w:r>
      <w:r>
        <w:rPr>
          <w:rFonts w:ascii="Arial" w:cs="Arial" w:eastAsia="Arial" w:hAnsi="Arial"/>
          <w:sz w:val="23"/>
          <w:szCs w:val="23"/>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23"/>
          <w:szCs w:val="23"/>
          <w:color w:val="auto"/>
          <w:vertAlign w:val="subscript"/>
        </w:rPr>
        <w:t>2</w:t>
      </w:r>
      <w:r>
        <w:rPr>
          <w:rFonts w:ascii="Arial" w:cs="Arial" w:eastAsia="Arial" w:hAnsi="Arial"/>
          <w:sz w:val="17"/>
          <w:szCs w:val="17"/>
          <w:color w:val="auto"/>
        </w:rPr>
        <w:t>. Monitor data indicates that Minnesota will likely be in compliance with these</w:t>
      </w:r>
      <w:r>
        <w:rPr>
          <w:rFonts w:ascii="Arial" w:cs="Arial" w:eastAsia="Arial" w:hAnsi="Arial"/>
          <w:sz w:val="17"/>
          <w:szCs w:val="17"/>
          <w:i w:val="1"/>
          <w:iCs w:val="1"/>
          <w:color w:val="auto"/>
        </w:rPr>
        <w:t xml:space="preserve"> </w:t>
      </w:r>
      <w:r>
        <w:rPr>
          <w:rFonts w:ascii="Arial" w:cs="Arial" w:eastAsia="Arial" w:hAnsi="Arial"/>
          <w:sz w:val="17"/>
          <w:szCs w:val="17"/>
          <w:color w:val="auto"/>
        </w:rPr>
        <w:t>new standards; however, the SO</w:t>
      </w:r>
      <w:r>
        <w:rPr>
          <w:rFonts w:ascii="Arial" w:cs="Arial" w:eastAsia="Arial" w:hAnsi="Arial"/>
          <w:sz w:val="23"/>
          <w:szCs w:val="23"/>
          <w:color w:val="auto"/>
          <w:vertAlign w:val="subscript"/>
        </w:rPr>
        <w:t>2</w:t>
      </w:r>
      <w:r>
        <w:rPr>
          <w:rFonts w:ascii="Arial" w:cs="Arial" w:eastAsia="Arial" w:hAnsi="Arial"/>
          <w:sz w:val="17"/>
          <w:szCs w:val="17"/>
          <w:color w:val="auto"/>
        </w:rPr>
        <w:t xml:space="preserve"> NAAQS also requires the EPA to evaluate modeling data to determine attainm ent. It is unclear what the outcome of this evaluation will be. These NAAQS could also result in more stringent emission limits on our steam generating facilities, possibly resulting in additional control measures on some of our units.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are unable to predict the nature or timing of any additional NAAQS regulation or compliance costs we might incur at this time.</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Climate Change. </w:t>
      </w:r>
      <w:r>
        <w:rPr>
          <w:rFonts w:ascii="Arial" w:cs="Arial" w:eastAsia="Arial" w:hAnsi="Arial"/>
          <w:sz w:val="17"/>
          <w:szCs w:val="17"/>
          <w:color w:val="auto"/>
        </w:rPr>
        <w:t>Minnesota Power is addressing climate change by taking the following steps that also ensure reliable and environmentally compliant generation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to meet our customer’s requirements:</w:t>
      </w:r>
    </w:p>
    <w:p>
      <w:pPr>
        <w:spacing w:after="0" w:line="192" w:lineRule="exact"/>
        <w:rPr>
          <w:sz w:val="20"/>
          <w:szCs w:val="20"/>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our renewable energy supply.</w:t>
      </w:r>
    </w:p>
    <w:p>
      <w:pPr>
        <w:spacing w:after="0" w:line="17"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Improve the efficiency of our coal-based generation facilities, as well as other process efficiencies.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energy conservation initiatives for our customers and engage in other demand side efforts.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Support research of technologies to reduce carbon emissions from generation facilities and support carbon sequestration efforts.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Achieve overall carbon emission reductions.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Midwestern Greenhouse Gas Reduction Accord. </w:t>
      </w:r>
      <w:r>
        <w:rPr>
          <w:rFonts w:ascii="Arial" w:cs="Arial" w:eastAsia="Arial" w:hAnsi="Arial"/>
          <w:sz w:val="17"/>
          <w:szCs w:val="17"/>
          <w:color w:val="auto"/>
        </w:rPr>
        <w:t>Minnesota is also participating in the Midwestern Greenhouse Gas Reduction Accord (the Accord), a regional effort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 multi-state approach to GHG emission reductions. The Accord includes an agreement to develop a multi-sector cap-and-trade system to help meet the targets established by the group.</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On May 13, 2010, the EPA issued the final Prevention of Significant Deterioration (PSD) and Title V Greenhouse Gas Tailoring Rule</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The PSD/Tailoring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our existing facilities, the rule does not require amending our existing Title V operating permits to include GHGs requirements. Implementation of the requirement to add GHG provisions to permits will be completed at the state level in Minnesota by the MPCA when the Title V operating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an increase of 75,000 tons per year or more of total GHG on a CO</w:t>
      </w:r>
      <w:r>
        <w:rPr>
          <w:rFonts w:ascii="Arial" w:cs="Arial" w:eastAsia="Arial" w:hAnsi="Arial"/>
          <w:sz w:val="22"/>
          <w:szCs w:val="22"/>
          <w:color w:val="auto"/>
          <w:vertAlign w:val="subscript"/>
        </w:rPr>
        <w:t>2</w:t>
      </w:r>
      <w:r>
        <w:rPr>
          <w:rFonts w:ascii="Arial" w:cs="Arial" w:eastAsia="Arial" w:hAnsi="Arial"/>
          <w:sz w:val="16"/>
          <w:szCs w:val="16"/>
          <w:color w:val="auto"/>
        </w:rPr>
        <w:t xml:space="preserve"> equivalent ba 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EPA considers available or likely to be available to sources. It is possible these control technologies could be determined to be BACT on a project by project basis. In the near term, one option appears to be energy efficiency maximization.</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Legal challenges to the EPA’s regulation of GHG emissions, including the Tailoring Rule, have been filed and are awaiting judicial determination. Comments to the Permitting Guidance were also submitted and may be addressed by EPA in the form of revised guidance documents.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Research and Study Initiatives</w:t>
      </w:r>
      <w:r>
        <w:rPr>
          <w:rFonts w:ascii="Arial" w:cs="Arial" w:eastAsia="Arial" w:hAnsi="Arial"/>
          <w:sz w:val="17"/>
          <w:szCs w:val="17"/>
          <w:color w:val="auto"/>
        </w:rPr>
        <w:t>. We participate in several research and study initiatives aimed at mitigating the potential impact of carbon emissions regulation on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Initiatives include assessment of carbon emissions impacts through the use of renewable energy. In developing strategies for our comprehensive approach to reducing our carbon emissions, we participate in and fund organizations and studies.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participate in the Electric Power Research Institute’s CoalFleet for Tomorrow program, which reviews advanced clean coal generation and carbon capture research and assessment. Similarly we participate as a North Dakota Lignite Interest member of the Canadian Clean Power Coalition. The CoalFleet for Tomorrow program also reviews advanced clean coal technologies focusing on lower rank sub-bituminous and lignite fuel energy conversion technologies and carbon control options. Our participation provides Minnesota Power the ability to assess what technologies will best fit the economic fuels that are available in our region and when they may be available.</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also participate in research through the Plains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Reduction Partnership (PCOR). PCOR is looking at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capture technology through research conducted at the Energy and Environmental Research Center, University of North Dakota. Minnesota Power is a partner, along with a number of other utilities, technology providers, and consultants, to further research on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capture techniques, operational issues and costs. The partnership is funded by the members as well as the Department of Energy.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predict whether our participation in any of these activities will result in a benefit to ALLETE or impact the future financial position or results of operations of the Company.</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Water. </w:t>
      </w:r>
      <w:r>
        <w:rPr>
          <w:rFonts w:ascii="Arial" w:cs="Arial" w:eastAsia="Arial" w:hAnsi="Arial"/>
          <w:sz w:val="17"/>
          <w:szCs w:val="17"/>
          <w:color w:val="auto"/>
        </w:rPr>
        <w:t>The Federal Water Pollution Control Act requires NPDES permits to be obtained from the EPA (or, when delegated, from individual state pollution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agencies) for any wastewater discharged into navigable waters. We have obtained all necessary NPDES permits, including NPDES storm water permits for applicable facilities, to conduct our operations. We are in material compliance with these permits.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color w:val="auto"/>
        </w:rPr>
        <w:t xml:space="preserve">Solid and Hazardous Waste. </w:t>
      </w:r>
      <w:r>
        <w:rPr>
          <w:rFonts w:ascii="Arial" w:cs="Arial" w:eastAsia="Arial" w:hAnsi="Arial"/>
          <w:sz w:val="15"/>
          <w:szCs w:val="15"/>
          <w:color w:val="auto"/>
        </w:rPr>
        <w:t>The Resource Conservation and Recovery Act of 1976 regulates the management and disposal of solid and hazardous wastes. We are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to notify the EPA of hazardous waste activity and, consequently, routinely submit the necessary reports to the EPA. The Toxic Substances Control Act regulates the management and disposal of materials containing polychlorinated biphenyl (PCB). In response to the EPA Region V’s request for utilities to participate in the Great Lakes Initiative by voluntarily removing remaining PCB inventories, Minnesota Power is in the process of voluntarily replacing its remaining PCB capacitor banks. Known PCB-contaminated oil in substation equipment was replaced by June 2007. We are in material compliance with these rules.</w:t>
      </w:r>
      <w:r>
        <w:rPr>
          <w:rFonts w:ascii="Arial" w:cs="Arial" w:eastAsia="Arial" w:hAnsi="Arial"/>
          <w:sz w:val="18"/>
          <w:szCs w:val="18"/>
          <w:color w:val="auto"/>
        </w:rPr>
        <w:t>&lt; /div&gt;</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generates coal ash at all five of its steam electric stations. Two facilities store ash in onsite impoundments (ash ponds)</w:t>
      </w:r>
      <w:r>
        <w:rPr>
          <w:rFonts w:ascii="Arial" w:cs="Arial" w:eastAsia="Arial" w:hAnsi="Arial"/>
          <w:sz w:val="17"/>
          <w:szCs w:val="17"/>
          <w:i w:val="1"/>
          <w:iCs w:val="1"/>
          <w:color w:val="auto"/>
        </w:rPr>
        <w:t xml:space="preserve"> </w:t>
      </w:r>
      <w:r>
        <w:rPr>
          <w:rFonts w:ascii="Arial" w:cs="Arial" w:eastAsia="Arial" w:hAnsi="Arial"/>
          <w:sz w:val="17"/>
          <w:szCs w:val="17"/>
          <w:color w:val="auto"/>
        </w:rPr>
        <w:t>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On June 18, 2010, the EPA proposed regulations for coal combustion residuals generated by the electric utility sector. The proposal sought comments on three general regulatory classifications for coal ash. Public comments were submitted to the EPA in November 2010. We are unable to predict the compliance costs we mi ght incur; however, there is the possibility they could have a material impact.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Manufactured Gas Plant Site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are reviewing and addressing environmental conditions at a former manufactured gas plant site within the City of Superior,</w:t>
      </w:r>
      <w:r>
        <w:rPr>
          <w:rFonts w:ascii="Arial" w:cs="Arial" w:eastAsia="Arial" w:hAnsi="Arial"/>
          <w:sz w:val="17"/>
          <w:szCs w:val="17"/>
          <w:b w:val="1"/>
          <w:bCs w:val="1"/>
          <w:color w:val="auto"/>
        </w:rPr>
        <w:t xml:space="preserve"> </w:t>
      </w:r>
      <w:r>
        <w:rPr>
          <w:rFonts w:ascii="Arial" w:cs="Arial" w:eastAsia="Arial" w:hAnsi="Arial"/>
          <w:sz w:val="17"/>
          <w:szCs w:val="17"/>
          <w:color w:val="auto"/>
        </w:rPr>
        <w:t>Wisconsin, and formerly operated by SWL&amp;P. We have been working with the WDNR to determine the extent of contamination and the remediation of contaminated locations. At December 31, 2010, we have a $0.5 million liability for this site, and a corresponding regulatory asset as we expect recovery of remediation costs to be allowed by the PSCW.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2010, ALLETE had 1,465 employees, of which 1,401 were full-time.</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Minnesota Power and SWL&amp;P had an aggregate 596 employees who are members of the IBEW Local 31. Throughout 2009, Minnesota Power, SWL&amp;P and IBEW Local 31 worked towards settling new contracts to replace those which expired on January 31, 2009. Final resolution of the union contracts for Minnesota Power and SWL&amp;P occurred in January and March 2010, respectively. Both agreements were retroactive to February 1, 2009, and were to expire on January 31, 2012. In December 2010, the current agreements were extended through January 31, 2014.</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BNI Coal had 141 employees, of which 105 are members of the IBEW Local 1593. BNI Coal and IBEW Local 1593 have a labor agreement which expires on March 31, 2011. BNI Coal and the IBEW Local 1593 have a good working relationship and management anticipates negotiation with no disruption of service.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Information</w:t>
      </w:r>
    </w:p>
    <w:p>
      <w:pPr>
        <w:spacing w:after="0" w:line="23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ALLETE makes its SEC filings, including its annual report on Form 10-K, quarterly reports on Form 10-Q, current reports on Form 8-K and any amendments to those reports,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20"/>
                <w:szCs w:val="20"/>
                <w:color w:val="auto"/>
              </w:rPr>
            </w:pPr>
            <w:r>
              <w:rPr>
                <w:rFonts w:ascii="Arial" w:cs="Arial" w:eastAsia="Arial" w:hAnsi="Arial"/>
                <w:sz w:val="17"/>
                <w:szCs w:val="17"/>
                <w:b w:val="1"/>
                <w:bCs w:val="1"/>
                <w:color w:val="auto"/>
              </w:rPr>
              <w:t>Executive Officers of the Registrant</w:t>
            </w:r>
          </w:p>
        </w:tc>
        <w:tc>
          <w:tcPr>
            <w:tcW w:w="4240" w:type="dxa"/>
            <w:vAlign w:val="bottom"/>
          </w:tcPr>
          <w:p>
            <w:pPr>
              <w:spacing w:after="0"/>
              <w:rPr>
                <w:sz w:val="18"/>
                <w:szCs w:val="18"/>
                <w:color w:val="auto"/>
              </w:rPr>
            </w:pPr>
          </w:p>
        </w:tc>
      </w:tr>
      <w:tr>
        <w:trPr>
          <w:trHeight w:val="427"/>
        </w:trPr>
        <w:tc>
          <w:tcPr>
            <w:tcW w:w="7180" w:type="dxa"/>
            <w:vAlign w:val="bottom"/>
          </w:tcPr>
          <w:p>
            <w:pPr>
              <w:spacing w:after="0"/>
              <w:rPr>
                <w:sz w:val="20"/>
                <w:szCs w:val="20"/>
                <w:color w:val="auto"/>
              </w:rPr>
            </w:pPr>
            <w:r>
              <w:rPr>
                <w:rFonts w:ascii="Arial" w:cs="Arial" w:eastAsia="Arial" w:hAnsi="Arial"/>
                <w:sz w:val="17"/>
                <w:szCs w:val="17"/>
                <w:color w:val="auto"/>
              </w:rPr>
              <w:t>As of February 16, 2011, these are the executive officers of ALLETE:</w:t>
            </w:r>
          </w:p>
        </w:tc>
        <w:tc>
          <w:tcPr>
            <w:tcW w:w="4240" w:type="dxa"/>
            <w:vAlign w:val="bottom"/>
          </w:tcPr>
          <w:p>
            <w:pPr>
              <w:spacing w:after="0"/>
              <w:rPr>
                <w:sz w:val="24"/>
                <w:szCs w:val="24"/>
                <w:color w:val="auto"/>
              </w:rPr>
            </w:pPr>
          </w:p>
        </w:tc>
      </w:tr>
      <w:tr>
        <w:trPr>
          <w:trHeight w:val="227"/>
        </w:trPr>
        <w:tc>
          <w:tcPr>
            <w:tcW w:w="718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6"/>
        </w:trPr>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Executive Officers</w:t>
            </w:r>
          </w:p>
        </w:tc>
        <w:tc>
          <w:tcPr>
            <w:tcW w:w="4240" w:type="dxa"/>
            <w:vAlign w:val="bottom"/>
            <w:tcBorders>
              <w:bottom w:val="single" w:sz="8" w:color="auto"/>
            </w:tcBorders>
            <w:shd w:val="clear" w:color="auto" w:fill="CCEEFF"/>
          </w:tcPr>
          <w:p>
            <w:pPr>
              <w:ind w:left="1840"/>
              <w:spacing w:after="0"/>
              <w:rPr>
                <w:sz w:val="20"/>
                <w:szCs w:val="20"/>
                <w:color w:val="auto"/>
              </w:rPr>
            </w:pPr>
            <w:r>
              <w:rPr>
                <w:rFonts w:ascii="Arial" w:cs="Arial" w:eastAsia="Arial" w:hAnsi="Arial"/>
                <w:sz w:val="17"/>
                <w:szCs w:val="17"/>
                <w:b w:val="1"/>
                <w:bCs w:val="1"/>
                <w:color w:val="auto"/>
              </w:rPr>
              <w:t>Initial Effective Date</w:t>
            </w:r>
          </w:p>
        </w:tc>
      </w:tr>
      <w:tr>
        <w:trPr>
          <w:trHeight w:val="201"/>
        </w:trPr>
        <w:tc>
          <w:tcPr>
            <w:tcW w:w="71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Alan R. Hodnik</w:t>
            </w:r>
            <w:r>
              <w:rPr>
                <w:rFonts w:ascii="Arial" w:cs="Arial" w:eastAsia="Arial" w:hAnsi="Arial"/>
                <w:sz w:val="17"/>
                <w:szCs w:val="17"/>
                <w:color w:val="auto"/>
              </w:rPr>
              <w:t>, Age 51</w:t>
            </w: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President and Chief Executive Officer – ALLETE</w:t>
            </w:r>
          </w:p>
        </w:tc>
        <w:tc>
          <w:tcPr>
            <w:tcW w:w="4240" w:type="dxa"/>
            <w:vAlign w:val="bottom"/>
          </w:tcPr>
          <w:p>
            <w:pPr>
              <w:ind w:left="1840"/>
              <w:spacing w:after="0"/>
              <w:rPr>
                <w:sz w:val="20"/>
                <w:szCs w:val="20"/>
                <w:color w:val="auto"/>
              </w:rPr>
            </w:pPr>
            <w:r>
              <w:rPr>
                <w:rFonts w:ascii="Arial" w:cs="Arial" w:eastAsia="Arial" w:hAnsi="Arial"/>
                <w:sz w:val="17"/>
                <w:szCs w:val="17"/>
                <w:color w:val="auto"/>
              </w:rPr>
              <w:t>May 1, 2010</w:t>
            </w: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President – ALLETE</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May 1, 2009</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Chief Operating Officer – Minnesota Power</w:t>
            </w:r>
          </w:p>
        </w:tc>
        <w:tc>
          <w:tcPr>
            <w:tcW w:w="4240" w:type="dxa"/>
            <w:vAlign w:val="bottom"/>
          </w:tcPr>
          <w:p>
            <w:pPr>
              <w:ind w:left="1840"/>
              <w:spacing w:after="0"/>
              <w:rPr>
                <w:sz w:val="20"/>
                <w:szCs w:val="20"/>
                <w:color w:val="auto"/>
              </w:rPr>
            </w:pPr>
            <w:r>
              <w:rPr>
                <w:rFonts w:ascii="Arial" w:cs="Arial" w:eastAsia="Arial" w:hAnsi="Arial"/>
                <w:sz w:val="17"/>
                <w:szCs w:val="17"/>
                <w:color w:val="auto"/>
              </w:rPr>
              <w:t>May 8, 2007</w:t>
            </w: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 – Minnesota Power Operations</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September 22, 2006</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Vice President – Minnesota Power Generation</w:t>
            </w:r>
          </w:p>
        </w:tc>
        <w:tc>
          <w:tcPr>
            <w:tcW w:w="4240" w:type="dxa"/>
            <w:vAlign w:val="bottom"/>
          </w:tcPr>
          <w:p>
            <w:pPr>
              <w:ind w:left="1840"/>
              <w:spacing w:after="0"/>
              <w:rPr>
                <w:sz w:val="20"/>
                <w:szCs w:val="20"/>
                <w:color w:val="auto"/>
              </w:rPr>
            </w:pPr>
            <w:r>
              <w:rPr>
                <w:rFonts w:ascii="Arial" w:cs="Arial" w:eastAsia="Arial" w:hAnsi="Arial"/>
                <w:sz w:val="17"/>
                <w:szCs w:val="17"/>
                <w:color w:val="auto"/>
              </w:rPr>
              <w:t>May 1, 2005</w:t>
            </w:r>
          </w:p>
        </w:tc>
      </w:tr>
      <w:tr>
        <w:trPr>
          <w:trHeight w:val="201"/>
        </w:trPr>
        <w:tc>
          <w:tcPr>
            <w:tcW w:w="718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7"/>
                <w:szCs w:val="17"/>
                <w:b w:val="1"/>
                <w:bCs w:val="1"/>
                <w:color w:val="auto"/>
              </w:rPr>
              <w:t>Robert J. Adams</w:t>
            </w:r>
            <w:r>
              <w:rPr>
                <w:rFonts w:ascii="Arial" w:cs="Arial" w:eastAsia="Arial" w:hAnsi="Arial"/>
                <w:sz w:val="17"/>
                <w:szCs w:val="17"/>
                <w:color w:val="auto"/>
              </w:rPr>
              <w:t>, Age 48</w:t>
            </w: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Vice President – Business Development and Chief Risk Officer</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May 13, 2008</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Vice President – Utility Business Development</w:t>
            </w:r>
          </w:p>
        </w:tc>
        <w:tc>
          <w:tcPr>
            <w:tcW w:w="4240" w:type="dxa"/>
            <w:vAlign w:val="bottom"/>
          </w:tcPr>
          <w:p>
            <w:pPr>
              <w:ind w:left="1840"/>
              <w:spacing w:after="0"/>
              <w:rPr>
                <w:sz w:val="20"/>
                <w:szCs w:val="20"/>
                <w:color w:val="auto"/>
              </w:rPr>
            </w:pPr>
            <w:r>
              <w:rPr>
                <w:rFonts w:ascii="Arial" w:cs="Arial" w:eastAsia="Arial" w:hAnsi="Arial"/>
                <w:sz w:val="17"/>
                <w:szCs w:val="17"/>
                <w:color w:val="auto"/>
              </w:rPr>
              <w:t>February 1, 2004</w:t>
            </w:r>
          </w:p>
        </w:tc>
      </w:tr>
      <w:tr>
        <w:trPr>
          <w:trHeight w:val="201"/>
        </w:trPr>
        <w:tc>
          <w:tcPr>
            <w:tcW w:w="718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7"/>
                <w:szCs w:val="17"/>
                <w:b w:val="1"/>
                <w:bCs w:val="1"/>
                <w:color w:val="auto"/>
              </w:rPr>
              <w:t>Deborah A. Amberg</w:t>
            </w:r>
            <w:r>
              <w:rPr>
                <w:rFonts w:ascii="Arial" w:cs="Arial" w:eastAsia="Arial" w:hAnsi="Arial"/>
                <w:sz w:val="17"/>
                <w:szCs w:val="17"/>
                <w:color w:val="auto"/>
              </w:rPr>
              <w:t>, Age 45</w:t>
            </w: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 General Counsel and Secretary</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January 1, 2006</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Vice President, General Counsel and Secretary</w:t>
            </w:r>
          </w:p>
        </w:tc>
        <w:tc>
          <w:tcPr>
            <w:tcW w:w="4240" w:type="dxa"/>
            <w:vAlign w:val="bottom"/>
          </w:tcPr>
          <w:p>
            <w:pPr>
              <w:ind w:left="1840"/>
              <w:spacing w:after="0"/>
              <w:rPr>
                <w:sz w:val="20"/>
                <w:szCs w:val="20"/>
                <w:color w:val="auto"/>
              </w:rPr>
            </w:pPr>
            <w:r>
              <w:rPr>
                <w:rFonts w:ascii="Arial" w:cs="Arial" w:eastAsia="Arial" w:hAnsi="Arial"/>
                <w:sz w:val="17"/>
                <w:szCs w:val="17"/>
                <w:color w:val="auto"/>
              </w:rPr>
              <w:t>March 8, 2004</w:t>
            </w:r>
          </w:p>
        </w:tc>
      </w:tr>
      <w:tr>
        <w:trPr>
          <w:trHeight w:val="201"/>
        </w:trPr>
        <w:tc>
          <w:tcPr>
            <w:tcW w:w="718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7"/>
                <w:szCs w:val="17"/>
                <w:b w:val="1"/>
                <w:bCs w:val="1"/>
                <w:color w:val="auto"/>
              </w:rPr>
              <w:t>Steven Q. DeVinck</w:t>
            </w:r>
            <w:r>
              <w:rPr>
                <w:rFonts w:ascii="Arial" w:cs="Arial" w:eastAsia="Arial" w:hAnsi="Arial"/>
                <w:sz w:val="17"/>
                <w:szCs w:val="17"/>
                <w:color w:val="auto"/>
              </w:rPr>
              <w:t>, Age 51</w:t>
            </w: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Controller and Vice President – Business Support</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December 5, 2009</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Controller</w:t>
            </w:r>
          </w:p>
        </w:tc>
        <w:tc>
          <w:tcPr>
            <w:tcW w:w="4240" w:type="dxa"/>
            <w:vAlign w:val="bottom"/>
          </w:tcPr>
          <w:p>
            <w:pPr>
              <w:ind w:left="1840"/>
              <w:spacing w:after="0"/>
              <w:rPr>
                <w:sz w:val="20"/>
                <w:szCs w:val="20"/>
                <w:color w:val="auto"/>
              </w:rPr>
            </w:pPr>
            <w:r>
              <w:rPr>
                <w:rFonts w:ascii="Arial" w:cs="Arial" w:eastAsia="Arial" w:hAnsi="Arial"/>
                <w:sz w:val="17"/>
                <w:szCs w:val="17"/>
                <w:color w:val="auto"/>
              </w:rPr>
              <w:t>July 12, 2006</w:t>
            </w:r>
          </w:p>
        </w:tc>
      </w:tr>
      <w:tr>
        <w:trPr>
          <w:trHeight w:val="201"/>
        </w:trPr>
        <w:tc>
          <w:tcPr>
            <w:tcW w:w="718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7"/>
                <w:szCs w:val="17"/>
                <w:b w:val="1"/>
                <w:bCs w:val="1"/>
                <w:color w:val="auto"/>
              </w:rPr>
              <w:t>David J. McMillan</w:t>
            </w:r>
            <w:r>
              <w:rPr>
                <w:rFonts w:ascii="Arial" w:cs="Arial" w:eastAsia="Arial" w:hAnsi="Arial"/>
                <w:sz w:val="17"/>
                <w:szCs w:val="17"/>
                <w:color w:val="auto"/>
              </w:rPr>
              <w:t>, Age 49</w:t>
            </w: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 - Marketing, Regulatory and Public Affairs – ALLETE</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January 1, 2006</w:t>
            </w: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Executive Vice President - Minnesota Power</w:t>
            </w:r>
          </w:p>
        </w:tc>
        <w:tc>
          <w:tcPr>
            <w:tcW w:w="4240" w:type="dxa"/>
            <w:vAlign w:val="bottom"/>
          </w:tcPr>
          <w:p>
            <w:pPr>
              <w:ind w:left="1840"/>
              <w:spacing w:after="0"/>
              <w:rPr>
                <w:sz w:val="20"/>
                <w:szCs w:val="20"/>
                <w:color w:val="auto"/>
              </w:rPr>
            </w:pPr>
            <w:r>
              <w:rPr>
                <w:rFonts w:ascii="Arial" w:cs="Arial" w:eastAsia="Arial" w:hAnsi="Arial"/>
                <w:sz w:val="17"/>
                <w:szCs w:val="17"/>
                <w:color w:val="auto"/>
              </w:rPr>
              <w:t>January 1, 2006</w:t>
            </w: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 - Marketing and Public Affairs – ALLETE</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October 2, 2003</w:t>
            </w:r>
          </w:p>
        </w:tc>
      </w:tr>
      <w:tr>
        <w:trPr>
          <w:trHeight w:val="201"/>
        </w:trPr>
        <w:tc>
          <w:tcPr>
            <w:tcW w:w="71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Mark A. Schober</w:t>
            </w:r>
            <w:r>
              <w:rPr>
                <w:rFonts w:ascii="Arial" w:cs="Arial" w:eastAsia="Arial" w:hAnsi="Arial"/>
                <w:sz w:val="17"/>
                <w:szCs w:val="17"/>
                <w:color w:val="auto"/>
              </w:rPr>
              <w:t>, Age 55</w:t>
            </w:r>
          </w:p>
        </w:tc>
        <w:tc>
          <w:tcPr>
            <w:tcW w:w="4240" w:type="dxa"/>
            <w:vAlign w:val="bottom"/>
            <w:shd w:val="clear" w:color="auto" w:fill="CCEEFF"/>
          </w:tcPr>
          <w:p>
            <w:pPr>
              <w:spacing w:after="0"/>
              <w:rPr>
                <w:sz w:val="17"/>
                <w:szCs w:val="17"/>
                <w:color w:val="auto"/>
              </w:rPr>
            </w:pPr>
          </w:p>
        </w:tc>
      </w:tr>
      <w:tr>
        <w:trPr>
          <w:trHeight w:val="201"/>
        </w:trPr>
        <w:tc>
          <w:tcPr>
            <w:tcW w:w="7180" w:type="dxa"/>
            <w:vAlign w:val="bottom"/>
          </w:tcPr>
          <w:p>
            <w:pPr>
              <w:ind w:left="160"/>
              <w:spacing w:after="0"/>
              <w:rPr>
                <w:sz w:val="20"/>
                <w:szCs w:val="20"/>
                <w:color w:val="auto"/>
              </w:rPr>
            </w:pPr>
            <w:r>
              <w:rPr>
                <w:rFonts w:ascii="Arial" w:cs="Arial" w:eastAsia="Arial" w:hAnsi="Arial"/>
                <w:sz w:val="17"/>
                <w:szCs w:val="17"/>
                <w:color w:val="auto"/>
              </w:rPr>
              <w:t>Senior Vice President and Chief Financial Officer</w:t>
            </w:r>
          </w:p>
        </w:tc>
        <w:tc>
          <w:tcPr>
            <w:tcW w:w="4240" w:type="dxa"/>
            <w:vAlign w:val="bottom"/>
          </w:tcPr>
          <w:p>
            <w:pPr>
              <w:ind w:left="1840"/>
              <w:spacing w:after="0"/>
              <w:rPr>
                <w:sz w:val="20"/>
                <w:szCs w:val="20"/>
                <w:color w:val="auto"/>
              </w:rPr>
            </w:pPr>
            <w:r>
              <w:rPr>
                <w:rFonts w:ascii="Arial" w:cs="Arial" w:eastAsia="Arial" w:hAnsi="Arial"/>
                <w:sz w:val="17"/>
                <w:szCs w:val="17"/>
                <w:color w:val="auto"/>
              </w:rPr>
              <w:t>July 1, 2006</w:t>
            </w:r>
          </w:p>
        </w:tc>
      </w:tr>
      <w:tr>
        <w:trPr>
          <w:trHeight w:val="201"/>
        </w:trPr>
        <w:tc>
          <w:tcPr>
            <w:tcW w:w="7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 and Controller</w:t>
            </w:r>
          </w:p>
        </w:tc>
        <w:tc>
          <w:tcPr>
            <w:tcW w:w="4240" w:type="dxa"/>
            <w:vAlign w:val="bottom"/>
            <w:shd w:val="clear" w:color="auto" w:fill="CCEEFF"/>
          </w:tcPr>
          <w:p>
            <w:pPr>
              <w:ind w:left="1840"/>
              <w:spacing w:after="0"/>
              <w:rPr>
                <w:sz w:val="20"/>
                <w:szCs w:val="20"/>
                <w:color w:val="auto"/>
              </w:rPr>
            </w:pPr>
            <w:r>
              <w:rPr>
                <w:rFonts w:ascii="Arial" w:cs="Arial" w:eastAsia="Arial" w:hAnsi="Arial"/>
                <w:sz w:val="17"/>
                <w:szCs w:val="17"/>
                <w:color w:val="auto"/>
              </w:rPr>
              <w:t>February 1, 2004</w:t>
            </w:r>
          </w:p>
        </w:tc>
      </w:tr>
      <w:tr>
        <w:trPr>
          <w:trHeight w:val="201"/>
        </w:trPr>
        <w:tc>
          <w:tcPr>
            <w:tcW w:w="71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201"/>
        </w:trPr>
        <w:tc>
          <w:tcPr>
            <w:tcW w:w="7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Donald W. Stellmaker</w:t>
            </w:r>
            <w:r>
              <w:rPr>
                <w:rFonts w:ascii="Arial" w:cs="Arial" w:eastAsia="Arial" w:hAnsi="Arial"/>
                <w:sz w:val="17"/>
                <w:szCs w:val="17"/>
                <w:color w:val="auto"/>
              </w:rPr>
              <w:t>, Age 53</w:t>
            </w:r>
          </w:p>
        </w:tc>
        <w:tc>
          <w:tcPr>
            <w:tcW w:w="4240" w:type="dxa"/>
            <w:vAlign w:val="bottom"/>
            <w:shd w:val="clear" w:color="auto" w:fill="CCEEFF"/>
          </w:tcPr>
          <w:p>
            <w:pPr>
              <w:spacing w:after="0"/>
              <w:rPr>
                <w:sz w:val="17"/>
                <w:szCs w:val="17"/>
                <w:color w:val="auto"/>
              </w:rPr>
            </w:pPr>
          </w:p>
        </w:tc>
      </w:tr>
      <w:tr>
        <w:trPr>
          <w:trHeight w:val="213"/>
        </w:trPr>
        <w:tc>
          <w:tcPr>
            <w:tcW w:w="7180" w:type="dxa"/>
            <w:vAlign w:val="bottom"/>
          </w:tcPr>
          <w:p>
            <w:pPr>
              <w:ind w:left="160"/>
              <w:spacing w:after="0"/>
              <w:rPr>
                <w:sz w:val="20"/>
                <w:szCs w:val="20"/>
                <w:color w:val="auto"/>
              </w:rPr>
            </w:pPr>
            <w:r>
              <w:rPr>
                <w:rFonts w:ascii="Arial" w:cs="Arial" w:eastAsia="Arial" w:hAnsi="Arial"/>
                <w:sz w:val="17"/>
                <w:szCs w:val="17"/>
                <w:color w:val="auto"/>
              </w:rPr>
              <w:t>Treasurer</w:t>
            </w:r>
          </w:p>
        </w:tc>
        <w:tc>
          <w:tcPr>
            <w:tcW w:w="4240" w:type="dxa"/>
            <w:vAlign w:val="bottom"/>
          </w:tcPr>
          <w:p>
            <w:pPr>
              <w:ind w:left="1840"/>
              <w:spacing w:after="0"/>
              <w:rPr>
                <w:sz w:val="20"/>
                <w:szCs w:val="20"/>
                <w:color w:val="auto"/>
              </w:rPr>
            </w:pPr>
            <w:r>
              <w:rPr>
                <w:rFonts w:ascii="Arial" w:cs="Arial" w:eastAsia="Arial" w:hAnsi="Arial"/>
                <w:sz w:val="17"/>
                <w:szCs w:val="17"/>
                <w:color w:val="auto"/>
              </w:rPr>
              <w:t>July 24, 2004</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of the executive officers have been employed by us for more than five years in executive or management positions. Prior to election to the positions shown above, the following executive held other positions with the Company during the past five years: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Mr. DeVinck </w:t>
      </w:r>
      <w:r>
        <w:rPr>
          <w:rFonts w:ascii="Arial" w:cs="Arial" w:eastAsia="Arial" w:hAnsi="Arial"/>
          <w:sz w:val="17"/>
          <w:szCs w:val="17"/>
          <w:color w:val="auto"/>
        </w:rPr>
        <w:t>was Director of Nonutility Business Development, and Assistant Controller</w:t>
      </w:r>
      <w:r>
        <w:rPr>
          <w:rFonts w:ascii="Arial" w:cs="Arial" w:eastAsia="Arial" w:hAnsi="Arial"/>
          <w:sz w:val="17"/>
          <w:szCs w:val="17"/>
          <w:i w:val="1"/>
          <w:iCs w:val="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the executive officers. All officers and directors are elected or appointed annually.</w:t>
      </w:r>
    </w:p>
    <w:p>
      <w:pPr>
        <w:spacing w:after="0" w:line="200" w:lineRule="exact"/>
        <w:rPr>
          <w:sz w:val="20"/>
          <w:szCs w:val="20"/>
          <w:color w:val="auto"/>
        </w:rPr>
      </w:pP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present term of office of the executive officers listed above extends to the first meeting of our Board of Directors after the next annual meeting of shareholders. Both meetings are scheduled for May 10, 2011.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2" w:name="page23"/>
    <w:bookmarkEnd w:id="22"/>
    <w:p>
      <w:pPr>
        <w:spacing w:after="0"/>
        <w:tabs>
          <w:tab w:leader="none" w:pos="11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factors discussed below, as well as other information set forth in this Form 10-K, which could materially affect our business, financial condition and results of operations should be carefully considered. The risks and uncertainties described below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Our results of operations could be negatively impacted if our Large Power Customers experience an economic down cycle or fail to compete effectively in the global economy.</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Our ten Large Power Customers accounted for approximately 31 percent of our 2010 consolidated operating revenue (23 percent in 2009; 36 percent in 2008). One of these customers accounted for 12.5 percent of consolidated revenue in 2010 (8.0 percent in 2009; 12.5 percent in 2008).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if we are unable to remarket at similar prices the energy that would otherwise have been sold to such Large Power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are subject to extensive governmental regulations that may have a negative impact on our business and results of operations.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are subject to prevailing governmental policies and regulatory actions, including those of the United States Congress, state legislatures, the FERC, the MPUC, the PSCW, the NDPSC and the EPA. These governmental regulations relate to allowed rates of return, financings, industry rate and cost structure, acquisition and disposal of assets and facilities, construction and operation of generation, transmission and distribution facilities (including the ongoing maintenance and reliable operation of such facilities under established reliability standards), recovery of purchased power and capital investments, and present or prospective wholesale and retail competition. The Company must also comply with permits, licenses and any other authorizations as issued by local, state and federal agencies.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ability to obtain rate adjustments to maintain current rates of return depends upon regulatory action under applicable statutes and regulations, and we cannot provide assurance that rate adjustments will be obtained or current authorized rates of return on capital will be earned. Minnesota Power and SWL&amp;P from time to time file rate cases with, or otherwise seek cost recovery authorization from, federal and state regulatory authorities. If Minnesota Power and SWL&amp;P do not receive an adequate amount of rate relief in rate cases, if rates are reduced, if increased rates are not approved on a timely basis or costs are otherwise unable to be recovered through rates, or if cost recovery is not achieved at the requested level, we may experience an adverse impact on our financial condition, results of operations and cash flows. We are unable to predict the impact on our business and operations results from future regulatory activities of any of these agencies.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could be adversely impacted by emissions of GHG that are linked to global climate change.</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could be adversely impacted by initiatives designed to reduce the impact of GHG emissions such as CO</w:t>
      </w:r>
      <w:r>
        <w:rPr>
          <w:rFonts w:ascii="Arial" w:cs="Arial" w:eastAsia="Arial" w:hAnsi="Arial"/>
          <w:sz w:val="21"/>
          <w:szCs w:val="21"/>
          <w:b w:val="1"/>
          <w:bCs w:val="1"/>
          <w:color w:val="auto"/>
          <w:vertAlign w:val="subscript"/>
        </w:rPr>
        <w:t>2</w:t>
      </w:r>
      <w:r>
        <w:rPr>
          <w:rFonts w:ascii="Arial" w:cs="Arial" w:eastAsia="Arial" w:hAnsi="Arial"/>
          <w:sz w:val="15"/>
          <w:szCs w:val="15"/>
          <w:b w:val="1"/>
          <w:bCs w:val="1"/>
          <w:color w:val="auto"/>
        </w:rPr>
        <w:t xml:space="preserve"> from our generating facilities.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Proposals for voluntary initiatives and mandatory controls to reduce GHGs such as CO</w:t>
      </w:r>
      <w:r>
        <w:rPr>
          <w:rFonts w:ascii="Arial" w:cs="Arial" w:eastAsia="Arial" w:hAnsi="Arial"/>
          <w:sz w:val="23"/>
          <w:szCs w:val="23"/>
          <w:color w:val="auto"/>
          <w:vertAlign w:val="subscript"/>
        </w:rPr>
        <w:t>2</w:t>
      </w:r>
      <w:r>
        <w:rPr>
          <w:rFonts w:ascii="Arial" w:cs="Arial" w:eastAsia="Arial" w:hAnsi="Arial"/>
          <w:sz w:val="17"/>
          <w:szCs w:val="17"/>
          <w:color w:val="auto"/>
        </w:rPr>
        <w:t>, a by-product of burning fossil fuels, are being discussed within Minnesota, among a group of Midwestern states that includes Minnesota, in the United States Congress and worldwide. We currently use coal as the primary fuel in 95 percent of the energy produced by our generating facilities.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significant uncertainty regarding whether new laws or regulations will be adopted to reduce GHGs and what effect any such laws or regulations would have on us. If any new laws or regulations are implemented, they could have a material effect on our results of operations, particularly if implementation costs are not fully recoverable from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Risk Factors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cost of environmental emission allowances could have a negative financial impact on our operations.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Minnesota Power is subject to numerous environmental laws and regulations which cap emissions and could require us to purchase environmental emissions allowances to be in compliance. The laws and regulations expose us to emission allowance price fluctuations which could increase our cost of operations. We are unable to predict the emission allowance pricing, regulatory recovery or ratepayer impact of these costs.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pose certain environmental risks which could adversely affect our results of operations and financial condition.</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subject to extensive environmental laws and regulations affecting many aspects of our present and future operations, including air quality, water quality, waste management, reclamation, hazardous wastes and natural resources. These laws and regulations can result in increased capital, operating and other costs, as a result of compliance, remediation, containment and monitoring obligations, particularly with regard to laws relating to power plant emissions.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laws could, among other things, restrict the output of some existing facilities, limit the use of some fuels required for the production of electricity, require additional pollution control equipment and otherwise increase costs and lead to other environmental considerations.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 Violations of certain statutes, rules and regulations could expose ALLETE to third party disputes and potentially significant monetary penalties, as well as other sanctions for non-compliance.</w:t>
      </w:r>
    </w:p>
    <w:p>
      <w:pPr>
        <w:spacing w:after="0" w:line="16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b w:val="1"/>
          <w:bCs w:val="1"/>
          <w:color w:val="auto"/>
        </w:rPr>
        <w:t>We rely on access to financing sources and capital markets. If we do not have access to sufficient capital in the amount and at the times needed, our ability to execute our business plans, make capital expenditures or pursue acquisitions that we may otherwise rely on for future growth could be impaired.</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financial markets. Such disruptions could include a severe prolonged economic downturn, the bankruptcy of non-affiliated industry leaders in the same line of business or financial services sector, deterioration in capital market conditions, or volatility in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operation and maintenance of our generating facilities involve risks that could significantly increase the cost of doing business.</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operation of generating facilities involves many risks, including start-up operations risks, breakdown or failure of facilities, the dependence on a specific fuel source, failures in the supply availability or transportation of fuel,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were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 nts due to changing environmental standards and technological advances.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Risk Factors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electrical generating operations must have adequate and reliable transmission and distribution facilities to deliver electricity to our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Minnesota Power depends on transmission and distribution facilities owned by other utilities, and transmission facilities primarily operated by MISO, as well as its own such facilities, to deliver the electricity we produce and sell to our customers, and to other energy suppliers. If transmission capacity is inadequate, our ability to sell and deliver electricity may be hindered. We may have to forego sales or we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price of electricity and fuel may be volatile.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Volatility in market prices for electricity and fuel may result from:</w:t>
      </w:r>
    </w:p>
    <w:p>
      <w:pPr>
        <w:spacing w:after="0" w:line="232" w:lineRule="exact"/>
        <w:rPr>
          <w:sz w:val="20"/>
          <w:szCs w:val="20"/>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severe or unexpected weather conditions;</w:t>
      </w:r>
    </w:p>
    <w:p>
      <w:pPr>
        <w:spacing w:after="0" w:line="17"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electricity usage;</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transmission or transportation constraints, inoperability or inefficiencies;</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availability of competitively priced alternative energy sources;</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supply and demand for energy;</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power production capacity;</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outages at Minnesota Power’s generating facilities or those of our competitors;</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production and storage levels of natural gas, lignite, coal, crude oil and refined products;</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natural disasters, wars, sabotage, terrorist acts or other catastrophic events; and</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federal, state, local and foreign energy, environmental, or other regulation and legislation.</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fluctuations in fuel expense related to our regulated utility operations are passed on to customers through our fuel clause, risk of volatility in market prices for fuel and electricity mainly impacts our sales to Other Power Suppliers.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dependent on a qualified workforce and good labor relations.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 We believe we have good relations with our members of the IBEW Local 31 and IBEW Local 1593, and have contracts in place through January 31, 2014, and March 31, 2011, respectively.</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Market performance and other changes could decrease the value of pension and postretirement health benefit plan assets, which then could require significant additional funding and increase annual expense.</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performance of the capital markets affects the values of the assets that are held in trust to satisfy future obligations under our pension and postretirement benefit plans. We have significant obligations to these plans and the Company holds significant assets in these trusts. These assets are subject to market fluctuations and will yield uncertain returns, which may fall below our projected rates of return. A decline in the market value of the pension and postretirement benefit plan assets will increase the funding requirements under our benefit plans if the actual asset returns do not recover. Additionally, our pension and postretirement benefit plan liabilities are sensitive to changes in interest rates. As interest rates decrease, the liabilities increase, potentially increasing benefit expense and funding requirements. Our pen sion and postretirement health care costs are generally recoverable in our electric rates as allowed by our regulators. However, there is no certainty that regulators will continue to allow recovery of these rising costs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technologies or cyber attacks may adversely affect our business operations.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While the pace of technology development has been increasing, the basic concept upon which our business model is based of how energy is produced, sold and delivered has remained essentially unchanged. The development of new commercially viable technology in areas such as distributed generation, energy storage and energy conservation could fundamentally change demand for our current products and services. A security breach of our information systems could subject us to financial harm associated with theft or inappropriate release of certain types of information, including, but not limited to, customer or system operating information. Cyber attacks could affect our operations and subject us to financial harm.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Risk Factors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downturn in economic conditions may adversely affect our strategy to sell our Florida real estate.</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ALLETE intends to sell its Florida land assets at reasonable prices over time or in bulk transactions when opportunities arise. However, if weak market conditions continue for an extended period of time, the impact on our future operations would be the continuation of little to no sales while still incurring operating expenses such as community development district assessments and property taxes. This could result in annual net operating losses similar to 2010. Additionally, because of the current real estate market conditions in Florida, we cannot predict when we will be able to sell these assets at prices we find to be reasonable.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Properties are included in the discussion of our businesses in Item 1 and are incorporated by reference herein.</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Material legal and regulatory proceedings are included in the discussion of our businesses in Item 1 and are incorporated by reference herein.</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January 2011, the Company was named as a defendant in a lawsuit in the Sixth Judicial District for the State of Minnesota by one 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expense related to any damages that may result from the lawsuit has not been recorded as of December 31 , 2010, because a potential loss is not currently probable or reasonably estimable; however, the Company believes it has adequate insurance coverage for potential loss.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8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Removed and Reserved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Part II</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common stock is listed on the NYSE under the symbol ALE. We have paid dividends, without interruption, on our common stock since 1948. A quarterly dividend of $0.445 per share on our common stock will be paid on March 1, 2011, to the holders of record on February 15, 2011.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for our common stock for the periods indicated as reported by the NYSE: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2010</w:t>
            </w:r>
          </w:p>
        </w:tc>
        <w:tc>
          <w:tcPr>
            <w:tcW w:w="1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80" w:type="dxa"/>
            <w:vAlign w:val="bottom"/>
            <w:tcBorders>
              <w:bottom w:val="single" w:sz="8" w:color="auto"/>
            </w:tcBorders>
            <w:shd w:val="clear" w:color="auto" w:fill="CCEEFF"/>
          </w:tcPr>
          <w:p>
            <w:pPr>
              <w:spacing w:after="0"/>
              <w:rPr>
                <w:sz w:val="17"/>
                <w:szCs w:val="17"/>
                <w:color w:val="auto"/>
              </w:rPr>
            </w:pPr>
          </w:p>
        </w:tc>
      </w:tr>
      <w:tr>
        <w:trPr>
          <w:trHeight w:val="201"/>
        </w:trPr>
        <w:tc>
          <w:tcPr>
            <w:tcW w:w="4460" w:type="dxa"/>
            <w:vAlign w:val="bottom"/>
          </w:tcPr>
          <w:p>
            <w:pPr>
              <w:spacing w:after="0"/>
              <w:rPr>
                <w:sz w:val="17"/>
                <w:szCs w:val="17"/>
                <w:color w:val="auto"/>
              </w:rPr>
            </w:pPr>
          </w:p>
        </w:tc>
        <w:tc>
          <w:tcPr>
            <w:tcW w:w="2480" w:type="dxa"/>
            <w:vAlign w:val="bottom"/>
            <w:gridSpan w:val="2"/>
          </w:tcPr>
          <w:p>
            <w:pPr>
              <w:jc w:val="right"/>
              <w:ind w:right="756"/>
              <w:spacing w:after="0"/>
              <w:rPr>
                <w:sz w:val="20"/>
                <w:szCs w:val="20"/>
                <w:color w:val="auto"/>
              </w:rPr>
            </w:pPr>
            <w:r>
              <w:rPr>
                <w:rFonts w:ascii="Arial" w:cs="Arial" w:eastAsia="Arial" w:hAnsi="Arial"/>
                <w:sz w:val="17"/>
                <w:szCs w:val="17"/>
                <w:b w:val="1"/>
                <w:bCs w:val="1"/>
                <w:color w:val="auto"/>
              </w:rPr>
              <w:t>Price Range</w:t>
            </w:r>
          </w:p>
        </w:tc>
        <w:tc>
          <w:tcPr>
            <w:tcW w:w="1280" w:type="dxa"/>
            <w:vAlign w:val="bottom"/>
          </w:tcPr>
          <w:p>
            <w:pPr>
              <w:jc w:val="right"/>
              <w:ind w:right="276"/>
              <w:spacing w:after="0"/>
              <w:rPr>
                <w:sz w:val="20"/>
                <w:szCs w:val="20"/>
                <w:color w:val="auto"/>
              </w:rPr>
            </w:pPr>
            <w:r>
              <w:rPr>
                <w:rFonts w:ascii="Arial" w:cs="Arial" w:eastAsia="Arial" w:hAnsi="Arial"/>
                <w:sz w:val="17"/>
                <w:szCs w:val="17"/>
                <w:b w:val="1"/>
                <w:bCs w:val="1"/>
                <w:color w:val="auto"/>
              </w:rPr>
              <w:t>Dividends</w:t>
            </w:r>
          </w:p>
        </w:tc>
        <w:tc>
          <w:tcPr>
            <w:tcW w:w="2120" w:type="dxa"/>
            <w:vAlign w:val="bottom"/>
            <w:gridSpan w:val="2"/>
          </w:tcPr>
          <w:p>
            <w:pPr>
              <w:jc w:val="right"/>
              <w:ind w:right="616"/>
              <w:spacing w:after="0"/>
              <w:rPr>
                <w:sz w:val="20"/>
                <w:szCs w:val="20"/>
                <w:color w:val="auto"/>
              </w:rPr>
            </w:pPr>
            <w:r>
              <w:rPr>
                <w:rFonts w:ascii="Arial" w:cs="Arial" w:eastAsia="Arial" w:hAnsi="Arial"/>
                <w:sz w:val="17"/>
                <w:szCs w:val="17"/>
                <w:b w:val="1"/>
                <w:bCs w:val="1"/>
                <w:color w:val="auto"/>
              </w:rPr>
              <w:t>Price Range</w:t>
            </w:r>
          </w:p>
        </w:tc>
        <w:tc>
          <w:tcPr>
            <w:tcW w:w="1080" w:type="dxa"/>
            <w:vAlign w:val="bottom"/>
          </w:tcPr>
          <w:p>
            <w:pPr>
              <w:jc w:val="right"/>
              <w:ind w:right="116"/>
              <w:spacing w:after="0"/>
              <w:rPr>
                <w:sz w:val="20"/>
                <w:szCs w:val="20"/>
                <w:color w:val="auto"/>
              </w:rPr>
            </w:pPr>
            <w:r>
              <w:rPr>
                <w:rFonts w:ascii="Arial" w:cs="Arial" w:eastAsia="Arial" w:hAnsi="Arial"/>
                <w:sz w:val="17"/>
                <w:szCs w:val="17"/>
                <w:b w:val="1"/>
                <w:bCs w:val="1"/>
                <w:color w:val="auto"/>
              </w:rPr>
              <w:t>Dividends</w:t>
            </w:r>
          </w:p>
        </w:tc>
      </w:tr>
      <w:tr>
        <w:trPr>
          <w:trHeight w:val="206"/>
        </w:trPr>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Quarter</w:t>
            </w:r>
          </w:p>
        </w:tc>
        <w:tc>
          <w:tcPr>
            <w:tcW w:w="13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High</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b w:val="1"/>
                <w:bCs w:val="1"/>
                <w:color w:val="auto"/>
              </w:rPr>
              <w:t>Low</w:t>
            </w:r>
          </w:p>
        </w:tc>
        <w:tc>
          <w:tcPr>
            <w:tcW w:w="12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Declared</w:t>
            </w:r>
          </w:p>
        </w:tc>
        <w:tc>
          <w:tcPr>
            <w:tcW w:w="11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High</w:t>
            </w:r>
          </w:p>
        </w:tc>
        <w:tc>
          <w:tcPr>
            <w:tcW w:w="9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Low</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Declared</w:t>
            </w:r>
          </w:p>
        </w:tc>
      </w:tr>
      <w:tr>
        <w:trPr>
          <w:trHeight w:val="201"/>
        </w:trPr>
        <w:tc>
          <w:tcPr>
            <w:tcW w:w="4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First</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$34.00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$29.99</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$0.44</w:t>
            </w: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$33.27</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$23.35</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$0.44</w:t>
            </w:r>
          </w:p>
        </w:tc>
      </w:tr>
      <w:tr>
        <w:trPr>
          <w:trHeight w:val="201"/>
        </w:trPr>
        <w:tc>
          <w:tcPr>
            <w:tcW w:w="4460" w:type="dxa"/>
            <w:vAlign w:val="bottom"/>
          </w:tcPr>
          <w:p>
            <w:pPr>
              <w:spacing w:after="0"/>
              <w:rPr>
                <w:sz w:val="20"/>
                <w:szCs w:val="20"/>
                <w:color w:val="auto"/>
              </w:rPr>
            </w:pPr>
            <w:r>
              <w:rPr>
                <w:rFonts w:ascii="Arial" w:cs="Arial" w:eastAsia="Arial" w:hAnsi="Arial"/>
                <w:sz w:val="17"/>
                <w:szCs w:val="17"/>
                <w:color w:val="auto"/>
              </w:rPr>
              <w:t>Second</w:t>
            </w:r>
          </w:p>
        </w:tc>
        <w:tc>
          <w:tcPr>
            <w:tcW w:w="1320" w:type="dxa"/>
            <w:vAlign w:val="bottom"/>
          </w:tcPr>
          <w:p>
            <w:pPr>
              <w:jc w:val="right"/>
              <w:ind w:right="216"/>
              <w:spacing w:after="0"/>
              <w:rPr>
                <w:sz w:val="20"/>
                <w:szCs w:val="20"/>
                <w:color w:val="auto"/>
              </w:rPr>
            </w:pPr>
            <w:r>
              <w:rPr>
                <w:rFonts w:ascii="Arial" w:cs="Arial" w:eastAsia="Arial" w:hAnsi="Arial"/>
                <w:sz w:val="17"/>
                <w:szCs w:val="17"/>
                <w:color w:val="auto"/>
              </w:rPr>
              <w:t>37.87</w:t>
            </w:r>
          </w:p>
        </w:tc>
        <w:tc>
          <w:tcPr>
            <w:tcW w:w="1160" w:type="dxa"/>
            <w:vAlign w:val="bottom"/>
          </w:tcPr>
          <w:p>
            <w:pPr>
              <w:jc w:val="right"/>
              <w:ind w:right="116"/>
              <w:spacing w:after="0"/>
              <w:rPr>
                <w:sz w:val="20"/>
                <w:szCs w:val="20"/>
                <w:color w:val="auto"/>
              </w:rPr>
            </w:pPr>
            <w:r>
              <w:rPr>
                <w:rFonts w:ascii="Arial" w:cs="Arial" w:eastAsia="Arial" w:hAnsi="Arial"/>
                <w:sz w:val="17"/>
                <w:szCs w:val="17"/>
                <w:color w:val="auto"/>
              </w:rPr>
              <w:t>32.90</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0.44</w:t>
            </w:r>
          </w:p>
        </w:tc>
        <w:tc>
          <w:tcPr>
            <w:tcW w:w="1140" w:type="dxa"/>
            <w:vAlign w:val="bottom"/>
          </w:tcPr>
          <w:p>
            <w:pPr>
              <w:jc w:val="right"/>
              <w:ind w:right="156"/>
              <w:spacing w:after="0"/>
              <w:rPr>
                <w:sz w:val="20"/>
                <w:szCs w:val="20"/>
                <w:color w:val="auto"/>
              </w:rPr>
            </w:pPr>
            <w:r>
              <w:rPr>
                <w:rFonts w:ascii="Arial" w:cs="Arial" w:eastAsia="Arial" w:hAnsi="Arial"/>
                <w:sz w:val="17"/>
                <w:szCs w:val="17"/>
                <w:color w:val="auto"/>
              </w:rPr>
              <w:t>29.14</w:t>
            </w: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24.45</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0.44</w:t>
            </w:r>
          </w:p>
        </w:tc>
      </w:tr>
      <w:tr>
        <w:trPr>
          <w:trHeight w:val="201"/>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Third</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37.75</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33.16</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0.44</w:t>
            </w: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34.57</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27.75</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0.44</w:t>
            </w:r>
          </w:p>
        </w:tc>
      </w:tr>
      <w:tr>
        <w:trPr>
          <w:trHeight w:val="206"/>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Fourth</w:t>
            </w: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37.95</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34.81</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0.44</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35.29</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32.23</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0.44</w:t>
            </w:r>
          </w:p>
        </w:tc>
      </w:tr>
      <w:tr>
        <w:trPr>
          <w:trHeight w:val="206"/>
        </w:trPr>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Annual Total</w:t>
            </w:r>
          </w:p>
        </w:tc>
        <w:tc>
          <w:tcPr>
            <w:tcW w:w="1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$1.76</w:t>
            </w:r>
          </w:p>
        </w:tc>
        <w:tc>
          <w:tcPr>
            <w:tcW w:w="1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$1.76</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At February 1, 2011, there were approximately 28,000 common stock shareholders of record.</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Common Stock Repurchases. </w:t>
      </w:r>
      <w:r>
        <w:rPr>
          <w:rFonts w:ascii="Arial" w:cs="Arial" w:eastAsia="Arial" w:hAnsi="Arial"/>
          <w:sz w:val="17"/>
          <w:szCs w:val="17"/>
          <w:color w:val="auto"/>
        </w:rPr>
        <w:t>During the fourth quarter of 2010, approximately 118,000 shares of ALLETE common stock were purchased on the open market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subsequently reissued under our Invest Direct program.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3640" w:type="dxa"/>
            <w:vAlign w:val="bottom"/>
          </w:tcPr>
          <w:p>
            <w:pPr>
              <w:ind w:left="40"/>
              <w:spacing w:after="0"/>
              <w:rPr>
                <w:sz w:val="20"/>
                <w:szCs w:val="20"/>
                <w:color w:val="auto"/>
              </w:rPr>
            </w:pPr>
            <w:r>
              <w:rPr>
                <w:rFonts w:ascii="Arial" w:cs="Arial" w:eastAsia="Arial" w:hAnsi="Arial"/>
                <w:sz w:val="17"/>
                <w:szCs w:val="17"/>
                <w:b w:val="1"/>
                <w:bCs w:val="1"/>
                <w:color w:val="auto"/>
              </w:rPr>
              <w:t>Selected Financial Data</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59"/>
        </w:trPr>
        <w:tc>
          <w:tcPr>
            <w:tcW w:w="1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2010</w:t>
            </w: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2009</w:t>
            </w: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2008</w:t>
            </w: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2007</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2006</w:t>
            </w:r>
          </w:p>
        </w:tc>
        <w:tc>
          <w:tcPr>
            <w:tcW w:w="20" w:type="dxa"/>
            <w:vAlign w:val="bottom"/>
          </w:tcPr>
          <w:p>
            <w:pPr>
              <w:spacing w:after="0"/>
              <w:rPr>
                <w:sz w:val="24"/>
                <w:szCs w:val="24"/>
                <w:color w:val="auto"/>
              </w:rPr>
            </w:pPr>
          </w:p>
        </w:tc>
      </w:tr>
      <w:tr>
        <w:trPr>
          <w:trHeight w:val="201"/>
        </w:trPr>
        <w:tc>
          <w:tcPr>
            <w:tcW w:w="1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6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7"/>
                <w:szCs w:val="17"/>
                <w:color w:val="auto"/>
              </w:rPr>
              <w:t>Operating Revenue</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$907.0</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$759.1</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$801.0</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$841.7</w:t>
            </w:r>
          </w:p>
        </w:tc>
        <w:tc>
          <w:tcPr>
            <w:tcW w:w="980" w:type="dxa"/>
            <w:vAlign w:val="bottom"/>
          </w:tcPr>
          <w:p>
            <w:pPr>
              <w:jc w:val="right"/>
              <w:spacing w:after="0"/>
              <w:rPr>
                <w:sz w:val="20"/>
                <w:szCs w:val="20"/>
                <w:color w:val="auto"/>
              </w:rPr>
            </w:pPr>
            <w:r>
              <w:rPr>
                <w:rFonts w:ascii="Arial" w:cs="Arial" w:eastAsia="Arial" w:hAnsi="Arial"/>
                <w:sz w:val="17"/>
                <w:szCs w:val="17"/>
                <w:color w:val="auto"/>
              </w:rPr>
              <w:t>$767.1</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771.2</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653.1</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679.2</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710.0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628.8</w:t>
            </w:r>
          </w:p>
        </w:tc>
        <w:tc>
          <w:tcPr>
            <w:tcW w:w="20" w:type="dxa"/>
            <w:vAlign w:val="bottom"/>
          </w:tcPr>
          <w:p>
            <w:pPr>
              <w:spacing w:after="0"/>
              <w:rPr>
                <w:sz w:val="17"/>
                <w:szCs w:val="17"/>
                <w:color w:val="auto"/>
              </w:rPr>
            </w:pPr>
          </w:p>
        </w:tc>
      </w:tr>
      <w:tr>
        <w:trPr>
          <w:trHeight w:val="189"/>
        </w:trPr>
        <w:tc>
          <w:tcPr>
            <w:tcW w:w="4800" w:type="dxa"/>
            <w:vAlign w:val="bottom"/>
            <w:gridSpan w:val="2"/>
          </w:tcPr>
          <w:p>
            <w:pPr>
              <w:spacing w:after="0" w:line="189" w:lineRule="exact"/>
              <w:rPr>
                <w:sz w:val="20"/>
                <w:szCs w:val="20"/>
                <w:color w:val="auto"/>
              </w:rPr>
            </w:pPr>
            <w:r>
              <w:rPr>
                <w:rFonts w:ascii="Arial" w:cs="Arial" w:eastAsia="Arial" w:hAnsi="Arial"/>
                <w:sz w:val="17"/>
                <w:szCs w:val="17"/>
                <w:color w:val="auto"/>
              </w:rPr>
              <w:t>Income from Continuing Operations Before</w:t>
            </w:r>
          </w:p>
        </w:tc>
        <w:tc>
          <w:tcPr>
            <w:tcW w:w="1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4800" w:type="dxa"/>
            <w:vAlign w:val="bottom"/>
            <w:gridSpan w:val="2"/>
          </w:tcPr>
          <w:p>
            <w:pPr>
              <w:ind w:left="160"/>
              <w:spacing w:after="0"/>
              <w:rPr>
                <w:sz w:val="20"/>
                <w:szCs w:val="20"/>
                <w:color w:val="auto"/>
              </w:rPr>
            </w:pPr>
            <w:r>
              <w:rPr>
                <w:rFonts w:ascii="Arial" w:cs="Arial" w:eastAsia="Arial" w:hAnsi="Arial"/>
                <w:sz w:val="17"/>
                <w:szCs w:val="17"/>
                <w:color w:val="auto"/>
              </w:rPr>
              <w:t>Non-Controlling Interest – Net of Tax</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74.8</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60.7</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83.0</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89.5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81.9</w:t>
            </w:r>
          </w:p>
        </w:tc>
      </w:tr>
      <w:tr>
        <w:trPr>
          <w:trHeight w:val="207"/>
        </w:trPr>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Income (Loss) from Discontinued Operations – Net of Tax</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Net Income</w:t>
            </w:r>
          </w:p>
        </w:tc>
        <w:tc>
          <w:tcPr>
            <w:tcW w:w="3640" w:type="dxa"/>
            <w:vAlign w:val="bottom"/>
          </w:tcPr>
          <w:p>
            <w:pPr>
              <w:spacing w:after="0"/>
              <w:rPr>
                <w:sz w:val="17"/>
                <w:szCs w:val="17"/>
                <w:color w:val="auto"/>
              </w:rPr>
            </w:pP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74.8</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60.7</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83.0</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89.5</w:t>
            </w:r>
          </w:p>
        </w:tc>
        <w:tc>
          <w:tcPr>
            <w:tcW w:w="980" w:type="dxa"/>
            <w:vAlign w:val="bottom"/>
          </w:tcPr>
          <w:p>
            <w:pPr>
              <w:jc w:val="right"/>
              <w:spacing w:after="0"/>
              <w:rPr>
                <w:sz w:val="20"/>
                <w:szCs w:val="20"/>
                <w:color w:val="auto"/>
              </w:rPr>
            </w:pPr>
            <w:r>
              <w:rPr>
                <w:rFonts w:ascii="Arial" w:cs="Arial" w:eastAsia="Arial" w:hAnsi="Arial"/>
                <w:sz w:val="17"/>
                <w:szCs w:val="17"/>
                <w:color w:val="auto"/>
              </w:rPr>
              <w:t>81.0</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Non-Controlling Interest in Subsidiaries</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(0.5)</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(0.3)</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0.5</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7"/>
                <w:szCs w:val="17"/>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7"/>
                <w:szCs w:val="17"/>
                <w:color w:val="auto"/>
              </w:rPr>
              <w:t>Net Income Attributable to ALLETE</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75.3</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61.0</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82.5</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87.6</w:t>
            </w:r>
          </w:p>
        </w:tc>
        <w:tc>
          <w:tcPr>
            <w:tcW w:w="980" w:type="dxa"/>
            <w:vAlign w:val="bottom"/>
          </w:tcPr>
          <w:p>
            <w:pPr>
              <w:jc w:val="right"/>
              <w:spacing w:after="0"/>
              <w:rPr>
                <w:sz w:val="20"/>
                <w:szCs w:val="20"/>
                <w:color w:val="auto"/>
              </w:rPr>
            </w:pPr>
            <w:r>
              <w:rPr>
                <w:rFonts w:ascii="Arial" w:cs="Arial" w:eastAsia="Arial" w:hAnsi="Arial"/>
                <w:sz w:val="17"/>
                <w:szCs w:val="17"/>
                <w:color w:val="auto"/>
              </w:rPr>
              <w:t>76.4</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Common Stock Dividends</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60.8</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56.5</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50.4</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44.3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Earnings Retained in Business</w:t>
            </w:r>
          </w:p>
        </w:tc>
        <w:tc>
          <w:tcPr>
            <w:tcW w:w="18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$14.5</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$4.5</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$32.1</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$43.3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Outstanding – Millions</w:t>
            </w: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1160" w:type="dxa"/>
            <w:vAlign w:val="bottom"/>
          </w:tcPr>
          <w:p>
            <w:pPr>
              <w:ind w:left="160"/>
              <w:spacing w:after="0"/>
              <w:rPr>
                <w:sz w:val="20"/>
                <w:szCs w:val="20"/>
                <w:color w:val="auto"/>
              </w:rPr>
            </w:pPr>
            <w:r>
              <w:rPr>
                <w:rFonts w:ascii="Arial" w:cs="Arial" w:eastAsia="Arial" w:hAnsi="Arial"/>
                <w:sz w:val="17"/>
                <w:szCs w:val="17"/>
                <w:color w:val="auto"/>
              </w:rPr>
              <w:t>Year-End</w:t>
            </w:r>
          </w:p>
        </w:tc>
        <w:tc>
          <w:tcPr>
            <w:tcW w:w="3640" w:type="dxa"/>
            <w:vAlign w:val="bottom"/>
          </w:tcPr>
          <w:p>
            <w:pPr>
              <w:spacing w:after="0"/>
              <w:rPr>
                <w:sz w:val="17"/>
                <w:szCs w:val="17"/>
                <w:color w:val="auto"/>
              </w:rPr>
            </w:pP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35.8</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35.2</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32.6</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30.8</w:t>
            </w:r>
          </w:p>
        </w:tc>
        <w:tc>
          <w:tcPr>
            <w:tcW w:w="980" w:type="dxa"/>
            <w:vAlign w:val="bottom"/>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7"/>
                <w:szCs w:val="17"/>
                <w:color w:val="auto"/>
              </w:rPr>
            </w:pPr>
          </w:p>
        </w:tc>
      </w:tr>
      <w:tr>
        <w:trPr>
          <w:trHeight w:val="201"/>
        </w:trPr>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Average </w:t>
            </w:r>
            <w:r>
              <w:rPr>
                <w:rFonts w:ascii="Arial" w:cs="Arial" w:eastAsia="Arial" w:hAnsi="Arial"/>
                <w:sz w:val="17"/>
                <w:szCs w:val="17"/>
                <w:i w:val="1"/>
                <w:iCs w:val="1"/>
                <w:color w:val="auto"/>
              </w:rPr>
              <w:t>(a)</w:t>
            </w:r>
          </w:p>
        </w:tc>
        <w:tc>
          <w:tcPr>
            <w:tcW w:w="36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1160" w:type="dxa"/>
            <w:vAlign w:val="bottom"/>
          </w:tcPr>
          <w:p>
            <w:pPr>
              <w:ind w:left="300"/>
              <w:spacing w:after="0"/>
              <w:rPr>
                <w:sz w:val="20"/>
                <w:szCs w:val="20"/>
                <w:color w:val="auto"/>
              </w:rPr>
            </w:pPr>
            <w:r>
              <w:rPr>
                <w:rFonts w:ascii="Arial" w:cs="Arial" w:eastAsia="Arial" w:hAnsi="Arial"/>
                <w:sz w:val="17"/>
                <w:szCs w:val="17"/>
                <w:color w:val="auto"/>
              </w:rPr>
              <w:t>Basic</w:t>
            </w:r>
          </w:p>
        </w:tc>
        <w:tc>
          <w:tcPr>
            <w:tcW w:w="3640" w:type="dxa"/>
            <w:vAlign w:val="bottom"/>
          </w:tcPr>
          <w:p>
            <w:pPr>
              <w:spacing w:after="0"/>
              <w:rPr>
                <w:sz w:val="17"/>
                <w:szCs w:val="17"/>
                <w:color w:val="auto"/>
              </w:rPr>
            </w:pP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34.2</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32.2</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29.2</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28.3</w:t>
            </w:r>
          </w:p>
        </w:tc>
        <w:tc>
          <w:tcPr>
            <w:tcW w:w="980" w:type="dxa"/>
            <w:vAlign w:val="bottom"/>
          </w:tcPr>
          <w:p>
            <w:pPr>
              <w:jc w:val="right"/>
              <w:spacing w:after="0"/>
              <w:rPr>
                <w:sz w:val="20"/>
                <w:szCs w:val="20"/>
                <w:color w:val="auto"/>
              </w:rPr>
            </w:pPr>
            <w:r>
              <w:rPr>
                <w:rFonts w:ascii="Arial" w:cs="Arial" w:eastAsia="Arial" w:hAnsi="Arial"/>
                <w:sz w:val="17"/>
                <w:szCs w:val="17"/>
                <w:color w:val="auto"/>
              </w:rPr>
              <w:t>27.8</w:t>
            </w:r>
          </w:p>
        </w:tc>
        <w:tc>
          <w:tcPr>
            <w:tcW w:w="20" w:type="dxa"/>
            <w:vAlign w:val="bottom"/>
          </w:tcPr>
          <w:p>
            <w:pPr>
              <w:spacing w:after="0"/>
              <w:rPr>
                <w:sz w:val="17"/>
                <w:szCs w:val="17"/>
                <w:color w:val="auto"/>
              </w:rPr>
            </w:pPr>
          </w:p>
        </w:tc>
      </w:tr>
      <w:tr>
        <w:trPr>
          <w:trHeight w:val="206"/>
        </w:trPr>
        <w:tc>
          <w:tcPr>
            <w:tcW w:w="11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Diluted</w:t>
            </w:r>
          </w:p>
        </w:tc>
        <w:tc>
          <w:tcPr>
            <w:tcW w:w="36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34.3</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32.2</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29.3</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28.4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0" w:type="dxa"/>
            <w:vAlign w:val="bottom"/>
          </w:tcPr>
          <w:p>
            <w:pPr>
              <w:spacing w:after="0"/>
              <w:rPr>
                <w:sz w:val="17"/>
                <w:szCs w:val="17"/>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7"/>
                <w:szCs w:val="17"/>
                <w:color w:val="auto"/>
              </w:rPr>
              <w:t>Diluted Earnings (Loss) Per Share</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Continuing Operations</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$2.19</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$1.89</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$2.82</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$3.08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17"/>
                <w:szCs w:val="17"/>
                <w:color w:val="auto"/>
              </w:rPr>
            </w:pPr>
          </w:p>
        </w:tc>
      </w:tr>
      <w:tr>
        <w:trPr>
          <w:trHeight w:val="201"/>
        </w:trPr>
        <w:tc>
          <w:tcPr>
            <w:tcW w:w="4800" w:type="dxa"/>
            <w:vAlign w:val="bottom"/>
            <w:gridSpan w:val="2"/>
          </w:tcPr>
          <w:p>
            <w:pPr>
              <w:ind w:left="160"/>
              <w:spacing w:after="0"/>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17"/>
                <w:szCs w:val="17"/>
                <w:i w:val="1"/>
                <w:iCs w:val="1"/>
                <w:color w:val="auto"/>
              </w:rPr>
              <w:t>(b)</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Total Diluted Earnings (Loss) Per Share</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$2.19</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$1.89</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$2.82</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$3.08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2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Total Assets</w:t>
            </w:r>
          </w:p>
        </w:tc>
        <w:tc>
          <w:tcPr>
            <w:tcW w:w="3640" w:type="dxa"/>
            <w:vAlign w:val="bottom"/>
          </w:tcPr>
          <w:p>
            <w:pPr>
              <w:spacing w:after="0"/>
              <w:rPr>
                <w:sz w:val="17"/>
                <w:szCs w:val="17"/>
                <w:color w:val="auto"/>
              </w:rPr>
            </w:pP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$2,574.9</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$2,393.1</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$2,134.8</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$1,644.2</w:t>
            </w:r>
          </w:p>
        </w:tc>
        <w:tc>
          <w:tcPr>
            <w:tcW w:w="980" w:type="dxa"/>
            <w:vAlign w:val="bottom"/>
          </w:tcPr>
          <w:p>
            <w:pPr>
              <w:jc w:val="right"/>
              <w:spacing w:after="0"/>
              <w:rPr>
                <w:sz w:val="20"/>
                <w:szCs w:val="20"/>
                <w:color w:val="auto"/>
              </w:rPr>
            </w:pPr>
            <w:r>
              <w:rPr>
                <w:rFonts w:ascii="Arial" w:cs="Arial" w:eastAsia="Arial" w:hAnsi="Arial"/>
                <w:sz w:val="17"/>
                <w:szCs w:val="17"/>
                <w:color w:val="auto"/>
              </w:rPr>
              <w:t>$1,533.4</w:t>
            </w:r>
          </w:p>
        </w:tc>
        <w:tc>
          <w:tcPr>
            <w:tcW w:w="20" w:type="dxa"/>
            <w:vAlign w:val="bottom"/>
          </w:tcPr>
          <w:p>
            <w:pPr>
              <w:spacing w:after="0"/>
              <w:rPr>
                <w:sz w:val="17"/>
                <w:szCs w:val="17"/>
                <w:color w:val="auto"/>
              </w:rPr>
            </w:pPr>
          </w:p>
        </w:tc>
      </w:tr>
      <w:tr>
        <w:trPr>
          <w:trHeight w:val="201"/>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w w:val="92"/>
              </w:rPr>
              <w:t>Long-Term Debt</w:t>
            </w:r>
          </w:p>
        </w:tc>
        <w:tc>
          <w:tcPr>
            <w:tcW w:w="364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771.6</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695.8</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588.3</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410.9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w:t>
            </w:r>
          </w:p>
        </w:tc>
        <w:tc>
          <w:tcPr>
            <w:tcW w:w="20" w:type="dxa"/>
            <w:vAlign w:val="bottom"/>
          </w:tcPr>
          <w:p>
            <w:pPr>
              <w:spacing w:after="0"/>
              <w:rPr>
                <w:sz w:val="17"/>
                <w:szCs w:val="17"/>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7"/>
                <w:szCs w:val="17"/>
                <w:color w:val="auto"/>
              </w:rPr>
              <w:t>Return on Common Equity</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7.8%</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6.9%</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10.7%</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12.4%</w:t>
            </w:r>
          </w:p>
        </w:tc>
        <w:tc>
          <w:tcPr>
            <w:tcW w:w="980" w:type="dxa"/>
            <w:vAlign w:val="bottom"/>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Equity Ratio</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56%</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57%</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58%</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64%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7"/>
                <w:szCs w:val="17"/>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7"/>
                <w:szCs w:val="17"/>
                <w:color w:val="auto"/>
              </w:rPr>
              <w:t>Dividends Declared per Common Share</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$1.76</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$1.76</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$1.72</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$1.64</w:t>
            </w:r>
          </w:p>
        </w:tc>
        <w:tc>
          <w:tcPr>
            <w:tcW w:w="980" w:type="dxa"/>
            <w:vAlign w:val="bottom"/>
          </w:tcPr>
          <w:p>
            <w:pPr>
              <w:jc w:val="right"/>
              <w:spacing w:after="0"/>
              <w:rPr>
                <w:sz w:val="20"/>
                <w:szCs w:val="20"/>
                <w:color w:val="auto"/>
              </w:rPr>
            </w:pPr>
            <w:r>
              <w:rPr>
                <w:rFonts w:ascii="Arial" w:cs="Arial" w:eastAsia="Arial" w:hAnsi="Arial"/>
                <w:sz w:val="17"/>
                <w:szCs w:val="17"/>
                <w:color w:val="auto"/>
              </w:rPr>
              <w:t>$1.45</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 Payout Ratio</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81%</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93%</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61%</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Book Value Per Share at Year-End</w:t>
            </w:r>
          </w:p>
        </w:tc>
        <w:tc>
          <w:tcPr>
            <w:tcW w:w="18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$27.25</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$26.39</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$25.37</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$24.11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$21.90</w:t>
            </w:r>
          </w:p>
        </w:tc>
        <w:tc>
          <w:tcPr>
            <w:tcW w:w="20" w:type="dxa"/>
            <w:vAlign w:val="bottom"/>
          </w:tcPr>
          <w:p>
            <w:pPr>
              <w:spacing w:after="0"/>
              <w:rPr>
                <w:sz w:val="17"/>
                <w:szCs w:val="17"/>
                <w:color w:val="auto"/>
              </w:rPr>
            </w:pPr>
          </w:p>
        </w:tc>
      </w:tr>
      <w:tr>
        <w:trPr>
          <w:trHeight w:val="201"/>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 by Segment</w:t>
            </w: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800" w:type="dxa"/>
            <w:vAlign w:val="bottom"/>
            <w:gridSpan w:val="2"/>
          </w:tcPr>
          <w:p>
            <w:pPr>
              <w:ind w:left="160"/>
              <w:spacing w:after="0"/>
              <w:rPr>
                <w:sz w:val="20"/>
                <w:szCs w:val="20"/>
                <w:color w:val="auto"/>
              </w:rPr>
            </w:pPr>
            <w:r>
              <w:rPr>
                <w:rFonts w:ascii="Arial" w:cs="Arial" w:eastAsia="Arial" w:hAnsi="Arial"/>
                <w:sz w:val="17"/>
                <w:szCs w:val="17"/>
                <w:color w:val="auto"/>
              </w:rPr>
              <w:t>Regulated Operations</w:t>
            </w:r>
          </w:p>
        </w:tc>
        <w:tc>
          <w:tcPr>
            <w:tcW w:w="1840" w:type="dxa"/>
            <w:vAlign w:val="bottom"/>
          </w:tcPr>
          <w:p>
            <w:pPr>
              <w:jc w:val="right"/>
              <w:ind w:right="196"/>
              <w:spacing w:after="0"/>
              <w:rPr>
                <w:sz w:val="20"/>
                <w:szCs w:val="20"/>
                <w:color w:val="auto"/>
              </w:rPr>
            </w:pPr>
            <w:r>
              <w:rPr>
                <w:rFonts w:ascii="Arial" w:cs="Arial" w:eastAsia="Arial" w:hAnsi="Arial"/>
                <w:sz w:val="17"/>
                <w:szCs w:val="17"/>
                <w:color w:val="auto"/>
              </w:rPr>
              <w:t>$256.4</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$299.2</w:t>
            </w:r>
          </w:p>
        </w:tc>
        <w:tc>
          <w:tcPr>
            <w:tcW w:w="1260" w:type="dxa"/>
            <w:vAlign w:val="bottom"/>
          </w:tcPr>
          <w:p>
            <w:pPr>
              <w:jc w:val="right"/>
              <w:ind w:right="196"/>
              <w:spacing w:after="0"/>
              <w:rPr>
                <w:sz w:val="20"/>
                <w:szCs w:val="20"/>
                <w:color w:val="auto"/>
              </w:rPr>
            </w:pPr>
            <w:r>
              <w:rPr>
                <w:rFonts w:ascii="Arial" w:cs="Arial" w:eastAsia="Arial" w:hAnsi="Arial"/>
                <w:sz w:val="17"/>
                <w:szCs w:val="17"/>
                <w:color w:val="auto"/>
              </w:rPr>
              <w:t>$317.0</w:t>
            </w:r>
          </w:p>
        </w:tc>
        <w:tc>
          <w:tcPr>
            <w:tcW w:w="1280" w:type="dxa"/>
            <w:vAlign w:val="bottom"/>
          </w:tcPr>
          <w:p>
            <w:pPr>
              <w:jc w:val="right"/>
              <w:ind w:right="216"/>
              <w:spacing w:after="0"/>
              <w:rPr>
                <w:sz w:val="20"/>
                <w:szCs w:val="20"/>
                <w:color w:val="auto"/>
              </w:rPr>
            </w:pPr>
            <w:r>
              <w:rPr>
                <w:rFonts w:ascii="Arial" w:cs="Arial" w:eastAsia="Arial" w:hAnsi="Arial"/>
                <w:sz w:val="17"/>
                <w:szCs w:val="17"/>
                <w:color w:val="auto"/>
              </w:rPr>
              <w:t>$220.6</w:t>
            </w:r>
          </w:p>
        </w:tc>
        <w:tc>
          <w:tcPr>
            <w:tcW w:w="980" w:type="dxa"/>
            <w:vAlign w:val="bottom"/>
          </w:tcPr>
          <w:p>
            <w:pPr>
              <w:jc w:val="right"/>
              <w:spacing w:after="0"/>
              <w:rPr>
                <w:sz w:val="20"/>
                <w:szCs w:val="20"/>
                <w:color w:val="auto"/>
              </w:rPr>
            </w:pPr>
            <w:r>
              <w:rPr>
                <w:rFonts w:ascii="Arial" w:cs="Arial" w:eastAsia="Arial" w:hAnsi="Arial"/>
                <w:sz w:val="17"/>
                <w:szCs w:val="17"/>
                <w:color w:val="auto"/>
              </w:rPr>
              <w:t>$107.5</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Investments and Other</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3.6</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4.5</w:t>
            </w:r>
          </w:p>
        </w:tc>
        <w:tc>
          <w:tcPr>
            <w:tcW w:w="1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5.9</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3.3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r>
      <w:tr>
        <w:trPr>
          <w:trHeight w:val="206"/>
        </w:trPr>
        <w:tc>
          <w:tcPr>
            <w:tcW w:w="480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color w:val="auto"/>
              </w:rPr>
              <w:t>Total Capital Expenditures</w:t>
            </w:r>
          </w:p>
        </w:tc>
        <w:tc>
          <w:tcPr>
            <w:tcW w:w="18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$260.0</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$303.7</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$322.9</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$223.9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w:t>
            </w:r>
          </w:p>
        </w:tc>
        <w:tc>
          <w:tcPr>
            <w:tcW w:w="2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ind w:left="320" w:hanging="284"/>
        <w:spacing w:after="0"/>
        <w:tabs>
          <w:tab w:leader="none" w:pos="320" w:val="left"/>
        </w:tabs>
        <w:numPr>
          <w:ilvl w:val="1"/>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Excludes unallocated ESOP shares.</w:t>
      </w:r>
    </w:p>
    <w:p>
      <w:pPr>
        <w:spacing w:after="0" w:line="17" w:lineRule="exact"/>
        <w:rPr>
          <w:rFonts w:ascii="Arial" w:cs="Arial" w:eastAsia="Arial" w:hAnsi="Arial"/>
          <w:sz w:val="17"/>
          <w:szCs w:val="17"/>
          <w:i w:val="1"/>
          <w:iCs w:val="1"/>
          <w:color w:val="auto"/>
        </w:rPr>
      </w:pPr>
    </w:p>
    <w:p>
      <w:pPr>
        <w:ind w:left="300" w:hanging="277"/>
        <w:spacing w:after="0"/>
        <w:tabs>
          <w:tab w:leader="none" w:pos="30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Operating results of our Water Services businesses are included in discontinued operations, and accordingly, amounts have been restated for 2006.</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40"/>
          </w:cols>
          <w:pgMar w:left="240" w:top="488" w:right="21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5 and “Risk Factors” located in Item 1A. The risks and uncertainties described in this Form 10-K are not the only ones facing our Company. Additional risks and uncertainties that we are not presently aware of, o r that we currently consider immaterial, may also affect our business operations. Our business, financial condition or results of operations could suffer if the concerns set forth in this Form 10-K are realized.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 that owns</w:t>
      </w:r>
      <w:r>
        <w:rPr>
          <w:rFonts w:ascii="Arial" w:cs="Arial" w:eastAsia="Arial" w:hAnsi="Arial"/>
          <w:sz w:val="16"/>
          <w:szCs w:val="16"/>
          <w:b w:val="1"/>
          <w:bCs w:val="1"/>
          <w:color w:val="auto"/>
        </w:rPr>
        <w:t xml:space="preserve"> </w:t>
      </w:r>
      <w:r>
        <w:rPr>
          <w:rFonts w:ascii="Arial" w:cs="Arial" w:eastAsia="Arial" w:hAnsi="Arial"/>
          <w:sz w:val="16"/>
          <w:szCs w:val="16"/>
          <w:color w:val="auto"/>
        </w:rPr>
        <w:t>and maintains electric transmission assets in parts of Wisconsin, Michigan, Minnesota and Illinois. Minnesota Power provides regulated utility electric service in northeastern Minnesota to 146,000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 er the jurisdiction of state and federal regulatory authorities. (See Item 1. Business – Regulated Operations – Regulatory Matters.)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segment also includes a small amount of non-rate base generation, approximately 7,000 acres of land available-for-sale in Minnesota, and earnings on cash and investments.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 is incorporated under the laws of Minnesota. Our corporate headquarters are in Duluth, Minnesota. Statistical information is presented as of December 31, 2010, unless otherwise indicated. All subsidiaries are wholly owned unless otherwise specifically indicated. References in this report to “we,” “us” and “our” are to ALLETE and its subsidiaries, collectively.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Financial Overview</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year ended December 31, 2010, to the year ended December 31, 2009.</w:t>
      </w:r>
    </w:p>
    <w:p>
      <w:pPr>
        <w:spacing w:after="0" w:line="23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Net income attributable to ALLETE for 2010 was $75.3 million, or $2.19 per diluted share, compared to $61.0 million, or $1.89 per diluted share, for 2009. Net income for 2010 was reduced by $4.0 million, or $0.12 per share, due to the elimination of the deduction for expenses reimbursed under Medicare Part D. Net income for 2009 was reduced by a $4.9 million, or $0.15 per share, after-tax charge for the accrual of retail rate refunds related to 2008. Earnings per diluted share decreased $0.14 compared to 2009 as a result of additional shares of common stock outstanding in 2010. (See Note 11. Common Stock and Earnings Per Share.)</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color w:val="auto"/>
        </w:rPr>
        <w:t xml:space="preserve">Regulated Operations </w:t>
      </w:r>
      <w:r>
        <w:rPr>
          <w:rFonts w:ascii="Arial" w:cs="Arial" w:eastAsia="Arial" w:hAnsi="Arial"/>
          <w:sz w:val="15"/>
          <w:szCs w:val="15"/>
          <w:color w:val="auto"/>
        </w:rPr>
        <w:t>net income attributable to ALLETE was $79.8 million in 2010 compared to $65.9 million in 2009. In 2009, net income was reduced by a $4.9</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after-tax charge for the accrual of retail rate refunds related to 2008. The increase in 2010 is attributable to higher MPUC-approved retail rates (subject to final order), increased sales to our Large Power Customers, and increased transmission-related margins. In addition, 2010 reflected an increase of $0.3 million in after-tax earnings from our investment in ATC over 2009. These increases were significantly offset by higher operating and maintenance, depreciation, interest and income tax expenses. Also included in the fourth quarter of 2010 was a $3.4 million after-tax charge for the write-off of a deferred fuel cl ause regulatory asset related to the 2008 rate case. Income tax expense included a $3.6 million charge resulting from the elimination of the deduction for expenses reimbursed under Medicare Part 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attributable to ALLETE of $4.5 million in 2010 compared to a $4.9 million net loss in 2009. The decrease in net loss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lower equity losses on investments of $2.6 million and an income tax benefit (including interest) resulting from the completion of a state income tax audit of $1.1 million. These items were partially offset by the transfer of a small generating facility to our Regulated Operations in November 2009. Income tax expense also included a $0.4 million charge resulting from the elimination of the deduction for expenses reimbursed under Medicare Part D. In 2010, ALLETE Properties recorded a net loss of $4.8 million compared to a net loss of $4.7 million in 2009.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2010 Compared to 2009</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36" w:lineRule="exact"/>
        <w:rPr>
          <w:sz w:val="20"/>
          <w:szCs w:val="20"/>
          <w:color w:val="auto"/>
        </w:rPr>
      </w:pPr>
    </w:p>
    <w:p>
      <w:pPr>
        <w:jc w:val="both"/>
        <w:ind w:left="300"/>
        <w:spacing w:after="0" w:line="308" w:lineRule="auto"/>
        <w:rPr>
          <w:sz w:val="20"/>
          <w:szCs w:val="20"/>
          <w:color w:val="auto"/>
        </w:rPr>
      </w:pPr>
      <w:r>
        <w:rPr>
          <w:rFonts w:ascii="Arial" w:cs="Arial" w:eastAsia="Arial" w:hAnsi="Arial"/>
          <w:sz w:val="15"/>
          <w:szCs w:val="15"/>
          <w:b w:val="1"/>
          <w:bCs w:val="1"/>
          <w:i w:val="1"/>
          <w:iCs w:val="1"/>
          <w:color w:val="auto"/>
        </w:rPr>
        <w:t xml:space="preserve">Operating revenue </w:t>
      </w:r>
      <w:r>
        <w:rPr>
          <w:rFonts w:ascii="Arial" w:cs="Arial" w:eastAsia="Arial" w:hAnsi="Arial"/>
          <w:sz w:val="15"/>
          <w:szCs w:val="15"/>
          <w:color w:val="auto"/>
        </w:rPr>
        <w:t>increased $153.7 million, or 23 percent, from 2009 due to higher MPUC-approved retail rates (subject to final order) and the absence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accrual for prior year retail rate refunds related to our 2008 retail rate case. Also contributing to increased revenue were higher transmission revenues, higher fuel and purchased power recoveries, and increased sales to retail and municipal customers. These increases were partially offset by lower sales to Other Power Suppliers.</w:t>
      </w:r>
    </w:p>
    <w:p>
      <w:pPr>
        <w:spacing w:after="0" w:line="166"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Interim retail rates authorized by the MPUC in December 2009 and effective January 1, 2010, resulted in an increase of approximately $52 million. (See Note 5. Regulatory Matters.)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Retail rate refunds related to 2008 resulting from the 2009 MPUC Order were recorded in 2009 and resulted in a reduction in 2009 revenues of $7.6 million.</w:t>
      </w:r>
    </w:p>
    <w:p>
      <w:pPr>
        <w:spacing w:after="0" w:line="243"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Transmission revenues increased $24.3 million from 2009 primarily due to revenues related to the 250 kV DC transmission line purchased from Square Butte on December 31, 2009. (See Note 10. Commitments, Guarantees and Contingencies.)</w:t>
      </w:r>
    </w:p>
    <w:p>
      <w:pPr>
        <w:spacing w:after="0" w:line="192" w:lineRule="exact"/>
        <w:rPr>
          <w:sz w:val="20"/>
          <w:szCs w:val="20"/>
          <w:color w:val="auto"/>
        </w:rPr>
      </w:pPr>
    </w:p>
    <w:p>
      <w:pPr>
        <w:jc w:val="both"/>
        <w:ind w:left="300"/>
        <w:spacing w:after="0" w:line="336" w:lineRule="auto"/>
        <w:rPr>
          <w:sz w:val="20"/>
          <w:szCs w:val="20"/>
          <w:color w:val="auto"/>
        </w:rPr>
      </w:pPr>
      <w:r>
        <w:rPr>
          <w:rFonts w:ascii="Arial" w:cs="Arial" w:eastAsia="Arial" w:hAnsi="Arial"/>
          <w:sz w:val="15"/>
          <w:szCs w:val="15"/>
          <w:color w:val="auto"/>
        </w:rPr>
        <w:t>Higher fuel and purchased power recoveries, along with an increase in retail and municipal kilowatt-hour sales, combined for a total revenue increase of $115.5 million. Fuel and purchased power recoveries increased due to an increase in fuel and purchased power expense. (See Fuel and Purchased Power Expense.)</w:t>
      </w:r>
    </w:p>
    <w:p>
      <w:pPr>
        <w:spacing w:after="0" w:line="146"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color w:val="auto"/>
        </w:rPr>
        <w:t>The increase in kilowatt-hour sales to retail and municipal customers has been partially offset by decreased revenue from marketing power to Other Power Suppliers, which decreased $50.3 million in 2010. Sales to Other Power Suppliers are sold at market-based prices into the MISO market on a daily basis or through bilateral agreements of various durations.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kilowatt-hour sales to retail and municipal customers increased 29.1 percent from 2009 primarily due to an increase in sales to our taconite customers.</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Increased revenue from industrial sales was partially offset by a 32.3 percent decrease in kilowatt-hour sales to Other Power Suppliers.</w:t>
      </w:r>
    </w:p>
    <w:tbl>
      <w:tblPr>
        <w:tblLayout w:type="fixed"/>
        <w:tblInd w:w="0" w:type="dxa"/>
        <w:tblCellMar>
          <w:top w:w="0" w:type="dxa"/>
          <w:left w:w="0" w:type="dxa"/>
          <w:bottom w:w="0" w:type="dxa"/>
          <w:right w:w="0" w:type="dxa"/>
        </w:tblCellMar>
      </w:tblPr>
      <w:tr>
        <w:trPr>
          <w:trHeight w:val="191"/>
        </w:trPr>
        <w:tc>
          <w:tcPr>
            <w:tcW w:w="54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6"/>
              <w:spacing w:after="0" w:line="191" w:lineRule="exact"/>
              <w:rPr>
                <w:sz w:val="20"/>
                <w:szCs w:val="20"/>
                <w:color w:val="auto"/>
              </w:rPr>
            </w:pPr>
            <w:r>
              <w:rPr>
                <w:rFonts w:ascii="Arial" w:cs="Arial" w:eastAsia="Arial" w:hAnsi="Arial"/>
                <w:sz w:val="17"/>
                <w:szCs w:val="17"/>
                <w:b w:val="1"/>
                <w:bCs w:val="1"/>
                <w:color w:val="auto"/>
              </w:rPr>
              <w:t>Quantity</w:t>
            </w:r>
          </w:p>
        </w:tc>
        <w:tc>
          <w:tcPr>
            <w:tcW w:w="980" w:type="dxa"/>
            <w:vAlign w:val="bottom"/>
            <w:shd w:val="clear" w:color="auto" w:fill="CCEEFF"/>
          </w:tcPr>
          <w:p>
            <w:pPr>
              <w:jc w:val="right"/>
              <w:ind w:right="336"/>
              <w:spacing w:after="0" w:line="191" w:lineRule="exact"/>
              <w:rPr>
                <w:sz w:val="20"/>
                <w:szCs w:val="20"/>
                <w:color w:val="auto"/>
              </w:rPr>
            </w:pPr>
            <w:r>
              <w:rPr>
                <w:rFonts w:ascii="Arial" w:cs="Arial" w:eastAsia="Arial" w:hAnsi="Arial"/>
                <w:sz w:val="17"/>
                <w:szCs w:val="17"/>
                <w:b w:val="1"/>
                <w:bCs w:val="1"/>
                <w:color w:val="auto"/>
              </w:rPr>
              <w:t>%</w:t>
            </w:r>
          </w:p>
        </w:tc>
      </w:tr>
      <w:tr>
        <w:trPr>
          <w:trHeight w:val="223"/>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7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2010</w:t>
            </w:r>
          </w:p>
        </w:tc>
        <w:tc>
          <w:tcPr>
            <w:tcW w:w="10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2009</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Variance</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Variance</w:t>
            </w:r>
          </w:p>
        </w:tc>
      </w:tr>
      <w:tr>
        <w:trPr>
          <w:trHeight w:val="201"/>
        </w:trPr>
        <w:tc>
          <w:tcPr>
            <w:tcW w:w="54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Regulated Utility</w:t>
            </w:r>
          </w:p>
        </w:tc>
        <w:tc>
          <w:tcPr>
            <w:tcW w:w="27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1"/>
        </w:trPr>
        <w:tc>
          <w:tcPr>
            <w:tcW w:w="5420" w:type="dxa"/>
            <w:vAlign w:val="bottom"/>
          </w:tcPr>
          <w:p>
            <w:pPr>
              <w:ind w:left="360"/>
              <w:spacing w:after="0"/>
              <w:rPr>
                <w:sz w:val="20"/>
                <w:szCs w:val="20"/>
                <w:color w:val="auto"/>
              </w:rPr>
            </w:pPr>
            <w:r>
              <w:rPr>
                <w:rFonts w:ascii="Arial" w:cs="Arial" w:eastAsia="Arial" w:hAnsi="Arial"/>
                <w:sz w:val="17"/>
                <w:szCs w:val="17"/>
                <w:color w:val="auto"/>
              </w:rPr>
              <w:t>Retail and Municipals</w:t>
            </w:r>
          </w:p>
        </w:tc>
        <w:tc>
          <w:tcPr>
            <w:tcW w:w="2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542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Residential</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1,150</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1,164</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 %</w:t>
            </w:r>
          </w:p>
        </w:tc>
      </w:tr>
      <w:tr>
        <w:trPr>
          <w:trHeight w:val="201"/>
        </w:trPr>
        <w:tc>
          <w:tcPr>
            <w:tcW w:w="5420" w:type="dxa"/>
            <w:vAlign w:val="bottom"/>
          </w:tcPr>
          <w:p>
            <w:pPr>
              <w:ind w:left="1040"/>
              <w:spacing w:after="0"/>
              <w:rPr>
                <w:sz w:val="20"/>
                <w:szCs w:val="20"/>
                <w:color w:val="auto"/>
              </w:rPr>
            </w:pPr>
            <w:r>
              <w:rPr>
                <w:rFonts w:ascii="Arial" w:cs="Arial" w:eastAsia="Arial" w:hAnsi="Arial"/>
                <w:sz w:val="17"/>
                <w:szCs w:val="17"/>
                <w:color w:val="auto"/>
              </w:rPr>
              <w:t>Commercial</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1,433</w:t>
            </w:r>
          </w:p>
        </w:tc>
        <w:tc>
          <w:tcPr>
            <w:tcW w:w="1080" w:type="dxa"/>
            <w:vAlign w:val="bottom"/>
          </w:tcPr>
          <w:p>
            <w:pPr>
              <w:jc w:val="right"/>
              <w:ind w:right="156"/>
              <w:spacing w:after="0"/>
              <w:rPr>
                <w:sz w:val="20"/>
                <w:szCs w:val="20"/>
                <w:color w:val="auto"/>
              </w:rPr>
            </w:pPr>
            <w:r>
              <w:rPr>
                <w:rFonts w:ascii="Arial" w:cs="Arial" w:eastAsia="Arial" w:hAnsi="Arial"/>
                <w:sz w:val="17"/>
                <w:szCs w:val="17"/>
                <w:color w:val="auto"/>
              </w:rPr>
              <w:t>1,420</w:t>
            </w: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13</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0.9 %</w:t>
            </w:r>
          </w:p>
        </w:tc>
      </w:tr>
      <w:tr>
        <w:trPr>
          <w:trHeight w:val="201"/>
        </w:trPr>
        <w:tc>
          <w:tcPr>
            <w:tcW w:w="542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Industrial</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6,804</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4,475</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2,329</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52.0 %</w:t>
            </w:r>
          </w:p>
        </w:tc>
      </w:tr>
      <w:tr>
        <w:trPr>
          <w:trHeight w:val="206"/>
        </w:trPr>
        <w:tc>
          <w:tcPr>
            <w:tcW w:w="5420" w:type="dxa"/>
            <w:vAlign w:val="bottom"/>
            <w:tcBorders>
              <w:bottom w:val="single" w:sz="8" w:color="auto"/>
            </w:tcBorders>
          </w:tcPr>
          <w:p>
            <w:pPr>
              <w:ind w:left="1040"/>
              <w:spacing w:after="0"/>
              <w:rPr>
                <w:sz w:val="20"/>
                <w:szCs w:val="20"/>
                <w:color w:val="auto"/>
              </w:rPr>
            </w:pPr>
            <w:r>
              <w:rPr>
                <w:rFonts w:ascii="Arial" w:cs="Arial" w:eastAsia="Arial" w:hAnsi="Arial"/>
                <w:sz w:val="17"/>
                <w:szCs w:val="17"/>
                <w:color w:val="auto"/>
              </w:rPr>
              <w:t>Municipals</w:t>
            </w:r>
          </w:p>
        </w:tc>
        <w:tc>
          <w:tcPr>
            <w:tcW w:w="27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1,006</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992</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1.4 %</w:t>
            </w:r>
          </w:p>
        </w:tc>
      </w:tr>
      <w:tr>
        <w:trPr>
          <w:trHeight w:val="201"/>
        </w:trPr>
        <w:tc>
          <w:tcPr>
            <w:tcW w:w="5420" w:type="dxa"/>
            <w:vAlign w:val="bottom"/>
            <w:shd w:val="clear" w:color="auto" w:fill="CCEEFF"/>
          </w:tcPr>
          <w:p>
            <w:pPr>
              <w:ind w:left="1740"/>
              <w:spacing w:after="0"/>
              <w:rPr>
                <w:sz w:val="20"/>
                <w:szCs w:val="20"/>
                <w:color w:val="auto"/>
              </w:rPr>
            </w:pPr>
            <w:r>
              <w:rPr>
                <w:rFonts w:ascii="Arial" w:cs="Arial" w:eastAsia="Arial" w:hAnsi="Arial"/>
                <w:sz w:val="17"/>
                <w:szCs w:val="17"/>
                <w:color w:val="auto"/>
              </w:rPr>
              <w:t>Total Retail and Municipals</w:t>
            </w:r>
          </w:p>
        </w:tc>
        <w:tc>
          <w:tcPr>
            <w:tcW w:w="27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10,393</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8,051</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2,342</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29.1 %</w:t>
            </w:r>
          </w:p>
        </w:tc>
      </w:tr>
      <w:tr>
        <w:trPr>
          <w:trHeight w:val="206"/>
        </w:trPr>
        <w:tc>
          <w:tcPr>
            <w:tcW w:w="54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Power Suppliers</w:t>
            </w:r>
          </w:p>
        </w:tc>
        <w:tc>
          <w:tcPr>
            <w:tcW w:w="27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2,745</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4,056</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(1,311)</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(32.3) %</w:t>
            </w:r>
          </w:p>
        </w:tc>
      </w:tr>
      <w:tr>
        <w:trPr>
          <w:trHeight w:val="206"/>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Regulated Utility Kilowatt-hours Sold</w:t>
            </w:r>
          </w:p>
        </w:tc>
        <w:tc>
          <w:tcPr>
            <w:tcW w:w="27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13,138</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12,107</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1,031</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8.5 %</w:t>
            </w:r>
          </w:p>
        </w:tc>
      </w:tr>
    </w:tbl>
    <w:p>
      <w:pPr>
        <w:spacing w:after="0" w:line="214" w:lineRule="exact"/>
        <w:rPr>
          <w:sz w:val="20"/>
          <w:szCs w:val="20"/>
          <w:color w:val="auto"/>
        </w:rPr>
      </w:pPr>
    </w:p>
    <w:p>
      <w:pPr>
        <w:jc w:val="both"/>
        <w:ind w:left="300"/>
        <w:spacing w:after="0" w:line="252" w:lineRule="auto"/>
        <w:rPr>
          <w:sz w:val="20"/>
          <w:szCs w:val="20"/>
          <w:color w:val="auto"/>
        </w:rPr>
      </w:pPr>
      <w:r>
        <w:rPr>
          <w:rFonts w:ascii="Arial" w:cs="Arial" w:eastAsia="Arial" w:hAnsi="Arial"/>
          <w:sz w:val="17"/>
          <w:szCs w:val="17"/>
          <w:color w:val="auto"/>
        </w:rPr>
        <w:t>Revenue from electric sales to taconite customers accounted for 24 percent of consolidated operating revenue in 2010 (15 percent in 2009). The increase in revenue from our taconite customers was partially offset by a decrease in revenue from electric sales to Other Power Suppliers, which accounted for 12 percent of consolidated operating revenue in 2010 (20 percent in 2009). Revenue from electric sales to paper and pulp mills accounted for 9 percent of consolidated operating revenue in 2010 (9 percent in 2009). Revenue from electric sales to pipelines and other industrials accounted for 6 percent of consolidated operating revenue in 2010 (7 percent in 2009).</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increased $118.0 million, or 21 percent, from 2009.</w:t>
      </w:r>
    </w:p>
    <w:p>
      <w:pPr>
        <w:spacing w:after="0" w:line="232" w:lineRule="exact"/>
        <w:rPr>
          <w:sz w:val="20"/>
          <w:szCs w:val="20"/>
          <w:color w:val="auto"/>
        </w:rPr>
      </w:pPr>
    </w:p>
    <w:p>
      <w:pPr>
        <w:jc w:val="both"/>
        <w:ind w:left="300"/>
        <w:spacing w:after="0" w:line="251"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increased $45.6 million, or 16 percent, from 2009. The increase is partially due to higher fuel costs of $18.6 million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a 10 percent increase in coal generation at our facilities and higher coal prices and related transportation. Purchased power expense also increased $19.1 million reflecting increased kilowatt-hour purchases partially offset by lower market prices. Also included in the fourth quarter of 2010 was a $5.4 million charge for the write-off of a deferred fuel clause regulatory asset related to the 2008 rate case, which was determined to be no longer probable of recovery in future utility rates. In 2009, Minnesota Power’s coal generating fleet produced fewer kilowatt-hours of electricity due to planned outages to im plement environmental retrofits and to respond to decreased demand from our taconite customers.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2010 Compared to 2009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0" w:lineRule="exact"/>
        <w:rPr>
          <w:sz w:val="20"/>
          <w:szCs w:val="20"/>
          <w:color w:val="auto"/>
        </w:rPr>
      </w:pPr>
    </w:p>
    <w:p>
      <w:pPr>
        <w:jc w:val="both"/>
        <w:ind w:left="300"/>
        <w:spacing w:after="0" w:line="308" w:lineRule="auto"/>
        <w:rPr>
          <w:sz w:val="20"/>
          <w:szCs w:val="20"/>
          <w:color w:val="auto"/>
        </w:rPr>
      </w:pPr>
      <w:r>
        <w:rPr>
          <w:rFonts w:ascii="Arial" w:cs="Arial" w:eastAsia="Arial" w:hAnsi="Arial"/>
          <w:sz w:val="15"/>
          <w:szCs w:val="15"/>
          <w:i w:val="1"/>
          <w:iCs w:val="1"/>
          <w:color w:val="auto"/>
        </w:rPr>
        <w:t xml:space="preserve">Operating and Maintenance Expense </w:t>
      </w:r>
      <w:r>
        <w:rPr>
          <w:rFonts w:ascii="Arial" w:cs="Arial" w:eastAsia="Arial" w:hAnsi="Arial"/>
          <w:sz w:val="15"/>
          <w:szCs w:val="15"/>
          <w:color w:val="auto"/>
        </w:rPr>
        <w:t>increased $56.5 million, or 24 percent, from 2009 reflecting additional MISO expenses of $17.3 million relating to the 250 kV</w:t>
      </w:r>
      <w:r>
        <w:rPr>
          <w:rFonts w:ascii="Arial" w:cs="Arial" w:eastAsia="Arial" w:hAnsi="Arial"/>
          <w:sz w:val="15"/>
          <w:szCs w:val="15"/>
          <w:i w:val="1"/>
          <w:iCs w:val="1"/>
          <w:color w:val="auto"/>
        </w:rPr>
        <w:t xml:space="preserve"> </w:t>
      </w:r>
      <w:r>
        <w:rPr>
          <w:rFonts w:ascii="Arial" w:cs="Arial" w:eastAsia="Arial" w:hAnsi="Arial"/>
          <w:sz w:val="15"/>
          <w:szCs w:val="15"/>
          <w:color w:val="auto"/>
        </w:rPr>
        <w:t>DC transmission line purchased from Square Butte on December 31, 2009, higher plant outage and maintenance of $10.2 million, higher environmental reagent expenses of $6.1 million, increased labor and employee benefit costs of $11.0 million and increased property taxes of $3.0 million due to more taxable plant.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$15.9 million, or 26 percent, from 2009 reflecting higher property, plant, and equipment placed in service.</w:t>
      </w:r>
    </w:p>
    <w:p>
      <w:pPr>
        <w:spacing w:after="0" w:line="23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$4.0 million, or 14 percent, from 2009 primarily due to additional long-term debt issued to fund new capital investments and for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purposes.</w:t>
      </w:r>
    </w:p>
    <w:p>
      <w:pPr>
        <w:spacing w:after="0" w:line="19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increased $16.2 million, or 46 percent, from 2009 primarily due to higher pretax income and a non-recurring income tax charge of $3.6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deduction of expenses reimbursed under Medicare Part 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36" w:lineRule="exact"/>
        <w:rPr>
          <w:sz w:val="20"/>
          <w:szCs w:val="20"/>
          <w:color w:val="auto"/>
        </w:rPr>
      </w:pPr>
    </w:p>
    <w:p>
      <w:pPr>
        <w:jc w:val="both"/>
        <w:ind w:left="300"/>
        <w:spacing w:after="0" w:line="254"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$5.8 million, or 8 percent, from 2009 primarily due to a $4.8 million decrease in revenue from non-regulated generation. This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primarily the result of the transfer of a small generating facility to Regulated Operations in November 2009. This decrease was partially offset by a $1.3 million increase in revenue at BNI Coal, which operates under a cost-plus contract and recorded higher sales revenue as a result of higher expenses in 2010. (See Operating Expense.)</w:t>
      </w:r>
    </w:p>
    <w:p>
      <w:pPr>
        <w:spacing w:after="0" w:line="203"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color w:val="auto"/>
        </w:rPr>
        <w:t>Revenue at ALLETE Properties decreased $1.8 million from 2009 primarily due to lack of land sales during 2010. This was due to the continued lack of demand for our properties as a result of poor real estate market conditions in Florida. During 2009, ALLETE Properties sold approximately 35 acres of property located outside of its three main development projects for $3.8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3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2010</w:t>
            </w: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7"/>
                <w:szCs w:val="17"/>
                <w:b w:val="1"/>
                <w:bCs w:val="1"/>
                <w:color w:val="auto"/>
                <w:w w:val="95"/>
              </w:rPr>
              <w:t>2009</w:t>
            </w:r>
          </w:p>
        </w:tc>
        <w:tc>
          <w:tcPr>
            <w:tcW w:w="860" w:type="dxa"/>
            <w:vAlign w:val="bottom"/>
            <w:shd w:val="clear" w:color="auto" w:fill="CCEEFF"/>
          </w:tcPr>
          <w:p>
            <w:pPr>
              <w:spacing w:after="0"/>
              <w:rPr>
                <w:sz w:val="17"/>
                <w:szCs w:val="17"/>
                <w:color w:val="auto"/>
              </w:rPr>
            </w:pPr>
          </w:p>
        </w:tc>
      </w:tr>
      <w:tr>
        <w:trPr>
          <w:trHeight w:val="206"/>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3540" w:type="dxa"/>
            <w:vAlign w:val="bottom"/>
            <w:tcBorders>
              <w:bottom w:val="single" w:sz="8" w:color="auto"/>
            </w:tcBorders>
          </w:tcPr>
          <w:p>
            <w:pPr>
              <w:ind w:left="2400"/>
              <w:spacing w:after="0"/>
              <w:rPr>
                <w:sz w:val="20"/>
                <w:szCs w:val="20"/>
                <w:color w:val="auto"/>
              </w:rPr>
            </w:pPr>
            <w:r>
              <w:rPr>
                <w:rFonts w:ascii="Arial" w:cs="Arial" w:eastAsia="Arial" w:hAnsi="Arial"/>
                <w:sz w:val="17"/>
                <w:szCs w:val="17"/>
                <w:b w:val="1"/>
                <w:bCs w:val="1"/>
                <w:color w:val="auto"/>
              </w:rPr>
              <w:t>Quantity</w:t>
            </w: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99"/>
              </w:rPr>
              <w:t>Amount</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Quantity</w:t>
            </w: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9"/>
              </w:rPr>
              <w:t>Amount</w:t>
            </w:r>
          </w:p>
        </w:tc>
      </w:tr>
      <w:tr>
        <w:trPr>
          <w:trHeight w:val="201"/>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3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1"/>
        </w:trPr>
        <w:tc>
          <w:tcPr>
            <w:tcW w:w="478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7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3540" w:type="dxa"/>
            <w:vAlign w:val="bottom"/>
            <w:tcBorders>
              <w:bottom w:val="single" w:sz="8" w:color="auto"/>
            </w:tcBorders>
            <w:shd w:val="clear" w:color="auto" w:fill="CCEEFF"/>
          </w:tcPr>
          <w:p>
            <w:pPr>
              <w:jc w:val="center"/>
              <w:ind w:left="297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01"/>
        </w:trPr>
        <w:tc>
          <w:tcPr>
            <w:tcW w:w="4780" w:type="dxa"/>
            <w:vAlign w:val="bottom"/>
          </w:tcPr>
          <w:p>
            <w:pPr>
              <w:spacing w:after="0"/>
              <w:rPr>
                <w:sz w:val="20"/>
                <w:szCs w:val="20"/>
                <w:color w:val="auto"/>
              </w:rPr>
            </w:pPr>
            <w:r>
              <w:rPr>
                <w:rFonts w:ascii="Arial" w:cs="Arial" w:eastAsia="Arial" w:hAnsi="Arial"/>
                <w:sz w:val="17"/>
                <w:szCs w:val="17"/>
                <w:color w:val="auto"/>
              </w:rPr>
              <w:t xml:space="preserve">Revenue from Land Sales </w:t>
            </w:r>
            <w:r>
              <w:rPr>
                <w:rFonts w:ascii="Arial" w:cs="Arial" w:eastAsia="Arial" w:hAnsi="Arial"/>
                <w:sz w:val="17"/>
                <w:szCs w:val="17"/>
                <w:i w:val="1"/>
                <w:iCs w:val="1"/>
                <w:color w:val="auto"/>
              </w:rPr>
              <w:t>(b)</w:t>
            </w:r>
          </w:p>
        </w:tc>
        <w:tc>
          <w:tcPr>
            <w:tcW w:w="354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6"/>
        </w:trPr>
        <w:tc>
          <w:tcPr>
            <w:tcW w:w="4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 xml:space="preserve">Other Revenue </w:t>
            </w:r>
            <w:r>
              <w:rPr>
                <w:rFonts w:ascii="Arial" w:cs="Arial" w:eastAsia="Arial" w:hAnsi="Arial"/>
                <w:sz w:val="17"/>
                <w:szCs w:val="17"/>
                <w:i w:val="1"/>
                <w:iCs w:val="1"/>
                <w:color w:val="auto"/>
              </w:rPr>
              <w:t>(c)</w:t>
            </w:r>
          </w:p>
        </w:tc>
        <w:tc>
          <w:tcPr>
            <w:tcW w:w="3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$2.2</w:t>
            </w:r>
          </w:p>
        </w:tc>
        <w:tc>
          <w:tcPr>
            <w:tcW w:w="1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06"/>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 ALLETE Properties Revenue</w:t>
            </w:r>
          </w:p>
        </w:tc>
        <w:tc>
          <w:tcPr>
            <w:tcW w:w="3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$2.2</w:t>
            </w: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bl>
    <w:p>
      <w:pPr>
        <w:spacing w:after="0" w:line="214" w:lineRule="exact"/>
        <w:rPr>
          <w:sz w:val="20"/>
          <w:szCs w:val="20"/>
          <w:color w:val="auto"/>
        </w:rPr>
      </w:pPr>
    </w:p>
    <w:p>
      <w:pPr>
        <w:ind w:left="300" w:hanging="299"/>
        <w:spacing w:after="0"/>
        <w:tabs>
          <w:tab w:leader="none" w:pos="3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17" w:lineRule="exact"/>
        <w:rPr>
          <w:rFonts w:ascii="Arial" w:cs="Arial" w:eastAsia="Arial" w:hAnsi="Arial"/>
          <w:sz w:val="17"/>
          <w:szCs w:val="17"/>
          <w:i w:val="1"/>
          <w:iCs w:val="1"/>
          <w:color w:val="auto"/>
        </w:rPr>
      </w:pPr>
    </w:p>
    <w:p>
      <w:pPr>
        <w:ind w:left="260" w:hanging="259"/>
        <w:spacing w:after="0"/>
        <w:tabs>
          <w:tab w:leader="none" w:pos="2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5" w:lineRule="exact"/>
        <w:rPr>
          <w:rFonts w:ascii="Arial" w:cs="Arial" w:eastAsia="Arial" w:hAnsi="Arial"/>
          <w:sz w:val="17"/>
          <w:szCs w:val="17"/>
          <w:i w:val="1"/>
          <w:iCs w:val="1"/>
          <w:color w:val="auto"/>
        </w:rPr>
      </w:pPr>
    </w:p>
    <w:p>
      <w:pPr>
        <w:ind w:left="300" w:hanging="299"/>
        <w:spacing w:after="0" w:line="253" w:lineRule="auto"/>
        <w:tabs>
          <w:tab w:leader="none" w:pos="3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Other Revenue includes a $0.7 million pretax gain in 2010 due to the return of seller-financed property from an entity which filed for voluntary Chapter 11 bankruptcy in June 2009</w:t>
      </w:r>
      <w:r>
        <w:rPr>
          <w:rFonts w:ascii="Arial" w:cs="Arial" w:eastAsia="Arial" w:hAnsi="Arial"/>
          <w:sz w:val="17"/>
          <w:szCs w:val="17"/>
          <w:color w:val="auto"/>
        </w:rPr>
        <w:t>.</w:t>
      </w:r>
      <w:r>
        <w:rPr>
          <w:rFonts w:ascii="Arial" w:cs="Arial" w:eastAsia="Arial" w:hAnsi="Arial"/>
          <w:sz w:val="17"/>
          <w:szCs w:val="17"/>
          <w:i w:val="1"/>
          <w:iCs w:val="1"/>
          <w:color w:val="auto"/>
        </w:rPr>
        <w:t xml:space="preserve"> Also included in 2010 were $0.3 million of forfeited deposits and $0.3 million related to a lawsuit settlement.</w:t>
      </w:r>
    </w:p>
    <w:p>
      <w:pPr>
        <w:spacing w:after="0" w:line="204" w:lineRule="exact"/>
        <w:rPr>
          <w:rFonts w:ascii="Arial" w:cs="Arial" w:eastAsia="Arial" w:hAnsi="Arial"/>
          <w:sz w:val="17"/>
          <w:szCs w:val="17"/>
          <w:i w:val="1"/>
          <w:iCs w:val="1"/>
          <w:color w:val="auto"/>
        </w:rPr>
      </w:pPr>
    </w:p>
    <w:p>
      <w:pPr>
        <w:jc w:val="both"/>
        <w:ind w:left="300"/>
        <w:spacing w:after="0" w:line="298" w:lineRule="auto"/>
        <w:rPr>
          <w:rFonts w:ascii="Arial" w:cs="Arial" w:eastAsia="Arial" w:hAnsi="Arial"/>
          <w:sz w:val="17"/>
          <w:szCs w:val="17"/>
          <w:i w:val="1"/>
          <w:iCs w:val="1"/>
          <w:color w:val="auto"/>
        </w:rPr>
      </w:pPr>
      <w:r>
        <w:rPr>
          <w:rFonts w:ascii="Arial" w:cs="Arial" w:eastAsia="Arial" w:hAnsi="Arial"/>
          <w:sz w:val="15"/>
          <w:szCs w:val="15"/>
          <w:b w:val="1"/>
          <w:bCs w:val="1"/>
          <w:i w:val="1"/>
          <w:iCs w:val="1"/>
          <w:color w:val="auto"/>
        </w:rPr>
        <w:t xml:space="preserve">Operating expenses </w:t>
      </w:r>
      <w:r>
        <w:rPr>
          <w:rFonts w:ascii="Arial" w:cs="Arial" w:eastAsia="Arial" w:hAnsi="Arial"/>
          <w:sz w:val="15"/>
          <w:szCs w:val="15"/>
          <w:color w:val="auto"/>
        </w:rPr>
        <w:t>increased $0.1 million from 2009 reflecting higher expenses at BNI Coal of $1.8 million primarily due to higher diesel fuel costs in 2010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were recovered through the cost-plus contract (See Operating Revenue) and higher donation expenses of $1.5 million. These increases were mostly offset by lower non-regulated generation expenses of $2.2 million primarily due to the transfer of a small generating facility to Regulated Operations in November 2009, and decreased expenses at ALLETE Properties of $2.0 million due to reductions in the cost of land sold and general and administrative expenses.</w:t>
      </w:r>
    </w:p>
    <w:p>
      <w:pPr>
        <w:spacing w:after="0" w:line="174" w:lineRule="exact"/>
        <w:rPr>
          <w:rFonts w:ascii="Arial" w:cs="Arial" w:eastAsia="Arial" w:hAnsi="Arial"/>
          <w:sz w:val="17"/>
          <w:szCs w:val="17"/>
          <w:i w:val="1"/>
          <w:iCs w:val="1"/>
          <w:color w:val="auto"/>
        </w:rPr>
      </w:pPr>
    </w:p>
    <w:p>
      <w:pPr>
        <w:ind w:left="300"/>
        <w:spacing w:after="0"/>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increased $4.8 million from 2009 primarily due to $4.4 million lower equity losses on investments in 2010.</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36" w:lineRule="exact"/>
        <w:rPr>
          <w:sz w:val="20"/>
          <w:szCs w:val="20"/>
          <w:color w:val="auto"/>
        </w:rPr>
      </w:pPr>
    </w:p>
    <w:p>
      <w:pPr>
        <w:jc w:val="both"/>
        <w:ind w:left="300"/>
        <w:spacing w:after="0" w:line="252" w:lineRule="auto"/>
        <w:rPr>
          <w:sz w:val="20"/>
          <w:szCs w:val="20"/>
          <w:color w:val="auto"/>
        </w:rPr>
      </w:pPr>
      <w:r>
        <w:rPr>
          <w:rFonts w:ascii="Arial" w:cs="Arial" w:eastAsia="Arial" w:hAnsi="Arial"/>
          <w:sz w:val="17"/>
          <w:szCs w:val="17"/>
          <w:color w:val="auto"/>
        </w:rPr>
        <w:t>For the year ended December 31, 2010, the effective tax rate was 37.2 percent (33.7 percent for the year ended December 31, 2009). Excluding additional tax expense recorded as a result of the elimination of the deduction for expenses reimbursed under Medicare Part D, the 2010 effective tax rate was 33.8 percent. The effective tax rate deviated from the statutory rate (approximately 41 percent) by comparable amounts in each period due to deductions for depletion, investment tax credits, and wind production tax credits. The 2009 effective tax rate also included the effect of deductions for expenses reimbursed under Medicare Part D. (See Note 13. Income Tax Expense.)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2009 Compared to 2008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36" w:lineRule="exact"/>
        <w:rPr>
          <w:sz w:val="20"/>
          <w:szCs w:val="20"/>
          <w:color w:val="auto"/>
        </w:rPr>
      </w:pPr>
    </w:p>
    <w:p>
      <w:pPr>
        <w:jc w:val="both"/>
        <w:ind w:left="300"/>
        <w:spacing w:after="0" w:line="308" w:lineRule="auto"/>
        <w:rPr>
          <w:sz w:val="20"/>
          <w:szCs w:val="20"/>
          <w:color w:val="auto"/>
        </w:rPr>
      </w:pPr>
      <w:r>
        <w:rPr>
          <w:rFonts w:ascii="Arial" w:cs="Arial" w:eastAsia="Arial" w:hAnsi="Arial"/>
          <w:sz w:val="15"/>
          <w:szCs w:val="15"/>
          <w:b w:val="1"/>
          <w:bCs w:val="1"/>
          <w:i w:val="1"/>
          <w:iCs w:val="1"/>
          <w:color w:val="auto"/>
        </w:rPr>
        <w:t xml:space="preserve">Operating revenue </w:t>
      </w:r>
      <w:r>
        <w:rPr>
          <w:rFonts w:ascii="Arial" w:cs="Arial" w:eastAsia="Arial" w:hAnsi="Arial"/>
          <w:sz w:val="15"/>
          <w:szCs w:val="15"/>
          <w:color w:val="auto"/>
        </w:rPr>
        <w:t>decreased $30.4 million, or 4 percent, from 2008 due to lower fuel and purchased power recoveries, lower retail and municipal kilowatt-hour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lower natural gas revenue at SWL&amp;P, and the accrual of prior year retail rate refunds related to our 2008 retail rate case. These decreases were partially offset by higher sales to Other Power Suppliers, higher FERC-approved wholesale rates and increased revenue from MPUC-approved current cost recovery riders.</w:t>
      </w:r>
    </w:p>
    <w:p>
      <w:pPr>
        <w:spacing w:after="0" w:line="166" w:lineRule="exact"/>
        <w:rPr>
          <w:sz w:val="20"/>
          <w:szCs w:val="20"/>
          <w:color w:val="auto"/>
        </w:rPr>
      </w:pPr>
    </w:p>
    <w:p>
      <w:pPr>
        <w:jc w:val="both"/>
        <w:ind w:left="300"/>
        <w:spacing w:after="0" w:line="254" w:lineRule="auto"/>
        <w:rPr>
          <w:sz w:val="20"/>
          <w:szCs w:val="20"/>
          <w:color w:val="auto"/>
        </w:rPr>
      </w:pPr>
      <w:r>
        <w:rPr>
          <w:rFonts w:ascii="Arial" w:cs="Arial" w:eastAsia="Arial" w:hAnsi="Arial"/>
          <w:sz w:val="17"/>
          <w:szCs w:val="17"/>
          <w:color w:val="auto"/>
        </w:rPr>
        <w:t>Lower fuel and purchased power recoveries along with a decrease in retail and municipal kilowatt-hour sales combined for a total revenue reduction of $116.2 million. Fuel and purchased power recoveries decreased due to a reduction in fuel and purchased power expense. (See Fuel and Purchased Power Expense.) Total kilowatt-hour sales to retail and municipal customers decreased 26 percent from 2008 primarily due to idled production lines and temporary closures at some of our taconite customers’ plants.</w:t>
      </w:r>
    </w:p>
    <w:p>
      <w:pPr>
        <w:spacing w:after="0" w:line="203"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Natural gas revenue at SWL&amp;P was lower by $7.8 million due to a 27 percent decrease in the price of natural gas and a 9 percent decline in sales. Natural gas revenue is primarily a flow-through of the natural gas costs. (See Operating and Maintenance Expense.)</w:t>
      </w:r>
    </w:p>
    <w:p>
      <w:pPr>
        <w:spacing w:after="0" w:line="19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Prior year retail rate refunds resulting from the 2009 MPUC Order and August 2009 Reconsideration Order were recorded in 2009 and resulted in a reduction in revenues of $7.6 million.</w:t>
      </w:r>
    </w:p>
    <w:p>
      <w:pPr>
        <w:spacing w:after="0" w:line="192"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color w:val="auto"/>
        </w:rPr>
        <w:t>The decrease in kilowatt-hour sales to retail and municipal customers has been partially offset by revenue from marketing the power to Other Power Suppliers, which increased $77.2 million in 2009. Sales to Other Power Suppliers are sold at market-based prices into the MISO market on a daily basis or through bilateral agreements of various durations.</w:t>
      </w:r>
    </w:p>
    <w:p>
      <w:pPr>
        <w:spacing w:after="0" w:line="20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Higher rates from the March 1, 2008, and February 1, 2009, FERC-approved wholesale rate increases for our municipal customers increased revenue by $13.2 million.</w:t>
      </w:r>
    </w:p>
    <w:p>
      <w:pPr>
        <w:spacing w:after="0" w:line="19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MPUC-approved current cost recovery rider revenue increased $10.4 million in 2009 from 2008 primarily due to increased capital expenditures related to our Boswell Unit 3 emission reduction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Quantity</w:t>
            </w: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w:t>
            </w:r>
          </w:p>
        </w:tc>
      </w:tr>
      <w:tr>
        <w:trPr>
          <w:trHeight w:val="223"/>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31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b w:val="1"/>
                <w:bCs w:val="1"/>
                <w:color w:val="auto"/>
              </w:rPr>
              <w:t>2009</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2008</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Variance</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Variance</w:t>
            </w:r>
          </w:p>
        </w:tc>
      </w:tr>
      <w:tr>
        <w:trPr>
          <w:trHeight w:val="201"/>
        </w:trPr>
        <w:tc>
          <w:tcPr>
            <w:tcW w:w="51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Regulated Utility</w:t>
            </w:r>
          </w:p>
        </w:tc>
        <w:tc>
          <w:tcPr>
            <w:tcW w:w="3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5160" w:type="dxa"/>
            <w:vAlign w:val="bottom"/>
          </w:tcPr>
          <w:p>
            <w:pPr>
              <w:ind w:left="160"/>
              <w:spacing w:after="0"/>
              <w:rPr>
                <w:sz w:val="20"/>
                <w:szCs w:val="20"/>
                <w:color w:val="auto"/>
              </w:rPr>
            </w:pPr>
            <w:r>
              <w:rPr>
                <w:rFonts w:ascii="Arial" w:cs="Arial" w:eastAsia="Arial" w:hAnsi="Arial"/>
                <w:sz w:val="17"/>
                <w:szCs w:val="17"/>
                <w:color w:val="auto"/>
              </w:rPr>
              <w:t>Retail and Municipals</w:t>
            </w: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5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Residential</w:t>
            </w:r>
          </w:p>
        </w:tc>
        <w:tc>
          <w:tcPr>
            <w:tcW w:w="3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1,164</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1,172</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01"/>
        </w:trPr>
        <w:tc>
          <w:tcPr>
            <w:tcW w:w="5160" w:type="dxa"/>
            <w:vAlign w:val="bottom"/>
          </w:tcPr>
          <w:p>
            <w:pPr>
              <w:ind w:left="300"/>
              <w:spacing w:after="0"/>
              <w:rPr>
                <w:sz w:val="20"/>
                <w:szCs w:val="20"/>
                <w:color w:val="auto"/>
              </w:rPr>
            </w:pPr>
            <w:r>
              <w:rPr>
                <w:rFonts w:ascii="Arial" w:cs="Arial" w:eastAsia="Arial" w:hAnsi="Arial"/>
                <w:sz w:val="17"/>
                <w:szCs w:val="17"/>
                <w:color w:val="auto"/>
              </w:rPr>
              <w:t>Commercial</w:t>
            </w:r>
          </w:p>
        </w:tc>
        <w:tc>
          <w:tcPr>
            <w:tcW w:w="3160" w:type="dxa"/>
            <w:vAlign w:val="bottom"/>
          </w:tcPr>
          <w:p>
            <w:pPr>
              <w:jc w:val="right"/>
              <w:ind w:right="176"/>
              <w:spacing w:after="0"/>
              <w:rPr>
                <w:sz w:val="20"/>
                <w:szCs w:val="20"/>
                <w:color w:val="auto"/>
              </w:rPr>
            </w:pPr>
            <w:r>
              <w:rPr>
                <w:rFonts w:ascii="Arial" w:cs="Arial" w:eastAsia="Arial" w:hAnsi="Arial"/>
                <w:sz w:val="17"/>
                <w:szCs w:val="17"/>
                <w:color w:val="auto"/>
              </w:rPr>
              <w:t>1,420</w:t>
            </w:r>
          </w:p>
        </w:tc>
        <w:tc>
          <w:tcPr>
            <w:tcW w:w="1080" w:type="dxa"/>
            <w:vAlign w:val="bottom"/>
          </w:tcPr>
          <w:p>
            <w:pPr>
              <w:jc w:val="right"/>
              <w:ind w:right="96"/>
              <w:spacing w:after="0"/>
              <w:rPr>
                <w:sz w:val="20"/>
                <w:szCs w:val="20"/>
                <w:color w:val="auto"/>
              </w:rPr>
            </w:pPr>
            <w:r>
              <w:rPr>
                <w:rFonts w:ascii="Arial" w:cs="Arial" w:eastAsia="Arial" w:hAnsi="Arial"/>
                <w:sz w:val="17"/>
                <w:szCs w:val="17"/>
                <w:color w:val="auto"/>
              </w:rPr>
              <w:t>1,454</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(34)</w:t>
            </w: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1"/>
        </w:trPr>
        <w:tc>
          <w:tcPr>
            <w:tcW w:w="5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Industrial</w:t>
            </w:r>
          </w:p>
        </w:tc>
        <w:tc>
          <w:tcPr>
            <w:tcW w:w="3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4,475</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7,192</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06"/>
        </w:trPr>
        <w:tc>
          <w:tcPr>
            <w:tcW w:w="516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Municipals</w:t>
            </w:r>
          </w:p>
        </w:tc>
        <w:tc>
          <w:tcPr>
            <w:tcW w:w="31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992</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1,002</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1"/>
        </w:trPr>
        <w:tc>
          <w:tcPr>
            <w:tcW w:w="51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Retail and Municipals</w:t>
            </w:r>
          </w:p>
        </w:tc>
        <w:tc>
          <w:tcPr>
            <w:tcW w:w="3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8,051</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10,820</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(2,769)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06"/>
        </w:trPr>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 Power Suppliers</w:t>
            </w:r>
          </w:p>
        </w:tc>
        <w:tc>
          <w:tcPr>
            <w:tcW w:w="31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4,056</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1,800</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2,256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w:t>
            </w:r>
          </w:p>
        </w:tc>
      </w:tr>
      <w:tr>
        <w:trPr>
          <w:trHeight w:val="206"/>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Regulated Utility Kilowatt-hours Sold</w:t>
            </w:r>
          </w:p>
        </w:tc>
        <w:tc>
          <w:tcPr>
            <w:tcW w:w="3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12,107</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12,620</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bl>
    <w:p>
      <w:pPr>
        <w:spacing w:after="0" w:line="214" w:lineRule="exact"/>
        <w:rPr>
          <w:sz w:val="20"/>
          <w:szCs w:val="20"/>
          <w:color w:val="auto"/>
        </w:rPr>
      </w:pPr>
    </w:p>
    <w:p>
      <w:pPr>
        <w:jc w:val="both"/>
        <w:ind w:left="300"/>
        <w:spacing w:after="0" w:line="298" w:lineRule="auto"/>
        <w:rPr>
          <w:sz w:val="20"/>
          <w:szCs w:val="20"/>
          <w:color w:val="auto"/>
        </w:rPr>
      </w:pPr>
      <w:r>
        <w:rPr>
          <w:rFonts w:ascii="Arial" w:cs="Arial" w:eastAsia="Arial" w:hAnsi="Arial"/>
          <w:sz w:val="15"/>
          <w:szCs w:val="15"/>
          <w:color w:val="auto"/>
        </w:rPr>
        <w:t>Revenue from electric sales to taconite customers accounted for 15 percent of consolidated operating revenue in 2009 (26 percent in 2008). The decrease in revenue from our taconite customers was partially offset by revenue from electric sales to Other Power Suppliers, which accounted for 20 percent of consolidated operating revenue in 2009 (10 percent in 2008). Revenue from electric sales to paper and pulp mills accounted for 9 percent of consolidated operating revenue in 2009 (9 percent in 2008). Revenue from electric sales to pipelines and other industrials accounted for 7 percent of consolidated operating revenue in 2009 (7 percent in 2008).</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$20.1 million, or 3 percent, from 2008.</w:t>
      </w:r>
    </w:p>
    <w:p>
      <w:pPr>
        <w:spacing w:after="0" w:line="232"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$26.1 million, or 9 percent, from 2008 due to decreased power generation attributable to lower kilowatt-hour sales,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a reduction in wholesale electricity prices. Minnesota Power’s coal generating fleet produced fewer kilowatt-hours of electricity due to planned outages to implement environmental retrofits and to respond to decreased demand from our taconite customers.</w:t>
      </w:r>
    </w:p>
    <w:p>
      <w:pPr>
        <w:spacing w:after="0" w:line="202" w:lineRule="exact"/>
        <w:rPr>
          <w:sz w:val="20"/>
          <w:szCs w:val="20"/>
          <w:color w:val="auto"/>
        </w:rPr>
      </w:pPr>
    </w:p>
    <w:p>
      <w:pPr>
        <w:jc w:val="both"/>
        <w:ind w:left="300"/>
        <w:spacing w:after="0" w:line="336" w:lineRule="auto"/>
        <w:rPr>
          <w:sz w:val="20"/>
          <w:szCs w:val="20"/>
          <w:color w:val="auto"/>
        </w:rPr>
      </w:pPr>
      <w:r>
        <w:rPr>
          <w:rFonts w:ascii="Arial" w:cs="Arial" w:eastAsia="Arial" w:hAnsi="Arial"/>
          <w:sz w:val="15"/>
          <w:szCs w:val="15"/>
          <w:i w:val="1"/>
          <w:iCs w:val="1"/>
          <w:color w:val="auto"/>
        </w:rPr>
        <w:t xml:space="preserve">Operating and Maintenance Expense </w:t>
      </w:r>
      <w:r>
        <w:rPr>
          <w:rFonts w:ascii="Arial" w:cs="Arial" w:eastAsia="Arial" w:hAnsi="Arial"/>
          <w:sz w:val="15"/>
          <w:szCs w:val="15"/>
          <w:color w:val="auto"/>
        </w:rPr>
        <w:t>decreased $3.5 million from 2008 primarily due to $7.4 million in lower natural gas costs at SWL&amp;P from a decline in the price</w:t>
      </w:r>
      <w:r>
        <w:rPr>
          <w:rFonts w:ascii="Arial" w:cs="Arial" w:eastAsia="Arial" w:hAnsi="Arial"/>
          <w:sz w:val="15"/>
          <w:szCs w:val="15"/>
          <w:i w:val="1"/>
          <w:iCs w:val="1"/>
          <w:color w:val="auto"/>
        </w:rPr>
        <w:t xml:space="preserve"> </w:t>
      </w:r>
      <w:r>
        <w:rPr>
          <w:rFonts w:ascii="Arial" w:cs="Arial" w:eastAsia="Arial" w:hAnsi="Arial"/>
          <w:sz w:val="15"/>
          <w:szCs w:val="15"/>
          <w:color w:val="auto"/>
        </w:rPr>
        <w:t>and quantity of natural gas purchased. This decrease was partially offset by increased salaries and benefits costs, rate case expenses and plant maintenance.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2009 Compared to 2008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$9.5 million, or 19 percent, from 2008 reflecting higher property, plant and equipment balances placed in service.</w:t>
      </w:r>
    </w:p>
    <w:p>
      <w:pPr>
        <w:spacing w:after="0" w:line="232"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$4.3 million, or 18 percent, from 2008 primarily due to additional long-term debt issued to fund new capital investments and $0.5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retail rate refunds.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 xml:space="preserve">Equity earnings </w:t>
      </w:r>
      <w:r>
        <w:rPr>
          <w:rFonts w:ascii="Arial" w:cs="Arial" w:eastAsia="Arial" w:hAnsi="Arial"/>
          <w:sz w:val="15"/>
          <w:szCs w:val="15"/>
          <w:color w:val="auto"/>
        </w:rPr>
        <w:t>increased $2.2 million, or 14 percent, from 2008 reflecting higher earnings from our increased investment in ATC. (See Note 6. Investment in ATC.)</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36" w:lineRule="exact"/>
        <w:rPr>
          <w:sz w:val="20"/>
          <w:szCs w:val="20"/>
          <w:color w:val="auto"/>
        </w:rPr>
      </w:pPr>
    </w:p>
    <w:p>
      <w:pPr>
        <w:jc w:val="both"/>
        <w:ind w:left="300"/>
        <w:spacing w:after="0" w:line="251"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$11.5 million, or 13 percent, from 2008 primarily due to a $14.3 million reduction in sales revenue at ALLETE Properties. In 2009,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ALLETE Properties sold approximately 35 acres of properties located outside of our three main development projects for $3.8 million; no other sales were made in 2009 due to the continued lack of demand for our properties as a result of poor real estate market conditions in Florida. In 2008, ALLETE Properties sold approximately 219 acres of property located outside of our three main development projects for $6.3 million and recognized $3.7 million of previously deferred revenue under percentage of completion accounting. Revenue at ALLETE Properties in 2008 also included a pretax gain of $4.5 million from the sale of a retail shopping center in Winter Haven, Florida.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2800" w:type="dxa"/>
            <w:vAlign w:val="bottom"/>
            <w:shd w:val="clear" w:color="auto" w:fill="CCEEFF"/>
          </w:tcPr>
          <w:p>
            <w:pPr>
              <w:ind w:left="2380"/>
              <w:spacing w:after="0"/>
              <w:rPr>
                <w:sz w:val="20"/>
                <w:szCs w:val="20"/>
                <w:color w:val="auto"/>
              </w:rPr>
            </w:pPr>
            <w:r>
              <w:rPr>
                <w:rFonts w:ascii="Arial" w:cs="Arial" w:eastAsia="Arial" w:hAnsi="Arial"/>
                <w:sz w:val="17"/>
                <w:szCs w:val="17"/>
                <w:b w:val="1"/>
                <w:bCs w:val="1"/>
                <w:color w:val="auto"/>
              </w:rPr>
              <w:t>2009</w:t>
            </w:r>
          </w:p>
        </w:tc>
        <w:tc>
          <w:tcPr>
            <w:tcW w:w="1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900" w:type="dxa"/>
            <w:vAlign w:val="bottom"/>
            <w:shd w:val="clear" w:color="auto" w:fill="CCEEFF"/>
          </w:tcPr>
          <w:p>
            <w:pPr>
              <w:spacing w:after="0"/>
              <w:rPr>
                <w:sz w:val="17"/>
                <w:szCs w:val="17"/>
                <w:color w:val="auto"/>
              </w:rPr>
            </w:pPr>
          </w:p>
        </w:tc>
      </w:tr>
      <w:tr>
        <w:trPr>
          <w:trHeight w:val="206"/>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2800" w:type="dxa"/>
            <w:vAlign w:val="bottom"/>
            <w:tcBorders>
              <w:bottom w:val="single" w:sz="8" w:color="auto"/>
            </w:tcBorders>
          </w:tcPr>
          <w:p>
            <w:pPr>
              <w:ind w:left="1600"/>
              <w:spacing w:after="0"/>
              <w:rPr>
                <w:sz w:val="20"/>
                <w:szCs w:val="20"/>
                <w:color w:val="auto"/>
              </w:rPr>
            </w:pPr>
            <w:r>
              <w:rPr>
                <w:rFonts w:ascii="Arial" w:cs="Arial" w:eastAsia="Arial" w:hAnsi="Arial"/>
                <w:sz w:val="17"/>
                <w:szCs w:val="17"/>
                <w:b w:val="1"/>
                <w:bCs w:val="1"/>
                <w:color w:val="auto"/>
              </w:rPr>
              <w:t>Quantity</w:t>
            </w: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Amount</w:t>
            </w: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Quantity</w:t>
            </w: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96"/>
              </w:rPr>
              <w:t>Amount</w:t>
            </w:r>
          </w:p>
        </w:tc>
      </w:tr>
      <w:tr>
        <w:trPr>
          <w:trHeight w:val="201"/>
        </w:trPr>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2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1"/>
        </w:trPr>
        <w:tc>
          <w:tcPr>
            <w:tcW w:w="534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2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53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2800" w:type="dxa"/>
            <w:vAlign w:val="bottom"/>
            <w:tcBorders>
              <w:bottom w:val="single" w:sz="8" w:color="auto"/>
            </w:tcBorders>
            <w:shd w:val="clear" w:color="auto" w:fill="CCEEFF"/>
          </w:tcPr>
          <w:p>
            <w:pPr>
              <w:ind w:left="2380"/>
              <w:spacing w:after="0"/>
              <w:rPr>
                <w:sz w:val="20"/>
                <w:szCs w:val="20"/>
                <w:color w:val="auto"/>
              </w:rPr>
            </w:pPr>
            <w:r>
              <w:rPr>
                <w:rFonts w:ascii="Arial" w:cs="Arial" w:eastAsia="Arial" w:hAnsi="Arial"/>
                <w:sz w:val="17"/>
                <w:szCs w:val="17"/>
                <w:color w:val="auto"/>
              </w:rPr>
              <w:t>35</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$3.8</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01"/>
        </w:trPr>
        <w:tc>
          <w:tcPr>
            <w:tcW w:w="5340" w:type="dxa"/>
            <w:vAlign w:val="bottom"/>
          </w:tcPr>
          <w:p>
            <w:pPr>
              <w:ind w:left="16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2800" w:type="dxa"/>
            <w:vAlign w:val="bottom"/>
          </w:tcPr>
          <w:p>
            <w:pPr>
              <w:spacing w:after="0"/>
              <w:rPr>
                <w:sz w:val="17"/>
                <w:szCs w:val="17"/>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3.8</w:t>
            </w:r>
          </w:p>
        </w:tc>
        <w:tc>
          <w:tcPr>
            <w:tcW w:w="1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6"/>
        </w:trPr>
        <w:tc>
          <w:tcPr>
            <w:tcW w:w="5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Revenue Recognized from Previously Deferred Sales</w:t>
            </w:r>
          </w:p>
        </w:tc>
        <w:tc>
          <w:tcPr>
            <w:tcW w:w="28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1"/>
        </w:trPr>
        <w:tc>
          <w:tcPr>
            <w:tcW w:w="534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2800" w:type="dxa"/>
            <w:vAlign w:val="bottom"/>
          </w:tcPr>
          <w:p>
            <w:pPr>
              <w:spacing w:after="0"/>
              <w:rPr>
                <w:sz w:val="17"/>
                <w:szCs w:val="17"/>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3.8</w:t>
            </w:r>
          </w:p>
        </w:tc>
        <w:tc>
          <w:tcPr>
            <w:tcW w:w="1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6"/>
        </w:trPr>
        <w:tc>
          <w:tcPr>
            <w:tcW w:w="5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 xml:space="preserve">Other Revenue </w:t>
            </w:r>
            <w:r>
              <w:rPr>
                <w:rFonts w:ascii="Arial" w:cs="Arial" w:eastAsia="Arial" w:hAnsi="Arial"/>
                <w:sz w:val="17"/>
                <w:szCs w:val="17"/>
                <w:i w:val="1"/>
                <w:iCs w:val="1"/>
                <w:color w:val="auto"/>
              </w:rPr>
              <w:t>(c)</w:t>
            </w:r>
          </w:p>
        </w:tc>
        <w:tc>
          <w:tcPr>
            <w:tcW w:w="28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0.2</w:t>
            </w:r>
          </w:p>
        </w:tc>
        <w:tc>
          <w:tcPr>
            <w:tcW w:w="1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6"/>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 ALLETE Properties Revenue</w:t>
            </w:r>
          </w:p>
        </w:tc>
        <w:tc>
          <w:tcPr>
            <w:tcW w:w="2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$4.0</w:t>
            </w:r>
          </w:p>
        </w:tc>
        <w:tc>
          <w:tcPr>
            <w:tcW w:w="1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r>
    </w:tbl>
    <w:p>
      <w:pPr>
        <w:spacing w:after="0" w:line="214" w:lineRule="exact"/>
        <w:rPr>
          <w:sz w:val="20"/>
          <w:szCs w:val="20"/>
          <w:color w:val="auto"/>
        </w:rPr>
      </w:pPr>
    </w:p>
    <w:p>
      <w:pPr>
        <w:ind w:left="300" w:hanging="299"/>
        <w:spacing w:after="0"/>
        <w:tabs>
          <w:tab w:leader="none" w:pos="30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17" w:lineRule="exact"/>
        <w:rPr>
          <w:rFonts w:ascii="Arial" w:cs="Arial" w:eastAsia="Arial" w:hAnsi="Arial"/>
          <w:sz w:val="17"/>
          <w:szCs w:val="17"/>
          <w:i w:val="1"/>
          <w:iCs w:val="1"/>
          <w:color w:val="auto"/>
        </w:rPr>
      </w:pPr>
    </w:p>
    <w:p>
      <w:pPr>
        <w:ind w:left="300" w:hanging="299"/>
        <w:spacing w:after="0" w:line="246" w:lineRule="auto"/>
        <w:tabs>
          <w:tab w:leader="none" w:pos="30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Reflected total contract sales price on closed land transactions. Land sales are recorded using a percentage-of-completion method. (See Note 1. Operations and Significant Accounting Policies.)</w:t>
      </w:r>
    </w:p>
    <w:p>
      <w:pPr>
        <w:spacing w:after="0" w:line="1" w:lineRule="exact"/>
        <w:rPr>
          <w:rFonts w:ascii="Arial" w:cs="Arial" w:eastAsia="Arial" w:hAnsi="Arial"/>
          <w:sz w:val="17"/>
          <w:szCs w:val="17"/>
          <w:i w:val="1"/>
          <w:iCs w:val="1"/>
          <w:color w:val="auto"/>
        </w:rPr>
      </w:pPr>
    </w:p>
    <w:p>
      <w:pPr>
        <w:ind w:left="300" w:hanging="299"/>
        <w:spacing w:after="0"/>
        <w:tabs>
          <w:tab w:leader="none" w:pos="30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Included a $4.5 million pretax gain from the sale of a shopping center in Winter Haven, Florida in 2008.</w:t>
      </w:r>
    </w:p>
    <w:p>
      <w:pPr>
        <w:spacing w:after="0" w:line="219" w:lineRule="exact"/>
        <w:rPr>
          <w:rFonts w:ascii="Arial" w:cs="Arial" w:eastAsia="Arial" w:hAnsi="Arial"/>
          <w:sz w:val="17"/>
          <w:szCs w:val="17"/>
          <w:i w:val="1"/>
          <w:iCs w:val="1"/>
          <w:color w:val="auto"/>
        </w:rPr>
      </w:pPr>
    </w:p>
    <w:p>
      <w:pPr>
        <w:ind w:left="300"/>
        <w:spacing w:after="0"/>
        <w:rPr>
          <w:rFonts w:ascii="Arial" w:cs="Arial" w:eastAsia="Arial" w:hAnsi="Arial"/>
          <w:sz w:val="17"/>
          <w:szCs w:val="17"/>
          <w:i w:val="1"/>
          <w:iCs w:val="1"/>
          <w:color w:val="auto"/>
        </w:rPr>
      </w:pPr>
      <w:r>
        <w:rPr>
          <w:rFonts w:ascii="Arial" w:cs="Arial" w:eastAsia="Arial" w:hAnsi="Arial"/>
          <w:sz w:val="16"/>
          <w:szCs w:val="16"/>
          <w:color w:val="auto"/>
        </w:rPr>
        <w:t>BNI Coal, which operates under a cost-plus contract, recorded additional revenue of $5.6 million as a result of higher expenses. (See Operating Expenses.)</w:t>
      </w:r>
    </w:p>
    <w:p>
      <w:pPr>
        <w:spacing w:after="0" w:line="243" w:lineRule="exact"/>
        <w:rPr>
          <w:rFonts w:ascii="Arial" w:cs="Arial" w:eastAsia="Arial" w:hAnsi="Arial"/>
          <w:sz w:val="17"/>
          <w:szCs w:val="17"/>
          <w:i w:val="1"/>
          <w:iCs w:val="1"/>
          <w:color w:val="auto"/>
        </w:rPr>
      </w:pPr>
    </w:p>
    <w:p>
      <w:pPr>
        <w:jc w:val="both"/>
        <w:ind w:left="300"/>
        <w:spacing w:after="0" w:line="271" w:lineRule="auto"/>
        <w:rPr>
          <w:rFonts w:ascii="Arial" w:cs="Arial" w:eastAsia="Arial" w:hAnsi="Arial"/>
          <w:sz w:val="17"/>
          <w:szCs w:val="17"/>
          <w:i w:val="1"/>
          <w:iCs w:val="1"/>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$6.0 million, or 7 percent, from 2008 reflecting lower fuel costs at our non-regulated generating facilities and decreased expense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ALLETE Properties due to both lower cost of land sold and reductions in general and administrative expenses. Expenses incurred as a result of a planned maintenance outage at a non-regulated generating facility in the third quarter of 2008 also contributed to the decrease in 2009. Partially offsetting these decreases was an increase in expense at BNI Coal due to higher permitting costs relating to mining expansion, a warranty credit in 2008, and dragline repairs in 2009. These costs were recovered through the cost-plus contract. (See Operating Revenue.)</w:t>
      </w:r>
    </w:p>
    <w:p>
      <w:pPr>
        <w:spacing w:after="0" w:line="193" w:lineRule="exact"/>
        <w:rPr>
          <w:rFonts w:ascii="Arial" w:cs="Arial" w:eastAsia="Arial" w:hAnsi="Arial"/>
          <w:sz w:val="17"/>
          <w:szCs w:val="17"/>
          <w:i w:val="1"/>
          <w:iCs w:val="1"/>
          <w:color w:val="auto"/>
        </w:rPr>
      </w:pPr>
    </w:p>
    <w:p>
      <w:pPr>
        <w:jc w:val="both"/>
        <w:ind w:left="300"/>
        <w:spacing w:after="0" w:line="252" w:lineRule="auto"/>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$3.2 million from 2008 primarily due to a decrease in the proportion of ALLETE interest expense assigned to Minnesota Power.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interest expense for Minnesota Power regulated operations based on Minnesota Power’s authorized capital structure and allocate the balance to Investments and Other. Effective August 1, 2008, the proportion of interest expense assigned to Minnesota Power decreased to reflect the authorized capital structure inherent in interim rates that commenced on that date. Interest expense was also higher in 2009 as 2008 included a $0.6 million reversal of interest expense previously accrued due to the closing of a tax year.</w:t>
      </w:r>
    </w:p>
    <w:p>
      <w:pPr>
        <w:spacing w:after="0" w:line="206" w:lineRule="exact"/>
        <w:rPr>
          <w:sz w:val="20"/>
          <w:szCs w:val="20"/>
          <w:color w:val="auto"/>
        </w:rPr>
      </w:pPr>
    </w:p>
    <w:p>
      <w:pPr>
        <w:jc w:val="both"/>
        <w:ind w:left="300"/>
        <w:spacing w:after="0" w:line="308" w:lineRule="auto"/>
        <w:rPr>
          <w:sz w:val="20"/>
          <w:szCs w:val="20"/>
          <w:color w:val="auto"/>
        </w:rPr>
      </w:pPr>
      <w:r>
        <w:rPr>
          <w:rFonts w:ascii="Arial" w:cs="Arial" w:eastAsia="Arial" w:hAnsi="Arial"/>
          <w:sz w:val="15"/>
          <w:szCs w:val="15"/>
          <w:b w:val="1"/>
          <w:bCs w:val="1"/>
          <w:i w:val="1"/>
          <w:iCs w:val="1"/>
          <w:color w:val="auto"/>
        </w:rPr>
        <w:t xml:space="preserve">Other income (expense) </w:t>
      </w:r>
      <w:r>
        <w:rPr>
          <w:rFonts w:ascii="Arial" w:cs="Arial" w:eastAsia="Arial" w:hAnsi="Arial"/>
          <w:sz w:val="15"/>
          <w:szCs w:val="15"/>
          <w:color w:val="auto"/>
        </w:rPr>
        <w:t>decreased $16.0 million from 2008 primarily due to a $6.5 million pretax gain realized from the sale of certain available-for-sale securities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first quarter of 2008, lower earnings on excess cash in 2009 of $1.9 million, and $1.4 million of interest income related to tax benefits recognized in the third quarter of 2008. Losses incurred on emerging technology investments totaled $4.6 million in 2009, and were $3.9 million higher than similar losses recorded in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2009 Compared to 2008 (Continued)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36" w:lineRule="exact"/>
        <w:rPr>
          <w:sz w:val="20"/>
          <w:szCs w:val="20"/>
          <w:color w:val="auto"/>
        </w:rPr>
      </w:pPr>
    </w:p>
    <w:p>
      <w:pPr>
        <w:jc w:val="both"/>
        <w:ind w:left="300"/>
        <w:spacing w:after="0" w:line="275" w:lineRule="auto"/>
        <w:rPr>
          <w:sz w:val="20"/>
          <w:szCs w:val="20"/>
          <w:color w:val="auto"/>
        </w:rPr>
      </w:pPr>
      <w:r>
        <w:rPr>
          <w:rFonts w:ascii="Arial" w:cs="Arial" w:eastAsia="Arial" w:hAnsi="Arial"/>
          <w:sz w:val="16"/>
          <w:szCs w:val="16"/>
          <w:color w:val="auto"/>
        </w:rPr>
        <w:t>For the year ended December 31, 2009, the effective tax rate was 33.7 percent (34.3 percent for the year ended December 31, 2008). The effective tax rate in each period deviated from the statutory rate (approximately 41 percent for 2009) due to deductions for expenses reimbursed under Medicare Part D, AFUDC-Equity, investment tax credits, wind production tax credits, and depletion. In addition, the effective rate for 2009 was impacted by lower pretax income. In 2008, non-recurring tax benefits due to the closing of a tax year and the completion of an IRS review totaled $4.6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Regulatory Accounting. </w:t>
      </w:r>
      <w:r>
        <w:rPr>
          <w:rFonts w:ascii="Arial" w:cs="Arial" w:eastAsia="Arial" w:hAnsi="Arial"/>
          <w:sz w:val="17"/>
          <w:szCs w:val="17"/>
          <w:color w:val="auto"/>
        </w:rPr>
        <w:t>Our regulated utility operations are accounted for in accordance with the accounting standards for the effects of certain types of regulation.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These standards require us to reflect the effect of regulatory decisions in our financial statements. Regulatory assets or liabilities arise as a result of a difference between GAAP and the accounting treatment for certain items imposed by the regulatory agencies.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recoverability of regulatory assets is periodically assessed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 Regulatory Matters.)</w:t>
      </w:r>
    </w:p>
    <w:p>
      <w:pPr>
        <w:spacing w:after="0" w:line="19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color w:val="auto"/>
        </w:rPr>
        <w:t xml:space="preserve">Valuation of Investments. </w:t>
      </w:r>
      <w:r>
        <w:rPr>
          <w:rFonts w:ascii="Arial" w:cs="Arial" w:eastAsia="Arial" w:hAnsi="Arial"/>
          <w:sz w:val="15"/>
          <w:szCs w:val="15"/>
          <w:color w:val="auto"/>
        </w:rPr>
        <w:t>Our long-term investment portfolio includes the real estate assets of ALLETE Properties, debt and equity securities consisting primarily of</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held to fund employee benefits, and other investments. Our policy is to review these investments for impairment on a quarterly basis by assessing such factors as continued commercial viability of products, cash flow and earnings. Our consideration of possible impairment for our real estate assets requires us to make judgments with respect to the current fair values of this real estate. The poor market conditions for real estate in Florida at this time require us to make certain assumptions in the determination of fair values due to the lack of current comparable sales activity. Any impairment would reduce t he carrying value of our investments and be recognized as a loss. In 2010 there were $0.8 million of impairment losses recognized ($1.1 million in 2009; none in 2008). (See Note 7. Investments.)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 xml:space="preserve">Pension and Postretirement Health and Life Actuarial Assumptions. </w:t>
      </w:r>
      <w:r>
        <w:rPr>
          <w:rFonts w:ascii="Arial" w:cs="Arial" w:eastAsia="Arial" w:hAnsi="Arial"/>
          <w:sz w:val="15"/>
          <w:szCs w:val="15"/>
          <w:color w:val="auto"/>
        </w:rPr>
        <w:t>We account for our pension and postretirement benefit obligations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standards for defined benefit pension and other postretirement plans. These standards require the use of assumptions in determining our obligations and annual cost of our pension and postretirement benefits. An important actuarial assumption for pension and other postretirement benefit plans is the expected long-term rate of return on plan assets. 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 Our pension asset allocation at December 31, 2010, was approximately 52 percent equity securities, 29 percent debt, 14 percent private equity, and 5 percent real estate. Our postretirement health and life asset allocation at December 31, 2010, was approximately 58 percent equity securities, 33 percent debt, and 9 percent private equity. Equity securities consist of a mix of market capitalization sizes with domestic and international securities. We currently use an expected long-term rate of return of 8.5 percent in our actuarial determination of our pension and other postretirement expense. We review our expected long-term rate of return assumption annually and will adjust it to respond to any changing market conditions. A one-quarter percent decrease in the expected long-term rate of return would increase the annual expense for pension and other postretirement benefits by approximately $1.3 million, pretax.</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Critical Accounting Estimates (Continued)</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and other postretirement obligation. In 2010, we used a discount rate of 5.81 percent for our actuarial determination of our pension and other postretirement expense. We review our discount rate annually and will adjust it to respond to any changing market conditions. A one-quarter percent decrease in the discount rate would increase the annual expense for pension and other postretirement benefits by approximately $1.8 million, pretax. (See Note 15. Pension and Other Post retirement Benefit Plans.)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Taxation. </w:t>
      </w:r>
      <w:r>
        <w:rPr>
          <w:rFonts w:ascii="Arial" w:cs="Arial" w:eastAsia="Arial" w:hAnsi="Arial"/>
          <w:sz w:val="16"/>
          <w:szCs w:val="16"/>
          <w:color w:val="auto"/>
        </w:rPr>
        <w:t>We are required to make judgments regarding the potential tax effects of various financial transactions and our ongoing operations to estimate our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 will not be realized.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as a key objective of achieving minimum average EPS growth of 5 percent per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over the long term, less carbon intensive and more sustainable renewable energy sources will play an increasingly important role in our nation’s energy mix. We intend to develop additional renewable resources which will be used to meet the renewable supply requirements of our regulated businesses. In addition, we intend to establish a non-regulated renewable business to produce and sell renewable energy to others, subject to securing long-term power purchase agreements prior to construction of facilities. The establishment of a non-regulated renewable business is subject to appropriate MPUC approvals.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wind development, we will capitalize on our existing presence in North Dakota through BNI Coal, our recently acquired DC transmission line and our Bison 1 and 2 wind projects. Through BNI Coal we have a long-term business presence and established landowner relationships in North Dakota. See Renewable Energy below for more discussion on the DC line acquisition and our Bison 1 and 2 projects.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plan to make investments in upper Midwest transmission opportunities that strengthen or enhance the regional transmission grid, or take advantage of our geographical location between sources of renewable energy and end users. Minnesota Power is participating with other regional utilities in making regional transmission investments as a member of the CapX2020 initiative. In addition, we plan to make additional investments to fund our pro rata share of ATC’s future capital expansion program. Both the CapX2020 initiative and our investment in ATC are discussed in more detail under Transmission below.</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 ALLETE Properties does not intend to acquire additional real estate.</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maintain its competitively priced production of energy, while complying with environmental permit</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and renewable requirements, and earn our allowed rate of return. Keeping the production of energy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environmental proposals and may challenge those that add considerable cost with limited en 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Rates</w:t>
      </w:r>
      <w:r>
        <w:rPr>
          <w:rFonts w:ascii="Arial" w:cs="Arial" w:eastAsia="Arial" w:hAnsi="Arial"/>
          <w:sz w:val="17"/>
          <w:szCs w:val="17"/>
          <w:color w:val="auto"/>
        </w:rPr>
        <w:t>. Entities within our Regulated Operations segment file for periodic rate revisions with the MPUC, the FERC or the PSCW.</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On November 2, 2009, Minnesota Power filed an $81 million retail rate increase request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 t. As a result of these increased sales, interim rates were approximately $52 million for 2010.</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2, 2010, Minnesota Power received a written order from the MPUC approving a retail electric rate increase of approximately $54 million, a 10.38 percent return on common equity and a 54.29 percent equity ratio, subject to reconsideration. In a hearing on January 19, 2011, the MPUC denied all reconsideration requests. It is estimated final rates will be implemented in the second quarter of 2011, after review and acceptance of the required compliance filing. Minnesota Power will continue to collect interim rates from its customers until the new rates go into effect. We expect no interim rate refunds will be issued.</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 Wisconsin.</w:t>
      </w:r>
      <w:r>
        <w:rPr>
          <w:rFonts w:ascii="Arial" w:cs="Arial" w:eastAsia="Arial" w:hAnsi="Arial"/>
          <w:sz w:val="17"/>
          <w:szCs w:val="17"/>
          <w:i w:val="1"/>
          <w:iCs w:val="1"/>
          <w:color w:val="auto"/>
        </w:rPr>
        <w:t xml:space="preserve"> </w:t>
      </w:r>
      <w:r>
        <w:rPr>
          <w:rFonts w:ascii="Arial" w:cs="Arial" w:eastAsia="Arial" w:hAnsi="Arial"/>
          <w:sz w:val="17"/>
          <w:szCs w:val="17"/>
          <w:color w:val="auto"/>
        </w:rPr>
        <w:t>SWL&amp;P, a wholly-owned subsidiary of ALLETE, is also a private utility in Wisconsin and a customer of Minnesota Power. In 2008, Minnesota Power entered into formula-based rate contracts with these customers. The rates included in these contracts are calculated using a cost-based formula methodology that is set at the beginning of the year using estimated costs, and provides for a true-up calculation for actual costs. The estimated true-up is recorded in the current year, then finalized and billed or paid to customers in the following year. The contracts include a termination clause requiring a 3 year notice to terminate. To date, no termination notices have been received. Under the formula-based rates provision, wholesale rates, including the estimate to true-up to actual costs, were comparable in 2010 to 2009, and are projected to be comparable in 2011.</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Wisconsin Rates. </w:t>
      </w:r>
      <w:r>
        <w:rPr>
          <w:rFonts w:ascii="Arial" w:cs="Arial" w:eastAsia="Arial" w:hAnsi="Arial"/>
          <w:sz w:val="15"/>
          <w:szCs w:val="15"/>
          <w:color w:val="auto"/>
        </w:rPr>
        <w:t>SWL&amp;P’s 2011 retail rates are based on a 2010 PSCW retail rate order, effective January 1, 2011, and allows for a 10.9 percent return on common</w:t>
      </w:r>
      <w:r>
        <w:rPr>
          <w:rFonts w:ascii="Arial" w:cs="Arial" w:eastAsia="Arial" w:hAnsi="Arial"/>
          <w:sz w:val="15"/>
          <w:szCs w:val="15"/>
          <w:i w:val="1"/>
          <w:iCs w:val="1"/>
          <w:color w:val="auto"/>
        </w:rPr>
        <w:t xml:space="preserve"> </w:t>
      </w:r>
      <w:r>
        <w:rPr>
          <w:rFonts w:ascii="Arial" w:cs="Arial" w:eastAsia="Arial" w:hAnsi="Arial"/>
          <w:sz w:val="15"/>
          <w:szCs w:val="15"/>
          <w:color w:val="auto"/>
        </w:rPr>
        <w:t>equity. The new rates reflect a 2.4 percent average increase in retail utility rates for SWL&amp;P customers (a 12.80 percent increase in water rates, a 2.49 percent increase in natural gas rates and a 0.68 percent increase in electric rates). On an annualized basis, the rate increase will generate approximately $2 million in additional revenue.</w:t>
      </w:r>
    </w:p>
    <w:p>
      <w:pPr>
        <w:spacing w:after="0" w:line="16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b w:val="1"/>
          <w:bCs w:val="1"/>
          <w:i w:val="1"/>
          <w:iCs w:val="1"/>
          <w:color w:val="auto"/>
        </w:rPr>
        <w:t>Industrial Customers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 power is one of several key inputs in the taconite mining, paper production, and pipeline industries. In 2010, approximately 52 percent (37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 in 2009) of our Regulated Utility kilowatt-hour sales were made to our industrial customers, which includes the taconite, paper and pulp, and pipeline industries.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2010, the domestic steel industry rebounded from the low levels of production seen in 2009. According to the American Iron and Steel Institute (AISI), United States raw steel production operated at approximately 70 percent of capacity in 2010, up significantly from 2009, which was at approximately 50 percent capacity. Domestic steel demand rebounded for automobiles and durable goods, while structural and construction steel products were still down. Annual taconite production in Minnesota rebounded from the 18 million tons produced in 2009 to approximately 36 million tons in 2010 (40 million tons in 2008).</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Projections from the AISI translate to U.S. steel production levels at about 75 percent of capacity in 2011. There has been a general historical correlation between U.S. steel production and Minnesota taconite production. Based on these projections, Minnesota Power expects 2011 taconite production in Minnesota to be in the range of 2010 production levels. We will continue to market available power to Other Power Suppliers, when necessary, in an effort to mitigate the earnings impact of lower industrial sales. Other Power Supply sales are dependent upon the availability of generation and are sold at market-based prices into the MISO market on a daily basis or through bilateral agreements of various durations.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Power’s paper and pulp customers ran at, or very near, full capacity for the majority of 2010, as the paper industry stabilized and pricing and demand levels recovered following the global recession.</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pipeline customers have a common reliance on the importation of Canadian crude oil. After near capacity operations in the past, our two pipeline customers have completed expansion projects to transport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Industrial Customers (Continued)</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Prospective Additional Load. </w:t>
      </w:r>
      <w:r>
        <w:rPr>
          <w:rFonts w:ascii="Arial" w:cs="Arial" w:eastAsia="Arial" w:hAnsi="Arial"/>
          <w:sz w:val="15"/>
          <w:szCs w:val="15"/>
          <w:color w:val="auto"/>
        </w:rPr>
        <w:t>Minnesota Power is, and will continue, to pursue new wholesale and retail loads in and around its service territory. Currently, several</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in northeastern Minnesota continue to progress in development of natural resource based projects that represent long-term growth potential and load diversity for Minnesota Power. These potential projects are in the ferrous and non-ferrous mining and steel industries and include PolyMet, Mesabi Nugget, and United States Steel Corporation’s expansion at its Keewatin taconite facility. Additionally, Essar Steel Limited Minnesota (Essar) continues to work with local agencies on infrastructure development for its taconite mine, direct reduction iron-making facility, and steel mill within the Nashwauk, Minnesota municipal utility service boundary. Some, or potentially all, of these projects may not materialize. If some or all of these projects are completed, Minnesota Power could serve up to 600 MW of new load.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PolyMet</w:t>
      </w:r>
      <w:r>
        <w:rPr>
          <w:rFonts w:ascii="Arial" w:cs="Arial" w:eastAsia="Arial" w:hAnsi="Arial"/>
          <w:sz w:val="15"/>
          <w:szCs w:val="15"/>
          <w:color w:val="auto"/>
        </w:rPr>
        <w:t>. Minnesota Power has executed a long-term contract with PolyMet, a new industrial customer planning to start a copper-nickel and precious metal (non-ferrous)</w:t>
      </w:r>
      <w:r>
        <w:rPr>
          <w:rFonts w:ascii="Arial" w:cs="Arial" w:eastAsia="Arial" w:hAnsi="Arial"/>
          <w:sz w:val="15"/>
          <w:szCs w:val="15"/>
          <w:i w:val="1"/>
          <w:iCs w:val="1"/>
          <w:color w:val="auto"/>
        </w:rPr>
        <w:t xml:space="preserve"> </w:t>
      </w:r>
      <w:r>
        <w:rPr>
          <w:rFonts w:ascii="Arial" w:cs="Arial" w:eastAsia="Arial" w:hAnsi="Arial"/>
          <w:sz w:val="15"/>
          <w:szCs w:val="15"/>
          <w:color w:val="auto"/>
        </w:rPr>
        <w:t>mining operation in northeastern Minnesota. PolyMet began work on a Supplemental Draft Environmental Impact Statement (SDEIS) in 2010. The SDEIS further addresses environmental issues, most notably those dealing with the land exchange between PolyMet and the U.S. Forest Service (USFS). This land exchange is critical to the mine site development. The EPA and the USFS joined as lead agencies in the SDEIS process. Release of the SDEIS is expected in mid-2011, to be followed by a public review and comment period. Assuming successful completion of the Environmental Impact Statement process and subsequent issuance of permits, Minnesota Power could begin to supply between 45-70 MW of power in approximately 2013 through a 10-year long-term power supply contract that begins upon start-up.</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Mesabi Nugget. </w:t>
      </w:r>
      <w:r>
        <w:rPr>
          <w:rFonts w:ascii="Arial" w:cs="Arial" w:eastAsia="Arial" w:hAnsi="Arial"/>
          <w:sz w:val="17"/>
          <w:szCs w:val="17"/>
          <w:color w:val="auto"/>
        </w:rPr>
        <w:t>The construction of the initial Mesabi Nugget facility is essentially complete and the first production occurred in January 2010. Steel Dynamics, Inc.,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owner of Mesabi Nugget, has indicated that production ramp-up activities will continue in 2011, with full production levels expected to be reached during the year. Mesabi Nugget is currently pursuing permits for taconite mining activities on lands formerly mined by Erie Mining Company and LTV Steel Mining Company near Hoyt Lakes, Minnesota. Permits to mine are expected by the end of 2011. Mining activities could begin in 2012, which would allow Mesabi Nugget to self-supply its own taconite concentrates and would result in increased electrical loads above the current 15 MW long-term power supply contrac t with Mesabi Nugget lasting at least through 2017.</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Keewatin Taconite. </w:t>
      </w:r>
      <w:r>
        <w:rPr>
          <w:rFonts w:ascii="Arial" w:cs="Arial" w:eastAsia="Arial" w:hAnsi="Arial"/>
          <w:sz w:val="16"/>
          <w:szCs w:val="16"/>
          <w:color w:val="auto"/>
        </w:rPr>
        <w:t>In February 2008, United States Steel Corporation announced its intent to restart a pellet line at its Keewatin Taconite processing facility (Keetac).</w:t>
      </w:r>
      <w:r>
        <w:rPr>
          <w:rFonts w:ascii="Arial" w:cs="Arial" w:eastAsia="Arial" w:hAnsi="Arial"/>
          <w:sz w:val="16"/>
          <w:szCs w:val="16"/>
          <w:i w:val="1"/>
          <w:iCs w:val="1"/>
          <w:color w:val="auto"/>
        </w:rPr>
        <w:t xml:space="preserve"> </w:t>
      </w:r>
      <w:r>
        <w:rPr>
          <w:rFonts w:ascii="Arial" w:cs="Arial" w:eastAsia="Arial" w:hAnsi="Arial"/>
          <w:sz w:val="16"/>
          <w:szCs w:val="16"/>
          <w:color w:val="auto"/>
        </w:rPr>
        <w:t>This pellet line, which has been idled since 1980, could be restarted and updated as part of a $300 million investment, bringing about 3.6 million tons of additional pellet making capability to northeastern Minnesota. The Final Environmental Impact Statement has been judged to be adequate by the Minnesota Department of Natural Resources. Approval by the US Army Corps of Engineers is expected in the first quarter of 2011. Production could begin in 2014.</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City of Nashwauk. </w:t>
      </w:r>
      <w:r>
        <w:rPr>
          <w:rFonts w:ascii="Arial" w:cs="Arial" w:eastAsia="Arial" w:hAnsi="Arial"/>
          <w:sz w:val="17"/>
          <w:szCs w:val="17"/>
          <w:color w:val="auto"/>
        </w:rPr>
        <w:t>On February 7, 2011, Minnesota Power signed a 10-year electric service agreement with the City of Nashwauk (the City). Pending FERC approval,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is effective upon expiration of the current electric service agreement in place with the City in 2012. Under the new agreement, Minnesota Power will provide all of the City’s electric service requirements, including any development within the municipality. This could include service beginning in 2012, for Essar’s proposed taconite facility of approximately 100 MW which is currently under construction, as well as Essar’s proposed approximate 300 MW expansion to include a direct reduced iron and steelmaking facility being consi dered for 2015.</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Renewable Energy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February 2007, Minnesota enacted a law requiring 25 percent of Minnesota Power’s total retail energy sales in Minnesota to come from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filed October 5, 2009, with the MPUC.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meet the 12 percent renewable energy sales milestone by 2012.</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renewable energy strategy is currently being executed through two long-term power purchase agreements with NextEra Energy for wind energy in North Dakota (Oliver Wind I and II), Taconite Ridge Wind I, our wind facility located in northeastern Minnesota, our Bison 1 and Bison 2 wind development projects and our Hibbard biomass upgrade project.</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North Dakota Wind Development. </w:t>
      </w:r>
      <w:r>
        <w:rPr>
          <w:rFonts w:ascii="Arial" w:cs="Arial" w:eastAsia="Arial" w:hAnsi="Arial"/>
          <w:sz w:val="15"/>
          <w:szCs w:val="15"/>
          <w:color w:val="auto"/>
        </w:rPr>
        <w:t>On December 31, 2009, we purchased an existing 250 kV DC transmission line from Square Butte for $69.7 million. The 465-mile</w:t>
      </w:r>
      <w:r>
        <w:rPr>
          <w:rFonts w:ascii="Arial" w:cs="Arial" w:eastAsia="Arial" w:hAnsi="Arial"/>
          <w:sz w:val="15"/>
          <w:szCs w:val="15"/>
          <w:i w:val="1"/>
          <w:iCs w:val="1"/>
          <w:color w:val="auto"/>
        </w:rPr>
        <w:t xml:space="preserve"> </w:t>
      </w:r>
      <w:r>
        <w:rPr>
          <w:rFonts w:ascii="Arial" w:cs="Arial" w:eastAsia="Arial" w:hAnsi="Arial"/>
          <w:sz w:val="15"/>
          <w:szCs w:val="15"/>
          <w:color w:val="auto"/>
        </w:rPr>
        <w:t>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Renewable Energy (Continued)</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Bison 1 is a two phase, 82 MW wind project in North Dakota. All permitting has been received and the first phase was completed in 2010. Phase one included construction of a 22-mile, 230 kV transmission line and the installation of 16 2.3 MW wind turbines, all of which were in-service at the end of 2010. Phase two is expected to be completed late in 2011 and consists of the installation of 15 3.0 MW wind turbines. Bison 1 is expected to have a total capital cost of approximately $177 million, of which $121 million was spent through December 31, 2010. In 2009, the MPUC approved Minnesota Power’s petition seeking current cost recovery eligibility for investments and expenditures related to Bison 1, and in July 2010, the MPUC approved our petition establishing rates effective August 1, 2010.</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Bison 2 is a 105 MW wind project in North Dakota which, if approved by the MPUC, is expected to be completed by the end of 2012. Total project cost is estimated to be approximately $160 million, and construction would begin upon the receipt of all regulatory and permitting approvals. We will seek both MPUC approval for the project and NDPSC site permit approval in the first quarter of 2011. We will file for current cost recovery eligibility for Bison 2 from the MPUC once the project and related permitting have been approved.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power purchase agreement with Manitoba Hydro expiring in 2015. (See Item 1. Business – Power Supply.)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on April 30, 2010, Minnesota Power signed a definitive agreement with Manitoba Hydro, subject to MPUC approval,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September 1, 2010, we filed a petition with the MPUC to approve our PPA with Manitoba Hydro. On October 28, 2010, the OES filed comments recommending approval.</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Hibbard Biomass Upgrade Project. </w:t>
      </w:r>
      <w:r>
        <w:rPr>
          <w:rFonts w:ascii="Arial" w:cs="Arial" w:eastAsia="Arial" w:hAnsi="Arial"/>
          <w:sz w:val="17"/>
          <w:szCs w:val="17"/>
          <w:color w:val="auto"/>
        </w:rPr>
        <w:t>Hibbard is a 50 MW biomass/coal/natural gas facility located in Duluth, Minnesota. The upgrade project, which was approved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MPUC in September 2009, is designed to leverage existing assets to increase biomass renewable energy production at an expected total cost of approximately $22 million. Upon receipt of any necessary permitting approvals, construction would begin in 2011, and could be completed by the end of 2012. We also plan to seek current cost recovery authorization for the project from the MPUC in 2011.</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Integrated Resource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5, 2009, Minnesota Power filed with the MPUC its 2010 Integrated Resource Plan, a comprehensive estimate of future capacity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202" w:lineRule="exact"/>
        <w:rPr>
          <w:sz w:val="20"/>
          <w:szCs w:val="20"/>
          <w:color w:val="auto"/>
        </w:rPr>
      </w:pPr>
    </w:p>
    <w:p>
      <w:pPr>
        <w:ind w:left="600" w:hanging="1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system flexibility to adapt to volatile business cycles and varied future industrial load scenarios;</w:t>
      </w:r>
    </w:p>
    <w:p>
      <w:pPr>
        <w:spacing w:after="0" w:line="17" w:lineRule="exact"/>
        <w:rPr>
          <w:rFonts w:ascii="Arial" w:cs="Arial" w:eastAsia="Arial" w:hAnsi="Arial"/>
          <w:sz w:val="17"/>
          <w:szCs w:val="17"/>
          <w:color w:val="auto"/>
        </w:rPr>
      </w:pPr>
    </w:p>
    <w:p>
      <w:pPr>
        <w:ind w:left="600" w:hanging="122"/>
        <w:spacing w:after="0" w:line="195"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Reductions in the emission of GHGs (primarily CO</w:t>
      </w:r>
      <w:r>
        <w:rPr>
          <w:rFonts w:ascii="Arial" w:cs="Arial" w:eastAsia="Arial" w:hAnsi="Arial"/>
          <w:sz w:val="23"/>
          <w:szCs w:val="23"/>
          <w:color w:val="auto"/>
          <w:vertAlign w:val="subscript"/>
        </w:rPr>
        <w:t>2</w:t>
      </w:r>
      <w:r>
        <w:rPr>
          <w:rFonts w:ascii="Arial" w:cs="Arial" w:eastAsia="Arial" w:hAnsi="Arial"/>
          <w:sz w:val="17"/>
          <w:szCs w:val="17"/>
          <w:color w:val="auto"/>
        </w:rPr>
        <w:t>); and</w:t>
      </w:r>
    </w:p>
    <w:p>
      <w:pPr>
        <w:ind w:left="600" w:hanging="1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mandated renewable energy standards.</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To achieve these objectives over the coming years, we plan to reshape our generation portfolio by adding 300 to 500 MW of renewable energy to our generation mix, and we are exploring options to incorporate peaking or intermediate resources. The first phase of the Bison 1 wind project in North Dakota was put into service in 2010 and the second phase is expected to be in service in late 2011, increasing our renewable generation by 82 MW. The Bison 2 105 MW wind project, if approved by the MPUC, along with the Hibbard Biomass Upgrade Project, will continue our expansion into renewable energy to meet our Integrated Resource Plan goals.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We expect MPUC action on our Integrated Resource Plan filing in 2011.</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Transmission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plan to make investments in upper Midwest transmission opportunities that strengthen or enhance the regional transmission grid. These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the CapX2020 initiative, investments in our transmission assets, and our investment in ATC.</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CapX2020</w:t>
      </w:r>
      <w:r>
        <w:rPr>
          <w:rFonts w:ascii="Arial" w:cs="Arial" w:eastAsia="Arial" w:hAnsi="Arial"/>
          <w:sz w:val="16"/>
          <w:szCs w:val="16"/>
          <w:color w:val="auto"/>
        </w:rPr>
        <w:t>. Minnesota Power is a participant in the CapX2020 initiative which represents an effort to ensure electric transmission and distribution reliability in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 As future CapX2020 projects are identified, Minnesota Power ma y elect to participate on a project–by-project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Transmission (Continued)</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$11.3 million was spent through December 31, 2010.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July 2010, the MPUC granted a route permit for the 28-mile 345 kV transmission line between Monticello and St. Cloud. Construction of the project is expected to be complete in late 2011. The 210-mile 345 kV transmission line from St. Cloud to Fargo is expected to be complete by 2015. Construction for the Bemidji to Grand Rapids 230 kV line project commenced in January 2011.</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an approved cost recovery rider in place for certain transmission expenditures, and our current billing factor was approved by the MPUC in June 2009. The billing factor allows us to charge our retail customers on a current basis for the costs of constructing certain transmission facilities plus a return on the capital invested. In our 2010 rate case we moved completed transmission projects from the current cost recovery rider to base rates. In July 2010, we filed for an updated billing factor that includes additional transmission projects and expenses, including CapX2020 projects, which we expect to be approved in early 2011.</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Investment in ATC. </w:t>
      </w:r>
      <w:r>
        <w:rPr>
          <w:rFonts w:ascii="Arial" w:cs="Arial" w:eastAsia="Arial" w:hAnsi="Arial"/>
          <w:sz w:val="15"/>
          <w:szCs w:val="15"/>
          <w:color w:val="auto"/>
        </w:rPr>
        <w:t>At December 31, 2010, our equity investment was $93.3 million, representing an approximate 8 percent ownership interest. ATC rates are based on a</w:t>
      </w:r>
      <w:r>
        <w:rPr>
          <w:rFonts w:ascii="Arial" w:cs="Arial" w:eastAsia="Arial" w:hAnsi="Arial"/>
          <w:sz w:val="15"/>
          <w:szCs w:val="15"/>
          <w:i w:val="1"/>
          <w:iCs w:val="1"/>
          <w:color w:val="auto"/>
        </w:rPr>
        <w:t xml:space="preserve"> </w:t>
      </w:r>
      <w:r>
        <w:rPr>
          <w:rFonts w:ascii="Arial" w:cs="Arial" w:eastAsia="Arial" w:hAnsi="Arial"/>
          <w:sz w:val="15"/>
          <w:szCs w:val="15"/>
          <w:color w:val="auto"/>
        </w:rPr>
        <w:t>FERC approved 12.2 percent return on common equity dedicated to utility plant. ATC has identified $3.4 billion in future projects needed over the next 10 years to improve the adequacy and reliability of the electric transmission system as well as to meet regional needs based on economic benefits and public policy initiatives for renewable energy. This investment is expected to be funded through a combination of internally generated cash, debt, and investor contributions. As additional opportunities arise, we plan to make additional investments in ATC through general capital calls based upon our pro-rata ownership inte rest in ATC. On January 31, 2011, we invested an additional $0.8 million in ATC. In total, we expect to invest approximately $2 million throughout 2011. (See Note 6. Investment in ATC.)</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BNI Coal. </w:t>
      </w:r>
      <w:r>
        <w:rPr>
          <w:rFonts w:ascii="Arial" w:cs="Arial" w:eastAsia="Arial" w:hAnsi="Arial"/>
          <w:sz w:val="17"/>
          <w:szCs w:val="17"/>
          <w:color w:val="auto"/>
        </w:rPr>
        <w:t>In 2010, BNI Coal sold approximately 3.8 million tons of coal (4.2 million tons in 2009) and anticipates 2011 sales to be similar to 2009.</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is our Florida real estate investment. Our current strategy for the assets is to complete and maintain key entitlements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improvements without requiring significant additional investment, and sell the portfolio over time or in bulk transactions. ALLETE intends to sell its Florida land assets at reasonable prices when opportunities arise, and reinvest the proceeds in ALLETE’s growth initiatives. ALLETE does not intend to acquire additional Florida real estate.</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two major development projects are Town Center and Palm Coast Park. Ormond Crossings is a third major project that is currently in the planning stage. On February 16, 2010, the City of Ormond Beach, Florida, approved a new Development Agreement for Ormond Crossings. The agreement will facilitate development of the project as currently planned. Separately, Lake Swamp wetland mitigation bank was permitted on land that was previously part of Ormond Crossings.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of Development Projects</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Total</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99"/>
              </w:rPr>
              <w:t>Residential</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Non-residential</w:t>
            </w:r>
          </w:p>
        </w:tc>
      </w:tr>
      <w:tr>
        <w:trPr>
          <w:trHeight w:val="206"/>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Land Available-for-Sale</w:t>
            </w:r>
          </w:p>
        </w:tc>
        <w:tc>
          <w:tcPr>
            <w:tcW w:w="2860" w:type="dxa"/>
            <w:vAlign w:val="bottom"/>
            <w:tcBorders>
              <w:bottom w:val="single" w:sz="8" w:color="auto"/>
            </w:tcBorders>
          </w:tcPr>
          <w:p>
            <w:pPr>
              <w:ind w:left="1760"/>
              <w:spacing w:after="0"/>
              <w:rPr>
                <w:sz w:val="20"/>
                <w:szCs w:val="20"/>
                <w:color w:val="auto"/>
              </w:rPr>
            </w:pPr>
            <w:r>
              <w:rPr>
                <w:rFonts w:ascii="Arial" w:cs="Arial" w:eastAsia="Arial" w:hAnsi="Arial"/>
                <w:sz w:val="17"/>
                <w:szCs w:val="17"/>
                <w:b w:val="1"/>
                <w:bCs w:val="1"/>
                <w:color w:val="auto"/>
              </w:rPr>
              <w:t>Ownership</w:t>
            </w: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 xml:space="preserve">Acres </w:t>
            </w:r>
            <w:r>
              <w:rPr>
                <w:rFonts w:ascii="Arial" w:cs="Arial" w:eastAsia="Arial" w:hAnsi="Arial"/>
                <w:sz w:val="17"/>
                <w:szCs w:val="17"/>
                <w:b w:val="1"/>
                <w:bCs w:val="1"/>
                <w:i w:val="1"/>
                <w:iCs w:val="1"/>
                <w:color w:val="auto"/>
              </w:rPr>
              <w:t>(a)</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 xml:space="preserve">Units </w:t>
            </w:r>
            <w:r>
              <w:rPr>
                <w:rFonts w:ascii="Arial" w:cs="Arial" w:eastAsia="Arial" w:hAnsi="Arial"/>
                <w:sz w:val="17"/>
                <w:szCs w:val="17"/>
                <w:b w:val="1"/>
                <w:bCs w:val="1"/>
                <w:i w:val="1"/>
                <w:iCs w:val="1"/>
                <w:color w:val="auto"/>
              </w:rPr>
              <w:t>(b)</w:t>
            </w: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xml:space="preserve">Sq. Ft. </w:t>
            </w:r>
            <w:r>
              <w:rPr>
                <w:rFonts w:ascii="Arial" w:cs="Arial" w:eastAsia="Arial" w:hAnsi="Arial"/>
                <w:sz w:val="17"/>
                <w:szCs w:val="17"/>
                <w:b w:val="1"/>
                <w:bCs w:val="1"/>
                <w:i w:val="1"/>
                <w:iCs w:val="1"/>
                <w:color w:val="auto"/>
              </w:rPr>
              <w:t>(b, c)</w:t>
            </w:r>
          </w:p>
        </w:tc>
      </w:t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Current Development Projects</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4820" w:type="dxa"/>
            <w:vAlign w:val="bottom"/>
          </w:tcPr>
          <w:p>
            <w:pPr>
              <w:ind w:left="300"/>
              <w:spacing w:after="0"/>
              <w:rPr>
                <w:sz w:val="20"/>
                <w:szCs w:val="20"/>
                <w:color w:val="auto"/>
              </w:rPr>
            </w:pPr>
            <w:r>
              <w:rPr>
                <w:rFonts w:ascii="Arial" w:cs="Arial" w:eastAsia="Arial" w:hAnsi="Arial"/>
                <w:sz w:val="17"/>
                <w:szCs w:val="17"/>
                <w:color w:val="auto"/>
              </w:rPr>
              <w:t>Town Center</w:t>
            </w:r>
          </w:p>
        </w:tc>
        <w:tc>
          <w:tcPr>
            <w:tcW w:w="2860" w:type="dxa"/>
            <w:vAlign w:val="bottom"/>
          </w:tcPr>
          <w:p>
            <w:pPr>
              <w:jc w:val="center"/>
              <w:ind w:left="1376"/>
              <w:spacing w:after="0"/>
              <w:rPr>
                <w:sz w:val="20"/>
                <w:szCs w:val="20"/>
                <w:color w:val="auto"/>
              </w:rPr>
            </w:pPr>
            <w:r>
              <w:rPr>
                <w:rFonts w:ascii="Arial" w:cs="Arial" w:eastAsia="Arial" w:hAnsi="Arial"/>
                <w:sz w:val="17"/>
                <w:szCs w:val="17"/>
                <w:color w:val="auto"/>
                <w:w w:val="93"/>
              </w:rPr>
              <w:t>80%</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862</w:t>
            </w:r>
          </w:p>
        </w:tc>
        <w:tc>
          <w:tcPr>
            <w:tcW w:w="1180" w:type="dxa"/>
            <w:vAlign w:val="bottom"/>
          </w:tcPr>
          <w:p>
            <w:pPr>
              <w:jc w:val="right"/>
              <w:spacing w:after="0"/>
              <w:rPr>
                <w:sz w:val="20"/>
                <w:szCs w:val="20"/>
                <w:color w:val="auto"/>
              </w:rPr>
            </w:pPr>
            <w:r>
              <w:rPr>
                <w:rFonts w:ascii="Arial" w:cs="Arial" w:eastAsia="Arial" w:hAnsi="Arial"/>
                <w:sz w:val="17"/>
                <w:szCs w:val="17"/>
                <w:color w:val="auto"/>
              </w:rPr>
              <w:t>2,177</w:t>
            </w:r>
          </w:p>
        </w:tc>
        <w:tc>
          <w:tcPr>
            <w:tcW w:w="1200" w:type="dxa"/>
            <w:vAlign w:val="bottom"/>
          </w:tcPr>
          <w:p>
            <w:pPr>
              <w:jc w:val="right"/>
              <w:spacing w:after="0"/>
              <w:rPr>
                <w:sz w:val="20"/>
                <w:szCs w:val="20"/>
                <w:color w:val="auto"/>
              </w:rPr>
            </w:pPr>
            <w:r>
              <w:rPr>
                <w:rFonts w:ascii="Arial" w:cs="Arial" w:eastAsia="Arial" w:hAnsi="Arial"/>
                <w:sz w:val="17"/>
                <w:szCs w:val="17"/>
                <w:color w:val="auto"/>
              </w:rPr>
              <w:t>2,225,200</w:t>
            </w:r>
          </w:p>
        </w:tc>
      </w:tr>
      <w:tr>
        <w:trPr>
          <w:trHeight w:val="206"/>
        </w:trPr>
        <w:tc>
          <w:tcPr>
            <w:tcW w:w="4820" w:type="dxa"/>
            <w:vAlign w:val="bottom"/>
            <w:tcBorders>
              <w:bottom w:val="single" w:sz="8" w:color="auto"/>
            </w:tcBorders>
            <w:shd w:val="clear" w:color="auto" w:fill="CCEEFF"/>
          </w:tcPr>
          <w:p>
            <w:pPr>
              <w:jc w:val="right"/>
              <w:ind w:right="3276"/>
              <w:spacing w:after="0"/>
              <w:rPr>
                <w:sz w:val="20"/>
                <w:szCs w:val="20"/>
                <w:color w:val="auto"/>
              </w:rPr>
            </w:pPr>
            <w:r>
              <w:rPr>
                <w:rFonts w:ascii="Arial" w:cs="Arial" w:eastAsia="Arial" w:hAnsi="Arial"/>
                <w:sz w:val="17"/>
                <w:szCs w:val="17"/>
                <w:color w:val="auto"/>
              </w:rPr>
              <w:t>Palm Coast Park</w:t>
            </w:r>
          </w:p>
        </w:tc>
        <w:tc>
          <w:tcPr>
            <w:tcW w:w="2860" w:type="dxa"/>
            <w:vAlign w:val="bottom"/>
            <w:tcBorders>
              <w:bottom w:val="single" w:sz="8" w:color="auto"/>
            </w:tcBorders>
            <w:shd w:val="clear" w:color="auto" w:fill="CCEEFF"/>
          </w:tcPr>
          <w:p>
            <w:pPr>
              <w:jc w:val="center"/>
              <w:ind w:left="1376"/>
              <w:spacing w:after="0"/>
              <w:rPr>
                <w:sz w:val="20"/>
                <w:szCs w:val="20"/>
                <w:color w:val="auto"/>
              </w:rPr>
            </w:pPr>
            <w:r>
              <w:rPr>
                <w:rFonts w:ascii="Arial" w:cs="Arial" w:eastAsia="Arial" w:hAnsi="Arial"/>
                <w:sz w:val="17"/>
                <w:szCs w:val="17"/>
                <w:color w:val="auto"/>
                <w:w w:val="91"/>
              </w:rPr>
              <w:t>100%</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3,842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3,056,800</w:t>
            </w:r>
          </w:p>
        </w:tc>
      </w:tr>
      <w:tr>
        <w:trPr>
          <w:trHeight w:val="201"/>
        </w:trPr>
        <w:tc>
          <w:tcPr>
            <w:tcW w:w="4820" w:type="dxa"/>
            <w:vAlign w:val="bottom"/>
          </w:tcPr>
          <w:p>
            <w:pPr>
              <w:spacing w:after="0"/>
              <w:rPr>
                <w:sz w:val="20"/>
                <w:szCs w:val="20"/>
                <w:color w:val="auto"/>
              </w:rPr>
            </w:pPr>
            <w:r>
              <w:rPr>
                <w:rFonts w:ascii="Arial" w:cs="Arial" w:eastAsia="Arial" w:hAnsi="Arial"/>
                <w:sz w:val="17"/>
                <w:szCs w:val="17"/>
                <w:color w:val="auto"/>
              </w:rPr>
              <w:t>Total Current Development Projects</w:t>
            </w:r>
          </w:p>
        </w:tc>
        <w:tc>
          <w:tcPr>
            <w:tcW w:w="2860" w:type="dxa"/>
            <w:vAlign w:val="bottom"/>
          </w:tcPr>
          <w:p>
            <w:pPr>
              <w:spacing w:after="0"/>
              <w:rPr>
                <w:sz w:val="17"/>
                <w:szCs w:val="17"/>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4,704</w:t>
            </w:r>
          </w:p>
        </w:tc>
        <w:tc>
          <w:tcPr>
            <w:tcW w:w="1180" w:type="dxa"/>
            <w:vAlign w:val="bottom"/>
          </w:tcPr>
          <w:p>
            <w:pPr>
              <w:jc w:val="right"/>
              <w:spacing w:after="0"/>
              <w:rPr>
                <w:sz w:val="20"/>
                <w:szCs w:val="20"/>
                <w:color w:val="auto"/>
              </w:rPr>
            </w:pPr>
            <w:r>
              <w:rPr>
                <w:rFonts w:ascii="Arial" w:cs="Arial" w:eastAsia="Arial" w:hAnsi="Arial"/>
                <w:sz w:val="17"/>
                <w:szCs w:val="17"/>
                <w:color w:val="auto"/>
              </w:rPr>
              <w:t>5,741</w:t>
            </w:r>
          </w:p>
        </w:tc>
        <w:tc>
          <w:tcPr>
            <w:tcW w:w="1200" w:type="dxa"/>
            <w:vAlign w:val="bottom"/>
          </w:tcPr>
          <w:p>
            <w:pPr>
              <w:jc w:val="right"/>
              <w:spacing w:after="0"/>
              <w:rPr>
                <w:sz w:val="20"/>
                <w:szCs w:val="20"/>
                <w:color w:val="auto"/>
              </w:rPr>
            </w:pPr>
            <w:r>
              <w:rPr>
                <w:rFonts w:ascii="Arial" w:cs="Arial" w:eastAsia="Arial" w:hAnsi="Arial"/>
                <w:sz w:val="17"/>
                <w:szCs w:val="17"/>
                <w:color w:val="auto"/>
              </w:rPr>
              <w:t>5,282,000</w:t>
            </w:r>
          </w:p>
        </w:tc>
      </w:t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Proposed Development Project</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4820" w:type="dxa"/>
            <w:vAlign w:val="bottom"/>
          </w:tcPr>
          <w:p>
            <w:pPr>
              <w:jc w:val="right"/>
              <w:ind w:right="3276"/>
              <w:spacing w:after="0"/>
              <w:rPr>
                <w:sz w:val="20"/>
                <w:szCs w:val="20"/>
                <w:color w:val="auto"/>
              </w:rPr>
            </w:pPr>
            <w:r>
              <w:rPr>
                <w:rFonts w:ascii="Arial" w:cs="Arial" w:eastAsia="Arial" w:hAnsi="Arial"/>
                <w:sz w:val="17"/>
                <w:szCs w:val="17"/>
                <w:color w:val="auto"/>
              </w:rPr>
              <w:t>Ormond Crossings</w:t>
            </w:r>
          </w:p>
        </w:tc>
        <w:tc>
          <w:tcPr>
            <w:tcW w:w="2860" w:type="dxa"/>
            <w:vAlign w:val="bottom"/>
          </w:tcPr>
          <w:p>
            <w:pPr>
              <w:jc w:val="center"/>
              <w:ind w:left="1376"/>
              <w:spacing w:after="0"/>
              <w:rPr>
                <w:sz w:val="20"/>
                <w:szCs w:val="20"/>
                <w:color w:val="auto"/>
              </w:rPr>
            </w:pPr>
            <w:r>
              <w:rPr>
                <w:rFonts w:ascii="Arial" w:cs="Arial" w:eastAsia="Arial" w:hAnsi="Arial"/>
                <w:sz w:val="17"/>
                <w:szCs w:val="17"/>
                <w:color w:val="auto"/>
                <w:w w:val="91"/>
              </w:rPr>
              <w:t>100%</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2,924</w:t>
            </w:r>
          </w:p>
        </w:tc>
        <w:tc>
          <w:tcPr>
            <w:tcW w:w="1180" w:type="dxa"/>
            <w:vAlign w:val="bottom"/>
          </w:tcPr>
          <w:p>
            <w:pPr>
              <w:jc w:val="right"/>
              <w:spacing w:after="0"/>
              <w:rPr>
                <w:sz w:val="20"/>
                <w:szCs w:val="20"/>
                <w:color w:val="auto"/>
              </w:rPr>
            </w:pPr>
            <w:r>
              <w:rPr>
                <w:rFonts w:ascii="Arial" w:cs="Arial" w:eastAsia="Arial" w:hAnsi="Arial"/>
                <w:sz w:val="17"/>
                <w:szCs w:val="17"/>
                <w:color w:val="auto"/>
              </w:rPr>
              <w:t>2,950</w:t>
            </w:r>
          </w:p>
        </w:tc>
        <w:tc>
          <w:tcPr>
            <w:tcW w:w="1200" w:type="dxa"/>
            <w:vAlign w:val="bottom"/>
          </w:tcPr>
          <w:p>
            <w:pPr>
              <w:jc w:val="right"/>
              <w:spacing w:after="0"/>
              <w:rPr>
                <w:sz w:val="20"/>
                <w:szCs w:val="20"/>
                <w:color w:val="auto"/>
              </w:rPr>
            </w:pPr>
            <w:r>
              <w:rPr>
                <w:rFonts w:ascii="Arial" w:cs="Arial" w:eastAsia="Arial" w:hAnsi="Arial"/>
                <w:sz w:val="17"/>
                <w:szCs w:val="17"/>
                <w:color w:val="auto"/>
              </w:rPr>
              <w:t>3,215,000</w:t>
            </w:r>
          </w:p>
        </w:tc>
      </w:tr>
      <w:tr>
        <w:trPr>
          <w:trHeight w:val="201"/>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48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Lake Swamp Wetland Mitigation Project</w:t>
            </w:r>
          </w:p>
        </w:tc>
        <w:tc>
          <w:tcPr>
            <w:tcW w:w="2860" w:type="dxa"/>
            <w:vAlign w:val="bottom"/>
            <w:tcBorders>
              <w:bottom w:val="single" w:sz="8" w:color="auto"/>
            </w:tcBorders>
          </w:tcPr>
          <w:p>
            <w:pPr>
              <w:jc w:val="center"/>
              <w:ind w:left="1376"/>
              <w:spacing w:after="0"/>
              <w:rPr>
                <w:sz w:val="20"/>
                <w:szCs w:val="20"/>
                <w:color w:val="auto"/>
              </w:rPr>
            </w:pPr>
            <w:r>
              <w:rPr>
                <w:rFonts w:ascii="Arial" w:cs="Arial" w:eastAsia="Arial" w:hAnsi="Arial"/>
                <w:sz w:val="17"/>
                <w:szCs w:val="17"/>
                <w:color w:val="auto"/>
                <w:w w:val="91"/>
              </w:rPr>
              <w:t>100%</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3,049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(d)</w:t>
            </w:r>
          </w:p>
        </w:tc>
      </w:tr>
      <w:tr>
        <w:trPr>
          <w:trHeight w:val="20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of Development Projects</w:t>
            </w:r>
          </w:p>
        </w:tc>
        <w:tc>
          <w:tcPr>
            <w:tcW w:w="2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10,677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8,497,000</w:t>
            </w:r>
          </w:p>
        </w:tc>
      </w:tr>
    </w:tbl>
    <w:p>
      <w:pPr>
        <w:spacing w:after="0" w:line="214" w:lineRule="exact"/>
        <w:rPr>
          <w:sz w:val="20"/>
          <w:szCs w:val="20"/>
          <w:color w:val="auto"/>
        </w:rPr>
      </w:pPr>
    </w:p>
    <w:p>
      <w:pPr>
        <w:ind w:left="300" w:hanging="299"/>
        <w:spacing w:after="0"/>
        <w:tabs>
          <w:tab w:leader="none" w:pos="30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17" w:lineRule="exact"/>
        <w:rPr>
          <w:rFonts w:ascii="Arial" w:cs="Arial" w:eastAsia="Arial" w:hAnsi="Arial"/>
          <w:sz w:val="17"/>
          <w:szCs w:val="17"/>
          <w:i w:val="1"/>
          <w:iCs w:val="1"/>
          <w:color w:val="auto"/>
        </w:rPr>
      </w:pPr>
    </w:p>
    <w:p>
      <w:pPr>
        <w:ind w:left="300" w:hanging="299"/>
        <w:spacing w:after="0"/>
        <w:tabs>
          <w:tab w:leader="none" w:pos="30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Estimated and includes non-controlling interest. Density at build out may differ from these estimates.</w:t>
      </w:r>
    </w:p>
    <w:p>
      <w:pPr>
        <w:spacing w:after="0" w:line="5" w:lineRule="exact"/>
        <w:rPr>
          <w:rFonts w:ascii="Arial" w:cs="Arial" w:eastAsia="Arial" w:hAnsi="Arial"/>
          <w:sz w:val="17"/>
          <w:szCs w:val="17"/>
          <w:i w:val="1"/>
          <w:iCs w:val="1"/>
          <w:color w:val="auto"/>
        </w:rPr>
      </w:pPr>
    </w:p>
    <w:p>
      <w:pPr>
        <w:ind w:left="300" w:hanging="299"/>
        <w:spacing w:after="0"/>
        <w:tabs>
          <w:tab w:leader="none" w:pos="30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7"/>
          <w:szCs w:val="17"/>
          <w:i w:val="1"/>
          <w:iCs w:val="1"/>
          <w:color w:val="auto"/>
        </w:rPr>
      </w:pPr>
    </w:p>
    <w:p>
      <w:pPr>
        <w:jc w:val="both"/>
        <w:ind w:left="300" w:hanging="299"/>
        <w:spacing w:after="0" w:line="250" w:lineRule="auto"/>
        <w:tabs>
          <w:tab w:leader="none" w:pos="30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 for sale to developers of other projects that are located in the bank’s service area.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ALLETE Properties also has 1,979 acres of other land available-for-sale outside of the three development projects.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 intends to sell its Florida land assets at reasonable prices when opportunities arise. However, if weak market conditions continue for an extended period of time, the impact on our future operations would be the continuation of little to no sales while still incurring operating expenses such as community development district assessments and property taxes.</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ALLETE’s aggregate federal and multi-state statutory tax rate is approximately 41 percent for 2011. On an ongoing basis, ALLETE has certain tax credits</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tax adjustments that reduce the statutory rate to the effective tax rate. These tax credits and adjustments historically have included items such as investment tax credits, wind production tax credits, AFUDC-Equity, domestic manufacturer’s deduction, depletion, as well as other items. The annual effective rate can also be impacted by such items as changes in income from operations before non-controlling interest and income taxes, state and federal tax law changes that become effec tive during the year, business combinations and configuration changes, tax planning initiatives and resolution of prior years’ tax matters. Due primarily to increased production tax credits as a result of additional wind generation, we expect our effective tax rate to be approximately 30 percent for 2011.</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ALLETE is well-positioned to meet the Company’s immediate cash flow needs. At December 31, 2010, we had a cash and cash equivalents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of approximately $45 million, $153 million in available consolidated lines of credit which included a committed, syndicated, unsecured revolving line of credit of $150 million, and a debt-to-capital ratio of 44 percent. As of December 31, 2010, we project sufficient capital availability.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20"/>
                <w:szCs w:val="20"/>
                <w:color w:val="auto"/>
              </w:rPr>
            </w:pPr>
            <w:r>
              <w:rPr>
                <w:rFonts w:ascii="Arial" w:cs="Arial" w:eastAsia="Arial" w:hAnsi="Arial"/>
                <w:sz w:val="17"/>
                <w:szCs w:val="17"/>
                <w:b w:val="1"/>
                <w:bCs w:val="1"/>
                <w:color w:val="auto"/>
                <w:w w:val="92"/>
              </w:rPr>
              <w:t xml:space="preserve">Capital Structure. </w:t>
            </w:r>
            <w:r>
              <w:rPr>
                <w:rFonts w:ascii="Arial" w:cs="Arial" w:eastAsia="Arial" w:hAnsi="Arial"/>
                <w:sz w:val="17"/>
                <w:szCs w:val="17"/>
                <w:color w:val="auto"/>
                <w:w w:val="92"/>
              </w:rPr>
              <w:t>ALLETE’s capital structure for each of the last three years is as follows:</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7"/>
        </w:trPr>
        <w:tc>
          <w:tcPr>
            <w:tcW w:w="6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6"/>
        </w:trPr>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2010</w:t>
            </w:r>
          </w:p>
        </w:tc>
        <w:tc>
          <w:tcPr>
            <w:tcW w:w="9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2009</w:t>
            </w:r>
          </w:p>
        </w:tc>
        <w:tc>
          <w:tcPr>
            <w:tcW w:w="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2008</w:t>
            </w:r>
          </w:p>
        </w:tc>
        <w:tc>
          <w:tcPr>
            <w:tcW w:w="4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r>
      <w:tr>
        <w:trPr>
          <w:trHeight w:val="201"/>
        </w:trPr>
        <w:tc>
          <w:tcPr>
            <w:tcW w:w="63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Common Equity</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$976.0</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55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$929.5</w:t>
            </w: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57</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$827.1</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57</w:t>
            </w: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9.0</w:t>
            </w:r>
          </w:p>
        </w:tc>
        <w:tc>
          <w:tcPr>
            <w:tcW w:w="920" w:type="dxa"/>
            <w:vAlign w:val="bottom"/>
          </w:tcPr>
          <w:p>
            <w:pPr>
              <w:jc w:val="right"/>
              <w:ind w:right="316"/>
              <w:spacing w:after="0"/>
              <w:rPr>
                <w:sz w:val="20"/>
                <w:szCs w:val="20"/>
                <w:color w:val="auto"/>
              </w:rPr>
            </w:pPr>
            <w:r>
              <w:rPr>
                <w:rFonts w:ascii="Arial" w:cs="Arial" w:eastAsia="Arial" w:hAnsi="Arial"/>
                <w:sz w:val="17"/>
                <w:szCs w:val="17"/>
                <w:color w:val="auto"/>
              </w:rPr>
              <w:t>1</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9.8</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1</w:t>
            </w: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(Including Current Maturities)</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785.0</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44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701.0</w:t>
            </w: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43</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598.7</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r>
      <w:tr>
        <w:trPr>
          <w:trHeight w:val="206"/>
        </w:trPr>
        <w:tc>
          <w:tcPr>
            <w:tcW w:w="6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Short-Term Debt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1.0</w:t>
            </w: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6.0</w:t>
            </w: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6"/>
        </w:trPr>
        <w:tc>
          <w:tcPr>
            <w:tcW w:w="6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$1,771.0</w:t>
            </w:r>
          </w:p>
        </w:tc>
        <w:tc>
          <w:tcPr>
            <w:tcW w:w="9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$1,641.9</w:t>
            </w:r>
          </w:p>
        </w:tc>
        <w:tc>
          <w:tcPr>
            <w:tcW w:w="9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100</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$1,441.6</w:t>
            </w: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r>
      <w:tr>
        <w:trPr>
          <w:trHeight w:val="653"/>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w w:val="93"/>
              </w:rPr>
              <w:t xml:space="preserve">Cash Flows. </w:t>
            </w:r>
            <w:r>
              <w:rPr>
                <w:rFonts w:ascii="Arial" w:cs="Arial" w:eastAsia="Arial" w:hAnsi="Arial"/>
                <w:sz w:val="17"/>
                <w:szCs w:val="17"/>
                <w:color w:val="auto"/>
                <w:w w:val="93"/>
              </w:rPr>
              <w:t>Selected information from ALLETE’s Consolidated Statement of Cash Flows is as follows: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7"/>
        </w:trPr>
        <w:tc>
          <w:tcPr>
            <w:tcW w:w="6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6"/>
        </w:trPr>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2010</w:t>
            </w:r>
          </w:p>
        </w:tc>
        <w:tc>
          <w:tcPr>
            <w:tcW w:w="7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2008</w:t>
            </w:r>
          </w:p>
        </w:tc>
        <w:tc>
          <w:tcPr>
            <w:tcW w:w="460" w:type="dxa"/>
            <w:vAlign w:val="bottom"/>
            <w:tcBorders>
              <w:bottom w:val="single" w:sz="8" w:color="auto"/>
            </w:tcBorders>
            <w:shd w:val="clear" w:color="auto" w:fill="CCEEFF"/>
          </w:tcPr>
          <w:p>
            <w:pPr>
              <w:spacing w:after="0"/>
              <w:rPr>
                <w:sz w:val="17"/>
                <w:szCs w:val="17"/>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$25.7</w:t>
            </w: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$102.0</w:t>
            </w:r>
          </w:p>
        </w:tc>
        <w:tc>
          <w:tcPr>
            <w:tcW w:w="1540" w:type="dxa"/>
            <w:vAlign w:val="bottom"/>
            <w:gridSpan w:val="2"/>
            <w:shd w:val="clear" w:color="auto" w:fill="CCEEFF"/>
          </w:tcPr>
          <w:p>
            <w:pPr>
              <w:jc w:val="right"/>
              <w:ind w:right="276"/>
              <w:spacing w:after="0"/>
              <w:rPr>
                <w:sz w:val="20"/>
                <w:szCs w:val="20"/>
                <w:color w:val="auto"/>
              </w:rPr>
            </w:pPr>
            <w:r>
              <w:rPr>
                <w:rFonts w:ascii="Arial" w:cs="Arial" w:eastAsia="Arial" w:hAnsi="Arial"/>
                <w:sz w:val="17"/>
                <w:szCs w:val="17"/>
                <w:color w:val="auto"/>
              </w:rPr>
              <w:t>$23.3</w:t>
            </w: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Cash Flows from (used for)</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Activities</w:t>
            </w: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228.7</w:t>
            </w: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137.4</w:t>
            </w:r>
          </w:p>
        </w:tc>
        <w:tc>
          <w:tcPr>
            <w:tcW w:w="1540" w:type="dxa"/>
            <w:vAlign w:val="bottom"/>
            <w:gridSpan w:val="2"/>
            <w:shd w:val="clear" w:color="auto" w:fill="CCEEFF"/>
          </w:tcPr>
          <w:p>
            <w:pPr>
              <w:jc w:val="right"/>
              <w:ind w:right="276"/>
              <w:spacing w:after="0"/>
              <w:rPr>
                <w:sz w:val="20"/>
                <w:szCs w:val="20"/>
                <w:color w:val="auto"/>
              </w:rPr>
            </w:pPr>
            <w:r>
              <w:rPr>
                <w:rFonts w:ascii="Arial" w:cs="Arial" w:eastAsia="Arial" w:hAnsi="Arial"/>
                <w:sz w:val="17"/>
                <w:szCs w:val="17"/>
                <w:color w:val="auto"/>
              </w:rPr>
              <w:t>153.6</w:t>
            </w:r>
          </w:p>
        </w:tc>
      </w:tr>
      <w:tr>
        <w:trPr>
          <w:trHeight w:val="201"/>
        </w:trPr>
        <w:tc>
          <w:tcPr>
            <w:tcW w:w="6320" w:type="dxa"/>
            <w:vAlign w:val="bottom"/>
          </w:tcPr>
          <w:p>
            <w:pPr>
              <w:ind w:left="300"/>
              <w:spacing w:after="0"/>
              <w:rPr>
                <w:sz w:val="20"/>
                <w:szCs w:val="20"/>
                <w:color w:val="auto"/>
              </w:rPr>
            </w:pPr>
            <w:r>
              <w:rPr>
                <w:rFonts w:ascii="Arial" w:cs="Arial" w:eastAsia="Arial" w:hAnsi="Arial"/>
                <w:sz w:val="17"/>
                <w:szCs w:val="17"/>
                <w:color w:val="auto"/>
              </w:rPr>
              <w:t>Investing Activities</w:t>
            </w:r>
          </w:p>
        </w:tc>
        <w:tc>
          <w:tcPr>
            <w:tcW w:w="96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(250.9)</w:t>
            </w:r>
          </w:p>
        </w:tc>
        <w:tc>
          <w:tcPr>
            <w:tcW w:w="780" w:type="dxa"/>
            <w:vAlign w:val="bottom"/>
          </w:tcPr>
          <w:p>
            <w:pPr>
              <w:spacing w:after="0"/>
              <w:rPr>
                <w:sz w:val="17"/>
                <w:szCs w:val="17"/>
                <w:color w:val="auto"/>
              </w:rPr>
            </w:pPr>
          </w:p>
        </w:tc>
        <w:tc>
          <w:tcPr>
            <w:tcW w:w="900" w:type="dxa"/>
            <w:vAlign w:val="bottom"/>
          </w:tcPr>
          <w:p>
            <w:pPr>
              <w:jc w:val="right"/>
              <w:ind w:right="216"/>
              <w:spacing w:after="0"/>
              <w:rPr>
                <w:sz w:val="20"/>
                <w:szCs w:val="20"/>
                <w:color w:val="auto"/>
              </w:rPr>
            </w:pPr>
            <w:r>
              <w:rPr>
                <w:rFonts w:ascii="Arial" w:cs="Arial" w:eastAsia="Arial" w:hAnsi="Arial"/>
                <w:sz w:val="17"/>
                <w:szCs w:val="17"/>
                <w:color w:val="auto"/>
              </w:rPr>
              <w:t>(320.0)</w:t>
            </w:r>
          </w:p>
        </w:tc>
        <w:tc>
          <w:tcPr>
            <w:tcW w:w="1540" w:type="dxa"/>
            <w:vAlign w:val="bottom"/>
            <w:gridSpan w:val="2"/>
          </w:tcPr>
          <w:p>
            <w:pPr>
              <w:jc w:val="right"/>
              <w:ind w:right="276"/>
              <w:spacing w:after="0"/>
              <w:rPr>
                <w:sz w:val="20"/>
                <w:szCs w:val="20"/>
                <w:color w:val="auto"/>
              </w:rPr>
            </w:pPr>
            <w:r>
              <w:rPr>
                <w:rFonts w:ascii="Arial" w:cs="Arial" w:eastAsia="Arial" w:hAnsi="Arial"/>
                <w:sz w:val="17"/>
                <w:szCs w:val="17"/>
                <w:color w:val="auto"/>
              </w:rPr>
              <w:t>(276.1)</w:t>
            </w:r>
          </w:p>
        </w:tc>
      </w:tr>
      <w:tr>
        <w:trPr>
          <w:trHeight w:val="206"/>
        </w:trPr>
        <w:tc>
          <w:tcPr>
            <w:tcW w:w="63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41.4</w:t>
            </w:r>
          </w:p>
        </w:tc>
        <w:tc>
          <w:tcPr>
            <w:tcW w:w="7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106.3</w:t>
            </w:r>
          </w:p>
        </w:tc>
        <w:tc>
          <w:tcPr>
            <w:tcW w:w="154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7"/>
                <w:szCs w:val="17"/>
                <w:color w:val="auto"/>
              </w:rPr>
              <w:t>201.2</w:t>
            </w:r>
          </w:p>
        </w:tc>
      </w:tr>
      <w:tr>
        <w:trPr>
          <w:trHeight w:val="206"/>
        </w:trPr>
        <w:tc>
          <w:tcPr>
            <w:tcW w:w="63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Change in Cash and Cash Equivalents</w:t>
            </w:r>
          </w:p>
        </w:tc>
        <w:tc>
          <w:tcPr>
            <w:tcW w:w="9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19.2</w:t>
            </w:r>
          </w:p>
        </w:tc>
        <w:tc>
          <w:tcPr>
            <w:tcW w:w="7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(76.3)</w:t>
            </w:r>
          </w:p>
        </w:tc>
        <w:tc>
          <w:tcPr>
            <w:tcW w:w="154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7"/>
                <w:szCs w:val="17"/>
                <w:color w:val="auto"/>
              </w:rPr>
              <w:t>78.7</w:t>
            </w:r>
          </w:p>
        </w:tc>
      </w:tr>
      <w:tr>
        <w:trPr>
          <w:trHeight w:val="206"/>
        </w:trPr>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9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$44.9</w:t>
            </w:r>
          </w:p>
        </w:tc>
        <w:tc>
          <w:tcPr>
            <w:tcW w:w="7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$25.7</w:t>
            </w:r>
          </w:p>
        </w:tc>
        <w:tc>
          <w:tcPr>
            <w:tcW w:w="154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7"/>
                <w:szCs w:val="17"/>
                <w:color w:val="auto"/>
              </w:rPr>
              <w:t>$102.0</w:t>
            </w:r>
          </w:p>
        </w:tc>
      </w:tr>
    </w:tbl>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from operating activities was $228.7 million for 2010 ($137.4 million for 2009; $153.6 million for 2008). Cash from operating activities was</w:t>
      </w:r>
      <w:r>
        <w:rPr>
          <w:rFonts w:ascii="Arial" w:cs="Arial" w:eastAsia="Arial" w:hAnsi="Arial"/>
          <w:sz w:val="17"/>
          <w:szCs w:val="17"/>
          <w:b w:val="1"/>
          <w:bCs w:val="1"/>
          <w:color w:val="auto"/>
        </w:rPr>
        <w:t xml:space="preserve"> </w:t>
      </w:r>
      <w:r>
        <w:rPr>
          <w:rFonts w:ascii="Arial" w:cs="Arial" w:eastAsia="Arial" w:hAnsi="Arial"/>
          <w:sz w:val="17"/>
          <w:szCs w:val="17"/>
          <w:color w:val="auto"/>
        </w:rPr>
        <w:t>higher in 2010 primarily due to higher net income, higher depreciation expense related to increased plant in service in 2010, and collections of income tax receivables due to bonus depreciation as a result of the American Recovery and Reinvestment Act of 2009 (the Act) and tax planning initiatives. This increase was partially offset by higher cash contributions to the defined benefit pension and other postretirement benefit plans in 2010 of $26.5 million and $12.8 million respectively ($20.9 million and $9.3 million in 2009).</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Cash from operating activities was lower in 2009 than 2008 primarily due to lower net income, an increase in accounts receivable, and higher deferred regulatory assets, partially offset by higher deferred tax and depreciation expense. Accounts receivable increased due to a receivable for 2009 income tax refunds primarily resulting from substantial income tax deductions under bonus depreciation. Deferred regulatory assets increased due to the collection of certain current cost recovery rider revenue attributable to 2009 being deferred into a later year. Deferred tax expense increased also due to the bonus depreciation provisions of the Act, and depreciation expense increased in conjunction with the increase in property, plant and equipment.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for investing activities was $250.9 million for 2010 ($320.0 million for 2009; $276.1 million for 2008). Cash used for investing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was lower than 2009 reflecting decreased capital additions to property, plant and equipment, and lower investments in ATC.</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used for investing activities was higher in 2009 than 2008 reflecting increased capital additions to property, plant, and equipment. Capital additions to property, plant, and equipment increased due to the purchase of an existing 250 kV DC transmission line for $69.7 million offset by a decrease in other capital additions because of the completion of some major capital projects in 2008 and 2009. In addition, 2008 included higher net sales of short-term investments and proceeds from the sale of assets (retail shopping center) in Winter Haven, Florida.</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from financing activities was $41.4 million for 2010 ($106.3 million for 2009; $201.2 million for 2008). Cash from financing activities was</w:t>
      </w:r>
      <w:r>
        <w:rPr>
          <w:rFonts w:ascii="Arial" w:cs="Arial" w:eastAsia="Arial" w:hAnsi="Arial"/>
          <w:sz w:val="17"/>
          <w:szCs w:val="17"/>
          <w:b w:val="1"/>
          <w:bCs w:val="1"/>
          <w:color w:val="auto"/>
        </w:rPr>
        <w:t xml:space="preserve"> </w:t>
      </w:r>
      <w:r>
        <w:rPr>
          <w:rFonts w:ascii="Arial" w:cs="Arial" w:eastAsia="Arial" w:hAnsi="Arial"/>
          <w:sz w:val="17"/>
          <w:szCs w:val="17"/>
          <w:color w:val="auto"/>
        </w:rPr>
        <w:t>lower in 2010 due to higher internally generated cash and lower capital expenditures which resulted in lower common stock issuances and less incremental external financing required. Cash from financing activities in 2010 included new debt issuances of $155 million compared to $111.4 million in 2009, of which $65 million of the proceeds were used to pay off the syndicated revolving credit facility that was drawn in late 2009.</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Cash from financing activities was lower in 2009 than 2008 due to less debt and common stock issuance. During 2009, $111.4 million of debt was issued, while in 2008 $198.7 million of debt was issued. During 2009, proceeds from common stock issuances totaled $65.2 million, while in 2008, proceeds from common stock issuances totaled $71.1 million. Lower debt and common stock issuance in 2009 was a result of issuing capital in 2008 ahead of the need for this capital.</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color w:val="auto"/>
        </w:rPr>
        <w:t>Working Capital</w:t>
      </w:r>
      <w:r>
        <w:rPr>
          <w:rFonts w:ascii="Arial" w:cs="Arial" w:eastAsia="Arial" w:hAnsi="Arial"/>
          <w:sz w:val="15"/>
          <w:szCs w:val="15"/>
          <w:color w:val="auto"/>
        </w:rPr>
        <w:t>. Additional working capital, if and when needed, generally is provided by consolidated bank lines of credit or the sale of securities or commercial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paper. As of December 31, 2010, we had available consolidated bank lines of credit aggregating $153.0 million, the majority of which expire in January 2012. We expect to enter into new bank lines of credit during 2011 to replace the expiring facility. In addition, we had 1.9 million original issue shares of our common stock available for issuance through </w:t>
      </w:r>
      <w:r>
        <w:rPr>
          <w:rFonts w:ascii="Arial" w:cs="Arial" w:eastAsia="Arial" w:hAnsi="Arial"/>
          <w:sz w:val="15"/>
          <w:szCs w:val="15"/>
          <w:i w:val="1"/>
          <w:iCs w:val="1"/>
          <w:color w:val="auto"/>
        </w:rPr>
        <w:t>Invest Direct</w:t>
      </w:r>
      <w:r>
        <w:rPr>
          <w:rFonts w:ascii="Arial" w:cs="Arial" w:eastAsia="Arial" w:hAnsi="Arial"/>
          <w:sz w:val="15"/>
          <w:szCs w:val="15"/>
          <w:color w:val="auto"/>
        </w:rPr>
        <w:t>, our direct stock purchase and dividend reinvestment plan, and 3.1 million original issue shares of common stock available for issuance through a distribution agreement with KCCI, Inc. The amount and timing of future sales of our securities will depend upon market conditions and our specific needs.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 In February 2010, we issued $80.0 million in principal amount of unregistered First Mortgage Bonds (Bonds) in the private placement market in three series.</w:t>
      </w:r>
      <w:r>
        <w:rPr>
          <w:rFonts w:ascii="Arial" w:cs="Arial" w:eastAsia="Arial" w:hAnsi="Arial"/>
          <w:sz w:val="17"/>
          <w:szCs w:val="17"/>
          <w:b w:val="1"/>
          <w:bCs w:val="1"/>
          <w:color w:val="auto"/>
        </w:rPr>
        <w:t xml:space="preserve"> </w:t>
      </w:r>
      <w:r>
        <w:rPr>
          <w:rFonts w:ascii="Arial" w:cs="Arial" w:eastAsia="Arial" w:hAnsi="Arial"/>
          <w:sz w:val="17"/>
          <w:szCs w:val="17"/>
          <w:color w:val="auto"/>
        </w:rPr>
        <w:t>We used the proceeds from the sale of Bonds to pay down $65 million on our syndicated revolving credit facility, to fund utility capital investments and for general corporate purposes.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2010, we issued $75.0 million in principal amount of unregistered First Mortgage Bonds in the private placement market in two series. We used the proceeds to fund utility capital expenditures and for general corporate purposes.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February and August 2010 bond issuances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 (See Note 9. Short-Term and Long-Term Debt.)</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entered into a distribution agreement with KCCI, Inc., in February 2008, as amended, with respect to the issuance and sale of up to an aggregate of 6.6 million shares of our common stock, without par value. For the year ended December 31, 2010, 0.2 million shares of common stock were issued under this agreement resulting in net proceeds of $6.0 million. During 2009, 1.7 million shares of common stock were issued for net proceeds of $51.9 million. As of December 31, 2010, approximately 3.1 million shares of common stock remain available for issuance pursuant to the amended distribution agreement. The shares issued in 2010 and 2009 were offered for sale, from time to time, in accordance with the terms of the amended distribution agreement pursuant to Registration Statement No. 333-147965. The remaining shares may b e offered for sale, from time to time, in accordance with the terms of the amended distribution agreement pursuant to Registration Statement No. 333-170289.</w:t>
      </w:r>
    </w:p>
    <w:p>
      <w:pPr>
        <w:spacing w:after="0" w:line="17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2010, we issued 0.5 million shares of common stock through Invest Direct, the Employee Stock Purchase Plan and the RSOP, resulting in net proceeds of $14.5 million. These shares of common stock were registered under Registration Statement Nos. 333-150681, 333-105225, and 333-124455,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Covenants</w:t>
      </w:r>
      <w:r>
        <w:rPr>
          <w:rFonts w:ascii="Arial" w:cs="Arial" w:eastAsia="Arial" w:hAnsi="Arial"/>
          <w:sz w:val="17"/>
          <w:szCs w:val="17"/>
          <w:color w:val="auto"/>
        </w:rPr>
        <w:t>. See Note 9. Short-Term and Long-Term Debt for information regarding our financial covenants.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r>
        <w:rPr>
          <w:rFonts w:ascii="Arial" w:cs="Arial" w:eastAsia="Arial" w:hAnsi="Arial"/>
          <w:sz w:val="17"/>
          <w:szCs w:val="17"/>
          <w:color w:val="auto"/>
        </w:rPr>
        <w:t>. Off-balance sheet arrangements are discussed in Note 10. Commitments, Guarantees and Contingencies.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Contractual Obligations and Commercial Commitments</w:t>
      </w:r>
      <w:r>
        <w:rPr>
          <w:rFonts w:ascii="Arial" w:cs="Arial" w:eastAsia="Arial" w:hAnsi="Arial"/>
          <w:sz w:val="17"/>
          <w:szCs w:val="17"/>
          <w:color w:val="auto"/>
        </w:rPr>
        <w:t>. Minnesota Power has contractual obligations and other commitments that will need to be funded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in addition to its capital expenditure programs. Following is a summarized table of contractual obligations and other commercial commitments at December 31, 2010.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Commercial Commitments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Payments Due by Period</w:t>
            </w:r>
          </w:p>
        </w:tc>
        <w:tc>
          <w:tcPr>
            <w:tcW w:w="8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b w:val="1"/>
                <w:bCs w:val="1"/>
                <w:color w:val="auto"/>
              </w:rPr>
              <w:t>Contractual Obligations</w:t>
            </w:r>
          </w:p>
        </w:tc>
        <w:tc>
          <w:tcPr>
            <w:tcW w:w="1160" w:type="dxa"/>
            <w:vAlign w:val="bottom"/>
          </w:tcPr>
          <w:p>
            <w:pPr>
              <w:spacing w:after="0"/>
              <w:rPr>
                <w:sz w:val="17"/>
                <w:szCs w:val="17"/>
                <w:color w:val="auto"/>
              </w:rPr>
            </w:pPr>
          </w:p>
        </w:tc>
        <w:tc>
          <w:tcPr>
            <w:tcW w:w="1220" w:type="dxa"/>
            <w:vAlign w:val="bottom"/>
          </w:tcPr>
          <w:p>
            <w:pPr>
              <w:jc w:val="right"/>
              <w:ind w:right="236"/>
              <w:spacing w:after="0"/>
              <w:rPr>
                <w:sz w:val="20"/>
                <w:szCs w:val="20"/>
                <w:color w:val="auto"/>
              </w:rPr>
            </w:pPr>
            <w:r>
              <w:rPr>
                <w:rFonts w:ascii="Arial" w:cs="Arial" w:eastAsia="Arial" w:hAnsi="Arial"/>
                <w:sz w:val="17"/>
                <w:szCs w:val="17"/>
                <w:b w:val="1"/>
                <w:bCs w:val="1"/>
                <w:color w:val="auto"/>
              </w:rPr>
              <w:t>Less than</w:t>
            </w:r>
          </w:p>
        </w:tc>
        <w:tc>
          <w:tcPr>
            <w:tcW w:w="1280" w:type="dxa"/>
            <w:vAlign w:val="bottom"/>
          </w:tcPr>
          <w:p>
            <w:pPr>
              <w:jc w:val="right"/>
              <w:ind w:right="516"/>
              <w:spacing w:after="0"/>
              <w:rPr>
                <w:sz w:val="20"/>
                <w:szCs w:val="20"/>
                <w:color w:val="auto"/>
              </w:rPr>
            </w:pPr>
            <w:r>
              <w:rPr>
                <w:rFonts w:ascii="Arial" w:cs="Arial" w:eastAsia="Arial" w:hAnsi="Arial"/>
                <w:sz w:val="17"/>
                <w:szCs w:val="17"/>
                <w:b w:val="1"/>
                <w:bCs w:val="1"/>
                <w:color w:val="auto"/>
              </w:rPr>
              <w:t>1 to 3</w:t>
            </w:r>
          </w:p>
        </w:tc>
        <w:tc>
          <w:tcPr>
            <w:tcW w:w="800" w:type="dxa"/>
            <w:vAlign w:val="bottom"/>
          </w:tcPr>
          <w:p>
            <w:pPr>
              <w:jc w:val="right"/>
              <w:ind w:right="236"/>
              <w:spacing w:after="0"/>
              <w:rPr>
                <w:sz w:val="20"/>
                <w:szCs w:val="20"/>
                <w:color w:val="auto"/>
              </w:rPr>
            </w:pPr>
            <w:r>
              <w:rPr>
                <w:rFonts w:ascii="Arial" w:cs="Arial" w:eastAsia="Arial" w:hAnsi="Arial"/>
                <w:sz w:val="17"/>
                <w:szCs w:val="17"/>
                <w:b w:val="1"/>
                <w:bCs w:val="1"/>
                <w:color w:val="auto"/>
              </w:rPr>
              <w:t>4 to 5</w:t>
            </w:r>
          </w:p>
        </w:tc>
        <w:tc>
          <w:tcPr>
            <w:tcW w:w="900" w:type="dxa"/>
            <w:vAlign w:val="bottom"/>
          </w:tcPr>
          <w:p>
            <w:pPr>
              <w:jc w:val="right"/>
              <w:ind w:right="176"/>
              <w:spacing w:after="0"/>
              <w:rPr>
                <w:sz w:val="20"/>
                <w:szCs w:val="20"/>
                <w:color w:val="auto"/>
              </w:rPr>
            </w:pPr>
            <w:r>
              <w:rPr>
                <w:rFonts w:ascii="Arial" w:cs="Arial" w:eastAsia="Arial" w:hAnsi="Arial"/>
                <w:sz w:val="17"/>
                <w:szCs w:val="17"/>
                <w:b w:val="1"/>
                <w:bCs w:val="1"/>
                <w:color w:val="auto"/>
              </w:rPr>
              <w:t>After</w:t>
            </w:r>
          </w:p>
        </w:tc>
      </w:tr>
      <w:tr>
        <w:trPr>
          <w:trHeight w:val="206"/>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As of December 31, 2010</w:t>
            </w:r>
          </w:p>
        </w:tc>
        <w:tc>
          <w:tcPr>
            <w:tcW w:w="11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1 Year</w:t>
            </w:r>
          </w:p>
        </w:tc>
        <w:tc>
          <w:tcPr>
            <w:tcW w:w="12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Years</w:t>
            </w:r>
          </w:p>
        </w:tc>
        <w:tc>
          <w:tcPr>
            <w:tcW w:w="8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w w:val="99"/>
              </w:rPr>
              <w:t>Years</w:t>
            </w:r>
          </w:p>
        </w:tc>
        <w:tc>
          <w:tcPr>
            <w:tcW w:w="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5 Years</w:t>
            </w:r>
          </w:p>
        </w:tc>
      </w:tr>
      <w:tr>
        <w:trPr>
          <w:trHeight w:val="201"/>
        </w:trPr>
        <w:tc>
          <w:tcPr>
            <w:tcW w:w="60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$1,322.5</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$54.3</w:t>
            </w: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$210.3</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$105.8</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$952.1</w:t>
            </w: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Pension</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102.0</w:t>
            </w:r>
          </w:p>
        </w:tc>
        <w:tc>
          <w:tcPr>
            <w:tcW w:w="1220" w:type="dxa"/>
            <w:vAlign w:val="bottom"/>
          </w:tcPr>
          <w:p>
            <w:pPr>
              <w:jc w:val="right"/>
              <w:ind w:right="196"/>
              <w:spacing w:after="0"/>
              <w:rPr>
                <w:sz w:val="20"/>
                <w:szCs w:val="20"/>
                <w:color w:val="auto"/>
              </w:rPr>
            </w:pPr>
            <w:r>
              <w:rPr>
                <w:rFonts w:ascii="Arial" w:cs="Arial" w:eastAsia="Arial" w:hAnsi="Arial"/>
                <w:sz w:val="17"/>
                <w:szCs w:val="17"/>
                <w:color w:val="auto"/>
              </w:rPr>
              <w:t>7.8</w:t>
            </w:r>
          </w:p>
        </w:tc>
        <w:tc>
          <w:tcPr>
            <w:tcW w:w="1280" w:type="dxa"/>
            <w:vAlign w:val="bottom"/>
          </w:tcPr>
          <w:p>
            <w:pPr>
              <w:jc w:val="right"/>
              <w:ind w:right="336"/>
              <w:spacing w:after="0"/>
              <w:rPr>
                <w:sz w:val="20"/>
                <w:szCs w:val="20"/>
                <w:color w:val="auto"/>
              </w:rPr>
            </w:pPr>
            <w:r>
              <w:rPr>
                <w:rFonts w:ascii="Arial" w:cs="Arial" w:eastAsia="Arial" w:hAnsi="Arial"/>
                <w:sz w:val="17"/>
                <w:szCs w:val="17"/>
                <w:color w:val="auto"/>
              </w:rPr>
              <w:t>74.2</w:t>
            </w:r>
          </w:p>
        </w:tc>
        <w:tc>
          <w:tcPr>
            <w:tcW w:w="800" w:type="dxa"/>
            <w:vAlign w:val="bottom"/>
          </w:tcPr>
          <w:p>
            <w:pPr>
              <w:jc w:val="right"/>
              <w:ind w:right="96"/>
              <w:spacing w:after="0"/>
              <w:rPr>
                <w:sz w:val="20"/>
                <w:szCs w:val="20"/>
                <w:color w:val="auto"/>
              </w:rPr>
            </w:pPr>
            <w:r>
              <w:rPr>
                <w:rFonts w:ascii="Arial" w:cs="Arial" w:eastAsia="Arial" w:hAnsi="Arial"/>
                <w:sz w:val="17"/>
                <w:szCs w:val="17"/>
                <w:color w:val="auto"/>
              </w:rPr>
              <w:t>20.0</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Postretirement Benefit Plans</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68.5</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12.9</w:t>
            </w: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35.9</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19.7</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86.8</w:t>
            </w:r>
          </w:p>
        </w:tc>
        <w:tc>
          <w:tcPr>
            <w:tcW w:w="1220" w:type="dxa"/>
            <w:vAlign w:val="bottom"/>
          </w:tcPr>
          <w:p>
            <w:pPr>
              <w:jc w:val="right"/>
              <w:ind w:right="196"/>
              <w:spacing w:after="0"/>
              <w:rPr>
                <w:sz w:val="20"/>
                <w:szCs w:val="20"/>
                <w:color w:val="auto"/>
              </w:rPr>
            </w:pPr>
            <w:r>
              <w:rPr>
                <w:rFonts w:ascii="Arial" w:cs="Arial" w:eastAsia="Arial" w:hAnsi="Arial"/>
                <w:sz w:val="17"/>
                <w:szCs w:val="17"/>
                <w:color w:val="auto"/>
              </w:rPr>
              <w:t>8.1</w:t>
            </w:r>
          </w:p>
        </w:tc>
        <w:tc>
          <w:tcPr>
            <w:tcW w:w="1280" w:type="dxa"/>
            <w:vAlign w:val="bottom"/>
          </w:tcPr>
          <w:p>
            <w:pPr>
              <w:jc w:val="right"/>
              <w:ind w:right="336"/>
              <w:spacing w:after="0"/>
              <w:rPr>
                <w:sz w:val="20"/>
                <w:szCs w:val="20"/>
                <w:color w:val="auto"/>
              </w:rPr>
            </w:pPr>
            <w:r>
              <w:rPr>
                <w:rFonts w:ascii="Arial" w:cs="Arial" w:eastAsia="Arial" w:hAnsi="Arial"/>
                <w:sz w:val="17"/>
                <w:szCs w:val="17"/>
                <w:color w:val="auto"/>
              </w:rPr>
              <w:t>25.6</w:t>
            </w:r>
          </w:p>
        </w:tc>
        <w:tc>
          <w:tcPr>
            <w:tcW w:w="800" w:type="dxa"/>
            <w:vAlign w:val="bottom"/>
          </w:tcPr>
          <w:p>
            <w:pPr>
              <w:jc w:val="right"/>
              <w:ind w:right="96"/>
              <w:spacing w:after="0"/>
              <w:rPr>
                <w:sz w:val="20"/>
                <w:szCs w:val="20"/>
                <w:color w:val="auto"/>
              </w:rPr>
            </w:pPr>
            <w:r>
              <w:rPr>
                <w:rFonts w:ascii="Arial" w:cs="Arial" w:eastAsia="Arial" w:hAnsi="Arial"/>
                <w:sz w:val="17"/>
                <w:szCs w:val="17"/>
                <w:color w:val="auto"/>
              </w:rPr>
              <w:t>15.0</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38.1</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Uncertain Tax Positions </w:t>
            </w:r>
            <w:r>
              <w:rPr>
                <w:rFonts w:ascii="Arial" w:cs="Arial" w:eastAsia="Arial" w:hAnsi="Arial"/>
                <w:sz w:val="17"/>
                <w:szCs w:val="17"/>
                <w:i w:val="1"/>
                <w:iCs w:val="1"/>
                <w:color w:val="auto"/>
              </w:rPr>
              <w:t>(a)</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Unconditional Purchase Obligations</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444.6</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124.4</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106.0</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43.4</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170.8</w:t>
            </w:r>
          </w:p>
        </w:tc>
      </w:tr>
      <w:tr>
        <w:trPr>
          <w:trHeight w:val="206"/>
        </w:trPr>
        <w:tc>
          <w:tcPr>
            <w:tcW w:w="60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$2,024.4</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$207.5</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$452.0</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$203.9</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$1,161.0</w:t>
            </w: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(a) Excludes $12.3 million of non-current unrecognized tax benefits due to uncertainty regarding the timing of future cash payments related to uncertain tax positions.</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Our long-term debt obligations, including long-term debt due within one year, represent the principal amount of bonds, notes and loans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our consolidated balance sheet, plus interest. The table above assumes that the interest rate in effect at December 31, 2010, remains constant through the remaining term. (See Note 9. Short-Term and Long-Term Debt.)</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Pension and Other Postretirement Benefit Plans. </w:t>
      </w:r>
      <w:r>
        <w:rPr>
          <w:rFonts w:ascii="Arial" w:cs="Arial" w:eastAsia="Arial" w:hAnsi="Arial"/>
          <w:sz w:val="15"/>
          <w:szCs w:val="15"/>
          <w:color w:val="auto"/>
        </w:rPr>
        <w:t>Our pension and other postretirement benefit plan obligations represent our current estimate of employer</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The Pension Protection Act changed the minimum funding requirements for defined benefit pension plans beginning in 2008. Pension contributions will be dependent on several factors including realized asset performance, future discount rate and other actuarial assumptions, IRS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 ge based on actual market performance, changes in interest rates and any changes in governmental regulations. (See Note 15. Pension and Other Postretirement Benefit Plans.)</w:t>
      </w:r>
    </w:p>
    <w:p>
      <w:pPr>
        <w:spacing w:after="0" w:line="178" w:lineRule="exact"/>
        <w:rPr>
          <w:sz w:val="20"/>
          <w:szCs w:val="20"/>
          <w:color w:val="auto"/>
        </w:rPr>
      </w:pPr>
    </w:p>
    <w:p>
      <w:pPr>
        <w:jc w:val="both"/>
        <w:spacing w:after="0" w:line="336" w:lineRule="auto"/>
        <w:rPr>
          <w:sz w:val="20"/>
          <w:szCs w:val="20"/>
          <w:color w:val="auto"/>
        </w:rPr>
      </w:pPr>
      <w:r>
        <w:rPr>
          <w:rFonts w:ascii="Arial" w:cs="Arial" w:eastAsia="Arial" w:hAnsi="Arial"/>
          <w:sz w:val="15"/>
          <w:szCs w:val="15"/>
          <w:i w:val="1"/>
          <w:iCs w:val="1"/>
          <w:color w:val="auto"/>
        </w:rPr>
        <w:t xml:space="preserve">Unconditional Purchase Obligations. </w:t>
      </w:r>
      <w:r>
        <w:rPr>
          <w:rFonts w:ascii="Arial" w:cs="Arial" w:eastAsia="Arial" w:hAnsi="Arial"/>
          <w:sz w:val="15"/>
          <w:szCs w:val="15"/>
          <w:color w:val="auto"/>
        </w:rPr>
        <w:t>Unconditional purchase obligations represent our Square Butte power purchase agreements, minimum purchase commitments under</w:t>
      </w:r>
      <w:r>
        <w:rPr>
          <w:rFonts w:ascii="Arial" w:cs="Arial" w:eastAsia="Arial" w:hAnsi="Arial"/>
          <w:sz w:val="15"/>
          <w:szCs w:val="15"/>
          <w:i w:val="1"/>
          <w:iCs w:val="1"/>
          <w:color w:val="auto"/>
        </w:rPr>
        <w:t xml:space="preserve"> </w:t>
      </w:r>
      <w:r>
        <w:rPr>
          <w:rFonts w:ascii="Arial" w:cs="Arial" w:eastAsia="Arial" w:hAnsi="Arial"/>
          <w:sz w:val="15"/>
          <w:szCs w:val="15"/>
          <w:color w:val="auto"/>
        </w:rPr>
        <w:t>coal and rail contracts, and purchase obligations for certain capital expenditure projects. (See Note 10. Commitments, Guarantees and Contingencies.)</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Under our power purchase agreement with Square Butte that extends through 2026, we are obligated to pay our pro rata share of Square Butte’s costs based on our entitlement to the output of Square Butte’s 455-MW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 This debt service may be reduced if the contingent power sales agreement with Minnkota Power goes into effect in 2013. For further information on Square Butte see Note 10. Commitments, Guarantees and Contingencies.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two wind power purchase agreements with an affiliate of NextEra Energy to purchase the output from two wind facilities, Oliver Wind I and Oliver Wind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at fixed prices. There are no fixed capacity charges, and we only pay for energy as it is delivered to us.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 and by</w:t>
      </w:r>
      <w:r>
        <w:rPr>
          <w:rFonts w:ascii="Arial" w:cs="Arial" w:eastAsia="Arial" w:hAnsi="Arial"/>
          <w:sz w:val="17"/>
          <w:szCs w:val="17"/>
          <w:b w:val="1"/>
          <w:bCs w:val="1"/>
          <w:color w:val="auto"/>
        </w:rPr>
        <w:t xml:space="preserve"> </w:t>
      </w:r>
      <w:r>
        <w:rPr>
          <w:rFonts w:ascii="Arial" w:cs="Arial" w:eastAsia="Arial" w:hAnsi="Arial"/>
          <w:sz w:val="17"/>
          <w:szCs w:val="17"/>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 ating organization. Each rating should be evaluated independently of any other rating.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Credit Ratings</w:t>
            </w:r>
          </w:p>
        </w:tc>
        <w:tc>
          <w:tcPr>
            <w:tcW w:w="3440" w:type="dxa"/>
            <w:vAlign w:val="bottom"/>
            <w:tcBorders>
              <w:bottom w:val="single" w:sz="8" w:color="auto"/>
            </w:tcBorders>
            <w:shd w:val="clear" w:color="auto" w:fill="CCEEFF"/>
          </w:tcPr>
          <w:p>
            <w:pPr>
              <w:jc w:val="center"/>
              <w:ind w:left="1356"/>
              <w:spacing w:after="0"/>
              <w:rPr>
                <w:sz w:val="20"/>
                <w:szCs w:val="20"/>
                <w:color w:val="auto"/>
              </w:rPr>
            </w:pPr>
            <w:r>
              <w:rPr>
                <w:rFonts w:ascii="Arial" w:cs="Arial" w:eastAsia="Arial" w:hAnsi="Arial"/>
                <w:sz w:val="17"/>
                <w:szCs w:val="17"/>
                <w:b w:val="1"/>
                <w:bCs w:val="1"/>
                <w:color w:val="auto"/>
                <w:w w:val="91"/>
              </w:rPr>
              <w:t>Standard &amp; Poor’s</w:t>
            </w:r>
          </w:p>
        </w:tc>
        <w:tc>
          <w:tcPr>
            <w:tcW w:w="14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7"/>
                <w:szCs w:val="17"/>
                <w:b w:val="1"/>
                <w:bCs w:val="1"/>
                <w:color w:val="auto"/>
                <w:w w:val="89"/>
              </w:rPr>
              <w:t>Moody’s</w:t>
            </w:r>
          </w:p>
        </w:tc>
      </w:tr>
      <w:tr>
        <w:trPr>
          <w:trHeight w:val="201"/>
        </w:trPr>
        <w:tc>
          <w:tcPr>
            <w:tcW w:w="6540" w:type="dxa"/>
            <w:vAlign w:val="bottom"/>
          </w:tcPr>
          <w:p>
            <w:pPr>
              <w:spacing w:after="0"/>
              <w:rPr>
                <w:sz w:val="20"/>
                <w:szCs w:val="20"/>
                <w:color w:val="auto"/>
              </w:rPr>
            </w:pPr>
            <w:r>
              <w:rPr>
                <w:rFonts w:ascii="Arial" w:cs="Arial" w:eastAsia="Arial" w:hAnsi="Arial"/>
                <w:sz w:val="17"/>
                <w:szCs w:val="17"/>
                <w:color w:val="auto"/>
              </w:rPr>
              <w:t>Issuer Credit Rating</w:t>
            </w:r>
          </w:p>
        </w:tc>
        <w:tc>
          <w:tcPr>
            <w:tcW w:w="3440" w:type="dxa"/>
            <w:vAlign w:val="bottom"/>
          </w:tcPr>
          <w:p>
            <w:pPr>
              <w:jc w:val="center"/>
              <w:ind w:left="1356"/>
              <w:spacing w:after="0"/>
              <w:rPr>
                <w:sz w:val="20"/>
                <w:szCs w:val="20"/>
                <w:color w:val="auto"/>
              </w:rPr>
            </w:pPr>
            <w:r>
              <w:rPr>
                <w:rFonts w:ascii="Arial" w:cs="Arial" w:eastAsia="Arial" w:hAnsi="Arial"/>
                <w:sz w:val="17"/>
                <w:szCs w:val="17"/>
                <w:color w:val="auto"/>
              </w:rPr>
              <w:t>BBB+</w:t>
            </w:r>
          </w:p>
        </w:tc>
        <w:tc>
          <w:tcPr>
            <w:tcW w:w="1440" w:type="dxa"/>
            <w:vAlign w:val="bottom"/>
          </w:tcPr>
          <w:p>
            <w:pPr>
              <w:jc w:val="center"/>
              <w:ind w:right="56"/>
              <w:spacing w:after="0"/>
              <w:rPr>
                <w:sz w:val="20"/>
                <w:szCs w:val="20"/>
                <w:color w:val="auto"/>
              </w:rPr>
            </w:pPr>
            <w:r>
              <w:rPr>
                <w:rFonts w:ascii="Arial" w:cs="Arial" w:eastAsia="Arial" w:hAnsi="Arial"/>
                <w:sz w:val="17"/>
                <w:szCs w:val="17"/>
                <w:color w:val="auto"/>
                <w:w w:val="85"/>
              </w:rPr>
              <w:t>Baa1</w:t>
            </w:r>
          </w:p>
        </w:tc>
      </w:tr>
      <w:tr>
        <w:trPr>
          <w:trHeight w:val="201"/>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3440" w:type="dxa"/>
            <w:vAlign w:val="bottom"/>
            <w:shd w:val="clear" w:color="auto" w:fill="CCEEFF"/>
          </w:tcPr>
          <w:p>
            <w:pPr>
              <w:jc w:val="center"/>
              <w:ind w:left="1336"/>
              <w:spacing w:after="0"/>
              <w:rPr>
                <w:sz w:val="20"/>
                <w:szCs w:val="20"/>
                <w:color w:val="auto"/>
              </w:rPr>
            </w:pPr>
            <w:r>
              <w:rPr>
                <w:rFonts w:ascii="Arial" w:cs="Arial" w:eastAsia="Arial" w:hAnsi="Arial"/>
                <w:sz w:val="17"/>
                <w:szCs w:val="17"/>
                <w:color w:val="auto"/>
                <w:w w:val="98"/>
              </w:rPr>
              <w:t>A-2</w:t>
            </w:r>
          </w:p>
        </w:tc>
        <w:tc>
          <w:tcPr>
            <w:tcW w:w="144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w w:val="82"/>
              </w:rPr>
              <w:t>P-2</w:t>
            </w:r>
          </w:p>
        </w:tc>
      </w:tr>
      <w:tr>
        <w:trPr>
          <w:trHeight w:val="201"/>
        </w:trPr>
        <w:tc>
          <w:tcPr>
            <w:tcW w:w="6540" w:type="dxa"/>
            <w:vAlign w:val="bottom"/>
          </w:tcPr>
          <w:p>
            <w:pPr>
              <w:spacing w:after="0"/>
              <w:rPr>
                <w:sz w:val="20"/>
                <w:szCs w:val="20"/>
                <w:color w:val="auto"/>
              </w:rPr>
            </w:pPr>
            <w:r>
              <w:rPr>
                <w:rFonts w:ascii="Arial" w:cs="Arial" w:eastAsia="Arial" w:hAnsi="Arial"/>
                <w:sz w:val="17"/>
                <w:szCs w:val="17"/>
                <w:color w:val="auto"/>
              </w:rPr>
              <w:t>Senior Secured</w:t>
            </w:r>
          </w:p>
        </w:tc>
        <w:tc>
          <w:tcPr>
            <w:tcW w:w="3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1"/>
        </w:trPr>
        <w:tc>
          <w:tcPr>
            <w:tcW w:w="6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First Mortgage Bonds </w:t>
            </w:r>
            <w:r>
              <w:rPr>
                <w:rFonts w:ascii="Arial" w:cs="Arial" w:eastAsia="Arial" w:hAnsi="Arial"/>
                <w:sz w:val="17"/>
                <w:szCs w:val="17"/>
                <w:i w:val="1"/>
                <w:iCs w:val="1"/>
                <w:color w:val="auto"/>
              </w:rPr>
              <w:t>(a)</w:t>
            </w:r>
          </w:p>
        </w:tc>
        <w:tc>
          <w:tcPr>
            <w:tcW w:w="3440" w:type="dxa"/>
            <w:vAlign w:val="bottom"/>
            <w:shd w:val="clear" w:color="auto" w:fill="CCEEFF"/>
          </w:tcPr>
          <w:p>
            <w:pPr>
              <w:jc w:val="center"/>
              <w:ind w:left="1356"/>
              <w:spacing w:after="0"/>
              <w:rPr>
                <w:sz w:val="20"/>
                <w:szCs w:val="20"/>
                <w:color w:val="auto"/>
              </w:rPr>
            </w:pPr>
            <w:r>
              <w:rPr>
                <w:rFonts w:ascii="Arial" w:cs="Arial" w:eastAsia="Arial" w:hAnsi="Arial"/>
                <w:sz w:val="17"/>
                <w:szCs w:val="17"/>
                <w:color w:val="auto"/>
                <w:w w:val="95"/>
              </w:rPr>
              <w:t>A–</w:t>
            </w:r>
          </w:p>
        </w:tc>
        <w:tc>
          <w:tcPr>
            <w:tcW w:w="144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rPr>
              <w:t>A2</w:t>
            </w:r>
          </w:p>
        </w:tc>
      </w:tr>
      <w:tr>
        <w:trPr>
          <w:trHeight w:val="201"/>
        </w:trPr>
        <w:tc>
          <w:tcPr>
            <w:tcW w:w="6540" w:type="dxa"/>
            <w:vAlign w:val="bottom"/>
          </w:tcPr>
          <w:p>
            <w:pPr>
              <w:spacing w:after="0"/>
              <w:rPr>
                <w:sz w:val="20"/>
                <w:szCs w:val="20"/>
                <w:color w:val="auto"/>
              </w:rPr>
            </w:pPr>
            <w:r>
              <w:rPr>
                <w:rFonts w:ascii="Arial" w:cs="Arial" w:eastAsia="Arial" w:hAnsi="Arial"/>
                <w:sz w:val="17"/>
                <w:szCs w:val="17"/>
                <w:color w:val="auto"/>
              </w:rPr>
              <w:t>Unsecured Debt</w:t>
            </w:r>
          </w:p>
        </w:tc>
        <w:tc>
          <w:tcPr>
            <w:tcW w:w="3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6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Collier County Industrial Development Revenue Bonds – Fixed Rate</w:t>
            </w:r>
          </w:p>
        </w:tc>
        <w:tc>
          <w:tcPr>
            <w:tcW w:w="3440" w:type="dxa"/>
            <w:vAlign w:val="bottom"/>
            <w:tcBorders>
              <w:bottom w:val="single" w:sz="8" w:color="auto"/>
            </w:tcBorders>
            <w:shd w:val="clear" w:color="auto" w:fill="CCEEFF"/>
          </w:tcPr>
          <w:p>
            <w:pPr>
              <w:jc w:val="center"/>
              <w:ind w:left="1336"/>
              <w:spacing w:after="0"/>
              <w:rPr>
                <w:sz w:val="20"/>
                <w:szCs w:val="20"/>
                <w:color w:val="auto"/>
              </w:rPr>
            </w:pPr>
            <w:r>
              <w:rPr>
                <w:rFonts w:ascii="Arial" w:cs="Arial" w:eastAsia="Arial" w:hAnsi="Arial"/>
                <w:sz w:val="17"/>
                <w:szCs w:val="17"/>
                <w:color w:val="auto"/>
                <w:w w:val="99"/>
              </w:rPr>
              <w:t>BBB</w:t>
            </w:r>
          </w:p>
        </w:tc>
        <w:tc>
          <w:tcPr>
            <w:tcW w:w="14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7"/>
                <w:szCs w:val="17"/>
                <w:color w:val="auto"/>
              </w:rPr>
              <w:t>–</w:t>
            </w:r>
          </w:p>
        </w:tc>
      </w:tr>
      <w:tr>
        <w:trPr>
          <w:trHeight w:val="427"/>
        </w:trPr>
        <w:tc>
          <w:tcPr>
            <w:tcW w:w="6540" w:type="dxa"/>
            <w:vAlign w:val="bottom"/>
          </w:tcPr>
          <w:p>
            <w:pPr>
              <w:spacing w:after="0"/>
              <w:rPr>
                <w:sz w:val="20"/>
                <w:szCs w:val="20"/>
                <w:color w:val="auto"/>
              </w:rPr>
            </w:pPr>
            <w:r>
              <w:rPr>
                <w:rFonts w:ascii="Arial" w:cs="Arial" w:eastAsia="Arial" w:hAnsi="Arial"/>
                <w:sz w:val="17"/>
                <w:szCs w:val="17"/>
                <w:i w:val="1"/>
                <w:iCs w:val="1"/>
                <w:color w:val="auto"/>
              </w:rPr>
              <w:t>(a)  Includes collateralized pollution control bonds.</w:t>
            </w:r>
          </w:p>
        </w:tc>
        <w:tc>
          <w:tcPr>
            <w:tcW w:w="34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Common Stock Dividends</w:t>
      </w:r>
      <w:r>
        <w:rPr>
          <w:rFonts w:ascii="Arial" w:cs="Arial" w:eastAsia="Arial" w:hAnsi="Arial"/>
          <w:sz w:val="17"/>
          <w:szCs w:val="17"/>
          <w:color w:val="auto"/>
        </w:rPr>
        <w:t>. ALLETE is committed to providing an attractive, secure dividend to its shareholders while at the same time funding its growth.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long-term objective is to maintain a dividend payout ratio similar to our peers and provide for future dividend increases. In 2010, we paid out 81 percent (93 percent in 2009; 61 percent in 2008) of our per share earnings in dividends. On January 20, 2011, our Board of Directors declared a dividend of $0.445 per share, which is payable on March 1, 2011, to shareholders of record at the close of business on February 15,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ALLETE’s projected capital expenditures for the years 2011 through 2015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Capital Expenditures</w:t>
            </w:r>
          </w:p>
        </w:tc>
        <w:tc>
          <w:tcPr>
            <w:tcW w:w="2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2011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2013</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2014</w:t>
            </w:r>
          </w:p>
        </w:tc>
        <w:tc>
          <w:tcPr>
            <w:tcW w:w="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2015</w:t>
            </w:r>
          </w:p>
        </w:tc>
        <w:tc>
          <w:tcPr>
            <w:tcW w:w="6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Regulated Utility Operations</w:t>
            </w: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380" w:type="dxa"/>
            <w:vAlign w:val="bottom"/>
          </w:tcPr>
          <w:p>
            <w:pPr>
              <w:ind w:left="700"/>
              <w:spacing w:after="0"/>
              <w:rPr>
                <w:sz w:val="20"/>
                <w:szCs w:val="20"/>
                <w:color w:val="auto"/>
              </w:rPr>
            </w:pPr>
            <w:r>
              <w:rPr>
                <w:rFonts w:ascii="Arial" w:cs="Arial" w:eastAsia="Arial" w:hAnsi="Arial"/>
                <w:sz w:val="17"/>
                <w:szCs w:val="17"/>
                <w:color w:val="auto"/>
              </w:rPr>
              <w:t>Base and Other</w:t>
            </w:r>
          </w:p>
        </w:tc>
        <w:tc>
          <w:tcPr>
            <w:tcW w:w="2540" w:type="dxa"/>
            <w:vAlign w:val="bottom"/>
          </w:tcPr>
          <w:p>
            <w:pPr>
              <w:jc w:val="right"/>
              <w:ind w:right="116"/>
              <w:spacing w:after="0"/>
              <w:rPr>
                <w:sz w:val="20"/>
                <w:szCs w:val="20"/>
                <w:color w:val="auto"/>
              </w:rPr>
            </w:pPr>
            <w:r>
              <w:rPr>
                <w:rFonts w:ascii="Arial" w:cs="Arial" w:eastAsia="Arial" w:hAnsi="Arial"/>
                <w:sz w:val="17"/>
                <w:szCs w:val="17"/>
                <w:color w:val="auto"/>
              </w:rPr>
              <w:t>$88</w:t>
            </w:r>
          </w:p>
        </w:tc>
        <w:tc>
          <w:tcPr>
            <w:tcW w:w="540" w:type="dxa"/>
            <w:vAlign w:val="bottom"/>
          </w:tcPr>
          <w:p>
            <w:pPr>
              <w:spacing w:after="0"/>
              <w:rPr>
                <w:sz w:val="17"/>
                <w:szCs w:val="17"/>
                <w:color w:val="auto"/>
              </w:rPr>
            </w:pPr>
          </w:p>
        </w:tc>
        <w:tc>
          <w:tcPr>
            <w:tcW w:w="1020" w:type="dxa"/>
            <w:vAlign w:val="bottom"/>
          </w:tcPr>
          <w:p>
            <w:pPr>
              <w:jc w:val="right"/>
              <w:ind w:right="596"/>
              <w:spacing w:after="0"/>
              <w:rPr>
                <w:sz w:val="20"/>
                <w:szCs w:val="20"/>
                <w:color w:val="auto"/>
              </w:rPr>
            </w:pPr>
            <w:r>
              <w:rPr>
                <w:rFonts w:ascii="Arial" w:cs="Arial" w:eastAsia="Arial" w:hAnsi="Arial"/>
                <w:sz w:val="17"/>
                <w:szCs w:val="17"/>
                <w:color w:val="auto"/>
              </w:rPr>
              <w:t>$91</w:t>
            </w:r>
          </w:p>
        </w:tc>
        <w:tc>
          <w:tcPr>
            <w:tcW w:w="480" w:type="dxa"/>
            <w:vAlign w:val="bottom"/>
          </w:tcPr>
          <w:p>
            <w:pPr>
              <w:jc w:val="right"/>
              <w:ind w:right="56"/>
              <w:spacing w:after="0"/>
              <w:rPr>
                <w:sz w:val="20"/>
                <w:szCs w:val="20"/>
                <w:color w:val="auto"/>
              </w:rPr>
            </w:pPr>
            <w:r>
              <w:rPr>
                <w:rFonts w:ascii="Arial" w:cs="Arial" w:eastAsia="Arial" w:hAnsi="Arial"/>
                <w:sz w:val="17"/>
                <w:szCs w:val="17"/>
                <w:color w:val="auto"/>
              </w:rPr>
              <w:t>$92</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$94</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$99</w:t>
            </w:r>
          </w:p>
        </w:tc>
        <w:tc>
          <w:tcPr>
            <w:tcW w:w="680" w:type="dxa"/>
            <w:vAlign w:val="bottom"/>
          </w:tcPr>
          <w:p>
            <w:pPr>
              <w:jc w:val="right"/>
              <w:spacing w:after="0"/>
              <w:rPr>
                <w:sz w:val="20"/>
                <w:szCs w:val="20"/>
                <w:color w:val="auto"/>
              </w:rPr>
            </w:pPr>
            <w:r>
              <w:rPr>
                <w:rFonts w:ascii="Arial" w:cs="Arial" w:eastAsia="Arial" w:hAnsi="Arial"/>
                <w:sz w:val="17"/>
                <w:szCs w:val="17"/>
                <w:color w:val="auto"/>
              </w:rPr>
              <w:t>$464</w:t>
            </w:r>
          </w:p>
        </w:tc>
        <w:tc>
          <w:tcPr>
            <w:tcW w:w="20" w:type="dxa"/>
            <w:vAlign w:val="bottom"/>
          </w:tcPr>
          <w:p>
            <w:pPr>
              <w:spacing w:after="0"/>
              <w:rPr>
                <w:sz w:val="17"/>
                <w:szCs w:val="17"/>
                <w:color w:val="auto"/>
              </w:rPr>
            </w:pPr>
          </w:p>
        </w:tc>
      </w:tr>
      <w:tr>
        <w:trPr>
          <w:trHeight w:val="201"/>
        </w:trPr>
        <w:tc>
          <w:tcPr>
            <w:tcW w:w="43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 xml:space="preserve">Current Cost Recovery </w:t>
            </w:r>
            <w:r>
              <w:rPr>
                <w:rFonts w:ascii="Arial" w:cs="Arial" w:eastAsia="Arial" w:hAnsi="Arial"/>
                <w:sz w:val="17"/>
                <w:szCs w:val="17"/>
                <w:i w:val="1"/>
                <w:iCs w:val="1"/>
                <w:color w:val="auto"/>
              </w:rPr>
              <w:t>(a)</w:t>
            </w: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380" w:type="dxa"/>
            <w:vAlign w:val="bottom"/>
          </w:tcPr>
          <w:p>
            <w:pPr>
              <w:ind w:left="1280"/>
              <w:spacing w:after="0"/>
              <w:rPr>
                <w:sz w:val="20"/>
                <w:szCs w:val="20"/>
                <w:color w:val="auto"/>
              </w:rPr>
            </w:pPr>
            <w:r>
              <w:rPr>
                <w:rFonts w:ascii="Arial" w:cs="Arial" w:eastAsia="Arial" w:hAnsi="Arial"/>
                <w:sz w:val="17"/>
                <w:szCs w:val="17"/>
                <w:color w:val="auto"/>
              </w:rPr>
              <w:t>Renewable</w:t>
            </w:r>
          </w:p>
        </w:tc>
        <w:tc>
          <w:tcPr>
            <w:tcW w:w="2540" w:type="dxa"/>
            <w:vAlign w:val="bottom"/>
          </w:tcPr>
          <w:p>
            <w:pPr>
              <w:jc w:val="right"/>
              <w:ind w:right="116"/>
              <w:spacing w:after="0"/>
              <w:rPr>
                <w:sz w:val="20"/>
                <w:szCs w:val="20"/>
                <w:color w:val="auto"/>
              </w:rPr>
            </w:pPr>
            <w:r>
              <w:rPr>
                <w:rFonts w:ascii="Arial" w:cs="Arial" w:eastAsia="Arial" w:hAnsi="Arial"/>
                <w:sz w:val="17"/>
                <w:szCs w:val="17"/>
                <w:color w:val="auto"/>
              </w:rPr>
              <w:t>126</w:t>
            </w:r>
          </w:p>
        </w:tc>
        <w:tc>
          <w:tcPr>
            <w:tcW w:w="540" w:type="dxa"/>
            <w:vAlign w:val="bottom"/>
          </w:tcPr>
          <w:p>
            <w:pPr>
              <w:spacing w:after="0"/>
              <w:rPr>
                <w:sz w:val="17"/>
                <w:szCs w:val="17"/>
                <w:color w:val="auto"/>
              </w:rPr>
            </w:pPr>
          </w:p>
        </w:tc>
        <w:tc>
          <w:tcPr>
            <w:tcW w:w="1020" w:type="dxa"/>
            <w:vAlign w:val="bottom"/>
          </w:tcPr>
          <w:p>
            <w:pPr>
              <w:jc w:val="right"/>
              <w:ind w:right="596"/>
              <w:spacing w:after="0"/>
              <w:rPr>
                <w:sz w:val="20"/>
                <w:szCs w:val="20"/>
                <w:color w:val="auto"/>
              </w:rPr>
            </w:pPr>
            <w:r>
              <w:rPr>
                <w:rFonts w:ascii="Arial" w:cs="Arial" w:eastAsia="Arial" w:hAnsi="Arial"/>
                <w:sz w:val="17"/>
                <w:szCs w:val="17"/>
                <w:color w:val="auto"/>
              </w:rPr>
              <w:t>117</w:t>
            </w:r>
          </w:p>
        </w:tc>
        <w:tc>
          <w:tcPr>
            <w:tcW w:w="480" w:type="dxa"/>
            <w:vAlign w:val="bottom"/>
          </w:tcPr>
          <w:p>
            <w:pPr>
              <w:jc w:val="right"/>
              <w:ind w:right="56"/>
              <w:spacing w:after="0"/>
              <w:rPr>
                <w:sz w:val="20"/>
                <w:szCs w:val="20"/>
                <w:color w:val="auto"/>
              </w:rPr>
            </w:pPr>
            <w:r>
              <w:rPr>
                <w:rFonts w:ascii="Arial" w:cs="Arial" w:eastAsia="Arial" w:hAnsi="Arial"/>
                <w:sz w:val="17"/>
                <w:szCs w:val="17"/>
                <w:color w:val="auto"/>
              </w:rPr>
              <w:t>2</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8</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80" w:type="dxa"/>
            <w:vAlign w:val="bottom"/>
          </w:tcPr>
          <w:p>
            <w:pPr>
              <w:jc w:val="right"/>
              <w:spacing w:after="0"/>
              <w:rPr>
                <w:sz w:val="20"/>
                <w:szCs w:val="20"/>
                <w:color w:val="auto"/>
              </w:rPr>
            </w:pPr>
            <w:r>
              <w:rPr>
                <w:rFonts w:ascii="Arial" w:cs="Arial" w:eastAsia="Arial" w:hAnsi="Arial"/>
                <w:sz w:val="17"/>
                <w:szCs w:val="17"/>
                <w:color w:val="auto"/>
              </w:rPr>
              <w:t>254</w:t>
            </w:r>
          </w:p>
        </w:tc>
        <w:tc>
          <w:tcPr>
            <w:tcW w:w="20" w:type="dxa"/>
            <w:vAlign w:val="bottom"/>
          </w:tcPr>
          <w:p>
            <w:pPr>
              <w:spacing w:after="0"/>
              <w:rPr>
                <w:sz w:val="17"/>
                <w:szCs w:val="17"/>
                <w:color w:val="auto"/>
              </w:rPr>
            </w:pPr>
          </w:p>
        </w:tc>
      </w:tr>
      <w:tr>
        <w:trPr>
          <w:trHeight w:val="206"/>
        </w:trPr>
        <w:tc>
          <w:tcPr>
            <w:tcW w:w="43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rPr>
              <w:t xml:space="preserve">Transmission </w:t>
            </w:r>
            <w:r>
              <w:rPr>
                <w:rFonts w:ascii="Arial" w:cs="Arial" w:eastAsia="Arial" w:hAnsi="Arial"/>
                <w:sz w:val="17"/>
                <w:szCs w:val="17"/>
                <w:i w:val="1"/>
                <w:iCs w:val="1"/>
                <w:color w:val="auto"/>
              </w:rPr>
              <w:t>(b)</w:t>
            </w:r>
          </w:p>
        </w:tc>
        <w:tc>
          <w:tcPr>
            <w:tcW w:w="2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15</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7"/>
                <w:szCs w:val="17"/>
                <w:color w:val="auto"/>
              </w:rPr>
              <w:t>33</w:t>
            </w: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49</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25</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7"/>
                <w:szCs w:val="17"/>
                <w:color w:val="auto"/>
              </w:rPr>
            </w:pPr>
          </w:p>
        </w:tc>
      </w:tr>
      <w:tr>
        <w:trPr>
          <w:trHeight w:val="206"/>
        </w:trPr>
        <w:tc>
          <w:tcPr>
            <w:tcW w:w="438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 Current Cost Recovery</w:t>
            </w:r>
          </w:p>
        </w:tc>
        <w:tc>
          <w:tcPr>
            <w:tcW w:w="25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141</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color w:val="auto"/>
              </w:rPr>
              <w:t>150</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51</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33</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20" w:type="dxa"/>
            <w:vAlign w:val="bottom"/>
          </w:tcPr>
          <w:p>
            <w:pPr>
              <w:spacing w:after="0"/>
              <w:rPr>
                <w:sz w:val="17"/>
                <w:szCs w:val="17"/>
                <w:color w:val="auto"/>
              </w:rPr>
            </w:pPr>
          </w:p>
        </w:tc>
      </w:tr>
      <w:tr>
        <w:trPr>
          <w:trHeight w:val="20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Regulated Utility Capital Expenditures</w:t>
            </w:r>
          </w:p>
        </w:tc>
        <w:tc>
          <w:tcPr>
            <w:tcW w:w="2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229</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7"/>
                <w:szCs w:val="17"/>
                <w:color w:val="auto"/>
              </w:rPr>
              <w:t>241</w:t>
            </w: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143</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127</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20" w:type="dxa"/>
            <w:vAlign w:val="bottom"/>
          </w:tcPr>
          <w:p>
            <w:pPr>
              <w:spacing w:after="0"/>
              <w:rPr>
                <w:sz w:val="17"/>
                <w:szCs w:val="17"/>
                <w:color w:val="auto"/>
              </w:rPr>
            </w:pPr>
          </w:p>
        </w:tc>
      </w:tr>
      <w:tr>
        <w:trPr>
          <w:trHeight w:val="20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25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22</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color w:val="auto"/>
              </w:rPr>
              <w:t>25</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r>
      <w:tr>
        <w:trPr>
          <w:trHeight w:val="20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2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$251</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7"/>
                <w:szCs w:val="17"/>
                <w:color w:val="auto"/>
                <w:w w:val="84"/>
              </w:rPr>
              <w:t>$266</w:t>
            </w: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$157</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$135</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20" w:type="dxa"/>
            <w:vAlign w:val="bottom"/>
          </w:tcPr>
          <w:p>
            <w:pPr>
              <w:spacing w:after="0"/>
              <w:rPr>
                <w:sz w:val="17"/>
                <w:szCs w:val="17"/>
                <w:color w:val="auto"/>
              </w:rPr>
            </w:pPr>
          </w:p>
        </w:tc>
      </w:tr>
    </w:tbl>
    <w:p>
      <w:pPr>
        <w:spacing w:after="0" w:line="214" w:lineRule="exact"/>
        <w:rPr>
          <w:sz w:val="20"/>
          <w:szCs w:val="20"/>
          <w:color w:val="auto"/>
        </w:rPr>
      </w:pPr>
    </w:p>
    <w:p>
      <w:pPr>
        <w:ind w:left="300" w:hanging="277"/>
        <w:spacing w:after="0"/>
        <w:tabs>
          <w:tab w:leader="none" w:pos="30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Estimated current capital expenditures recoverable outside of a rate case.</w:t>
      </w:r>
    </w:p>
    <w:p>
      <w:pPr>
        <w:spacing w:after="0" w:line="17" w:lineRule="exact"/>
        <w:rPr>
          <w:rFonts w:ascii="Arial" w:cs="Arial" w:eastAsia="Arial" w:hAnsi="Arial"/>
          <w:sz w:val="17"/>
          <w:szCs w:val="17"/>
          <w:i w:val="1"/>
          <w:iCs w:val="1"/>
          <w:color w:val="auto"/>
        </w:rPr>
      </w:pPr>
    </w:p>
    <w:p>
      <w:pPr>
        <w:ind w:left="300" w:hanging="277"/>
        <w:spacing w:after="0"/>
        <w:tabs>
          <w:tab w:leader="none" w:pos="30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Transmission capital expenditures related to CapX2020 are estimated at approximately $115 million.</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intend to finance expenditures from both internally generated funds and incremental debt and equity. Based on our above anticipated capital expenditures, we project our rate base to grow by approximately 20 percent through 2015. Pending environmental regulations could result in significant capital expenditures in the future that are not included in the table above. Currently, future CapX2020 projects are under discussions. Minnesota Power may elect to participate on a project by project basis.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Other Matters</w:t>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10. Commitments, Guarantees and Contingencies. (See Item 1. Business – Environmental Matters.)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Investments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Available-for-Sale Securities. </w:t>
      </w:r>
      <w:r>
        <w:rPr>
          <w:rFonts w:ascii="Arial" w:cs="Arial" w:eastAsia="Arial" w:hAnsi="Arial"/>
          <w:sz w:val="17"/>
          <w:szCs w:val="17"/>
          <w:color w:val="auto"/>
        </w:rPr>
        <w:t>At December 31, 2010, our available-for-sale securities portfolio consisted of securities established to fund certain employee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auction rate securities. (See Note 7. Investments.)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Interest Rate Risk</w:t>
      </w:r>
      <w:r>
        <w:rPr>
          <w:rFonts w:ascii="Arial" w:cs="Arial" w:eastAsia="Arial" w:hAnsi="Arial"/>
          <w:sz w:val="15"/>
          <w:szCs w:val="15"/>
          <w:color w:val="auto"/>
        </w:rPr>
        <w:t>. We are exposed to risks resulting from changes in interest rates as a result of our issuance of variable rate debt. We manage our interest rate risk by</w:t>
      </w:r>
      <w:r>
        <w:rPr>
          <w:rFonts w:ascii="Arial" w:cs="Arial" w:eastAsia="Arial" w:hAnsi="Arial"/>
          <w:sz w:val="15"/>
          <w:szCs w:val="15"/>
          <w:b w:val="1"/>
          <w:bCs w:val="1"/>
          <w:color w:val="auto"/>
        </w:rPr>
        <w:t xml:space="preserve"> </w:t>
      </w:r>
      <w:r>
        <w:rPr>
          <w:rFonts w:ascii="Arial" w:cs="Arial" w:eastAsia="Arial" w:hAnsi="Arial"/>
          <w:sz w:val="15"/>
          <w:szCs w:val="15"/>
          <w:color w:val="auto"/>
        </w:rPr>
        <w:t>varying the issuance and maturity dates of our fixed rate debt, limiting the amount of variable rate debt, and continually monitoring the effects of market changes in interest rates. The table below presents the long-term debt obligations and the corresponding weighted average interest rate at December 31, 2010.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right"/>
              <w:ind w:right="956"/>
              <w:spacing w:after="0"/>
              <w:rPr>
                <w:sz w:val="20"/>
                <w:szCs w:val="20"/>
                <w:color w:val="auto"/>
              </w:rPr>
            </w:pPr>
            <w:r>
              <w:rPr>
                <w:rFonts w:ascii="Arial" w:cs="Arial" w:eastAsia="Arial" w:hAnsi="Arial"/>
                <w:sz w:val="17"/>
                <w:szCs w:val="17"/>
                <w:b w:val="1"/>
                <w:bCs w:val="1"/>
                <w:color w:val="auto"/>
              </w:rPr>
              <w:t>Expected Maturity Date</w:t>
            </w:r>
          </w:p>
        </w:tc>
        <w:tc>
          <w:tcPr>
            <w:tcW w:w="1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720" w:type="dxa"/>
            <w:vAlign w:val="bottom"/>
          </w:tcPr>
          <w:p>
            <w:pPr>
              <w:spacing w:after="0"/>
              <w:rPr>
                <w:sz w:val="20"/>
                <w:szCs w:val="20"/>
                <w:color w:val="auto"/>
              </w:rPr>
            </w:pPr>
            <w:r>
              <w:rPr>
                <w:rFonts w:ascii="Arial" w:cs="Arial" w:eastAsia="Arial" w:hAnsi="Arial"/>
                <w:sz w:val="17"/>
                <w:szCs w:val="17"/>
                <w:b w:val="1"/>
                <w:bCs w:val="1"/>
                <w:color w:val="auto"/>
              </w:rPr>
              <w:t>Interest Rate Sensitive</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jc w:val="right"/>
              <w:ind w:right="256"/>
              <w:spacing w:after="0"/>
              <w:rPr>
                <w:sz w:val="20"/>
                <w:szCs w:val="20"/>
                <w:color w:val="auto"/>
              </w:rPr>
            </w:pPr>
            <w:r>
              <w:rPr>
                <w:rFonts w:ascii="Arial" w:cs="Arial" w:eastAsia="Arial" w:hAnsi="Arial"/>
                <w:sz w:val="17"/>
                <w:szCs w:val="17"/>
                <w:b w:val="1"/>
                <w:bCs w:val="1"/>
                <w:color w:val="auto"/>
              </w:rPr>
              <w:t>Fair</w:t>
            </w:r>
          </w:p>
        </w:tc>
        <w:tc>
          <w:tcPr>
            <w:tcW w:w="20" w:type="dxa"/>
            <w:vAlign w:val="bottom"/>
          </w:tcPr>
          <w:p>
            <w:pPr>
              <w:spacing w:after="0"/>
              <w:rPr>
                <w:sz w:val="17"/>
                <w:szCs w:val="17"/>
                <w:color w:val="auto"/>
              </w:rPr>
            </w:pPr>
          </w:p>
        </w:tc>
      </w:tr>
      <w:tr>
        <w:trPr>
          <w:trHeight w:val="206"/>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2011</w:t>
            </w:r>
          </w:p>
        </w:tc>
        <w:tc>
          <w:tcPr>
            <w:tcW w:w="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2012</w:t>
            </w:r>
          </w:p>
        </w:tc>
        <w:tc>
          <w:tcPr>
            <w:tcW w:w="8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8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8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2015</w:t>
            </w:r>
          </w:p>
        </w:tc>
        <w:tc>
          <w:tcPr>
            <w:tcW w:w="13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Thereafter</w:t>
            </w:r>
          </w:p>
        </w:tc>
        <w:tc>
          <w:tcPr>
            <w:tcW w:w="11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b w:val="1"/>
                <w:bCs w:val="1"/>
                <w:color w:val="auto"/>
              </w:rPr>
              <w:t>Total</w:t>
            </w:r>
          </w:p>
        </w:tc>
        <w:tc>
          <w:tcPr>
            <w:tcW w:w="8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Value</w:t>
            </w:r>
          </w:p>
        </w:tc>
        <w:tc>
          <w:tcPr>
            <w:tcW w:w="20" w:type="dxa"/>
            <w:vAlign w:val="bottom"/>
          </w:tcPr>
          <w:p>
            <w:pPr>
              <w:spacing w:after="0"/>
              <w:rPr>
                <w:sz w:val="17"/>
                <w:szCs w:val="17"/>
                <w:color w:val="auto"/>
              </w:rPr>
            </w:pPr>
          </w:p>
        </w:tc>
      </w:tr>
      <w:tr>
        <w:trPr>
          <w:trHeight w:val="201"/>
        </w:trPr>
        <w:tc>
          <w:tcPr>
            <w:tcW w:w="372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720" w:type="dxa"/>
            <w:vAlign w:val="bottom"/>
          </w:tcPr>
          <w:p>
            <w:pPr>
              <w:ind w:left="160"/>
              <w:spacing w:after="0"/>
              <w:rPr>
                <w:sz w:val="20"/>
                <w:szCs w:val="20"/>
                <w:color w:val="auto"/>
              </w:rPr>
            </w:pPr>
            <w:r>
              <w:rPr>
                <w:rFonts w:ascii="Arial" w:cs="Arial" w:eastAsia="Arial" w:hAnsi="Arial"/>
                <w:sz w:val="17"/>
                <w:szCs w:val="17"/>
                <w:color w:val="auto"/>
              </w:rPr>
              <w:t>Fixed Rate</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$71.1</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$19.5</w:t>
            </w: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$0.6</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$617.3</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$711.7</w:t>
            </w:r>
          </w:p>
        </w:tc>
        <w:tc>
          <w:tcPr>
            <w:tcW w:w="840" w:type="dxa"/>
            <w:vAlign w:val="bottom"/>
          </w:tcPr>
          <w:p>
            <w:pPr>
              <w:jc w:val="right"/>
              <w:spacing w:after="0"/>
              <w:rPr>
                <w:sz w:val="20"/>
                <w:szCs w:val="20"/>
                <w:color w:val="auto"/>
              </w:rPr>
            </w:pPr>
            <w:r>
              <w:rPr>
                <w:rFonts w:ascii="Arial" w:cs="Arial" w:eastAsia="Arial" w:hAnsi="Arial"/>
                <w:sz w:val="17"/>
                <w:szCs w:val="17"/>
                <w:color w:val="auto"/>
              </w:rPr>
              <w:t>$723.4</w:t>
            </w:r>
          </w:p>
        </w:tc>
        <w:tc>
          <w:tcPr>
            <w:tcW w:w="20" w:type="dxa"/>
            <w:vAlign w:val="bottom"/>
          </w:tcPr>
          <w:p>
            <w:pPr>
              <w:spacing w:after="0"/>
              <w:rPr>
                <w:sz w:val="17"/>
                <w:szCs w:val="17"/>
                <w:color w:val="auto"/>
              </w:rPr>
            </w:pPr>
          </w:p>
        </w:tc>
      </w:tr>
      <w:tr>
        <w:trPr>
          <w:trHeight w:val="201"/>
        </w:trPr>
        <w:tc>
          <w:tcPr>
            <w:tcW w:w="3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Average Interest Rate – %</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5.2</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6.0</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5.8</w:t>
            </w: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Variable Rate</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$11.8</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$15.7</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$41.3</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$73.3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20" w:type="dxa"/>
            <w:vAlign w:val="bottom"/>
          </w:tcPr>
          <w:p>
            <w:pPr>
              <w:spacing w:after="0"/>
              <w:rPr>
                <w:sz w:val="17"/>
                <w:szCs w:val="17"/>
                <w:color w:val="auto"/>
              </w:rPr>
            </w:pPr>
          </w:p>
        </w:tc>
      </w:tr>
      <w:tr>
        <w:trPr>
          <w:trHeight w:val="206"/>
        </w:trPr>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 xml:space="preserve">Average Interest Rate – % </w:t>
            </w:r>
            <w:r>
              <w:rPr>
                <w:rFonts w:ascii="Arial" w:cs="Arial" w:eastAsia="Arial" w:hAnsi="Arial"/>
                <w:sz w:val="17"/>
                <w:szCs w:val="17"/>
                <w:i w:val="1"/>
                <w:iCs w:val="1"/>
                <w:color w:val="auto"/>
              </w:rPr>
              <w:t>(a)</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0.6</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0.5</w:t>
            </w: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0.3</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 Assumes rate in effect at December 31, 2010, remains constant through remaining term.</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Interest rates on variable rate long-term debt are reset on a periodic basis reflecting prevailing market conditions. Based on the variable rate debt outstanding at December 31, 2010,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December 31, 2010.</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color w:val="auto"/>
        </w:rPr>
        <w:t>Commodity Price Risk</w:t>
      </w:r>
      <w:r>
        <w:rPr>
          <w:rFonts w:ascii="Arial" w:cs="Arial" w:eastAsia="Arial" w:hAnsi="Arial"/>
          <w:sz w:val="15"/>
          <w:szCs w:val="15"/>
          <w:color w:val="auto"/>
        </w:rPr>
        <w:t>. Our regulated utility operations incur costs for power and fuel (primarily coal and related transportation) in Minnesota, and power and natural</w:t>
      </w:r>
      <w:r>
        <w:rPr>
          <w:rFonts w:ascii="Arial" w:cs="Arial" w:eastAsia="Arial" w:hAnsi="Arial"/>
          <w:sz w:val="15"/>
          <w:szCs w:val="15"/>
          <w:b w:val="1"/>
          <w:bCs w:val="1"/>
          <w:color w:val="auto"/>
        </w:rPr>
        <w:t xml:space="preserve"> </w:t>
      </w:r>
      <w:r>
        <w:rPr>
          <w:rFonts w:ascii="Arial" w:cs="Arial" w:eastAsia="Arial" w:hAnsi="Arial"/>
          <w:sz w:val="15"/>
          <w:szCs w:val="15"/>
          <w:color w:val="auto"/>
        </w:rPr>
        <w:t>gas purchased for resale in our regulated service territory in Wisconsin. Our Minnesota regulated utility’s exposure to price risk for these commodities is significantly mitigated by the current ratemaking process and regulatory environment,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Power Marketing</w:t>
      </w:r>
      <w:r>
        <w:rPr>
          <w:rFonts w:ascii="Arial" w:cs="Arial" w:eastAsia="Arial" w:hAnsi="Arial"/>
          <w:sz w:val="17"/>
          <w:szCs w:val="17"/>
          <w:color w:val="auto"/>
        </w:rPr>
        <w:t>. Our power marketing activities consist of (1) purchasing energy in the wholesale market to serve our regulated service territory when retail energy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this energy.</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Recently adopted accounting standards are discussed in Note 1.</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21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See our consolidated financial statements as of December 31, 2010 and 2009, and for each of the three years in the period ended December 31, 2010, and supplementary data, which are indexed in Item 15(a).</w:t>
      </w:r>
    </w:p>
    <w:p>
      <w:pPr>
        <w:spacing w:after="0" w:line="200" w:lineRule="exact"/>
        <w:rPr>
          <w:sz w:val="20"/>
          <w:szCs w:val="20"/>
          <w:color w:val="auto"/>
        </w:rPr>
      </w:pPr>
    </w:p>
    <w:p>
      <w:pPr>
        <w:spacing w:after="0" w:line="21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4" w:name="page45"/>
    <w:bookmarkEnd w:id="44"/>
    <w:p>
      <w:pPr>
        <w:spacing w:after="0"/>
        <w:tabs>
          <w:tab w:leader="none" w:pos="11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Under the supervision and with the participation of management, including our principal executive officer and principal financial officer, we conducted an evaluation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 cated to our management, including our principal executive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2010.</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effectiveness of the Company’s internal control over financial reporting as of December 31, 2010, has been audited by PricewaterhouseCoopers LLP, an independent registered public accounting firm, as stated in their report which is included herein.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Mine Safety Disclosures – Required by the Dodd-Frank Wall Street Reform and Consumer Protection Act</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Dodd-Frank Act requires issuers to include in periodic reports filed with the SEC certain information relating to citations or orders for violations of standards under the Federal Mine Safety and Health Act of 1977 (Mine Safety Act).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six months ended December 31, 2010, we received five citations under Section 104(a) for BNI Coal, however; fines or penalties were not assessed as of the filing of this Form 10-K. We do not expect these citations to result in material fine or penalties. For the six months ended December 31, 2010, there were no citations, orders or notices received under Sections 104, 104(b), 104(d), 107(a) or 104(e) of the Mine Safety Act, no violations of Section 110(b)(2) of the Mine Safety Act, and there were no fatalities.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Part III</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Unless otherwise stated, the information required for this Item is incorporated by reference herein from our Proxy Statement for the 2011 Annual Meeting of Shareholders (2011 Proxy Statement) under the following headings:</w:t>
      </w:r>
    </w:p>
    <w:p>
      <w:pPr>
        <w:spacing w:after="0" w:line="188" w:lineRule="exact"/>
        <w:rPr>
          <w:sz w:val="20"/>
          <w:szCs w:val="20"/>
          <w:color w:val="auto"/>
        </w:rPr>
      </w:pPr>
    </w:p>
    <w:p>
      <w:pPr>
        <w:ind w:left="600" w:hanging="298"/>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Directors. </w:t>
      </w:r>
      <w:r>
        <w:rPr>
          <w:rFonts w:ascii="Arial" w:cs="Arial" w:eastAsia="Arial" w:hAnsi="Arial"/>
          <w:sz w:val="17"/>
          <w:szCs w:val="17"/>
          <w:color w:val="auto"/>
        </w:rPr>
        <w:t>The information regarding directors will be included in the “Election of Directors” section;</w:t>
      </w:r>
    </w:p>
    <w:p>
      <w:pPr>
        <w:spacing w:after="0" w:line="231" w:lineRule="exact"/>
        <w:rPr>
          <w:rFonts w:ascii="Arial" w:cs="Arial" w:eastAsia="Arial" w:hAnsi="Arial"/>
          <w:sz w:val="17"/>
          <w:szCs w:val="17"/>
          <w:color w:val="auto"/>
        </w:rPr>
      </w:pPr>
    </w:p>
    <w:p>
      <w:pPr>
        <w:ind w:left="600" w:hanging="298"/>
        <w:spacing w:after="0" w:line="273"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Audit Committee Financial Expert. </w:t>
      </w:r>
      <w:r>
        <w:rPr>
          <w:rFonts w:ascii="Arial" w:cs="Arial" w:eastAsia="Arial" w:hAnsi="Arial"/>
          <w:sz w:val="17"/>
          <w:szCs w:val="17"/>
          <w:color w:val="auto"/>
        </w:rPr>
        <w:t>The information regarding the Audit Committee financial expert will be included in the “Audit Committee Report”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w:t>
      </w:r>
    </w:p>
    <w:p>
      <w:pPr>
        <w:spacing w:after="0" w:line="183" w:lineRule="exact"/>
        <w:rPr>
          <w:rFonts w:ascii="Arial" w:cs="Arial" w:eastAsia="Arial" w:hAnsi="Arial"/>
          <w:sz w:val="17"/>
          <w:szCs w:val="17"/>
          <w:color w:val="auto"/>
        </w:rPr>
      </w:pPr>
    </w:p>
    <w:p>
      <w:pPr>
        <w:ind w:left="600" w:hanging="298"/>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Audit Committee Members. </w:t>
      </w:r>
      <w:r>
        <w:rPr>
          <w:rFonts w:ascii="Arial" w:cs="Arial" w:eastAsia="Arial" w:hAnsi="Arial"/>
          <w:sz w:val="17"/>
          <w:szCs w:val="17"/>
          <w:color w:val="auto"/>
        </w:rPr>
        <w:t>The identity of the Audit Committee members is included in the “Audit Committee Report” section;</w:t>
      </w:r>
    </w:p>
    <w:p>
      <w:pPr>
        <w:spacing w:after="0" w:line="231" w:lineRule="exact"/>
        <w:rPr>
          <w:rFonts w:ascii="Arial" w:cs="Arial" w:eastAsia="Arial" w:hAnsi="Arial"/>
          <w:sz w:val="17"/>
          <w:szCs w:val="17"/>
          <w:color w:val="auto"/>
        </w:rPr>
      </w:pPr>
    </w:p>
    <w:p>
      <w:pPr>
        <w:ind w:left="600" w:hanging="298"/>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Executive Officers. </w:t>
      </w:r>
      <w:r>
        <w:rPr>
          <w:rFonts w:ascii="Arial" w:cs="Arial" w:eastAsia="Arial" w:hAnsi="Arial"/>
          <w:sz w:val="17"/>
          <w:szCs w:val="17"/>
          <w:color w:val="auto"/>
        </w:rPr>
        <w:t>The information regarding executive officers is included in Part I of this Form 10-K; and</w:t>
      </w:r>
    </w:p>
    <w:p>
      <w:pPr>
        <w:spacing w:after="0" w:line="231" w:lineRule="exact"/>
        <w:rPr>
          <w:rFonts w:ascii="Arial" w:cs="Arial" w:eastAsia="Arial" w:hAnsi="Arial"/>
          <w:sz w:val="17"/>
          <w:szCs w:val="17"/>
          <w:color w:val="auto"/>
        </w:rPr>
      </w:pPr>
    </w:p>
    <w:p>
      <w:pPr>
        <w:ind w:left="600" w:hanging="298"/>
        <w:spacing w:after="0" w:line="273"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Section 16(a) Compliance. </w:t>
      </w:r>
      <w:r>
        <w:rPr>
          <w:rFonts w:ascii="Arial" w:cs="Arial" w:eastAsia="Arial" w:hAnsi="Arial"/>
          <w:sz w:val="17"/>
          <w:szCs w:val="17"/>
          <w:color w:val="auto"/>
        </w:rPr>
        <w:t>The information regarding Section 16(a) compliance will be included in the “Ownership of ALLETE Common Stock –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16(a) Beneficial Ownership Reporting Compliance” section.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2011 Proxy Statement will be filed with the SEC within 120 days after the end of our 2010 fiscal year.</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 and controller.</w:t>
      </w:r>
      <w:r>
        <w:rPr>
          <w:rFonts w:ascii="Arial" w:cs="Arial" w:eastAsia="Arial" w:hAnsi="Arial"/>
          <w:sz w:val="17"/>
          <w:szCs w:val="17"/>
          <w:b w:val="1"/>
          <w:bCs w:val="1"/>
          <w:color w:val="auto"/>
        </w:rPr>
        <w:t xml:space="preserve"> </w:t>
      </w:r>
      <w:r>
        <w:rPr>
          <w:rFonts w:ascii="Arial" w:cs="Arial" w:eastAsia="Arial" w:hAnsi="Arial"/>
          <w:sz w:val="17"/>
          <w:szCs w:val="17"/>
          <w:color w:val="auto"/>
        </w:rPr>
        <w:t>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Governance. </w:t>
      </w:r>
      <w:r>
        <w:rPr>
          <w:rFonts w:ascii="Arial" w:cs="Arial" w:eastAsia="Arial" w:hAnsi="Arial"/>
          <w:sz w:val="17"/>
          <w:szCs w:val="17"/>
          <w:color w:val="auto"/>
        </w:rPr>
        <w:t>The following documents are available on our website at www.allete.com and print copies are available upon request:</w:t>
      </w:r>
    </w:p>
    <w:p>
      <w:pPr>
        <w:spacing w:after="0" w:line="236" w:lineRule="exact"/>
        <w:rPr>
          <w:sz w:val="20"/>
          <w:szCs w:val="20"/>
          <w:color w:val="auto"/>
        </w:rPr>
      </w:pPr>
    </w:p>
    <w:p>
      <w:pPr>
        <w:ind w:left="600" w:hanging="29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Corporate Governance Guidelines;</w:t>
      </w:r>
    </w:p>
    <w:p>
      <w:pPr>
        <w:spacing w:after="0" w:line="231" w:lineRule="exact"/>
        <w:rPr>
          <w:rFonts w:ascii="Arial" w:cs="Arial" w:eastAsia="Arial" w:hAnsi="Arial"/>
          <w:sz w:val="17"/>
          <w:szCs w:val="17"/>
          <w:color w:val="auto"/>
        </w:rPr>
      </w:pPr>
    </w:p>
    <w:p>
      <w:pPr>
        <w:ind w:left="600" w:hanging="29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Audit Committee Charter;</w:t>
      </w:r>
    </w:p>
    <w:p>
      <w:pPr>
        <w:spacing w:after="0" w:line="231" w:lineRule="exact"/>
        <w:rPr>
          <w:rFonts w:ascii="Arial" w:cs="Arial" w:eastAsia="Arial" w:hAnsi="Arial"/>
          <w:sz w:val="17"/>
          <w:szCs w:val="17"/>
          <w:color w:val="auto"/>
        </w:rPr>
      </w:pPr>
    </w:p>
    <w:p>
      <w:pPr>
        <w:ind w:left="600" w:hanging="29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Executive Compensation Committee Charter; and</w:t>
      </w:r>
    </w:p>
    <w:p>
      <w:pPr>
        <w:spacing w:after="0" w:line="231" w:lineRule="exact"/>
        <w:rPr>
          <w:rFonts w:ascii="Arial" w:cs="Arial" w:eastAsia="Arial" w:hAnsi="Arial"/>
          <w:sz w:val="17"/>
          <w:szCs w:val="17"/>
          <w:color w:val="auto"/>
        </w:rPr>
      </w:pPr>
    </w:p>
    <w:p>
      <w:pPr>
        <w:ind w:left="600" w:hanging="29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Corporate Governance and Nominating Committee Charter.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3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information required for this Item is incorporated by reference herein from the “Compensation of Directors and Executive Officers,” the “Compensation Discussion and Analysis”, the “Executive Compensation Committee Report” and the “Director Compensation 2010” sections in our 2011 Proxy Statement.</w:t>
      </w:r>
    </w:p>
    <w:p>
      <w:pPr>
        <w:spacing w:after="0" w:line="391"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information required for this Item is incorporated by reference herein from the “Ownership of ALLETE Common Stock – Securities Owned by Certain Beneficial Owners,” the “Ownership of ALLETE Common Stock – Securities Owned by Directors and Management” and the “Equity Compensation Plan Information” sections in our 2011 Proxy Statement.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2011 Proxy Statement.</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21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2011 Proxy Statement.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Part IV</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36" w:lineRule="exact"/>
        <w:rPr>
          <w:sz w:val="20"/>
          <w:szCs w:val="20"/>
          <w:color w:val="auto"/>
        </w:rPr>
      </w:pPr>
    </w:p>
    <w:p>
      <w:pPr>
        <w:ind w:left="580" w:hanging="579"/>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6145" cy="12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380" w:type="dxa"/>
            <w:vAlign w:val="bottom"/>
          </w:tcPr>
          <w:p>
            <w:pPr>
              <w:jc w:val="right"/>
              <w:ind w:right="96"/>
              <w:spacing w:after="0"/>
              <w:rPr>
                <w:sz w:val="20"/>
                <w:szCs w:val="20"/>
                <w:color w:val="auto"/>
              </w:rPr>
            </w:pPr>
            <w:r>
              <w:rPr>
                <w:rFonts w:ascii="Arial" w:cs="Arial" w:eastAsia="Arial" w:hAnsi="Arial"/>
                <w:sz w:val="17"/>
                <w:szCs w:val="17"/>
                <w:color w:val="auto"/>
                <w:w w:val="86"/>
              </w:rPr>
              <w:t>(1)</w:t>
            </w:r>
          </w:p>
        </w:tc>
        <w:tc>
          <w:tcPr>
            <w:tcW w:w="7960" w:type="dxa"/>
            <w:vAlign w:val="bottom"/>
          </w:tcPr>
          <w:p>
            <w:pPr>
              <w:ind w:left="200"/>
              <w:spacing w:after="0"/>
              <w:rPr>
                <w:sz w:val="20"/>
                <w:szCs w:val="20"/>
                <w:color w:val="auto"/>
              </w:rPr>
            </w:pPr>
            <w:r>
              <w:rPr>
                <w:rFonts w:ascii="Arial" w:cs="Arial" w:eastAsia="Arial" w:hAnsi="Arial"/>
                <w:sz w:val="17"/>
                <w:szCs w:val="17"/>
                <w:color w:val="auto"/>
              </w:rPr>
              <w:t>Financial Statements</w:t>
            </w:r>
          </w:p>
        </w:tc>
        <w:tc>
          <w:tcPr>
            <w:tcW w:w="3080" w:type="dxa"/>
            <w:vAlign w:val="bottom"/>
          </w:tcPr>
          <w:p>
            <w:pPr>
              <w:jc w:val="right"/>
              <w:ind w:right="36"/>
              <w:spacing w:after="0"/>
              <w:rPr>
                <w:sz w:val="20"/>
                <w:szCs w:val="20"/>
                <w:color w:val="auto"/>
              </w:rPr>
            </w:pPr>
            <w:r>
              <w:rPr>
                <w:rFonts w:ascii="Arial" w:cs="Arial" w:eastAsia="Arial" w:hAnsi="Arial"/>
                <w:sz w:val="17"/>
                <w:szCs w:val="17"/>
                <w:color w:val="auto"/>
              </w:rPr>
              <w:t>Page</w:t>
            </w:r>
          </w:p>
        </w:tc>
      </w:tr>
      <w:tr>
        <w:trPr>
          <w:trHeight w:val="201"/>
        </w:trPr>
        <w:tc>
          <w:tcPr>
            <w:tcW w:w="380" w:type="dxa"/>
            <w:vAlign w:val="bottom"/>
            <w:shd w:val="clear" w:color="auto" w:fill="CCEEFF"/>
          </w:tcPr>
          <w:p>
            <w:pPr>
              <w:spacing w:after="0"/>
              <w:rPr>
                <w:sz w:val="17"/>
                <w:szCs w:val="17"/>
                <w:color w:val="auto"/>
              </w:rPr>
            </w:pPr>
          </w:p>
        </w:tc>
        <w:tc>
          <w:tcPr>
            <w:tcW w:w="7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ALLETE</w:t>
            </w:r>
          </w:p>
        </w:tc>
        <w:tc>
          <w:tcPr>
            <w:tcW w:w="3080" w:type="dxa"/>
            <w:vAlign w:val="bottom"/>
            <w:shd w:val="clear" w:color="auto" w:fill="CCEEFF"/>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7960" w:type="dxa"/>
            <w:vAlign w:val="bottom"/>
          </w:tcPr>
          <w:p>
            <w:pPr>
              <w:ind w:left="440"/>
              <w:spacing w:after="0"/>
              <w:rPr>
                <w:sz w:val="20"/>
                <w:szCs w:val="20"/>
                <w:color w:val="auto"/>
              </w:rPr>
            </w:pPr>
            <w:r>
              <w:rPr>
                <w:rFonts w:ascii="Arial" w:cs="Arial" w:eastAsia="Arial" w:hAnsi="Arial"/>
                <w:sz w:val="17"/>
                <w:szCs w:val="17"/>
                <w:color w:val="auto"/>
              </w:rPr>
              <w:t>Report of Independent Registered Public Accounting Firm</w:t>
            </w:r>
          </w:p>
        </w:tc>
        <w:tc>
          <w:tcPr>
            <w:tcW w:w="30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1"/>
        </w:trPr>
        <w:tc>
          <w:tcPr>
            <w:tcW w:w="380" w:type="dxa"/>
            <w:vAlign w:val="bottom"/>
            <w:shd w:val="clear" w:color="auto" w:fill="CCEEFF"/>
          </w:tcPr>
          <w:p>
            <w:pPr>
              <w:spacing w:after="0"/>
              <w:rPr>
                <w:sz w:val="17"/>
                <w:szCs w:val="17"/>
                <w:color w:val="auto"/>
              </w:rPr>
            </w:pPr>
          </w:p>
        </w:tc>
        <w:tc>
          <w:tcPr>
            <w:tcW w:w="7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Consolidated Balance Sheet at December 31, 2010 and 2009</w:t>
            </w:r>
          </w:p>
        </w:tc>
        <w:tc>
          <w:tcPr>
            <w:tcW w:w="3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01"/>
        </w:trPr>
        <w:tc>
          <w:tcPr>
            <w:tcW w:w="380" w:type="dxa"/>
            <w:vAlign w:val="bottom"/>
          </w:tcPr>
          <w:p>
            <w:pPr>
              <w:spacing w:after="0"/>
              <w:rPr>
                <w:sz w:val="17"/>
                <w:szCs w:val="17"/>
                <w:color w:val="auto"/>
              </w:rPr>
            </w:pPr>
          </w:p>
        </w:tc>
        <w:tc>
          <w:tcPr>
            <w:tcW w:w="7960" w:type="dxa"/>
            <w:vAlign w:val="bottom"/>
          </w:tcPr>
          <w:p>
            <w:pPr>
              <w:ind w:left="440"/>
              <w:spacing w:after="0"/>
              <w:rPr>
                <w:sz w:val="20"/>
                <w:szCs w:val="20"/>
                <w:color w:val="auto"/>
              </w:rPr>
            </w:pPr>
            <w:r>
              <w:rPr>
                <w:rFonts w:ascii="Arial" w:cs="Arial" w:eastAsia="Arial" w:hAnsi="Arial"/>
                <w:sz w:val="17"/>
                <w:szCs w:val="17"/>
                <w:color w:val="auto"/>
              </w:rPr>
              <w:t>For the Three Years Ended December 31, 2010</w:t>
            </w:r>
          </w:p>
        </w:tc>
        <w:tc>
          <w:tcPr>
            <w:tcW w:w="3080" w:type="dxa"/>
            <w:vAlign w:val="bottom"/>
          </w:tcPr>
          <w:p>
            <w:pPr>
              <w:spacing w:after="0"/>
              <w:rPr>
                <w:sz w:val="17"/>
                <w:szCs w:val="17"/>
                <w:color w:val="auto"/>
              </w:rPr>
            </w:pPr>
          </w:p>
        </w:tc>
      </w:tr>
      <w:tr>
        <w:trPr>
          <w:trHeight w:val="201"/>
        </w:trPr>
        <w:tc>
          <w:tcPr>
            <w:tcW w:w="380" w:type="dxa"/>
            <w:vAlign w:val="bottom"/>
            <w:shd w:val="clear" w:color="auto" w:fill="CCEEFF"/>
          </w:tcPr>
          <w:p>
            <w:pPr>
              <w:spacing w:after="0"/>
              <w:rPr>
                <w:sz w:val="17"/>
                <w:szCs w:val="17"/>
                <w:color w:val="auto"/>
              </w:rPr>
            </w:pPr>
          </w:p>
        </w:tc>
        <w:tc>
          <w:tcPr>
            <w:tcW w:w="79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Consolidated Statement of Income</w:t>
            </w:r>
          </w:p>
        </w:tc>
        <w:tc>
          <w:tcPr>
            <w:tcW w:w="3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1"/>
        </w:trPr>
        <w:tc>
          <w:tcPr>
            <w:tcW w:w="380" w:type="dxa"/>
            <w:vAlign w:val="bottom"/>
          </w:tcPr>
          <w:p>
            <w:pPr>
              <w:spacing w:after="0"/>
              <w:rPr>
                <w:sz w:val="17"/>
                <w:szCs w:val="17"/>
                <w:color w:val="auto"/>
              </w:rPr>
            </w:pPr>
          </w:p>
        </w:tc>
        <w:tc>
          <w:tcPr>
            <w:tcW w:w="7960" w:type="dxa"/>
            <w:vAlign w:val="bottom"/>
          </w:tcPr>
          <w:p>
            <w:pPr>
              <w:ind w:left="660"/>
              <w:spacing w:after="0"/>
              <w:rPr>
                <w:sz w:val="20"/>
                <w:szCs w:val="20"/>
                <w:color w:val="auto"/>
              </w:rPr>
            </w:pPr>
            <w:r>
              <w:rPr>
                <w:rFonts w:ascii="Arial" w:cs="Arial" w:eastAsia="Arial" w:hAnsi="Arial"/>
                <w:sz w:val="17"/>
                <w:szCs w:val="17"/>
                <w:color w:val="auto"/>
              </w:rPr>
              <w:t>Consolidated Statement of Cash Flows</w:t>
            </w:r>
          </w:p>
        </w:tc>
        <w:tc>
          <w:tcPr>
            <w:tcW w:w="30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1"/>
        </w:trPr>
        <w:tc>
          <w:tcPr>
            <w:tcW w:w="380" w:type="dxa"/>
            <w:vAlign w:val="bottom"/>
            <w:shd w:val="clear" w:color="auto" w:fill="CCEEFF"/>
          </w:tcPr>
          <w:p>
            <w:pPr>
              <w:spacing w:after="0"/>
              <w:rPr>
                <w:sz w:val="17"/>
                <w:szCs w:val="17"/>
                <w:color w:val="auto"/>
              </w:rPr>
            </w:pPr>
          </w:p>
        </w:tc>
        <w:tc>
          <w:tcPr>
            <w:tcW w:w="79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Consolidated Statement of Shareholders’ Equity</w:t>
            </w:r>
          </w:p>
        </w:tc>
        <w:tc>
          <w:tcPr>
            <w:tcW w:w="3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1"/>
        </w:trPr>
        <w:tc>
          <w:tcPr>
            <w:tcW w:w="380" w:type="dxa"/>
            <w:vAlign w:val="bottom"/>
          </w:tcPr>
          <w:p>
            <w:pPr>
              <w:spacing w:after="0"/>
              <w:rPr>
                <w:sz w:val="17"/>
                <w:szCs w:val="17"/>
                <w:color w:val="auto"/>
              </w:rPr>
            </w:pPr>
          </w:p>
        </w:tc>
        <w:tc>
          <w:tcPr>
            <w:tcW w:w="7960" w:type="dxa"/>
            <w:vAlign w:val="bottom"/>
          </w:tcPr>
          <w:p>
            <w:pPr>
              <w:ind w:left="440"/>
              <w:spacing w:after="0"/>
              <w:rPr>
                <w:sz w:val="20"/>
                <w:szCs w:val="20"/>
                <w:color w:val="auto"/>
              </w:rPr>
            </w:pPr>
            <w:r>
              <w:rPr>
                <w:rFonts w:ascii="Arial" w:cs="Arial" w:eastAsia="Arial" w:hAnsi="Arial"/>
                <w:sz w:val="17"/>
                <w:szCs w:val="17"/>
                <w:color w:val="auto"/>
              </w:rPr>
              <w:t>Notes to Consolidated Financial Statements</w:t>
            </w:r>
          </w:p>
        </w:tc>
        <w:tc>
          <w:tcPr>
            <w:tcW w:w="30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1"/>
        </w:trPr>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6"/>
              </w:rPr>
              <w:t>(2)</w:t>
            </w:r>
          </w:p>
        </w:tc>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Financial Statement Schedules</w:t>
            </w:r>
          </w:p>
        </w:tc>
        <w:tc>
          <w:tcPr>
            <w:tcW w:w="3080" w:type="dxa"/>
            <w:vAlign w:val="bottom"/>
            <w:shd w:val="clear" w:color="auto" w:fill="CCEEFF"/>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7960" w:type="dxa"/>
            <w:vAlign w:val="bottom"/>
          </w:tcPr>
          <w:p>
            <w:pPr>
              <w:ind w:left="440"/>
              <w:spacing w:after="0"/>
              <w:rPr>
                <w:sz w:val="20"/>
                <w:szCs w:val="20"/>
                <w:color w:val="auto"/>
              </w:rPr>
            </w:pPr>
            <w:r>
              <w:rPr>
                <w:rFonts w:ascii="Arial" w:cs="Arial" w:eastAsia="Arial" w:hAnsi="Arial"/>
                <w:sz w:val="17"/>
                <w:szCs w:val="17"/>
                <w:color w:val="auto"/>
              </w:rPr>
              <w:t>Schedule II – ALLETE Valuation and Qualifying Accounts and Reserves</w:t>
            </w:r>
          </w:p>
        </w:tc>
        <w:tc>
          <w:tcPr>
            <w:tcW w:w="308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189"/>
        </w:trPr>
        <w:tc>
          <w:tcPr>
            <w:tcW w:w="380" w:type="dxa"/>
            <w:vAlign w:val="bottom"/>
            <w:shd w:val="clear" w:color="auto" w:fill="CCEEFF"/>
          </w:tcPr>
          <w:p>
            <w:pPr>
              <w:spacing w:after="0"/>
              <w:rPr>
                <w:sz w:val="16"/>
                <w:szCs w:val="16"/>
                <w:color w:val="auto"/>
              </w:rPr>
            </w:pPr>
          </w:p>
        </w:tc>
        <w:tc>
          <w:tcPr>
            <w:tcW w:w="110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w w:val="92"/>
              </w:rPr>
              <w:t>All other schedules have been omitted either because the information is not required to be reported by ALLETE or because the information is included in the</w:t>
            </w:r>
          </w:p>
        </w:tc>
      </w:tr>
      <w:tr>
        <w:trPr>
          <w:trHeight w:val="214"/>
        </w:trPr>
        <w:tc>
          <w:tcPr>
            <w:tcW w:w="380" w:type="dxa"/>
            <w:vAlign w:val="bottom"/>
            <w:shd w:val="clear" w:color="auto" w:fill="CCEEFF"/>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consolidated financial statements or the notes.</w:t>
            </w:r>
          </w:p>
        </w:tc>
        <w:tc>
          <w:tcPr>
            <w:tcW w:w="3080" w:type="dxa"/>
            <w:vAlign w:val="bottom"/>
            <w:shd w:val="clear" w:color="auto" w:fill="CCEEFF"/>
          </w:tcPr>
          <w:p>
            <w:pPr>
              <w:spacing w:after="0"/>
              <w:rPr>
                <w:sz w:val="18"/>
                <w:szCs w:val="18"/>
                <w:color w:val="auto"/>
              </w:rPr>
            </w:pPr>
          </w:p>
        </w:tc>
      </w:tr>
    </w:tbl>
    <w:p>
      <w:pPr>
        <w:ind w:left="580" w:hanging="579"/>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Exhibits including those incorporated by reference.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20" w:type="dxa"/>
            <w:vAlign w:val="bottom"/>
          </w:tcPr>
          <w:p>
            <w:pPr>
              <w:spacing w:after="0"/>
              <w:rPr>
                <w:sz w:val="20"/>
                <w:szCs w:val="20"/>
                <w:color w:val="auto"/>
              </w:rPr>
            </w:pPr>
            <w:r>
              <w:rPr>
                <w:rFonts w:ascii="Arial" w:cs="Arial" w:eastAsia="Arial" w:hAnsi="Arial"/>
                <w:sz w:val="17"/>
                <w:szCs w:val="17"/>
                <w:b w:val="1"/>
                <w:bCs w:val="1"/>
                <w:color w:val="auto"/>
              </w:rPr>
              <w:t>Exhibit Number</w:t>
            </w:r>
          </w:p>
        </w:tc>
        <w:tc>
          <w:tcPr>
            <w:tcW w:w="2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1"/>
        </w:trPr>
        <w:tc>
          <w:tcPr>
            <w:tcW w:w="1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*3(a)1</w:t>
            </w:r>
          </w:p>
        </w:tc>
        <w:tc>
          <w:tcPr>
            <w:tcW w:w="10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w w:val="93"/>
              </w:rPr>
              <w:t>-   Articles of Incorporation amended and restated as of May 8, 2001 (filed as Exhibit 3(b) to the March 31, 2001, Form 10-Q, File No. 1-3548).</w:t>
            </w:r>
          </w:p>
        </w:tc>
      </w:tr>
      <w:tr>
        <w:trPr>
          <w:trHeight w:val="201"/>
        </w:trPr>
        <w:tc>
          <w:tcPr>
            <w:tcW w:w="1320" w:type="dxa"/>
            <w:vAlign w:val="bottom"/>
          </w:tcPr>
          <w:p>
            <w:pPr>
              <w:ind w:left="260"/>
              <w:spacing w:after="0"/>
              <w:rPr>
                <w:sz w:val="20"/>
                <w:szCs w:val="20"/>
                <w:color w:val="auto"/>
              </w:rPr>
            </w:pPr>
            <w:r>
              <w:rPr>
                <w:rFonts w:ascii="Arial" w:cs="Arial" w:eastAsia="Arial" w:hAnsi="Arial"/>
                <w:sz w:val="17"/>
                <w:szCs w:val="17"/>
                <w:color w:val="auto"/>
              </w:rPr>
              <w:t>*3(a)2</w:t>
            </w:r>
          </w:p>
        </w:tc>
        <w:tc>
          <w:tcPr>
            <w:tcW w:w="10100" w:type="dxa"/>
            <w:vAlign w:val="bottom"/>
            <w:gridSpan w:val="4"/>
          </w:tcPr>
          <w:p>
            <w:pPr>
              <w:ind w:left="160"/>
              <w:spacing w:after="0"/>
              <w:rPr>
                <w:sz w:val="20"/>
                <w:szCs w:val="20"/>
                <w:color w:val="auto"/>
              </w:rPr>
            </w:pPr>
            <w:r>
              <w:rPr>
                <w:rFonts w:ascii="Arial" w:cs="Arial" w:eastAsia="Arial" w:hAnsi="Arial"/>
                <w:sz w:val="17"/>
                <w:szCs w:val="17"/>
                <w:color w:val="auto"/>
                <w:w w:val="95"/>
              </w:rPr>
              <w:t>-   Amendment to Articles of Incorporation, dated as of May 12, 2009 (filed as Exhibit 3 to the June 30, 2009, Form 10-Q, File No. 1-3548).</w:t>
            </w:r>
          </w:p>
        </w:tc>
      </w:tr>
      <w:tr>
        <w:trPr>
          <w:trHeight w:val="201"/>
        </w:trPr>
        <w:tc>
          <w:tcPr>
            <w:tcW w:w="1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*3(a)3</w:t>
            </w:r>
          </w:p>
        </w:tc>
        <w:tc>
          <w:tcPr>
            <w:tcW w:w="10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w w:val="95"/>
              </w:rPr>
              <w:t>-   Amendment to Articles of Incorporation, dated as of May 19, 2010 (filed as Exhibit 3(a) to the May 14, 2010, Form 8-K, File No. 1-3548).</w:t>
            </w:r>
          </w:p>
        </w:tc>
      </w:tr>
      <w:tr>
        <w:trPr>
          <w:trHeight w:val="189"/>
        </w:trPr>
        <w:tc>
          <w:tcPr>
            <w:tcW w:w="1320" w:type="dxa"/>
            <w:vAlign w:val="bottom"/>
          </w:tcPr>
          <w:p>
            <w:pPr>
              <w:ind w:left="260"/>
              <w:spacing w:after="0" w:line="189" w:lineRule="exact"/>
              <w:rPr>
                <w:sz w:val="20"/>
                <w:szCs w:val="20"/>
                <w:color w:val="auto"/>
              </w:rPr>
            </w:pPr>
            <w:r>
              <w:rPr>
                <w:rFonts w:ascii="Arial" w:cs="Arial" w:eastAsia="Arial" w:hAnsi="Arial"/>
                <w:sz w:val="17"/>
                <w:szCs w:val="17"/>
                <w:color w:val="auto"/>
              </w:rPr>
              <w:t>*3(a)4</w:t>
            </w:r>
          </w:p>
        </w:tc>
        <w:tc>
          <w:tcPr>
            <w:tcW w:w="10100" w:type="dxa"/>
            <w:vAlign w:val="bottom"/>
            <w:gridSpan w:val="4"/>
          </w:tcPr>
          <w:p>
            <w:pPr>
              <w:ind w:left="160"/>
              <w:spacing w:after="0" w:line="189" w:lineRule="exact"/>
              <w:rPr>
                <w:sz w:val="20"/>
                <w:szCs w:val="20"/>
                <w:color w:val="auto"/>
              </w:rPr>
            </w:pPr>
            <w:r>
              <w:rPr>
                <w:rFonts w:ascii="Arial" w:cs="Arial" w:eastAsia="Arial" w:hAnsi="Arial"/>
                <w:sz w:val="17"/>
                <w:szCs w:val="17"/>
                <w:color w:val="auto"/>
                <w:w w:val="93"/>
              </w:rPr>
              <w:t>-   Amendment to Certificate of Assumed Name, filed with the Minnesota Secretary of State on May 8, 2001 (filed as Exhibit 3(a) to the March</w:t>
            </w:r>
          </w:p>
        </w:tc>
      </w:tr>
      <w:tr>
        <w:trPr>
          <w:trHeight w:val="213"/>
        </w:trPr>
        <w:tc>
          <w:tcPr>
            <w:tcW w:w="13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7"/>
                <w:szCs w:val="17"/>
                <w:color w:val="auto"/>
              </w:rPr>
              <w:t>31, 2001, Form 10-Q, File No. 1-3548).</w:t>
            </w:r>
          </w:p>
        </w:tc>
        <w:tc>
          <w:tcPr>
            <w:tcW w:w="3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1"/>
        </w:trPr>
        <w:tc>
          <w:tcPr>
            <w:tcW w:w="1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*3(b)</w:t>
            </w:r>
          </w:p>
        </w:tc>
        <w:tc>
          <w:tcPr>
            <w:tcW w:w="8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5"/>
              </w:rPr>
              <w:t>-   Bylaws, as amended effective May 11, 2010 (filed as Exhibit 3(b) to the May 14, 2010, Form 8-K, File No. 1-3548).</w:t>
            </w:r>
          </w:p>
        </w:tc>
        <w:tc>
          <w:tcPr>
            <w:tcW w:w="1540" w:type="dxa"/>
            <w:vAlign w:val="bottom"/>
            <w:shd w:val="clear" w:color="auto" w:fill="CCEEFF"/>
          </w:tcPr>
          <w:p>
            <w:pPr>
              <w:spacing w:after="0"/>
              <w:rPr>
                <w:sz w:val="17"/>
                <w:szCs w:val="17"/>
                <w:color w:val="auto"/>
              </w:rPr>
            </w:pPr>
          </w:p>
        </w:tc>
      </w:tr>
      <w:tr>
        <w:trPr>
          <w:trHeight w:val="189"/>
        </w:trPr>
        <w:tc>
          <w:tcPr>
            <w:tcW w:w="1320" w:type="dxa"/>
            <w:vAlign w:val="bottom"/>
          </w:tcPr>
          <w:p>
            <w:pPr>
              <w:ind w:left="260"/>
              <w:spacing w:after="0" w:line="189" w:lineRule="exact"/>
              <w:rPr>
                <w:sz w:val="20"/>
                <w:szCs w:val="20"/>
                <w:color w:val="auto"/>
              </w:rPr>
            </w:pPr>
            <w:r>
              <w:rPr>
                <w:rFonts w:ascii="Arial" w:cs="Arial" w:eastAsia="Arial" w:hAnsi="Arial"/>
                <w:sz w:val="17"/>
                <w:szCs w:val="17"/>
                <w:color w:val="auto"/>
              </w:rPr>
              <w:t>*4(a)1</w:t>
            </w:r>
          </w:p>
        </w:tc>
        <w:tc>
          <w:tcPr>
            <w:tcW w:w="10100" w:type="dxa"/>
            <w:vAlign w:val="bottom"/>
            <w:gridSpan w:val="4"/>
          </w:tcPr>
          <w:p>
            <w:pPr>
              <w:ind w:left="160"/>
              <w:spacing w:after="0" w:line="189" w:lineRule="exact"/>
              <w:rPr>
                <w:sz w:val="20"/>
                <w:szCs w:val="20"/>
                <w:color w:val="auto"/>
              </w:rPr>
            </w:pPr>
            <w:r>
              <w:rPr>
                <w:rFonts w:ascii="Arial" w:cs="Arial" w:eastAsia="Arial" w:hAnsi="Arial"/>
                <w:sz w:val="17"/>
                <w:szCs w:val="17"/>
                <w:color w:val="auto"/>
                <w:w w:val="93"/>
              </w:rPr>
              <w:t>-   Mortgage and Deed of Trust, dated as of September 1, 1945, between Minnesota Power &amp; Light Company (now ALLETE) and The Bank of</w:t>
            </w:r>
          </w:p>
        </w:tc>
      </w:tr>
      <w:tr>
        <w:trPr>
          <w:trHeight w:val="201"/>
        </w:trPr>
        <w:tc>
          <w:tcPr>
            <w:tcW w:w="1320" w:type="dxa"/>
            <w:vAlign w:val="bottom"/>
          </w:tcPr>
          <w:p>
            <w:pPr>
              <w:spacing w:after="0"/>
              <w:rPr>
                <w:sz w:val="17"/>
                <w:szCs w:val="17"/>
                <w:color w:val="auto"/>
              </w:rPr>
            </w:pPr>
          </w:p>
        </w:tc>
        <w:tc>
          <w:tcPr>
            <w:tcW w:w="10100" w:type="dxa"/>
            <w:vAlign w:val="bottom"/>
            <w:gridSpan w:val="4"/>
          </w:tcPr>
          <w:p>
            <w:pPr>
              <w:ind w:left="420"/>
              <w:spacing w:after="0"/>
              <w:rPr>
                <w:sz w:val="20"/>
                <w:szCs w:val="20"/>
                <w:color w:val="auto"/>
              </w:rPr>
            </w:pPr>
            <w:r>
              <w:rPr>
                <w:rFonts w:ascii="Arial" w:cs="Arial" w:eastAsia="Arial" w:hAnsi="Arial"/>
                <w:sz w:val="17"/>
                <w:szCs w:val="17"/>
                <w:color w:val="auto"/>
                <w:w w:val="92"/>
              </w:rPr>
              <w:t>New York Mellon (formerly Irving Trust Company) and Ming Ryan (successor to Richard H. West), Trustees (filed as Exhibit 7(c), File No. 2-</w:t>
            </w:r>
          </w:p>
        </w:tc>
      </w:tr>
      <w:tr>
        <w:trPr>
          <w:trHeight w:val="213"/>
        </w:trPr>
        <w:tc>
          <w:tcPr>
            <w:tcW w:w="1320" w:type="dxa"/>
            <w:vAlign w:val="bottom"/>
          </w:tcPr>
          <w:p>
            <w:pPr>
              <w:spacing w:after="0"/>
              <w:rPr>
                <w:sz w:val="18"/>
                <w:szCs w:val="18"/>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5865).</w:t>
            </w:r>
          </w:p>
        </w:tc>
        <w:tc>
          <w:tcPr>
            <w:tcW w:w="30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1"/>
        </w:trPr>
        <w:tc>
          <w:tcPr>
            <w:tcW w:w="1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*4(a)2</w:t>
            </w:r>
          </w:p>
        </w:tc>
        <w:tc>
          <w:tcPr>
            <w:tcW w:w="5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2"/>
              </w:rPr>
              <w:t>-   Supplemental Indentures to ALLETE’s Mortgage and Deed of Trust:</w:t>
            </w:r>
          </w:p>
        </w:tc>
        <w:tc>
          <w:tcPr>
            <w:tcW w:w="35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3020" w:type="dxa"/>
            <w:vAlign w:val="bottom"/>
          </w:tcPr>
          <w:p>
            <w:pPr>
              <w:ind w:left="560"/>
              <w:spacing w:after="0"/>
              <w:rPr>
                <w:sz w:val="20"/>
                <w:szCs w:val="20"/>
                <w:color w:val="auto"/>
              </w:rPr>
            </w:pPr>
            <w:r>
              <w:rPr>
                <w:rFonts w:ascii="Arial" w:cs="Arial" w:eastAsia="Arial" w:hAnsi="Arial"/>
                <w:sz w:val="17"/>
                <w:szCs w:val="17"/>
                <w:b w:val="1"/>
                <w:bCs w:val="1"/>
                <w:color w:val="auto"/>
              </w:rPr>
              <w:t>Dated as of</w:t>
            </w:r>
          </w:p>
        </w:tc>
        <w:tc>
          <w:tcPr>
            <w:tcW w:w="3500" w:type="dxa"/>
            <w:vAlign w:val="bottom"/>
          </w:tcPr>
          <w:p>
            <w:pPr>
              <w:spacing w:after="0"/>
              <w:rPr>
                <w:sz w:val="20"/>
                <w:szCs w:val="20"/>
                <w:color w:val="auto"/>
              </w:rPr>
            </w:pPr>
            <w:r>
              <w:rPr>
                <w:rFonts w:ascii="Arial" w:cs="Arial" w:eastAsia="Arial" w:hAnsi="Arial"/>
                <w:sz w:val="17"/>
                <w:szCs w:val="17"/>
                <w:b w:val="1"/>
                <w:bCs w:val="1"/>
                <w:color w:val="auto"/>
              </w:rPr>
              <w:t>Reference File</w:t>
            </w:r>
          </w:p>
        </w:tc>
        <w:tc>
          <w:tcPr>
            <w:tcW w:w="1540" w:type="dxa"/>
            <w:vAlign w:val="bottom"/>
          </w:tcPr>
          <w:p>
            <w:pPr>
              <w:ind w:left="320"/>
              <w:spacing w:after="0"/>
              <w:rPr>
                <w:sz w:val="20"/>
                <w:szCs w:val="20"/>
                <w:color w:val="auto"/>
              </w:rPr>
            </w:pPr>
            <w:r>
              <w:rPr>
                <w:rFonts w:ascii="Arial" w:cs="Arial" w:eastAsia="Arial" w:hAnsi="Arial"/>
                <w:sz w:val="17"/>
                <w:szCs w:val="17"/>
                <w:b w:val="1"/>
                <w:bCs w:val="1"/>
                <w:color w:val="auto"/>
              </w:rPr>
              <w:t>Exhibit</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March 1, 1949</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2-7826</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7(b)</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Second</w:t>
            </w:r>
          </w:p>
        </w:tc>
        <w:tc>
          <w:tcPr>
            <w:tcW w:w="3020" w:type="dxa"/>
            <w:vAlign w:val="bottom"/>
          </w:tcPr>
          <w:p>
            <w:pPr>
              <w:ind w:left="560"/>
              <w:spacing w:after="0"/>
              <w:rPr>
                <w:sz w:val="20"/>
                <w:szCs w:val="20"/>
                <w:color w:val="auto"/>
              </w:rPr>
            </w:pPr>
            <w:r>
              <w:rPr>
                <w:rFonts w:ascii="Arial" w:cs="Arial" w:eastAsia="Arial" w:hAnsi="Arial"/>
                <w:sz w:val="17"/>
                <w:szCs w:val="17"/>
                <w:color w:val="auto"/>
              </w:rPr>
              <w:t>July 1, 1951</w:t>
            </w:r>
          </w:p>
        </w:tc>
        <w:tc>
          <w:tcPr>
            <w:tcW w:w="3500" w:type="dxa"/>
            <w:vAlign w:val="bottom"/>
          </w:tcPr>
          <w:p>
            <w:pPr>
              <w:spacing w:after="0"/>
              <w:rPr>
                <w:sz w:val="20"/>
                <w:szCs w:val="20"/>
                <w:color w:val="auto"/>
              </w:rPr>
            </w:pPr>
            <w:r>
              <w:rPr>
                <w:rFonts w:ascii="Arial" w:cs="Arial" w:eastAsia="Arial" w:hAnsi="Arial"/>
                <w:sz w:val="17"/>
                <w:szCs w:val="17"/>
                <w:color w:val="auto"/>
              </w:rPr>
              <w:t>2-9036</w:t>
            </w:r>
          </w:p>
        </w:tc>
        <w:tc>
          <w:tcPr>
            <w:tcW w:w="1540" w:type="dxa"/>
            <w:vAlign w:val="bottom"/>
          </w:tcPr>
          <w:p>
            <w:pPr>
              <w:ind w:left="320"/>
              <w:spacing w:after="0"/>
              <w:rPr>
                <w:sz w:val="20"/>
                <w:szCs w:val="20"/>
                <w:color w:val="auto"/>
              </w:rPr>
            </w:pPr>
            <w:r>
              <w:rPr>
                <w:rFonts w:ascii="Arial" w:cs="Arial" w:eastAsia="Arial" w:hAnsi="Arial"/>
                <w:sz w:val="17"/>
                <w:szCs w:val="17"/>
                <w:color w:val="auto"/>
              </w:rPr>
              <w:t>7(c)</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Third</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March 1, 1957</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2-13075</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Fourth</w:t>
            </w:r>
          </w:p>
        </w:tc>
        <w:tc>
          <w:tcPr>
            <w:tcW w:w="3020" w:type="dxa"/>
            <w:vAlign w:val="bottom"/>
          </w:tcPr>
          <w:p>
            <w:pPr>
              <w:ind w:left="560"/>
              <w:spacing w:after="0"/>
              <w:rPr>
                <w:sz w:val="20"/>
                <w:szCs w:val="20"/>
                <w:color w:val="auto"/>
              </w:rPr>
            </w:pPr>
            <w:r>
              <w:rPr>
                <w:rFonts w:ascii="Arial" w:cs="Arial" w:eastAsia="Arial" w:hAnsi="Arial"/>
                <w:sz w:val="17"/>
                <w:szCs w:val="17"/>
                <w:color w:val="auto"/>
              </w:rPr>
              <w:t>January 1, 1968</w:t>
            </w:r>
          </w:p>
        </w:tc>
        <w:tc>
          <w:tcPr>
            <w:tcW w:w="3500" w:type="dxa"/>
            <w:vAlign w:val="bottom"/>
          </w:tcPr>
          <w:p>
            <w:pPr>
              <w:spacing w:after="0"/>
              <w:rPr>
                <w:sz w:val="20"/>
                <w:szCs w:val="20"/>
                <w:color w:val="auto"/>
              </w:rPr>
            </w:pPr>
            <w:r>
              <w:rPr>
                <w:rFonts w:ascii="Arial" w:cs="Arial" w:eastAsia="Arial" w:hAnsi="Arial"/>
                <w:sz w:val="17"/>
                <w:szCs w:val="17"/>
                <w:color w:val="auto"/>
              </w:rPr>
              <w:t>2-27794</w:t>
            </w:r>
          </w:p>
        </w:tc>
        <w:tc>
          <w:tcPr>
            <w:tcW w:w="1540" w:type="dxa"/>
            <w:vAlign w:val="bottom"/>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Fifth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April 1, 1971</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2-39537</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Sixth</w:t>
            </w:r>
          </w:p>
        </w:tc>
        <w:tc>
          <w:tcPr>
            <w:tcW w:w="3020" w:type="dxa"/>
            <w:vAlign w:val="bottom"/>
          </w:tcPr>
          <w:p>
            <w:pPr>
              <w:ind w:left="560"/>
              <w:spacing w:after="0"/>
              <w:rPr>
                <w:sz w:val="20"/>
                <w:szCs w:val="20"/>
                <w:color w:val="auto"/>
              </w:rPr>
            </w:pPr>
            <w:r>
              <w:rPr>
                <w:rFonts w:ascii="Arial" w:cs="Arial" w:eastAsia="Arial" w:hAnsi="Arial"/>
                <w:sz w:val="17"/>
                <w:szCs w:val="17"/>
                <w:color w:val="auto"/>
              </w:rPr>
              <w:t>August 1, 1975</w:t>
            </w:r>
          </w:p>
        </w:tc>
        <w:tc>
          <w:tcPr>
            <w:tcW w:w="3500" w:type="dxa"/>
            <w:vAlign w:val="bottom"/>
          </w:tcPr>
          <w:p>
            <w:pPr>
              <w:spacing w:after="0"/>
              <w:rPr>
                <w:sz w:val="20"/>
                <w:szCs w:val="20"/>
                <w:color w:val="auto"/>
              </w:rPr>
            </w:pPr>
            <w:r>
              <w:rPr>
                <w:rFonts w:ascii="Arial" w:cs="Arial" w:eastAsia="Arial" w:hAnsi="Arial"/>
                <w:sz w:val="17"/>
                <w:szCs w:val="17"/>
                <w:color w:val="auto"/>
              </w:rPr>
              <w:t>2-54116</w:t>
            </w:r>
          </w:p>
        </w:tc>
        <w:tc>
          <w:tcPr>
            <w:tcW w:w="1540" w:type="dxa"/>
            <w:vAlign w:val="bottom"/>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Seventh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September 1, 1976</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2-57014</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Eighth</w:t>
            </w:r>
          </w:p>
        </w:tc>
        <w:tc>
          <w:tcPr>
            <w:tcW w:w="3020" w:type="dxa"/>
            <w:vAlign w:val="bottom"/>
          </w:tcPr>
          <w:p>
            <w:pPr>
              <w:ind w:left="560"/>
              <w:spacing w:after="0"/>
              <w:rPr>
                <w:sz w:val="20"/>
                <w:szCs w:val="20"/>
                <w:color w:val="auto"/>
              </w:rPr>
            </w:pPr>
            <w:r>
              <w:rPr>
                <w:rFonts w:ascii="Arial" w:cs="Arial" w:eastAsia="Arial" w:hAnsi="Arial"/>
                <w:sz w:val="17"/>
                <w:szCs w:val="17"/>
                <w:color w:val="auto"/>
              </w:rPr>
              <w:t>September 1, 1977</w:t>
            </w:r>
          </w:p>
        </w:tc>
        <w:tc>
          <w:tcPr>
            <w:tcW w:w="3500" w:type="dxa"/>
            <w:vAlign w:val="bottom"/>
          </w:tcPr>
          <w:p>
            <w:pPr>
              <w:spacing w:after="0"/>
              <w:rPr>
                <w:sz w:val="20"/>
                <w:szCs w:val="20"/>
                <w:color w:val="auto"/>
              </w:rPr>
            </w:pPr>
            <w:r>
              <w:rPr>
                <w:rFonts w:ascii="Arial" w:cs="Arial" w:eastAsia="Arial" w:hAnsi="Arial"/>
                <w:sz w:val="17"/>
                <w:szCs w:val="17"/>
                <w:color w:val="auto"/>
              </w:rPr>
              <w:t>2-59690</w:t>
            </w:r>
          </w:p>
        </w:tc>
        <w:tc>
          <w:tcPr>
            <w:tcW w:w="1540" w:type="dxa"/>
            <w:vAlign w:val="bottom"/>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Ninth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April 1, 1978</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2-60866</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2(c)</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Tenth</w:t>
            </w:r>
          </w:p>
        </w:tc>
        <w:tc>
          <w:tcPr>
            <w:tcW w:w="3020" w:type="dxa"/>
            <w:vAlign w:val="bottom"/>
          </w:tcPr>
          <w:p>
            <w:pPr>
              <w:ind w:left="560"/>
              <w:spacing w:after="0"/>
              <w:rPr>
                <w:sz w:val="20"/>
                <w:szCs w:val="20"/>
                <w:color w:val="auto"/>
              </w:rPr>
            </w:pPr>
            <w:r>
              <w:rPr>
                <w:rFonts w:ascii="Arial" w:cs="Arial" w:eastAsia="Arial" w:hAnsi="Arial"/>
                <w:sz w:val="17"/>
                <w:szCs w:val="17"/>
                <w:color w:val="auto"/>
              </w:rPr>
              <w:t>August 1, 1978</w:t>
            </w:r>
          </w:p>
        </w:tc>
        <w:tc>
          <w:tcPr>
            <w:tcW w:w="3500" w:type="dxa"/>
            <w:vAlign w:val="bottom"/>
          </w:tcPr>
          <w:p>
            <w:pPr>
              <w:spacing w:after="0"/>
              <w:rPr>
                <w:sz w:val="20"/>
                <w:szCs w:val="20"/>
                <w:color w:val="auto"/>
              </w:rPr>
            </w:pPr>
            <w:r>
              <w:rPr>
                <w:rFonts w:ascii="Arial" w:cs="Arial" w:eastAsia="Arial" w:hAnsi="Arial"/>
                <w:sz w:val="17"/>
                <w:szCs w:val="17"/>
                <w:color w:val="auto"/>
              </w:rPr>
              <w:t>2-62852</w:t>
            </w:r>
          </w:p>
        </w:tc>
        <w:tc>
          <w:tcPr>
            <w:tcW w:w="1540" w:type="dxa"/>
            <w:vAlign w:val="bottom"/>
          </w:tcPr>
          <w:p>
            <w:pPr>
              <w:ind w:left="320"/>
              <w:spacing w:after="0"/>
              <w:rPr>
                <w:sz w:val="20"/>
                <w:szCs w:val="20"/>
                <w:color w:val="auto"/>
              </w:rPr>
            </w:pPr>
            <w:r>
              <w:rPr>
                <w:rFonts w:ascii="Arial" w:cs="Arial" w:eastAsia="Arial" w:hAnsi="Arial"/>
                <w:sz w:val="17"/>
                <w:szCs w:val="17"/>
                <w:color w:val="auto"/>
              </w:rPr>
              <w:t>2(d)2</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Eleventh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December 1, 1982</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2-56649</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4(a)3</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Twelfth</w:t>
            </w:r>
          </w:p>
        </w:tc>
        <w:tc>
          <w:tcPr>
            <w:tcW w:w="3020" w:type="dxa"/>
            <w:vAlign w:val="bottom"/>
          </w:tcPr>
          <w:p>
            <w:pPr>
              <w:ind w:left="560"/>
              <w:spacing w:after="0"/>
              <w:rPr>
                <w:sz w:val="20"/>
                <w:szCs w:val="20"/>
                <w:color w:val="auto"/>
              </w:rPr>
            </w:pPr>
            <w:r>
              <w:rPr>
                <w:rFonts w:ascii="Arial" w:cs="Arial" w:eastAsia="Arial" w:hAnsi="Arial"/>
                <w:sz w:val="17"/>
                <w:szCs w:val="17"/>
                <w:color w:val="auto"/>
              </w:rPr>
              <w:t>April 1, 1987</w:t>
            </w:r>
          </w:p>
        </w:tc>
        <w:tc>
          <w:tcPr>
            <w:tcW w:w="3500" w:type="dxa"/>
            <w:vAlign w:val="bottom"/>
          </w:tcPr>
          <w:p>
            <w:pPr>
              <w:spacing w:after="0"/>
              <w:rPr>
                <w:sz w:val="20"/>
                <w:szCs w:val="20"/>
                <w:color w:val="auto"/>
              </w:rPr>
            </w:pPr>
            <w:r>
              <w:rPr>
                <w:rFonts w:ascii="Arial" w:cs="Arial" w:eastAsia="Arial" w:hAnsi="Arial"/>
                <w:sz w:val="17"/>
                <w:szCs w:val="17"/>
                <w:color w:val="auto"/>
              </w:rPr>
              <w:t>33-30224</w:t>
            </w:r>
          </w:p>
        </w:tc>
        <w:tc>
          <w:tcPr>
            <w:tcW w:w="1540" w:type="dxa"/>
            <w:vAlign w:val="bottom"/>
          </w:tcPr>
          <w:p>
            <w:pPr>
              <w:ind w:left="320"/>
              <w:spacing w:after="0"/>
              <w:rPr>
                <w:sz w:val="20"/>
                <w:szCs w:val="20"/>
                <w:color w:val="auto"/>
              </w:rPr>
            </w:pPr>
            <w:r>
              <w:rPr>
                <w:rFonts w:ascii="Arial" w:cs="Arial" w:eastAsia="Arial" w:hAnsi="Arial"/>
                <w:sz w:val="17"/>
                <w:szCs w:val="17"/>
                <w:color w:val="auto"/>
              </w:rPr>
              <w:t>4(a)3</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Thirteenth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March 1, 1992</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33-47438</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4(b)</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Fourteenth</w:t>
            </w:r>
          </w:p>
        </w:tc>
        <w:tc>
          <w:tcPr>
            <w:tcW w:w="3020" w:type="dxa"/>
            <w:vAlign w:val="bottom"/>
          </w:tcPr>
          <w:p>
            <w:pPr>
              <w:ind w:left="560"/>
              <w:spacing w:after="0"/>
              <w:rPr>
                <w:sz w:val="20"/>
                <w:szCs w:val="20"/>
                <w:color w:val="auto"/>
              </w:rPr>
            </w:pPr>
            <w:r>
              <w:rPr>
                <w:rFonts w:ascii="Arial" w:cs="Arial" w:eastAsia="Arial" w:hAnsi="Arial"/>
                <w:sz w:val="17"/>
                <w:szCs w:val="17"/>
                <w:color w:val="auto"/>
              </w:rPr>
              <w:t>June 1, 1992</w:t>
            </w:r>
          </w:p>
        </w:tc>
        <w:tc>
          <w:tcPr>
            <w:tcW w:w="3500" w:type="dxa"/>
            <w:vAlign w:val="bottom"/>
          </w:tcPr>
          <w:p>
            <w:pPr>
              <w:spacing w:after="0"/>
              <w:rPr>
                <w:sz w:val="20"/>
                <w:szCs w:val="20"/>
                <w:color w:val="auto"/>
              </w:rPr>
            </w:pPr>
            <w:r>
              <w:rPr>
                <w:rFonts w:ascii="Arial" w:cs="Arial" w:eastAsia="Arial" w:hAnsi="Arial"/>
                <w:sz w:val="17"/>
                <w:szCs w:val="17"/>
                <w:color w:val="auto"/>
              </w:rPr>
              <w:t>33-55240</w:t>
            </w:r>
          </w:p>
        </w:tc>
        <w:tc>
          <w:tcPr>
            <w:tcW w:w="1540" w:type="dxa"/>
            <w:vAlign w:val="bottom"/>
          </w:tcPr>
          <w:p>
            <w:pPr>
              <w:ind w:left="320"/>
              <w:spacing w:after="0"/>
              <w:rPr>
                <w:sz w:val="20"/>
                <w:szCs w:val="20"/>
                <w:color w:val="auto"/>
              </w:rPr>
            </w:pPr>
            <w:r>
              <w:rPr>
                <w:rFonts w:ascii="Arial" w:cs="Arial" w:eastAsia="Arial" w:hAnsi="Arial"/>
                <w:sz w:val="17"/>
                <w:szCs w:val="17"/>
                <w:color w:val="auto"/>
              </w:rPr>
              <w:t>4(b)</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Fifteenth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July 1, 1992</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33-55240</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4(c)</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Sixteenth</w:t>
            </w:r>
          </w:p>
        </w:tc>
        <w:tc>
          <w:tcPr>
            <w:tcW w:w="3020" w:type="dxa"/>
            <w:vAlign w:val="bottom"/>
          </w:tcPr>
          <w:p>
            <w:pPr>
              <w:ind w:left="560"/>
              <w:spacing w:after="0"/>
              <w:rPr>
                <w:sz w:val="20"/>
                <w:szCs w:val="20"/>
                <w:color w:val="auto"/>
              </w:rPr>
            </w:pPr>
            <w:r>
              <w:rPr>
                <w:rFonts w:ascii="Arial" w:cs="Arial" w:eastAsia="Arial" w:hAnsi="Arial"/>
                <w:sz w:val="17"/>
                <w:szCs w:val="17"/>
                <w:color w:val="auto"/>
              </w:rPr>
              <w:t>July 1, 1992</w:t>
            </w:r>
          </w:p>
        </w:tc>
        <w:tc>
          <w:tcPr>
            <w:tcW w:w="3500" w:type="dxa"/>
            <w:vAlign w:val="bottom"/>
          </w:tcPr>
          <w:p>
            <w:pPr>
              <w:spacing w:after="0"/>
              <w:rPr>
                <w:sz w:val="20"/>
                <w:szCs w:val="20"/>
                <w:color w:val="auto"/>
              </w:rPr>
            </w:pPr>
            <w:r>
              <w:rPr>
                <w:rFonts w:ascii="Arial" w:cs="Arial" w:eastAsia="Arial" w:hAnsi="Arial"/>
                <w:sz w:val="17"/>
                <w:szCs w:val="17"/>
                <w:color w:val="auto"/>
              </w:rPr>
              <w:t>33-55240</w:t>
            </w:r>
          </w:p>
        </w:tc>
        <w:tc>
          <w:tcPr>
            <w:tcW w:w="1540" w:type="dxa"/>
            <w:vAlign w:val="bottom"/>
          </w:tcPr>
          <w:p>
            <w:pPr>
              <w:ind w:left="320"/>
              <w:spacing w:after="0"/>
              <w:rPr>
                <w:sz w:val="20"/>
                <w:szCs w:val="20"/>
                <w:color w:val="auto"/>
              </w:rPr>
            </w:pPr>
            <w:r>
              <w:rPr>
                <w:rFonts w:ascii="Arial" w:cs="Arial" w:eastAsia="Arial" w:hAnsi="Arial"/>
                <w:sz w:val="17"/>
                <w:szCs w:val="17"/>
                <w:color w:val="auto"/>
              </w:rPr>
              <w:t>4(d)</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Seventeenth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February 1, 1993</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33-50143</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4(b)</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Eighteenth</w:t>
            </w:r>
          </w:p>
        </w:tc>
        <w:tc>
          <w:tcPr>
            <w:tcW w:w="3020" w:type="dxa"/>
            <w:vAlign w:val="bottom"/>
          </w:tcPr>
          <w:p>
            <w:pPr>
              <w:ind w:left="560"/>
              <w:spacing w:after="0"/>
              <w:rPr>
                <w:sz w:val="20"/>
                <w:szCs w:val="20"/>
                <w:color w:val="auto"/>
              </w:rPr>
            </w:pPr>
            <w:r>
              <w:rPr>
                <w:rFonts w:ascii="Arial" w:cs="Arial" w:eastAsia="Arial" w:hAnsi="Arial"/>
                <w:sz w:val="17"/>
                <w:szCs w:val="17"/>
                <w:color w:val="auto"/>
              </w:rPr>
              <w:t>July 1, 1993</w:t>
            </w:r>
          </w:p>
        </w:tc>
        <w:tc>
          <w:tcPr>
            <w:tcW w:w="3500" w:type="dxa"/>
            <w:vAlign w:val="bottom"/>
          </w:tcPr>
          <w:p>
            <w:pPr>
              <w:spacing w:after="0"/>
              <w:rPr>
                <w:sz w:val="20"/>
                <w:szCs w:val="20"/>
                <w:color w:val="auto"/>
              </w:rPr>
            </w:pPr>
            <w:r>
              <w:rPr>
                <w:rFonts w:ascii="Arial" w:cs="Arial" w:eastAsia="Arial" w:hAnsi="Arial"/>
                <w:sz w:val="17"/>
                <w:szCs w:val="17"/>
                <w:color w:val="auto"/>
              </w:rPr>
              <w:t>33-50143</w:t>
            </w:r>
          </w:p>
        </w:tc>
        <w:tc>
          <w:tcPr>
            <w:tcW w:w="1540" w:type="dxa"/>
            <w:vAlign w:val="bottom"/>
          </w:tcPr>
          <w:p>
            <w:pPr>
              <w:ind w:left="320"/>
              <w:spacing w:after="0"/>
              <w:rPr>
                <w:sz w:val="20"/>
                <w:szCs w:val="20"/>
                <w:color w:val="auto"/>
              </w:rPr>
            </w:pPr>
            <w:r>
              <w:rPr>
                <w:rFonts w:ascii="Arial" w:cs="Arial" w:eastAsia="Arial" w:hAnsi="Arial"/>
                <w:sz w:val="17"/>
                <w:szCs w:val="17"/>
                <w:color w:val="auto"/>
              </w:rPr>
              <w:t>4(c)</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Nineteenth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February 1, 1997</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1-3548 (1996 Form 10-K)</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4(a)3</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Twentieth</w:t>
            </w:r>
          </w:p>
        </w:tc>
        <w:tc>
          <w:tcPr>
            <w:tcW w:w="3020" w:type="dxa"/>
            <w:vAlign w:val="bottom"/>
          </w:tcPr>
          <w:p>
            <w:pPr>
              <w:ind w:left="560"/>
              <w:spacing w:after="0"/>
              <w:rPr>
                <w:sz w:val="20"/>
                <w:szCs w:val="20"/>
                <w:color w:val="auto"/>
              </w:rPr>
            </w:pPr>
            <w:r>
              <w:rPr>
                <w:rFonts w:ascii="Arial" w:cs="Arial" w:eastAsia="Arial" w:hAnsi="Arial"/>
                <w:sz w:val="17"/>
                <w:szCs w:val="17"/>
                <w:color w:val="auto"/>
              </w:rPr>
              <w:t>November 1, 1997</w:t>
            </w:r>
          </w:p>
        </w:tc>
        <w:tc>
          <w:tcPr>
            <w:tcW w:w="3500" w:type="dxa"/>
            <w:vAlign w:val="bottom"/>
          </w:tcPr>
          <w:p>
            <w:pPr>
              <w:spacing w:after="0"/>
              <w:rPr>
                <w:sz w:val="20"/>
                <w:szCs w:val="20"/>
                <w:color w:val="auto"/>
              </w:rPr>
            </w:pPr>
            <w:r>
              <w:rPr>
                <w:rFonts w:ascii="Arial" w:cs="Arial" w:eastAsia="Arial" w:hAnsi="Arial"/>
                <w:sz w:val="17"/>
                <w:szCs w:val="17"/>
                <w:color w:val="auto"/>
              </w:rPr>
              <w:t>1-3548 (1997 Form 10-K)</w:t>
            </w:r>
          </w:p>
        </w:tc>
        <w:tc>
          <w:tcPr>
            <w:tcW w:w="1540" w:type="dxa"/>
            <w:vAlign w:val="bottom"/>
          </w:tcPr>
          <w:p>
            <w:pPr>
              <w:ind w:left="320"/>
              <w:spacing w:after="0"/>
              <w:rPr>
                <w:sz w:val="20"/>
                <w:szCs w:val="20"/>
                <w:color w:val="auto"/>
              </w:rPr>
            </w:pPr>
            <w:r>
              <w:rPr>
                <w:rFonts w:ascii="Arial" w:cs="Arial" w:eastAsia="Arial" w:hAnsi="Arial"/>
                <w:sz w:val="17"/>
                <w:szCs w:val="17"/>
                <w:color w:val="auto"/>
              </w:rPr>
              <w:t>4(a)3</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Twenty-first</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October 1, 2000</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333-54330</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4(c)3</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Twenty-second</w:t>
            </w:r>
          </w:p>
        </w:tc>
        <w:tc>
          <w:tcPr>
            <w:tcW w:w="3020" w:type="dxa"/>
            <w:vAlign w:val="bottom"/>
          </w:tcPr>
          <w:p>
            <w:pPr>
              <w:ind w:left="560"/>
              <w:spacing w:after="0"/>
              <w:rPr>
                <w:sz w:val="20"/>
                <w:szCs w:val="20"/>
                <w:color w:val="auto"/>
              </w:rPr>
            </w:pPr>
            <w:r>
              <w:rPr>
                <w:rFonts w:ascii="Arial" w:cs="Arial" w:eastAsia="Arial" w:hAnsi="Arial"/>
                <w:sz w:val="17"/>
                <w:szCs w:val="17"/>
                <w:color w:val="auto"/>
              </w:rPr>
              <w:t>July 1, 2003</w:t>
            </w:r>
          </w:p>
        </w:tc>
        <w:tc>
          <w:tcPr>
            <w:tcW w:w="3500" w:type="dxa"/>
            <w:vAlign w:val="bottom"/>
          </w:tcPr>
          <w:p>
            <w:pPr>
              <w:spacing w:after="0"/>
              <w:rPr>
                <w:sz w:val="20"/>
                <w:szCs w:val="20"/>
                <w:color w:val="auto"/>
              </w:rPr>
            </w:pPr>
            <w:r>
              <w:rPr>
                <w:rFonts w:ascii="Arial" w:cs="Arial" w:eastAsia="Arial" w:hAnsi="Arial"/>
                <w:sz w:val="17"/>
                <w:szCs w:val="17"/>
                <w:color w:val="auto"/>
              </w:rPr>
              <w:t>1-3548 (June 30, 2003 Form 10-Q)</w:t>
            </w:r>
          </w:p>
        </w:tc>
        <w:tc>
          <w:tcPr>
            <w:tcW w:w="1540" w:type="dxa"/>
            <w:vAlign w:val="bottom"/>
          </w:tcPr>
          <w:p>
            <w:pPr>
              <w:ind w:left="320"/>
              <w:spacing w:after="0"/>
              <w:rPr>
                <w:sz w:val="20"/>
                <w:szCs w:val="20"/>
                <w:color w:val="auto"/>
              </w:rPr>
            </w:pPr>
            <w:r>
              <w:rPr>
                <w:rFonts w:ascii="Arial" w:cs="Arial" w:eastAsia="Arial" w:hAnsi="Arial"/>
                <w:sz w:val="17"/>
                <w:szCs w:val="17"/>
                <w:color w:val="auto"/>
              </w:rPr>
              <w:t>4</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Twenty-third</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August 1, 2004</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1-3548 (Sept. 30, 2004 Form 10-Q)</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4(a)</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Twenty-fourth</w:t>
            </w:r>
          </w:p>
        </w:tc>
        <w:tc>
          <w:tcPr>
            <w:tcW w:w="3020" w:type="dxa"/>
            <w:vAlign w:val="bottom"/>
          </w:tcPr>
          <w:p>
            <w:pPr>
              <w:ind w:left="560"/>
              <w:spacing w:after="0"/>
              <w:rPr>
                <w:sz w:val="20"/>
                <w:szCs w:val="20"/>
                <w:color w:val="auto"/>
              </w:rPr>
            </w:pPr>
            <w:r>
              <w:rPr>
                <w:rFonts w:ascii="Arial" w:cs="Arial" w:eastAsia="Arial" w:hAnsi="Arial"/>
                <w:sz w:val="17"/>
                <w:szCs w:val="17"/>
                <w:color w:val="auto"/>
              </w:rPr>
              <w:t>March 1, 2005</w:t>
            </w:r>
          </w:p>
        </w:tc>
        <w:tc>
          <w:tcPr>
            <w:tcW w:w="3500" w:type="dxa"/>
            <w:vAlign w:val="bottom"/>
          </w:tcPr>
          <w:p>
            <w:pPr>
              <w:spacing w:after="0"/>
              <w:rPr>
                <w:sz w:val="20"/>
                <w:szCs w:val="20"/>
                <w:color w:val="auto"/>
              </w:rPr>
            </w:pPr>
            <w:r>
              <w:rPr>
                <w:rFonts w:ascii="Arial" w:cs="Arial" w:eastAsia="Arial" w:hAnsi="Arial"/>
                <w:sz w:val="17"/>
                <w:szCs w:val="17"/>
                <w:color w:val="auto"/>
              </w:rPr>
              <w:t>1-3548 (March 31, 2005 Form 10-Q)</w:t>
            </w:r>
          </w:p>
        </w:tc>
        <w:tc>
          <w:tcPr>
            <w:tcW w:w="1540" w:type="dxa"/>
            <w:vAlign w:val="bottom"/>
          </w:tcPr>
          <w:p>
            <w:pPr>
              <w:ind w:left="320"/>
              <w:spacing w:after="0"/>
              <w:rPr>
                <w:sz w:val="20"/>
                <w:szCs w:val="20"/>
                <w:color w:val="auto"/>
              </w:rPr>
            </w:pPr>
            <w:r>
              <w:rPr>
                <w:rFonts w:ascii="Arial" w:cs="Arial" w:eastAsia="Arial" w:hAnsi="Arial"/>
                <w:sz w:val="17"/>
                <w:szCs w:val="17"/>
                <w:color w:val="auto"/>
              </w:rPr>
              <w:t>4</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Twenty-fifth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December 1, 2005</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1-3548 (March 31, 2006 Form 10-Q)</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w:t>
            </w:r>
          </w:p>
        </w:tc>
      </w:tr>
      <w:tr>
        <w:trPr>
          <w:trHeight w:val="201"/>
        </w:trPr>
        <w:tc>
          <w:tcPr>
            <w:tcW w:w="1320" w:type="dxa"/>
            <w:vAlign w:val="bottom"/>
          </w:tcPr>
          <w:p>
            <w:pPr>
              <w:spacing w:after="0"/>
              <w:rPr>
                <w:sz w:val="17"/>
                <w:szCs w:val="17"/>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Twenty-sixth</w:t>
            </w:r>
          </w:p>
        </w:tc>
        <w:tc>
          <w:tcPr>
            <w:tcW w:w="3020" w:type="dxa"/>
            <w:vAlign w:val="bottom"/>
          </w:tcPr>
          <w:p>
            <w:pPr>
              <w:ind w:left="560"/>
              <w:spacing w:after="0"/>
              <w:rPr>
                <w:sz w:val="20"/>
                <w:szCs w:val="20"/>
                <w:color w:val="auto"/>
              </w:rPr>
            </w:pPr>
            <w:r>
              <w:rPr>
                <w:rFonts w:ascii="Arial" w:cs="Arial" w:eastAsia="Arial" w:hAnsi="Arial"/>
                <w:sz w:val="17"/>
                <w:szCs w:val="17"/>
                <w:color w:val="auto"/>
              </w:rPr>
              <w:t>October 1, 2006</w:t>
            </w:r>
          </w:p>
        </w:tc>
        <w:tc>
          <w:tcPr>
            <w:tcW w:w="3500" w:type="dxa"/>
            <w:vAlign w:val="bottom"/>
          </w:tcPr>
          <w:p>
            <w:pPr>
              <w:spacing w:after="0"/>
              <w:rPr>
                <w:sz w:val="20"/>
                <w:szCs w:val="20"/>
                <w:color w:val="auto"/>
              </w:rPr>
            </w:pPr>
            <w:r>
              <w:rPr>
                <w:rFonts w:ascii="Arial" w:cs="Arial" w:eastAsia="Arial" w:hAnsi="Arial"/>
                <w:sz w:val="17"/>
                <w:szCs w:val="17"/>
                <w:color w:val="auto"/>
              </w:rPr>
              <w:t>1-3548 (2006 Form 10-K)</w:t>
            </w:r>
          </w:p>
        </w:tc>
        <w:tc>
          <w:tcPr>
            <w:tcW w:w="1540" w:type="dxa"/>
            <w:vAlign w:val="bottom"/>
          </w:tcPr>
          <w:p>
            <w:pPr>
              <w:ind w:left="320"/>
              <w:spacing w:after="0"/>
              <w:rPr>
                <w:sz w:val="20"/>
                <w:szCs w:val="20"/>
                <w:color w:val="auto"/>
              </w:rPr>
            </w:pPr>
            <w:r>
              <w:rPr>
                <w:rFonts w:ascii="Arial" w:cs="Arial" w:eastAsia="Arial" w:hAnsi="Arial"/>
                <w:sz w:val="17"/>
                <w:szCs w:val="17"/>
                <w:color w:val="auto"/>
              </w:rPr>
              <w:t>4</w:t>
            </w:r>
          </w:p>
        </w:tc>
      </w:tr>
      <w:tr>
        <w:trPr>
          <w:trHeight w:val="201"/>
        </w:trPr>
        <w:tc>
          <w:tcPr>
            <w:tcW w:w="1320" w:type="dxa"/>
            <w:vAlign w:val="bottom"/>
            <w:shd w:val="clear" w:color="auto" w:fill="CCEEFF"/>
          </w:tcPr>
          <w:p>
            <w:pPr>
              <w:spacing w:after="0"/>
              <w:rPr>
                <w:sz w:val="17"/>
                <w:szCs w:val="17"/>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Twenty-seventh</w:t>
            </w:r>
          </w:p>
        </w:tc>
        <w:tc>
          <w:tcPr>
            <w:tcW w:w="3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February 1, 2008</w:t>
            </w: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1-3548 (2007 Form 10-K)</w:t>
            </w:r>
          </w:p>
        </w:tc>
        <w:tc>
          <w:tcPr>
            <w:tcW w:w="1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4(a)3</w:t>
            </w:r>
          </w:p>
        </w:tc>
      </w:tr>
      <w:tr>
        <w:trPr>
          <w:trHeight w:val="213"/>
        </w:trPr>
        <w:tc>
          <w:tcPr>
            <w:tcW w:w="1320" w:type="dxa"/>
            <w:vAlign w:val="bottom"/>
          </w:tcPr>
          <w:p>
            <w:pPr>
              <w:spacing w:after="0"/>
              <w:rPr>
                <w:sz w:val="18"/>
                <w:szCs w:val="18"/>
                <w:color w:val="auto"/>
              </w:rPr>
            </w:pPr>
          </w:p>
        </w:tc>
        <w:tc>
          <w:tcPr>
            <w:tcW w:w="2040" w:type="dxa"/>
            <w:vAlign w:val="bottom"/>
          </w:tcPr>
          <w:p>
            <w:pPr>
              <w:ind w:left="420"/>
              <w:spacing w:after="0"/>
              <w:rPr>
                <w:sz w:val="20"/>
                <w:szCs w:val="20"/>
                <w:color w:val="auto"/>
              </w:rPr>
            </w:pPr>
            <w:r>
              <w:rPr>
                <w:rFonts w:ascii="Arial" w:cs="Arial" w:eastAsia="Arial" w:hAnsi="Arial"/>
                <w:sz w:val="17"/>
                <w:szCs w:val="17"/>
                <w:color w:val="auto"/>
              </w:rPr>
              <w:t>Twenty-eighth</w:t>
            </w:r>
          </w:p>
        </w:tc>
        <w:tc>
          <w:tcPr>
            <w:tcW w:w="3020" w:type="dxa"/>
            <w:vAlign w:val="bottom"/>
          </w:tcPr>
          <w:p>
            <w:pPr>
              <w:ind w:left="560"/>
              <w:spacing w:after="0"/>
              <w:rPr>
                <w:sz w:val="20"/>
                <w:szCs w:val="20"/>
                <w:color w:val="auto"/>
              </w:rPr>
            </w:pPr>
            <w:r>
              <w:rPr>
                <w:rFonts w:ascii="Arial" w:cs="Arial" w:eastAsia="Arial" w:hAnsi="Arial"/>
                <w:sz w:val="17"/>
                <w:szCs w:val="17"/>
                <w:color w:val="auto"/>
              </w:rPr>
              <w:t>May 1, 2008</w:t>
            </w:r>
          </w:p>
        </w:tc>
        <w:tc>
          <w:tcPr>
            <w:tcW w:w="3500" w:type="dxa"/>
            <w:vAlign w:val="bottom"/>
          </w:tcPr>
          <w:p>
            <w:pPr>
              <w:spacing w:after="0"/>
              <w:rPr>
                <w:sz w:val="20"/>
                <w:szCs w:val="20"/>
                <w:color w:val="auto"/>
              </w:rPr>
            </w:pPr>
            <w:r>
              <w:rPr>
                <w:rFonts w:ascii="Arial" w:cs="Arial" w:eastAsia="Arial" w:hAnsi="Arial"/>
                <w:sz w:val="17"/>
                <w:szCs w:val="17"/>
                <w:color w:val="auto"/>
              </w:rPr>
              <w:t>1-3548 (June 30, 2008 Form 10-Q)</w:t>
            </w:r>
          </w:p>
        </w:tc>
        <w:tc>
          <w:tcPr>
            <w:tcW w:w="1540" w:type="dxa"/>
            <w:vAlign w:val="bottom"/>
          </w:tcPr>
          <w:p>
            <w:pPr>
              <w:ind w:left="320"/>
              <w:spacing w:after="0"/>
              <w:rPr>
                <w:sz w:val="20"/>
                <w:szCs w:val="20"/>
                <w:color w:val="auto"/>
              </w:rPr>
            </w:pPr>
            <w:r>
              <w:rPr>
                <w:rFonts w:ascii="Arial" w:cs="Arial" w:eastAsia="Arial" w:hAnsi="Arial"/>
                <w:sz w:val="17"/>
                <w:szCs w:val="17"/>
                <w:color w:val="auto"/>
              </w:rPr>
              <w:t>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7"/>
        </w:trPr>
        <w:tc>
          <w:tcPr>
            <w:tcW w:w="1300" w:type="dxa"/>
            <w:vAlign w:val="bottom"/>
          </w:tcPr>
          <w:p>
            <w:pPr>
              <w:spacing w:after="0"/>
              <w:rPr>
                <w:sz w:val="20"/>
                <w:szCs w:val="20"/>
                <w:color w:val="auto"/>
              </w:rPr>
            </w:pPr>
            <w:r>
              <w:rPr>
                <w:rFonts w:ascii="Arial" w:cs="Arial" w:eastAsia="Arial" w:hAnsi="Arial"/>
                <w:sz w:val="17"/>
                <w:szCs w:val="17"/>
                <w:b w:val="1"/>
                <w:bCs w:val="1"/>
                <w:color w:val="auto"/>
              </w:rPr>
              <w:t>Exhibit Number</w:t>
            </w:r>
          </w:p>
        </w:tc>
        <w:tc>
          <w:tcPr>
            <w:tcW w:w="2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Twenty-ninth</w:t>
            </w:r>
          </w:p>
        </w:tc>
        <w:tc>
          <w:tcPr>
            <w:tcW w:w="28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November 1, 2008</w:t>
            </w:r>
          </w:p>
        </w:tc>
        <w:tc>
          <w:tcPr>
            <w:tcW w:w="3920" w:type="dxa"/>
            <w:vAlign w:val="bottom"/>
            <w:shd w:val="clear" w:color="auto" w:fill="CCEEFF"/>
          </w:tcPr>
          <w:p>
            <w:pPr>
              <w:ind w:left="80"/>
              <w:spacing w:after="0"/>
              <w:rPr>
                <w:sz w:val="20"/>
                <w:szCs w:val="20"/>
                <w:color w:val="auto"/>
              </w:rPr>
            </w:pPr>
            <w:r>
              <w:rPr>
                <w:rFonts w:ascii="Arial" w:cs="Arial" w:eastAsia="Arial" w:hAnsi="Arial"/>
                <w:sz w:val="17"/>
                <w:szCs w:val="17"/>
                <w:color w:val="auto"/>
              </w:rPr>
              <w:t>1-3548 (2008 Form 10-K)</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4(a)3</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Thirtieth</w:t>
            </w:r>
          </w:p>
        </w:tc>
        <w:tc>
          <w:tcPr>
            <w:tcW w:w="2820" w:type="dxa"/>
            <w:vAlign w:val="bottom"/>
          </w:tcPr>
          <w:p>
            <w:pPr>
              <w:ind w:left="520"/>
              <w:spacing w:after="0"/>
              <w:rPr>
                <w:sz w:val="20"/>
                <w:szCs w:val="20"/>
                <w:color w:val="auto"/>
              </w:rPr>
            </w:pPr>
            <w:r>
              <w:rPr>
                <w:rFonts w:ascii="Arial" w:cs="Arial" w:eastAsia="Arial" w:hAnsi="Arial"/>
                <w:sz w:val="17"/>
                <w:szCs w:val="17"/>
                <w:color w:val="auto"/>
              </w:rPr>
              <w:t>January 1, 2009</w:t>
            </w:r>
          </w:p>
        </w:tc>
        <w:tc>
          <w:tcPr>
            <w:tcW w:w="3920" w:type="dxa"/>
            <w:vAlign w:val="bottom"/>
          </w:tcPr>
          <w:p>
            <w:pPr>
              <w:ind w:left="80"/>
              <w:spacing w:after="0"/>
              <w:rPr>
                <w:sz w:val="20"/>
                <w:szCs w:val="20"/>
                <w:color w:val="auto"/>
              </w:rPr>
            </w:pPr>
            <w:r>
              <w:rPr>
                <w:rFonts w:ascii="Arial" w:cs="Arial" w:eastAsia="Arial" w:hAnsi="Arial"/>
                <w:sz w:val="17"/>
                <w:szCs w:val="17"/>
                <w:color w:val="auto"/>
              </w:rPr>
              <w:t>1-3548 (2008 Form 10-K)</w:t>
            </w:r>
          </w:p>
        </w:tc>
        <w:tc>
          <w:tcPr>
            <w:tcW w:w="1360" w:type="dxa"/>
            <w:vAlign w:val="bottom"/>
          </w:tcPr>
          <w:p>
            <w:pPr>
              <w:ind w:left="160"/>
              <w:spacing w:after="0"/>
              <w:rPr>
                <w:sz w:val="20"/>
                <w:szCs w:val="20"/>
                <w:color w:val="auto"/>
              </w:rPr>
            </w:pPr>
            <w:r>
              <w:rPr>
                <w:rFonts w:ascii="Arial" w:cs="Arial" w:eastAsia="Arial" w:hAnsi="Arial"/>
                <w:sz w:val="17"/>
                <w:szCs w:val="17"/>
                <w:color w:val="auto"/>
              </w:rPr>
              <w:t>4(a)4</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Thirty-first</w:t>
            </w:r>
          </w:p>
        </w:tc>
        <w:tc>
          <w:tcPr>
            <w:tcW w:w="28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February 1, 2010</w:t>
            </w:r>
          </w:p>
        </w:tc>
        <w:tc>
          <w:tcPr>
            <w:tcW w:w="3920" w:type="dxa"/>
            <w:vAlign w:val="bottom"/>
            <w:shd w:val="clear" w:color="auto" w:fill="CCEEFF"/>
          </w:tcPr>
          <w:p>
            <w:pPr>
              <w:ind w:left="80"/>
              <w:spacing w:after="0"/>
              <w:rPr>
                <w:sz w:val="20"/>
                <w:szCs w:val="20"/>
                <w:color w:val="auto"/>
              </w:rPr>
            </w:pPr>
            <w:r>
              <w:rPr>
                <w:rFonts w:ascii="Arial" w:cs="Arial" w:eastAsia="Arial" w:hAnsi="Arial"/>
                <w:sz w:val="17"/>
                <w:szCs w:val="17"/>
                <w:color w:val="auto"/>
              </w:rPr>
              <w:t>1-3548 (March 31, 2010 Form 10-Q)</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Thirty-second</w:t>
            </w:r>
          </w:p>
        </w:tc>
        <w:tc>
          <w:tcPr>
            <w:tcW w:w="2820" w:type="dxa"/>
            <w:vAlign w:val="bottom"/>
          </w:tcPr>
          <w:p>
            <w:pPr>
              <w:ind w:left="520"/>
              <w:spacing w:after="0"/>
              <w:rPr>
                <w:sz w:val="20"/>
                <w:szCs w:val="20"/>
                <w:color w:val="auto"/>
              </w:rPr>
            </w:pPr>
            <w:r>
              <w:rPr>
                <w:rFonts w:ascii="Arial" w:cs="Arial" w:eastAsia="Arial" w:hAnsi="Arial"/>
                <w:sz w:val="17"/>
                <w:szCs w:val="17"/>
                <w:color w:val="auto"/>
              </w:rPr>
              <w:t>August 1, 2010</w:t>
            </w:r>
          </w:p>
        </w:tc>
        <w:tc>
          <w:tcPr>
            <w:tcW w:w="3920" w:type="dxa"/>
            <w:vAlign w:val="bottom"/>
          </w:tcPr>
          <w:p>
            <w:pPr>
              <w:ind w:left="80"/>
              <w:spacing w:after="0"/>
              <w:rPr>
                <w:sz w:val="20"/>
                <w:szCs w:val="20"/>
                <w:color w:val="auto"/>
              </w:rPr>
            </w:pPr>
            <w:r>
              <w:rPr>
                <w:rFonts w:ascii="Arial" w:cs="Arial" w:eastAsia="Arial" w:hAnsi="Arial"/>
                <w:sz w:val="17"/>
                <w:szCs w:val="17"/>
                <w:color w:val="auto"/>
              </w:rPr>
              <w:t>1-3548 (Sept. 30, 2010 Form 10-Q)</w:t>
            </w:r>
          </w:p>
        </w:tc>
        <w:tc>
          <w:tcPr>
            <w:tcW w:w="1360" w:type="dxa"/>
            <w:vAlign w:val="bottom"/>
          </w:tcPr>
          <w:p>
            <w:pPr>
              <w:ind w:left="160"/>
              <w:spacing w:after="0"/>
              <w:rPr>
                <w:sz w:val="20"/>
                <w:szCs w:val="20"/>
                <w:color w:val="auto"/>
              </w:rPr>
            </w:pPr>
            <w:r>
              <w:rPr>
                <w:rFonts w:ascii="Arial" w:cs="Arial" w:eastAsia="Arial" w:hAnsi="Arial"/>
                <w:sz w:val="17"/>
                <w:szCs w:val="17"/>
                <w:color w:val="auto"/>
              </w:rPr>
              <w:t>4</w:t>
            </w: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*4(b)1</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4"/>
              </w:rPr>
              <w:t>-   Indenture of Trust, dated as of August 1, 2004, between the City of Cohasset, Minnesota and U.S. Bank National Association, as Trustee</w:t>
            </w:r>
          </w:p>
        </w:tc>
      </w:tr>
      <w:tr>
        <w:trPr>
          <w:trHeight w:val="201"/>
        </w:trPr>
        <w:tc>
          <w:tcPr>
            <w:tcW w:w="1300" w:type="dxa"/>
            <w:vAlign w:val="bottom"/>
            <w:shd w:val="clear" w:color="auto" w:fill="CCEEFF"/>
          </w:tcPr>
          <w:p>
            <w:pPr>
              <w:spacing w:after="0"/>
              <w:rPr>
                <w:sz w:val="17"/>
                <w:szCs w:val="17"/>
                <w:color w:val="auto"/>
              </w:rPr>
            </w:pPr>
          </w:p>
        </w:tc>
        <w:tc>
          <w:tcPr>
            <w:tcW w:w="101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91"/>
              </w:rPr>
              <w:t>relating to $111 Million Collateralized Pollution Control Refunding Revenue Bonds (filed as Exhibit 4(b) to the September 30, 2004, Form 10-</w:t>
            </w:r>
          </w:p>
        </w:tc>
      </w:tr>
      <w:tr>
        <w:trPr>
          <w:trHeight w:val="214"/>
        </w:trPr>
        <w:tc>
          <w:tcPr>
            <w:tcW w:w="1300" w:type="dxa"/>
            <w:vAlign w:val="bottom"/>
            <w:shd w:val="clear" w:color="auto" w:fill="CCEEFF"/>
          </w:tcPr>
          <w:p>
            <w:pPr>
              <w:spacing w:after="0"/>
              <w:rPr>
                <w:sz w:val="18"/>
                <w:szCs w:val="18"/>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Q, File No. 1-3548).</w:t>
            </w:r>
          </w:p>
        </w:tc>
        <w:tc>
          <w:tcPr>
            <w:tcW w:w="28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9"/>
        </w:trPr>
        <w:tc>
          <w:tcPr>
            <w:tcW w:w="1300" w:type="dxa"/>
            <w:vAlign w:val="bottom"/>
          </w:tcPr>
          <w:p>
            <w:pPr>
              <w:ind w:left="260"/>
              <w:spacing w:after="0" w:line="189" w:lineRule="exact"/>
              <w:rPr>
                <w:sz w:val="20"/>
                <w:szCs w:val="20"/>
                <w:color w:val="auto"/>
              </w:rPr>
            </w:pPr>
            <w:r>
              <w:rPr>
                <w:rFonts w:ascii="Arial" w:cs="Arial" w:eastAsia="Arial" w:hAnsi="Arial"/>
                <w:sz w:val="17"/>
                <w:szCs w:val="17"/>
                <w:color w:val="auto"/>
              </w:rPr>
              <w:t>*4(b)2</w:t>
            </w:r>
          </w:p>
        </w:tc>
        <w:tc>
          <w:tcPr>
            <w:tcW w:w="10120" w:type="dxa"/>
            <w:vAlign w:val="bottom"/>
            <w:gridSpan w:val="4"/>
          </w:tcPr>
          <w:p>
            <w:pPr>
              <w:ind w:left="140"/>
              <w:spacing w:after="0" w:line="189" w:lineRule="exact"/>
              <w:rPr>
                <w:sz w:val="20"/>
                <w:szCs w:val="20"/>
                <w:color w:val="auto"/>
              </w:rPr>
            </w:pPr>
            <w:r>
              <w:rPr>
                <w:rFonts w:ascii="Arial" w:cs="Arial" w:eastAsia="Arial" w:hAnsi="Arial"/>
                <w:sz w:val="17"/>
                <w:szCs w:val="17"/>
                <w:color w:val="auto"/>
                <w:w w:val="93"/>
              </w:rPr>
              <w:t>-   Loan Agreement, dated as of August 1, 2004, between the City of Cohasset, Minnesota and ALLETE relating to $111 Million Collateralized</w:t>
            </w:r>
          </w:p>
        </w:tc>
      </w:tr>
      <w:tr>
        <w:trPr>
          <w:trHeight w:val="213"/>
        </w:trPr>
        <w:tc>
          <w:tcPr>
            <w:tcW w:w="130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7"/>
                <w:szCs w:val="17"/>
                <w:color w:val="auto"/>
                <w:w w:val="90"/>
              </w:rPr>
              <w:t>Pollution Control Refunding Revenue Bonds (filed as Exhibit 4(c) to the September 30, 2004, Form 10-Q, File No. 1-3548).</w:t>
            </w:r>
          </w:p>
        </w:tc>
        <w:tc>
          <w:tcPr>
            <w:tcW w:w="1360" w:type="dxa"/>
            <w:vAlign w:val="bottom"/>
          </w:tcPr>
          <w:p>
            <w:pPr>
              <w:spacing w:after="0"/>
              <w:rPr>
                <w:sz w:val="18"/>
                <w:szCs w:val="18"/>
                <w:color w:val="auto"/>
              </w:rPr>
            </w:pP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*4(c)1</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4"/>
              </w:rPr>
              <w:t>-   Mortgage and Deed of Trust, dated as of March 1, 1943, between Superior Water, Light and Power Company and Chemical Bank &amp; Trust</w:t>
            </w:r>
          </w:p>
        </w:tc>
      </w:tr>
      <w:tr>
        <w:trPr>
          <w:trHeight w:val="201"/>
        </w:trPr>
        <w:tc>
          <w:tcPr>
            <w:tcW w:w="1300" w:type="dxa"/>
            <w:vAlign w:val="bottom"/>
            <w:shd w:val="clear" w:color="auto" w:fill="CCEEFF"/>
          </w:tcPr>
          <w:p>
            <w:pPr>
              <w:spacing w:after="0"/>
              <w:rPr>
                <w:sz w:val="17"/>
                <w:szCs w:val="17"/>
                <w:color w:val="auto"/>
              </w:rPr>
            </w:pPr>
          </w:p>
        </w:tc>
        <w:tc>
          <w:tcPr>
            <w:tcW w:w="101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91"/>
              </w:rPr>
              <w:t>Company and Howard B. Smith, as Trustees, both succeeded by U.S. Bank National Association, as Trustee (filed as Exhibit 7(c), File No. 2-</w:t>
            </w:r>
          </w:p>
        </w:tc>
      </w:tr>
      <w:tr>
        <w:trPr>
          <w:trHeight w:val="214"/>
        </w:trPr>
        <w:tc>
          <w:tcPr>
            <w:tcW w:w="1300" w:type="dxa"/>
            <w:vAlign w:val="bottom"/>
            <w:shd w:val="clear" w:color="auto" w:fill="CCEEFF"/>
          </w:tcPr>
          <w:p>
            <w:pPr>
              <w:spacing w:after="0"/>
              <w:rPr>
                <w:sz w:val="18"/>
                <w:szCs w:val="18"/>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8668).</w:t>
            </w:r>
          </w:p>
        </w:tc>
        <w:tc>
          <w:tcPr>
            <w:tcW w:w="28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1"/>
        </w:trPr>
        <w:tc>
          <w:tcPr>
            <w:tcW w:w="1300" w:type="dxa"/>
            <w:vAlign w:val="bottom"/>
          </w:tcPr>
          <w:p>
            <w:pPr>
              <w:ind w:left="260"/>
              <w:spacing w:after="0"/>
              <w:rPr>
                <w:sz w:val="20"/>
                <w:szCs w:val="20"/>
                <w:color w:val="auto"/>
              </w:rPr>
            </w:pPr>
            <w:r>
              <w:rPr>
                <w:rFonts w:ascii="Arial" w:cs="Arial" w:eastAsia="Arial" w:hAnsi="Arial"/>
                <w:sz w:val="17"/>
                <w:szCs w:val="17"/>
                <w:color w:val="auto"/>
              </w:rPr>
              <w:t>*4(c)2</w:t>
            </w:r>
          </w:p>
        </w:tc>
        <w:tc>
          <w:tcPr>
            <w:tcW w:w="8760" w:type="dxa"/>
            <w:vAlign w:val="bottom"/>
            <w:gridSpan w:val="3"/>
          </w:tcPr>
          <w:p>
            <w:pPr>
              <w:ind w:left="140"/>
              <w:spacing w:after="0"/>
              <w:rPr>
                <w:sz w:val="20"/>
                <w:szCs w:val="20"/>
                <w:color w:val="auto"/>
              </w:rPr>
            </w:pPr>
            <w:r>
              <w:rPr>
                <w:rFonts w:ascii="Arial" w:cs="Arial" w:eastAsia="Arial" w:hAnsi="Arial"/>
                <w:sz w:val="17"/>
                <w:szCs w:val="17"/>
                <w:color w:val="auto"/>
              </w:rPr>
              <w:t>-   Supplemental Indentures to Superior Water, Light and Power Company’s Mortgage and Deed of Trust:</w:t>
            </w:r>
          </w:p>
        </w:tc>
        <w:tc>
          <w:tcPr>
            <w:tcW w:w="1360" w:type="dxa"/>
            <w:vAlign w:val="bottom"/>
          </w:tcPr>
          <w:p>
            <w:pPr>
              <w:spacing w:after="0"/>
              <w:rPr>
                <w:sz w:val="17"/>
                <w:szCs w:val="17"/>
                <w:color w:val="auto"/>
              </w:rPr>
            </w:pP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Number</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Dated as of</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Reference File</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Exhibit</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First</w:t>
            </w:r>
          </w:p>
        </w:tc>
        <w:tc>
          <w:tcPr>
            <w:tcW w:w="2820" w:type="dxa"/>
            <w:vAlign w:val="bottom"/>
          </w:tcPr>
          <w:p>
            <w:pPr>
              <w:ind w:left="260"/>
              <w:spacing w:after="0"/>
              <w:rPr>
                <w:sz w:val="20"/>
                <w:szCs w:val="20"/>
                <w:color w:val="auto"/>
              </w:rPr>
            </w:pPr>
            <w:r>
              <w:rPr>
                <w:rFonts w:ascii="Arial" w:cs="Arial" w:eastAsia="Arial" w:hAnsi="Arial"/>
                <w:sz w:val="17"/>
                <w:szCs w:val="17"/>
                <w:color w:val="auto"/>
              </w:rPr>
              <w:t>March 1, 1951</w:t>
            </w:r>
          </w:p>
        </w:tc>
        <w:tc>
          <w:tcPr>
            <w:tcW w:w="3920" w:type="dxa"/>
            <w:vAlign w:val="bottom"/>
          </w:tcPr>
          <w:p>
            <w:pPr>
              <w:ind w:left="340"/>
              <w:spacing w:after="0"/>
              <w:rPr>
                <w:sz w:val="20"/>
                <w:szCs w:val="20"/>
                <w:color w:val="auto"/>
              </w:rPr>
            </w:pPr>
            <w:r>
              <w:rPr>
                <w:rFonts w:ascii="Arial" w:cs="Arial" w:eastAsia="Arial" w:hAnsi="Arial"/>
                <w:sz w:val="17"/>
                <w:szCs w:val="17"/>
                <w:color w:val="auto"/>
              </w:rPr>
              <w:t>2-59690</w:t>
            </w:r>
          </w:p>
        </w:tc>
        <w:tc>
          <w:tcPr>
            <w:tcW w:w="1360" w:type="dxa"/>
            <w:vAlign w:val="bottom"/>
          </w:tcPr>
          <w:p>
            <w:pPr>
              <w:ind w:left="40"/>
              <w:spacing w:after="0"/>
              <w:rPr>
                <w:sz w:val="20"/>
                <w:szCs w:val="20"/>
                <w:color w:val="auto"/>
              </w:rPr>
            </w:pPr>
            <w:r>
              <w:rPr>
                <w:rFonts w:ascii="Arial" w:cs="Arial" w:eastAsia="Arial" w:hAnsi="Arial"/>
                <w:sz w:val="17"/>
                <w:szCs w:val="17"/>
                <w:color w:val="auto"/>
              </w:rPr>
              <w:t>2(d)(1)</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March 1, 1962</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2-27794</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2(d)1</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Third</w:t>
            </w:r>
          </w:p>
        </w:tc>
        <w:tc>
          <w:tcPr>
            <w:tcW w:w="2820" w:type="dxa"/>
            <w:vAlign w:val="bottom"/>
          </w:tcPr>
          <w:p>
            <w:pPr>
              <w:ind w:left="260"/>
              <w:spacing w:after="0"/>
              <w:rPr>
                <w:sz w:val="20"/>
                <w:szCs w:val="20"/>
                <w:color w:val="auto"/>
              </w:rPr>
            </w:pPr>
            <w:r>
              <w:rPr>
                <w:rFonts w:ascii="Arial" w:cs="Arial" w:eastAsia="Arial" w:hAnsi="Arial"/>
                <w:sz w:val="17"/>
                <w:szCs w:val="17"/>
                <w:color w:val="auto"/>
              </w:rPr>
              <w:t>July 1, 1976</w:t>
            </w:r>
          </w:p>
        </w:tc>
        <w:tc>
          <w:tcPr>
            <w:tcW w:w="3920" w:type="dxa"/>
            <w:vAlign w:val="bottom"/>
          </w:tcPr>
          <w:p>
            <w:pPr>
              <w:ind w:left="340"/>
              <w:spacing w:after="0"/>
              <w:rPr>
                <w:sz w:val="20"/>
                <w:szCs w:val="20"/>
                <w:color w:val="auto"/>
              </w:rPr>
            </w:pPr>
            <w:r>
              <w:rPr>
                <w:rFonts w:ascii="Arial" w:cs="Arial" w:eastAsia="Arial" w:hAnsi="Arial"/>
                <w:sz w:val="17"/>
                <w:szCs w:val="17"/>
                <w:color w:val="auto"/>
              </w:rPr>
              <w:t>2-57478</w:t>
            </w:r>
          </w:p>
        </w:tc>
        <w:tc>
          <w:tcPr>
            <w:tcW w:w="1360" w:type="dxa"/>
            <w:vAlign w:val="bottom"/>
          </w:tcPr>
          <w:p>
            <w:pPr>
              <w:ind w:left="40"/>
              <w:spacing w:after="0"/>
              <w:rPr>
                <w:sz w:val="20"/>
                <w:szCs w:val="20"/>
                <w:color w:val="auto"/>
              </w:rPr>
            </w:pPr>
            <w:r>
              <w:rPr>
                <w:rFonts w:ascii="Arial" w:cs="Arial" w:eastAsia="Arial" w:hAnsi="Arial"/>
                <w:sz w:val="17"/>
                <w:szCs w:val="17"/>
                <w:color w:val="auto"/>
              </w:rPr>
              <w:t>2(e)1</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Fourth</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March 1, 1985</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2-78641</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4(b)</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Fifth</w:t>
            </w:r>
          </w:p>
        </w:tc>
        <w:tc>
          <w:tcPr>
            <w:tcW w:w="2820" w:type="dxa"/>
            <w:vAlign w:val="bottom"/>
          </w:tcPr>
          <w:p>
            <w:pPr>
              <w:ind w:left="260"/>
              <w:spacing w:after="0"/>
              <w:rPr>
                <w:sz w:val="20"/>
                <w:szCs w:val="20"/>
                <w:color w:val="auto"/>
              </w:rPr>
            </w:pPr>
            <w:r>
              <w:rPr>
                <w:rFonts w:ascii="Arial" w:cs="Arial" w:eastAsia="Arial" w:hAnsi="Arial"/>
                <w:sz w:val="17"/>
                <w:szCs w:val="17"/>
                <w:color w:val="auto"/>
              </w:rPr>
              <w:t>December 1, 1992</w:t>
            </w:r>
          </w:p>
        </w:tc>
        <w:tc>
          <w:tcPr>
            <w:tcW w:w="3920" w:type="dxa"/>
            <w:vAlign w:val="bottom"/>
          </w:tcPr>
          <w:p>
            <w:pPr>
              <w:ind w:left="340"/>
              <w:spacing w:after="0"/>
              <w:rPr>
                <w:sz w:val="20"/>
                <w:szCs w:val="20"/>
                <w:color w:val="auto"/>
              </w:rPr>
            </w:pPr>
            <w:r>
              <w:rPr>
                <w:rFonts w:ascii="Arial" w:cs="Arial" w:eastAsia="Arial" w:hAnsi="Arial"/>
                <w:sz w:val="17"/>
                <w:szCs w:val="17"/>
                <w:color w:val="auto"/>
              </w:rPr>
              <w:t>1-3548 (1992 Form 10-K)</w:t>
            </w:r>
          </w:p>
        </w:tc>
        <w:tc>
          <w:tcPr>
            <w:tcW w:w="1360" w:type="dxa"/>
            <w:vAlign w:val="bottom"/>
          </w:tcPr>
          <w:p>
            <w:pPr>
              <w:ind w:left="40"/>
              <w:spacing w:after="0"/>
              <w:rPr>
                <w:sz w:val="20"/>
                <w:szCs w:val="20"/>
                <w:color w:val="auto"/>
              </w:rPr>
            </w:pPr>
            <w:r>
              <w:rPr>
                <w:rFonts w:ascii="Arial" w:cs="Arial" w:eastAsia="Arial" w:hAnsi="Arial"/>
                <w:sz w:val="17"/>
                <w:szCs w:val="17"/>
                <w:color w:val="auto"/>
              </w:rPr>
              <w:t>4(b)1</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Sixth</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March 24, 1994</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1-3548 (1996 Form 10-K)</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4(b)1</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Seventh</w:t>
            </w:r>
          </w:p>
        </w:tc>
        <w:tc>
          <w:tcPr>
            <w:tcW w:w="2820" w:type="dxa"/>
            <w:vAlign w:val="bottom"/>
          </w:tcPr>
          <w:p>
            <w:pPr>
              <w:ind w:left="260"/>
              <w:spacing w:after="0"/>
              <w:rPr>
                <w:sz w:val="20"/>
                <w:szCs w:val="20"/>
                <w:color w:val="auto"/>
              </w:rPr>
            </w:pPr>
            <w:r>
              <w:rPr>
                <w:rFonts w:ascii="Arial" w:cs="Arial" w:eastAsia="Arial" w:hAnsi="Arial"/>
                <w:sz w:val="17"/>
                <w:szCs w:val="17"/>
                <w:color w:val="auto"/>
              </w:rPr>
              <w:t>November 1, 1994</w:t>
            </w:r>
          </w:p>
        </w:tc>
        <w:tc>
          <w:tcPr>
            <w:tcW w:w="3920" w:type="dxa"/>
            <w:vAlign w:val="bottom"/>
          </w:tcPr>
          <w:p>
            <w:pPr>
              <w:ind w:left="340"/>
              <w:spacing w:after="0"/>
              <w:rPr>
                <w:sz w:val="20"/>
                <w:szCs w:val="20"/>
                <w:color w:val="auto"/>
              </w:rPr>
            </w:pPr>
            <w:r>
              <w:rPr>
                <w:rFonts w:ascii="Arial" w:cs="Arial" w:eastAsia="Arial" w:hAnsi="Arial"/>
                <w:sz w:val="17"/>
                <w:szCs w:val="17"/>
                <w:color w:val="auto"/>
              </w:rPr>
              <w:t>1-3548 (1996 Form 10-K)</w:t>
            </w:r>
          </w:p>
        </w:tc>
        <w:tc>
          <w:tcPr>
            <w:tcW w:w="1360" w:type="dxa"/>
            <w:vAlign w:val="bottom"/>
          </w:tcPr>
          <w:p>
            <w:pPr>
              <w:ind w:left="40"/>
              <w:spacing w:after="0"/>
              <w:rPr>
                <w:sz w:val="20"/>
                <w:szCs w:val="20"/>
                <w:color w:val="auto"/>
              </w:rPr>
            </w:pPr>
            <w:r>
              <w:rPr>
                <w:rFonts w:ascii="Arial" w:cs="Arial" w:eastAsia="Arial" w:hAnsi="Arial"/>
                <w:sz w:val="17"/>
                <w:szCs w:val="17"/>
                <w:color w:val="auto"/>
              </w:rPr>
              <w:t>4(b)2</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Eighth</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January 1, 1997</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1-3548 (1996 Form 10-K)</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4(b)3</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Ninth</w:t>
            </w:r>
          </w:p>
        </w:tc>
        <w:tc>
          <w:tcPr>
            <w:tcW w:w="2820" w:type="dxa"/>
            <w:vAlign w:val="bottom"/>
          </w:tcPr>
          <w:p>
            <w:pPr>
              <w:ind w:left="260"/>
              <w:spacing w:after="0"/>
              <w:rPr>
                <w:sz w:val="20"/>
                <w:szCs w:val="20"/>
                <w:color w:val="auto"/>
              </w:rPr>
            </w:pPr>
            <w:r>
              <w:rPr>
                <w:rFonts w:ascii="Arial" w:cs="Arial" w:eastAsia="Arial" w:hAnsi="Arial"/>
                <w:sz w:val="17"/>
                <w:szCs w:val="17"/>
                <w:color w:val="auto"/>
              </w:rPr>
              <w:t>October 1, 2007</w:t>
            </w:r>
          </w:p>
        </w:tc>
        <w:tc>
          <w:tcPr>
            <w:tcW w:w="3920" w:type="dxa"/>
            <w:vAlign w:val="bottom"/>
          </w:tcPr>
          <w:p>
            <w:pPr>
              <w:ind w:left="340"/>
              <w:spacing w:after="0"/>
              <w:rPr>
                <w:sz w:val="20"/>
                <w:szCs w:val="20"/>
                <w:color w:val="auto"/>
              </w:rPr>
            </w:pPr>
            <w:r>
              <w:rPr>
                <w:rFonts w:ascii="Arial" w:cs="Arial" w:eastAsia="Arial" w:hAnsi="Arial"/>
                <w:sz w:val="17"/>
                <w:szCs w:val="17"/>
                <w:color w:val="auto"/>
              </w:rPr>
              <w:t>1-3548 (2007 Form 10-K)</w:t>
            </w:r>
          </w:p>
        </w:tc>
        <w:tc>
          <w:tcPr>
            <w:tcW w:w="1360" w:type="dxa"/>
            <w:vAlign w:val="bottom"/>
          </w:tcPr>
          <w:p>
            <w:pPr>
              <w:ind w:left="40"/>
              <w:spacing w:after="0"/>
              <w:rPr>
                <w:sz w:val="20"/>
                <w:szCs w:val="20"/>
                <w:color w:val="auto"/>
              </w:rPr>
            </w:pPr>
            <w:r>
              <w:rPr>
                <w:rFonts w:ascii="Arial" w:cs="Arial" w:eastAsia="Arial" w:hAnsi="Arial"/>
                <w:sz w:val="17"/>
                <w:szCs w:val="17"/>
                <w:color w:val="auto"/>
              </w:rPr>
              <w:t>4(c)3</w:t>
            </w:r>
          </w:p>
        </w:tc>
      </w:tr>
      <w:tr>
        <w:trPr>
          <w:trHeight w:val="201"/>
        </w:trPr>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Tenth</w:t>
            </w:r>
          </w:p>
        </w:tc>
        <w:tc>
          <w:tcPr>
            <w:tcW w:w="2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October 1, 2007</w:t>
            </w:r>
          </w:p>
        </w:tc>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1-3548 (2007 Form 10-K)</w:t>
            </w:r>
          </w:p>
        </w:tc>
        <w:tc>
          <w:tcPr>
            <w:tcW w:w="1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4(c)4</w:t>
            </w:r>
          </w:p>
        </w:tc>
      </w:tr>
      <w:tr>
        <w:trPr>
          <w:trHeight w:val="201"/>
        </w:trPr>
        <w:tc>
          <w:tcPr>
            <w:tcW w:w="13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Arial" w:cs="Arial" w:eastAsia="Arial" w:hAnsi="Arial"/>
                <w:sz w:val="17"/>
                <w:szCs w:val="17"/>
                <w:color w:val="auto"/>
              </w:rPr>
              <w:t>Eleventh</w:t>
            </w:r>
          </w:p>
        </w:tc>
        <w:tc>
          <w:tcPr>
            <w:tcW w:w="2820" w:type="dxa"/>
            <w:vAlign w:val="bottom"/>
          </w:tcPr>
          <w:p>
            <w:pPr>
              <w:ind w:left="260"/>
              <w:spacing w:after="0"/>
              <w:rPr>
                <w:sz w:val="20"/>
                <w:szCs w:val="20"/>
                <w:color w:val="auto"/>
              </w:rPr>
            </w:pPr>
            <w:r>
              <w:rPr>
                <w:rFonts w:ascii="Arial" w:cs="Arial" w:eastAsia="Arial" w:hAnsi="Arial"/>
                <w:sz w:val="17"/>
                <w:szCs w:val="17"/>
                <w:color w:val="auto"/>
              </w:rPr>
              <w:t>December 1, 2008</w:t>
            </w:r>
          </w:p>
        </w:tc>
        <w:tc>
          <w:tcPr>
            <w:tcW w:w="3920" w:type="dxa"/>
            <w:vAlign w:val="bottom"/>
          </w:tcPr>
          <w:p>
            <w:pPr>
              <w:ind w:left="340"/>
              <w:spacing w:after="0"/>
              <w:rPr>
                <w:sz w:val="20"/>
                <w:szCs w:val="20"/>
                <w:color w:val="auto"/>
              </w:rPr>
            </w:pPr>
            <w:r>
              <w:rPr>
                <w:rFonts w:ascii="Arial" w:cs="Arial" w:eastAsia="Arial" w:hAnsi="Arial"/>
                <w:sz w:val="17"/>
                <w:szCs w:val="17"/>
                <w:color w:val="auto"/>
              </w:rPr>
              <w:t>1-3548 (2008 Form 10-K)</w:t>
            </w:r>
          </w:p>
        </w:tc>
        <w:tc>
          <w:tcPr>
            <w:tcW w:w="1360" w:type="dxa"/>
            <w:vAlign w:val="bottom"/>
          </w:tcPr>
          <w:p>
            <w:pPr>
              <w:ind w:left="40"/>
              <w:spacing w:after="0"/>
              <w:rPr>
                <w:sz w:val="20"/>
                <w:szCs w:val="20"/>
                <w:color w:val="auto"/>
              </w:rPr>
            </w:pPr>
            <w:r>
              <w:rPr>
                <w:rFonts w:ascii="Arial" w:cs="Arial" w:eastAsia="Arial" w:hAnsi="Arial"/>
                <w:sz w:val="17"/>
                <w:szCs w:val="17"/>
                <w:color w:val="auto"/>
              </w:rPr>
              <w:t>4(c)3</w:t>
            </w: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*10(a)</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3"/>
              </w:rPr>
              <w:t>-   Power Purchase and Sale Agreement, dated as of May 29, 1998, between Minnesota Power, Inc. (now ALLETE) and Square Butte Electric</w:t>
            </w:r>
          </w:p>
        </w:tc>
      </w:tr>
      <w:tr>
        <w:trPr>
          <w:trHeight w:val="214"/>
        </w:trPr>
        <w:tc>
          <w:tcPr>
            <w:tcW w:w="1300" w:type="dxa"/>
            <w:vAlign w:val="bottom"/>
            <w:shd w:val="clear" w:color="auto" w:fill="CCEEFF"/>
          </w:tcPr>
          <w:p>
            <w:pPr>
              <w:spacing w:after="0"/>
              <w:rPr>
                <w:sz w:val="18"/>
                <w:szCs w:val="18"/>
                <w:color w:val="auto"/>
              </w:rPr>
            </w:pPr>
          </w:p>
        </w:tc>
        <w:tc>
          <w:tcPr>
            <w:tcW w:w="87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Cooperative (filed as Exhibit 10 to the June 30, 1998, Form 10-Q, File No. 1-3548).</w:t>
            </w:r>
          </w:p>
        </w:tc>
        <w:tc>
          <w:tcPr>
            <w:tcW w:w="1360" w:type="dxa"/>
            <w:vAlign w:val="bottom"/>
            <w:shd w:val="clear" w:color="auto" w:fill="CCEEFF"/>
          </w:tcPr>
          <w:p>
            <w:pPr>
              <w:spacing w:after="0"/>
              <w:rPr>
                <w:sz w:val="18"/>
                <w:szCs w:val="18"/>
                <w:color w:val="auto"/>
              </w:rPr>
            </w:pPr>
          </w:p>
        </w:tc>
      </w:tr>
      <w:tr>
        <w:trPr>
          <w:trHeight w:val="189"/>
        </w:trPr>
        <w:tc>
          <w:tcPr>
            <w:tcW w:w="1300" w:type="dxa"/>
            <w:vAlign w:val="bottom"/>
          </w:tcPr>
          <w:p>
            <w:pPr>
              <w:ind w:left="260"/>
              <w:spacing w:after="0" w:line="189" w:lineRule="exact"/>
              <w:rPr>
                <w:sz w:val="20"/>
                <w:szCs w:val="20"/>
                <w:color w:val="auto"/>
              </w:rPr>
            </w:pPr>
            <w:r>
              <w:rPr>
                <w:rFonts w:ascii="Arial" w:cs="Arial" w:eastAsia="Arial" w:hAnsi="Arial"/>
                <w:sz w:val="17"/>
                <w:szCs w:val="17"/>
                <w:color w:val="auto"/>
              </w:rPr>
              <w:t>*10(d)1</w:t>
            </w:r>
          </w:p>
        </w:tc>
        <w:tc>
          <w:tcPr>
            <w:tcW w:w="10120" w:type="dxa"/>
            <w:vAlign w:val="bottom"/>
            <w:gridSpan w:val="4"/>
          </w:tcPr>
          <w:p>
            <w:pPr>
              <w:ind w:left="140"/>
              <w:spacing w:after="0" w:line="189" w:lineRule="exact"/>
              <w:rPr>
                <w:sz w:val="20"/>
                <w:szCs w:val="20"/>
                <w:color w:val="auto"/>
              </w:rPr>
            </w:pPr>
            <w:r>
              <w:rPr>
                <w:rFonts w:ascii="Arial" w:cs="Arial" w:eastAsia="Arial" w:hAnsi="Arial"/>
                <w:sz w:val="17"/>
                <w:szCs w:val="17"/>
                <w:color w:val="auto"/>
                <w:w w:val="94"/>
              </w:rPr>
              <w:t>-   Fourth Amended and Restated Committed Facility Letter, dated January 11, 2006, by and among ALLETE and Bank of America (formerly</w:t>
            </w:r>
          </w:p>
        </w:tc>
      </w:tr>
      <w:tr>
        <w:trPr>
          <w:trHeight w:val="213"/>
        </w:trPr>
        <w:tc>
          <w:tcPr>
            <w:tcW w:w="130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7"/>
                <w:szCs w:val="17"/>
                <w:color w:val="auto"/>
              </w:rPr>
              <w:t>LaSalle Bank National Association), as Agent (filed as Exhibit 10(d)1 to the 2009 Form 10-K, File No. 1-3548).</w:t>
            </w:r>
          </w:p>
        </w:tc>
        <w:tc>
          <w:tcPr>
            <w:tcW w:w="1360" w:type="dxa"/>
            <w:vAlign w:val="bottom"/>
          </w:tcPr>
          <w:p>
            <w:pPr>
              <w:spacing w:after="0"/>
              <w:rPr>
                <w:sz w:val="18"/>
                <w:szCs w:val="18"/>
                <w:color w:val="auto"/>
              </w:rPr>
            </w:pP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*10(d)2</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5"/>
              </w:rPr>
              <w:t>-   First Amendment to Fourth Amended and Restated Committed Facility Letter dated June 19, 2006, by and among ALLETE and Bank of</w:t>
            </w:r>
          </w:p>
        </w:tc>
      </w:tr>
      <w:tr>
        <w:trPr>
          <w:trHeight w:val="214"/>
        </w:trPr>
        <w:tc>
          <w:tcPr>
            <w:tcW w:w="1300" w:type="dxa"/>
            <w:vAlign w:val="bottom"/>
            <w:shd w:val="clear" w:color="auto" w:fill="CCEEFF"/>
          </w:tcPr>
          <w:p>
            <w:pPr>
              <w:spacing w:after="0"/>
              <w:rPr>
                <w:sz w:val="18"/>
                <w:szCs w:val="18"/>
                <w:color w:val="auto"/>
              </w:rPr>
            </w:pPr>
          </w:p>
        </w:tc>
        <w:tc>
          <w:tcPr>
            <w:tcW w:w="101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93"/>
              </w:rPr>
              <w:t>America (formerly LaSalle Bank National Association), as Agent (filed as Exhibit 10(a) to the June 30, 2006, Form 10-Q, File No. 1-3548).</w:t>
            </w:r>
          </w:p>
        </w:tc>
      </w:tr>
      <w:tr>
        <w:trPr>
          <w:trHeight w:val="189"/>
        </w:trPr>
        <w:tc>
          <w:tcPr>
            <w:tcW w:w="1300" w:type="dxa"/>
            <w:vAlign w:val="bottom"/>
          </w:tcPr>
          <w:p>
            <w:pPr>
              <w:ind w:left="260"/>
              <w:spacing w:after="0" w:line="189" w:lineRule="exact"/>
              <w:rPr>
                <w:sz w:val="20"/>
                <w:szCs w:val="20"/>
                <w:color w:val="auto"/>
              </w:rPr>
            </w:pPr>
            <w:r>
              <w:rPr>
                <w:rFonts w:ascii="Arial" w:cs="Arial" w:eastAsia="Arial" w:hAnsi="Arial"/>
                <w:sz w:val="17"/>
                <w:szCs w:val="17"/>
                <w:color w:val="auto"/>
              </w:rPr>
              <w:t>*10(d)3</w:t>
            </w:r>
          </w:p>
        </w:tc>
        <w:tc>
          <w:tcPr>
            <w:tcW w:w="10120" w:type="dxa"/>
            <w:vAlign w:val="bottom"/>
            <w:gridSpan w:val="4"/>
          </w:tcPr>
          <w:p>
            <w:pPr>
              <w:ind w:left="140"/>
              <w:spacing w:after="0" w:line="189" w:lineRule="exact"/>
              <w:rPr>
                <w:sz w:val="20"/>
                <w:szCs w:val="20"/>
                <w:color w:val="auto"/>
              </w:rPr>
            </w:pPr>
            <w:r>
              <w:rPr>
                <w:rFonts w:ascii="Arial" w:cs="Arial" w:eastAsia="Arial" w:hAnsi="Arial"/>
                <w:sz w:val="17"/>
                <w:szCs w:val="17"/>
                <w:color w:val="auto"/>
                <w:w w:val="91"/>
              </w:rPr>
              <w:t>-   Second Amendment to Fourth Amended and Restated Committed Facility Letter dated December 14, 2006, by and among ALLETE and Bank</w:t>
            </w:r>
          </w:p>
        </w:tc>
      </w:tr>
      <w:tr>
        <w:trPr>
          <w:trHeight w:val="213"/>
        </w:trPr>
        <w:tc>
          <w:tcPr>
            <w:tcW w:w="1300" w:type="dxa"/>
            <w:vAlign w:val="bottom"/>
          </w:tcPr>
          <w:p>
            <w:pPr>
              <w:spacing w:after="0"/>
              <w:rPr>
                <w:sz w:val="18"/>
                <w:szCs w:val="18"/>
                <w:color w:val="auto"/>
              </w:rPr>
            </w:pPr>
          </w:p>
        </w:tc>
        <w:tc>
          <w:tcPr>
            <w:tcW w:w="10120" w:type="dxa"/>
            <w:vAlign w:val="bottom"/>
            <w:gridSpan w:val="4"/>
          </w:tcPr>
          <w:p>
            <w:pPr>
              <w:ind w:left="420"/>
              <w:spacing w:after="0"/>
              <w:rPr>
                <w:sz w:val="20"/>
                <w:szCs w:val="20"/>
                <w:color w:val="auto"/>
              </w:rPr>
            </w:pPr>
            <w:r>
              <w:rPr>
                <w:rFonts w:ascii="Arial" w:cs="Arial" w:eastAsia="Arial" w:hAnsi="Arial"/>
                <w:sz w:val="17"/>
                <w:szCs w:val="17"/>
                <w:color w:val="auto"/>
                <w:w w:val="98"/>
              </w:rPr>
              <w:t>of America (formerly LaSalle Bank National Association), as Agent (filed as Exhibit 10(d)3 to the 2006 Form 10-K, File No. 1-3548).</w:t>
            </w: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*10(e)1</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2"/>
              </w:rPr>
              <w:t>-   Financing Agreement between Collier County Industrial Development Authority and ALLETE dated as of July 1, 2006 (filed as Exhibit 10(b)1</w:t>
            </w:r>
          </w:p>
        </w:tc>
      </w:tr>
      <w:tr>
        <w:trPr>
          <w:trHeight w:val="214"/>
        </w:trPr>
        <w:tc>
          <w:tcPr>
            <w:tcW w:w="130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 the June 30, 2006, Form 10-Q, File No. 1-3548).</w:t>
            </w:r>
          </w:p>
        </w:tc>
        <w:tc>
          <w:tcPr>
            <w:tcW w:w="3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9"/>
        </w:trPr>
        <w:tc>
          <w:tcPr>
            <w:tcW w:w="1300" w:type="dxa"/>
            <w:vAlign w:val="bottom"/>
          </w:tcPr>
          <w:p>
            <w:pPr>
              <w:ind w:left="260"/>
              <w:spacing w:after="0" w:line="189" w:lineRule="exact"/>
              <w:rPr>
                <w:sz w:val="20"/>
                <w:szCs w:val="20"/>
                <w:color w:val="auto"/>
              </w:rPr>
            </w:pPr>
            <w:r>
              <w:rPr>
                <w:rFonts w:ascii="Arial" w:cs="Arial" w:eastAsia="Arial" w:hAnsi="Arial"/>
                <w:sz w:val="17"/>
                <w:szCs w:val="17"/>
                <w:color w:val="auto"/>
              </w:rPr>
              <w:t>*10(e)2</w:t>
            </w:r>
          </w:p>
        </w:tc>
        <w:tc>
          <w:tcPr>
            <w:tcW w:w="10120" w:type="dxa"/>
            <w:vAlign w:val="bottom"/>
            <w:gridSpan w:val="4"/>
          </w:tcPr>
          <w:p>
            <w:pPr>
              <w:ind w:left="140"/>
              <w:spacing w:after="0" w:line="189" w:lineRule="exact"/>
              <w:rPr>
                <w:sz w:val="20"/>
                <w:szCs w:val="20"/>
                <w:color w:val="auto"/>
              </w:rPr>
            </w:pPr>
            <w:r>
              <w:rPr>
                <w:rFonts w:ascii="Arial" w:cs="Arial" w:eastAsia="Arial" w:hAnsi="Arial"/>
                <w:sz w:val="17"/>
                <w:szCs w:val="17"/>
                <w:color w:val="auto"/>
                <w:w w:val="91"/>
              </w:rPr>
              <w:t>-   Letter of Credit Agreement, dated as of July 5, 2006, among ALLETE, the Participating Banks and Wells Fargo Bank, National Association, as</w:t>
            </w:r>
          </w:p>
        </w:tc>
      </w:tr>
      <w:tr>
        <w:trPr>
          <w:trHeight w:val="213"/>
        </w:trPr>
        <w:tc>
          <w:tcPr>
            <w:tcW w:w="1300" w:type="dxa"/>
            <w:vAlign w:val="bottom"/>
          </w:tcPr>
          <w:p>
            <w:pPr>
              <w:spacing w:after="0"/>
              <w:rPr>
                <w:sz w:val="18"/>
                <w:szCs w:val="18"/>
                <w:color w:val="auto"/>
              </w:rPr>
            </w:pPr>
          </w:p>
        </w:tc>
        <w:tc>
          <w:tcPr>
            <w:tcW w:w="8760" w:type="dxa"/>
            <w:vAlign w:val="bottom"/>
            <w:gridSpan w:val="3"/>
          </w:tcPr>
          <w:p>
            <w:pPr>
              <w:ind w:left="420"/>
              <w:spacing w:after="0"/>
              <w:rPr>
                <w:sz w:val="20"/>
                <w:szCs w:val="20"/>
                <w:color w:val="auto"/>
              </w:rPr>
            </w:pPr>
            <w:r>
              <w:rPr>
                <w:rFonts w:ascii="Arial" w:cs="Arial" w:eastAsia="Arial" w:hAnsi="Arial"/>
                <w:sz w:val="17"/>
                <w:szCs w:val="17"/>
                <w:color w:val="auto"/>
                <w:w w:val="97"/>
              </w:rPr>
              <w:t>Administrative Agent and Issuing Bank (filed as Exhibit 10(b)2 to the June 30, 2006, Form 10-Q, File No. 1-3548).</w:t>
            </w:r>
          </w:p>
        </w:tc>
        <w:tc>
          <w:tcPr>
            <w:tcW w:w="1360" w:type="dxa"/>
            <w:vAlign w:val="bottom"/>
          </w:tcPr>
          <w:p>
            <w:pPr>
              <w:spacing w:after="0"/>
              <w:rPr>
                <w:sz w:val="18"/>
                <w:szCs w:val="18"/>
                <w:color w:val="auto"/>
              </w:rPr>
            </w:pP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*10(g)</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3"/>
              </w:rPr>
              <w:t>-   Agreement dated December 16, 2005, among ALLETE, Wisconsin Public Service Corporation and WPS Investments, LLC (filed as Exhibit</w:t>
            </w:r>
          </w:p>
        </w:tc>
      </w:tr>
      <w:tr>
        <w:trPr>
          <w:trHeight w:val="214"/>
        </w:trPr>
        <w:tc>
          <w:tcPr>
            <w:tcW w:w="130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10(g) to the 2009 Form 10-K, File No. 1-3548).</w:t>
            </w:r>
          </w:p>
        </w:tc>
        <w:tc>
          <w:tcPr>
            <w:tcW w:w="3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1"/>
        </w:trPr>
        <w:tc>
          <w:tcPr>
            <w:tcW w:w="1300" w:type="dxa"/>
            <w:vAlign w:val="bottom"/>
          </w:tcPr>
          <w:p>
            <w:pPr>
              <w:ind w:left="260"/>
              <w:spacing w:after="0"/>
              <w:rPr>
                <w:sz w:val="20"/>
                <w:szCs w:val="20"/>
                <w:color w:val="auto"/>
              </w:rPr>
            </w:pPr>
            <w:r>
              <w:rPr>
                <w:rFonts w:ascii="Arial" w:cs="Arial" w:eastAsia="Arial" w:hAnsi="Arial"/>
                <w:sz w:val="17"/>
                <w:szCs w:val="17"/>
                <w:color w:val="auto"/>
              </w:rPr>
              <w:t>+10(h)1</w:t>
            </w:r>
          </w:p>
        </w:tc>
        <w:tc>
          <w:tcPr>
            <w:tcW w:w="8760" w:type="dxa"/>
            <w:vAlign w:val="bottom"/>
            <w:gridSpan w:val="3"/>
          </w:tcPr>
          <w:p>
            <w:pPr>
              <w:ind w:left="140"/>
              <w:spacing w:after="0"/>
              <w:rPr>
                <w:sz w:val="20"/>
                <w:szCs w:val="20"/>
                <w:color w:val="auto"/>
              </w:rPr>
            </w:pPr>
            <w:r>
              <w:rPr>
                <w:rFonts w:ascii="Arial" w:cs="Arial" w:eastAsia="Arial" w:hAnsi="Arial"/>
                <w:sz w:val="17"/>
                <w:szCs w:val="17"/>
                <w:color w:val="auto"/>
              </w:rPr>
              <w:t>-   ALLETE Executive Annual Incentive Plan, as amended and restated, effective January 1, 2011.</w:t>
            </w:r>
          </w:p>
        </w:tc>
        <w:tc>
          <w:tcPr>
            <w:tcW w:w="1360" w:type="dxa"/>
            <w:vAlign w:val="bottom"/>
          </w:tcPr>
          <w:p>
            <w:pPr>
              <w:spacing w:after="0"/>
              <w:rPr>
                <w:sz w:val="17"/>
                <w:szCs w:val="17"/>
                <w:color w:val="auto"/>
              </w:rPr>
            </w:pPr>
          </w:p>
        </w:tc>
      </w:tr>
      <w:tr>
        <w:trPr>
          <w:trHeight w:val="201"/>
        </w:trPr>
        <w:tc>
          <w:tcPr>
            <w:tcW w:w="1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+*10(h)2</w:t>
            </w:r>
          </w:p>
        </w:tc>
        <w:tc>
          <w:tcPr>
            <w:tcW w:w="1012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4"/>
              </w:rPr>
              <w:t>-   ALLETE Executive Annual Incentive Plan Form of Awards Effective 2009 (filed as Exhibit 10(h)7 to the 2008 Form 10-K, File No. 1-3548).</w:t>
            </w:r>
          </w:p>
        </w:tc>
      </w:tr>
      <w:tr>
        <w:trPr>
          <w:trHeight w:val="201"/>
        </w:trPr>
        <w:tc>
          <w:tcPr>
            <w:tcW w:w="1300" w:type="dxa"/>
            <w:vAlign w:val="bottom"/>
          </w:tcPr>
          <w:p>
            <w:pPr>
              <w:ind w:left="260"/>
              <w:spacing w:after="0"/>
              <w:rPr>
                <w:sz w:val="20"/>
                <w:szCs w:val="20"/>
                <w:color w:val="auto"/>
              </w:rPr>
            </w:pPr>
            <w:r>
              <w:rPr>
                <w:rFonts w:ascii="Arial" w:cs="Arial" w:eastAsia="Arial" w:hAnsi="Arial"/>
                <w:sz w:val="17"/>
                <w:szCs w:val="17"/>
                <w:color w:val="auto"/>
              </w:rPr>
              <w:t>+*10(h)3</w:t>
            </w:r>
          </w:p>
        </w:tc>
        <w:tc>
          <w:tcPr>
            <w:tcW w:w="10120" w:type="dxa"/>
            <w:vAlign w:val="bottom"/>
            <w:gridSpan w:val="4"/>
          </w:tcPr>
          <w:p>
            <w:pPr>
              <w:ind w:left="140"/>
              <w:spacing w:after="0"/>
              <w:rPr>
                <w:sz w:val="20"/>
                <w:szCs w:val="20"/>
                <w:color w:val="auto"/>
              </w:rPr>
            </w:pPr>
            <w:r>
              <w:rPr>
                <w:rFonts w:ascii="Arial" w:cs="Arial" w:eastAsia="Arial" w:hAnsi="Arial"/>
                <w:sz w:val="17"/>
                <w:szCs w:val="17"/>
                <w:color w:val="auto"/>
                <w:w w:val="94"/>
              </w:rPr>
              <w:t>-   ALLETE Executive Annual Incentive Plan Form of Awards Effective 2010 (filed as Exhibit 10(h)3 to the 2009 Form 10-K, File No. 1-3548).</w:t>
            </w:r>
          </w:p>
        </w:tc>
      </w:tr>
      <w:tr>
        <w:trPr>
          <w:trHeight w:val="201"/>
        </w:trPr>
        <w:tc>
          <w:tcPr>
            <w:tcW w:w="1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+10(h)4</w:t>
            </w:r>
          </w:p>
        </w:tc>
        <w:tc>
          <w:tcPr>
            <w:tcW w:w="8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   ALLETE Executive Annual Incentive Plan Form of Awards Effective 2011.</w:t>
            </w:r>
          </w:p>
        </w:tc>
        <w:tc>
          <w:tcPr>
            <w:tcW w:w="1360" w:type="dxa"/>
            <w:vAlign w:val="bottom"/>
            <w:shd w:val="clear" w:color="auto" w:fill="CCEEFF"/>
          </w:tcPr>
          <w:p>
            <w:pPr>
              <w:spacing w:after="0"/>
              <w:rPr>
                <w:sz w:val="17"/>
                <w:szCs w:val="17"/>
                <w:color w:val="auto"/>
              </w:rPr>
            </w:pPr>
          </w:p>
        </w:tc>
      </w:tr>
      <w:tr>
        <w:trPr>
          <w:trHeight w:val="189"/>
        </w:trPr>
        <w:tc>
          <w:tcPr>
            <w:tcW w:w="1300" w:type="dxa"/>
            <w:vAlign w:val="bottom"/>
          </w:tcPr>
          <w:p>
            <w:pPr>
              <w:ind w:left="260"/>
              <w:spacing w:after="0" w:line="189" w:lineRule="exact"/>
              <w:rPr>
                <w:sz w:val="20"/>
                <w:szCs w:val="20"/>
                <w:color w:val="auto"/>
              </w:rPr>
            </w:pPr>
            <w:r>
              <w:rPr>
                <w:rFonts w:ascii="Arial" w:cs="Arial" w:eastAsia="Arial" w:hAnsi="Arial"/>
                <w:sz w:val="17"/>
                <w:szCs w:val="17"/>
                <w:color w:val="auto"/>
              </w:rPr>
              <w:t>+*10(i)1</w:t>
            </w:r>
          </w:p>
        </w:tc>
        <w:tc>
          <w:tcPr>
            <w:tcW w:w="10120" w:type="dxa"/>
            <w:vAlign w:val="bottom"/>
            <w:gridSpan w:val="4"/>
          </w:tcPr>
          <w:p>
            <w:pPr>
              <w:ind w:left="140"/>
              <w:spacing w:after="0" w:line="189" w:lineRule="exact"/>
              <w:rPr>
                <w:sz w:val="20"/>
                <w:szCs w:val="20"/>
                <w:color w:val="auto"/>
              </w:rPr>
            </w:pPr>
            <w:r>
              <w:rPr>
                <w:rFonts w:ascii="Arial" w:cs="Arial" w:eastAsia="Arial" w:hAnsi="Arial"/>
                <w:sz w:val="17"/>
                <w:szCs w:val="17"/>
                <w:color w:val="auto"/>
                <w:w w:val="93"/>
              </w:rPr>
              <w:t>-   ALLETE and Affiliated Companies Supplemental Executive Retirement Plan (SERP I), as amended and restated, effective January 1, 2009</w:t>
            </w:r>
          </w:p>
        </w:tc>
      </w:tr>
      <w:tr>
        <w:trPr>
          <w:trHeight w:val="213"/>
        </w:trPr>
        <w:tc>
          <w:tcPr>
            <w:tcW w:w="130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7"/>
                <w:szCs w:val="17"/>
                <w:color w:val="auto"/>
                <w:w w:val="92"/>
              </w:rPr>
              <w:t>(filed as Exhibit 10(i)4 to the 2008 Form 10-K, File No. 1-3548).</w:t>
            </w:r>
          </w:p>
        </w:tc>
        <w:tc>
          <w:tcPr>
            <w:tcW w:w="39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1"/>
        </w:trPr>
        <w:tc>
          <w:tcPr>
            <w:tcW w:w="1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+10(i)2</w:t>
            </w:r>
          </w:p>
        </w:tc>
        <w:tc>
          <w:tcPr>
            <w:tcW w:w="1012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8"/>
              </w:rPr>
              <w:t>-   Amendment to the ALLETE and Affiliated Companies Supplemental Executive Retirement Plan (SERP I), effective January 1, 2011.</w:t>
            </w:r>
          </w:p>
        </w:tc>
      </w:tr>
      <w:tr>
        <w:trPr>
          <w:trHeight w:val="201"/>
        </w:trPr>
        <w:tc>
          <w:tcPr>
            <w:tcW w:w="1300" w:type="dxa"/>
            <w:vAlign w:val="bottom"/>
          </w:tcPr>
          <w:p>
            <w:pPr>
              <w:ind w:left="260"/>
              <w:spacing w:after="0"/>
              <w:rPr>
                <w:sz w:val="20"/>
                <w:szCs w:val="20"/>
                <w:color w:val="auto"/>
              </w:rPr>
            </w:pPr>
            <w:r>
              <w:rPr>
                <w:rFonts w:ascii="Arial" w:cs="Arial" w:eastAsia="Arial" w:hAnsi="Arial"/>
                <w:sz w:val="17"/>
                <w:szCs w:val="17"/>
                <w:color w:val="auto"/>
              </w:rPr>
              <w:t>+10(i)3</w:t>
            </w:r>
          </w:p>
        </w:tc>
        <w:tc>
          <w:tcPr>
            <w:tcW w:w="10120" w:type="dxa"/>
            <w:vAlign w:val="bottom"/>
            <w:gridSpan w:val="4"/>
          </w:tcPr>
          <w:p>
            <w:pPr>
              <w:ind w:left="140"/>
              <w:spacing w:after="0"/>
              <w:rPr>
                <w:sz w:val="20"/>
                <w:szCs w:val="20"/>
                <w:color w:val="auto"/>
              </w:rPr>
            </w:pPr>
            <w:r>
              <w:rPr>
                <w:rFonts w:ascii="Arial" w:cs="Arial" w:eastAsia="Arial" w:hAnsi="Arial"/>
                <w:sz w:val="17"/>
                <w:szCs w:val="17"/>
                <w:color w:val="auto"/>
                <w:w w:val="91"/>
              </w:rPr>
              <w:t>-   ALLETE and Affiliated Companies Supplemental Executive Retirement Plan II (SERP II), as amended and restated, effective January 1, 2011.</w:t>
            </w:r>
          </w:p>
        </w:tc>
      </w:tr>
      <w:tr>
        <w:trPr>
          <w:trHeight w:val="189"/>
        </w:trPr>
        <w:tc>
          <w:tcPr>
            <w:tcW w:w="13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+*10(j)1</w:t>
            </w:r>
          </w:p>
        </w:tc>
        <w:tc>
          <w:tcPr>
            <w:tcW w:w="10120" w:type="dxa"/>
            <w:vAlign w:val="bottom"/>
            <w:gridSpan w:val="4"/>
            <w:shd w:val="clear" w:color="auto" w:fill="CCEEFF"/>
          </w:tcPr>
          <w:p>
            <w:pPr>
              <w:ind w:left="140"/>
              <w:spacing w:after="0" w:line="189" w:lineRule="exact"/>
              <w:rPr>
                <w:sz w:val="20"/>
                <w:szCs w:val="20"/>
                <w:color w:val="auto"/>
              </w:rPr>
            </w:pPr>
            <w:r>
              <w:rPr>
                <w:rFonts w:ascii="Arial" w:cs="Arial" w:eastAsia="Arial" w:hAnsi="Arial"/>
                <w:sz w:val="17"/>
                <w:szCs w:val="17"/>
                <w:color w:val="auto"/>
                <w:w w:val="90"/>
              </w:rPr>
              <w:t>-   Minnesota Power and Affiliated Companies Executive Investment Plan I, as amended and restated, effective November 1, 1988 (filed as Exhibit</w:t>
            </w:r>
          </w:p>
        </w:tc>
      </w:tr>
      <w:tr>
        <w:trPr>
          <w:trHeight w:val="214"/>
        </w:trPr>
        <w:tc>
          <w:tcPr>
            <w:tcW w:w="130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10(c) to the 1988 Form 10-K, File No. 1-3548).</w:t>
            </w:r>
          </w:p>
        </w:tc>
        <w:tc>
          <w:tcPr>
            <w:tcW w:w="3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05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Exhibit Number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+*10(j)2</w:t>
            </w:r>
          </w:p>
        </w:tc>
        <w:tc>
          <w:tcPr>
            <w:tcW w:w="10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   Amendments through December 2003 to the Minnesota Power and Affiliated Companies Executive Investment Plan I (filed as Exhibit 10(v)2 to</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the 2003 Form 10-K,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+*10(j)3</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3"/>
              </w:rPr>
              <w:t>-   July 2004 Amendment to the Minnesota Power and Affiliated Companies Executive Investment Plan I (filed as Exhibit 10(b) to the June 30,</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2004, Form 10-Q,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+*10(j)4</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7"/>
              </w:rPr>
              <w:t>-   August 2006 Amendment to the Minnesota Power and Affiliated Companies Executive Investment Plan I (filed as Exhibit 10(b)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September 30, 2006, Form 10-Q,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+*10(k)1</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4"/>
              </w:rPr>
              <w:t>-   Minnesota Power and Affiliated Companies Executive Investment Plan II, as amended and restated, effective November 1, 1988 (filed as</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Exhibit 10(d) to the 1988 Form 10-K,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+*10(k)2</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1"/>
              </w:rPr>
              <w:t>-   Amendments through December 2003 to the Minnesota Power and Affiliated Companies Executive Investment Plan II (filed as Exhibit 10(w)2</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 the 2003 Form 10-K,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+*10(k)3</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3"/>
              </w:rPr>
              <w:t>-   July 2004 Amendment to the Minnesota Power and Affiliated Companies Executive Investment Plan II (filed as Exhibit 10(c) to the June 30,</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2004, Form 10-Q,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+*10(k)4</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7"/>
              </w:rPr>
              <w:t>-   August 2006 Amendment to the Minnesota Power and Affiliated Companies Executive Investment Plan II (filed as Exhibit 10(c)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September 30, 2006, Form 10-Q,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+*10(l)</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89"/>
              </w:rPr>
              <w:t>-   Deferred Compensation Trust Agreement, as amended and restated, effective January 1, 1989 (filed as Exhibit 10(f) to the 1988 Form 10-K, File</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+*10(m)1</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0"/>
              </w:rPr>
              <w:t>-   ALLETE Executive Long-Term Incentive Compensation Plan as amended and restated effective January 1, 2006 (filed as Exhibit 10 to the May</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16, 2005, Form 8-K, File No. 1-3548).</w:t>
            </w:r>
          </w:p>
        </w:tc>
      </w:tr>
      <w:tr>
        <w:trPr>
          <w:trHeight w:val="201"/>
        </w:trPr>
        <w:tc>
          <w:tcPr>
            <w:tcW w:w="1240" w:type="dxa"/>
            <w:vAlign w:val="bottom"/>
          </w:tcPr>
          <w:p>
            <w:pPr>
              <w:ind w:left="260"/>
              <w:spacing w:after="0"/>
              <w:rPr>
                <w:sz w:val="20"/>
                <w:szCs w:val="20"/>
                <w:color w:val="auto"/>
              </w:rPr>
            </w:pPr>
            <w:r>
              <w:rPr>
                <w:rFonts w:ascii="Arial" w:cs="Arial" w:eastAsia="Arial" w:hAnsi="Arial"/>
                <w:sz w:val="17"/>
                <w:szCs w:val="17"/>
                <w:color w:val="auto"/>
              </w:rPr>
              <w:t>+10(m)2</w:t>
            </w:r>
          </w:p>
        </w:tc>
        <w:tc>
          <w:tcPr>
            <w:tcW w:w="10180" w:type="dxa"/>
            <w:vAlign w:val="bottom"/>
          </w:tcPr>
          <w:p>
            <w:pPr>
              <w:ind w:left="220"/>
              <w:spacing w:after="0"/>
              <w:rPr>
                <w:sz w:val="20"/>
                <w:szCs w:val="20"/>
                <w:color w:val="auto"/>
              </w:rPr>
            </w:pPr>
            <w:r>
              <w:rPr>
                <w:rFonts w:ascii="Arial" w:cs="Arial" w:eastAsia="Arial" w:hAnsi="Arial"/>
                <w:sz w:val="17"/>
                <w:szCs w:val="17"/>
                <w:color w:val="auto"/>
              </w:rPr>
              <w:t>-   Amendment to the ALLETE Executive Long-Term Incentive Compensation Plan, effective January 1, 2011.</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+*10(m)3</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4"/>
              </w:rPr>
              <w:t>-   Form of ALLETE Executive Long-Term Incentive Compensation Plan 2006 Nonqualified Stock Option Grant (filed as Exhibit 10(a)1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January 30, 2006, Form 8-K,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+*10(m)4</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7"/>
              </w:rPr>
              <w:t>-   Form of ALLETE Executive Long-Term Incentive Compensation Plan Nonqualified Stock Option Grant Effective 2007 (filed as Exhibit</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10(m)6 to the 2006 Form 10-K,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+*10(m)5</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2"/>
              </w:rPr>
              <w:t>-   Form of ALLETE Executive Long-Term Incentive Compensation Plan Performance Share Grant Effective 2007 (filed as Exhibit 10(m)7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2006 Form 10-K,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+*10(m)6</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1"/>
              </w:rPr>
              <w:t>-   Form of ALLETE Executive Long-Term Incentive Compensation Plan Performance Share Grant Effective 2008 (filed as Exhibit 10(m)10 to the</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2007 Form 10-K,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+*10(m)7</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1"/>
              </w:rPr>
              <w:t>-   Form of ALLETE Executive Long-Term Incentive Compensation Plan Performance Share Grant Effective 2009 (filed as Exhibit 10(m)11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2008 Form 10-K,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+*10(m)8</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3"/>
              </w:rPr>
              <w:t>-   Form of ALLETE Executive Long-Term Incentive Compensation Plan – Restricted Stock Unit Grant Effective 2009 (filed as Exhibit 10(m)12</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to the 2008 Form 10-K, File No. 1-3548).</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+*10(m)9</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2"/>
              </w:rPr>
              <w:t>-   Form of ALLETE Executive Long-Term Incentive Compensation Plan Performance Share Grant Effective 2010 (filed as Exhibit 10(m)8 to the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2009 Form 10-K,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+*10(m)10</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2"/>
              </w:rPr>
              <w:t>-   Form of ALLETE Executive Long-Term Incentive Compensation Plan – Restricted Stock Unit Grant Effective 2010 (filed as Exhibit 10(m)9 to</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the 2009 Form 10-K, File No. 1-3548).</w:t>
            </w:r>
          </w:p>
        </w:tc>
      </w:tr>
      <w:tr>
        <w:trPr>
          <w:trHeight w:val="201"/>
        </w:trPr>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+10(m)11</w:t>
            </w:r>
          </w:p>
        </w:tc>
        <w:tc>
          <w:tcPr>
            <w:tcW w:w="10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Form of ALLETE Executive Long-Term Incentive Compensation Plan Performance Share Grant Effective 2011.</w:t>
            </w:r>
          </w:p>
        </w:tc>
      </w:tr>
      <w:tr>
        <w:trPr>
          <w:trHeight w:val="201"/>
        </w:trPr>
        <w:tc>
          <w:tcPr>
            <w:tcW w:w="1240" w:type="dxa"/>
            <w:vAlign w:val="bottom"/>
          </w:tcPr>
          <w:p>
            <w:pPr>
              <w:ind w:left="260"/>
              <w:spacing w:after="0"/>
              <w:rPr>
                <w:sz w:val="20"/>
                <w:szCs w:val="20"/>
                <w:color w:val="auto"/>
              </w:rPr>
            </w:pPr>
            <w:r>
              <w:rPr>
                <w:rFonts w:ascii="Arial" w:cs="Arial" w:eastAsia="Arial" w:hAnsi="Arial"/>
                <w:sz w:val="17"/>
                <w:szCs w:val="17"/>
                <w:color w:val="auto"/>
              </w:rPr>
              <w:t>+10(m)12</w:t>
            </w:r>
          </w:p>
        </w:tc>
        <w:tc>
          <w:tcPr>
            <w:tcW w:w="10180" w:type="dxa"/>
            <w:vAlign w:val="bottom"/>
          </w:tcPr>
          <w:p>
            <w:pPr>
              <w:ind w:left="220"/>
              <w:spacing w:after="0"/>
              <w:rPr>
                <w:sz w:val="20"/>
                <w:szCs w:val="20"/>
                <w:color w:val="auto"/>
              </w:rPr>
            </w:pPr>
            <w:r>
              <w:rPr>
                <w:rFonts w:ascii="Arial" w:cs="Arial" w:eastAsia="Arial" w:hAnsi="Arial"/>
                <w:sz w:val="17"/>
                <w:szCs w:val="17"/>
                <w:color w:val="auto"/>
              </w:rPr>
              <w:t>-   Form of ALLETE Executive Long-Term Incentive Compensation Plan – Restricted Stock Unit Grant Effective 2011.</w:t>
            </w:r>
          </w:p>
        </w:tc>
      </w:tr>
      <w:tr>
        <w:trPr>
          <w:trHeight w:val="189"/>
        </w:trPr>
        <w:tc>
          <w:tcPr>
            <w:tcW w:w="1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+*10(n)1</w:t>
            </w:r>
          </w:p>
        </w:tc>
        <w:tc>
          <w:tcPr>
            <w:tcW w:w="101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3"/>
              </w:rPr>
              <w:t>-   Minnesota Power (now ALLETE) Director Stock Plan, effective January 1, 1995 (filed as Exhibit 10 to the March 31, 1995, Form 10-Q, File</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+*10(n)2</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3"/>
              </w:rPr>
              <w:t>-   Amendments through December 2003 to the Minnesota Power (now ALLETE) Director Stock Plan (filed as Exhibit 10(z)2 to the 2003 Form</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10-K, File No. 1-3548).</w:t>
            </w:r>
          </w:p>
        </w:tc>
      </w:tr>
      <w:tr>
        <w:trPr>
          <w:trHeight w:val="201"/>
        </w:trPr>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+*10(n)3</w:t>
            </w:r>
          </w:p>
        </w:tc>
        <w:tc>
          <w:tcPr>
            <w:tcW w:w="10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8"/>
              </w:rPr>
              <w:t>-   July 2004 Amendment to the ALLETE Director Stock Plan (filed as Exhibit 10(e) to the June 30, 2004, Form 10-Q, File No. 1-3548).</w:t>
            </w:r>
          </w:p>
        </w:tc>
      </w:tr>
      <w:tr>
        <w:trPr>
          <w:trHeight w:val="201"/>
        </w:trPr>
        <w:tc>
          <w:tcPr>
            <w:tcW w:w="1240" w:type="dxa"/>
            <w:vAlign w:val="bottom"/>
          </w:tcPr>
          <w:p>
            <w:pPr>
              <w:ind w:left="260"/>
              <w:spacing w:after="0"/>
              <w:rPr>
                <w:sz w:val="20"/>
                <w:szCs w:val="20"/>
                <w:color w:val="auto"/>
              </w:rPr>
            </w:pPr>
            <w:r>
              <w:rPr>
                <w:rFonts w:ascii="Arial" w:cs="Arial" w:eastAsia="Arial" w:hAnsi="Arial"/>
                <w:sz w:val="17"/>
                <w:szCs w:val="17"/>
                <w:color w:val="auto"/>
              </w:rPr>
              <w:t>+*10(n)4</w:t>
            </w:r>
          </w:p>
        </w:tc>
        <w:tc>
          <w:tcPr>
            <w:tcW w:w="10180" w:type="dxa"/>
            <w:vAlign w:val="bottom"/>
          </w:tcPr>
          <w:p>
            <w:pPr>
              <w:ind w:left="220"/>
              <w:spacing w:after="0"/>
              <w:rPr>
                <w:sz w:val="20"/>
                <w:szCs w:val="20"/>
                <w:color w:val="auto"/>
              </w:rPr>
            </w:pPr>
            <w:r>
              <w:rPr>
                <w:rFonts w:ascii="Arial" w:cs="Arial" w:eastAsia="Arial" w:hAnsi="Arial"/>
                <w:sz w:val="17"/>
                <w:szCs w:val="17"/>
                <w:color w:val="auto"/>
              </w:rPr>
              <w:t>-   January 2007 Amendment to the ALLETE Director Stock Plan (filed as Exhibit 10(n)4 to the 2006 Form 10-K, File No. 1-3548).</w:t>
            </w:r>
          </w:p>
        </w:tc>
      </w:tr>
      <w:tr>
        <w:trPr>
          <w:trHeight w:val="201"/>
        </w:trPr>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+*10(n)5</w:t>
            </w:r>
          </w:p>
        </w:tc>
        <w:tc>
          <w:tcPr>
            <w:tcW w:w="10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8"/>
              </w:rPr>
              <w:t>-   May 2009 Amendment to the ALLETE Director Stock Plan (filed as Exhibit 10(b) to the June 30, 2009, Form 10-Q, File No. 1-3548).</w:t>
            </w:r>
          </w:p>
        </w:tc>
      </w:tr>
      <w:tr>
        <w:trPr>
          <w:trHeight w:val="201"/>
        </w:trPr>
        <w:tc>
          <w:tcPr>
            <w:tcW w:w="1240" w:type="dxa"/>
            <w:vAlign w:val="bottom"/>
          </w:tcPr>
          <w:p>
            <w:pPr>
              <w:ind w:left="260"/>
              <w:spacing w:after="0"/>
              <w:rPr>
                <w:sz w:val="20"/>
                <w:szCs w:val="20"/>
                <w:color w:val="auto"/>
              </w:rPr>
            </w:pPr>
            <w:r>
              <w:rPr>
                <w:rFonts w:ascii="Arial" w:cs="Arial" w:eastAsia="Arial" w:hAnsi="Arial"/>
                <w:sz w:val="17"/>
                <w:szCs w:val="17"/>
                <w:color w:val="auto"/>
              </w:rPr>
              <w:t>+*10(n)6</w:t>
            </w:r>
          </w:p>
        </w:tc>
        <w:tc>
          <w:tcPr>
            <w:tcW w:w="10180" w:type="dxa"/>
            <w:vAlign w:val="bottom"/>
          </w:tcPr>
          <w:p>
            <w:pPr>
              <w:ind w:left="220"/>
              <w:spacing w:after="0"/>
              <w:rPr>
                <w:sz w:val="20"/>
                <w:szCs w:val="20"/>
                <w:color w:val="auto"/>
              </w:rPr>
            </w:pPr>
            <w:r>
              <w:rPr>
                <w:rFonts w:ascii="Arial" w:cs="Arial" w:eastAsia="Arial" w:hAnsi="Arial"/>
                <w:sz w:val="17"/>
                <w:szCs w:val="17"/>
                <w:color w:val="auto"/>
                <w:w w:val="98"/>
              </w:rPr>
              <w:t>-   May 2010 Amendment to the ALLETE Director Stock Plan (filed as Exhibit 10(a) to the June 30, 2010, Form 10-Q, File No. 1-3548).</w:t>
            </w:r>
          </w:p>
        </w:tc>
      </w:tr>
      <w:tr>
        <w:trPr>
          <w:trHeight w:val="201"/>
        </w:trPr>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+*10(n)7</w:t>
            </w:r>
          </w:p>
        </w:tc>
        <w:tc>
          <w:tcPr>
            <w:tcW w:w="10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3"/>
              </w:rPr>
              <w:t>-   October 2010 Amendment to the ALLETE Director Stock Plan (filed as Exhibit 10 to the September 30, 2010, Form 10-Q, File No. 1-3548).</w:t>
            </w:r>
          </w:p>
        </w:tc>
      </w:tr>
      <w:tr>
        <w:trPr>
          <w:trHeight w:val="189"/>
        </w:trPr>
        <w:tc>
          <w:tcPr>
            <w:tcW w:w="1240" w:type="dxa"/>
            <w:vAlign w:val="bottom"/>
          </w:tcPr>
          <w:p>
            <w:pPr>
              <w:ind w:left="260"/>
              <w:spacing w:after="0" w:line="189" w:lineRule="exact"/>
              <w:rPr>
                <w:sz w:val="20"/>
                <w:szCs w:val="20"/>
                <w:color w:val="auto"/>
              </w:rPr>
            </w:pPr>
            <w:r>
              <w:rPr>
                <w:rFonts w:ascii="Arial" w:cs="Arial" w:eastAsia="Arial" w:hAnsi="Arial"/>
                <w:sz w:val="17"/>
                <w:szCs w:val="17"/>
                <w:color w:val="auto"/>
              </w:rPr>
              <w:t>+*10(n)8</w:t>
            </w:r>
          </w:p>
        </w:tc>
        <w:tc>
          <w:tcPr>
            <w:tcW w:w="10180" w:type="dxa"/>
            <w:vAlign w:val="bottom"/>
          </w:tcPr>
          <w:p>
            <w:pPr>
              <w:ind w:left="220"/>
              <w:spacing w:after="0" w:line="189" w:lineRule="exact"/>
              <w:rPr>
                <w:sz w:val="20"/>
                <w:szCs w:val="20"/>
                <w:color w:val="auto"/>
              </w:rPr>
            </w:pPr>
            <w:r>
              <w:rPr>
                <w:rFonts w:ascii="Arial" w:cs="Arial" w:eastAsia="Arial" w:hAnsi="Arial"/>
                <w:sz w:val="17"/>
                <w:szCs w:val="17"/>
                <w:color w:val="auto"/>
                <w:w w:val="92"/>
              </w:rPr>
              <w:t>-   ALLETE Non-Management Director Compensation Summary Effective May 1, 2010 (filed as Exhibit 10(b) to the March 31, 2010, Form 10-Q,</w:t>
            </w:r>
          </w:p>
        </w:tc>
      </w:tr>
      <w:tr>
        <w:trPr>
          <w:trHeight w:val="213"/>
        </w:trPr>
        <w:tc>
          <w:tcPr>
            <w:tcW w:w="1240" w:type="dxa"/>
            <w:vAlign w:val="bottom"/>
          </w:tcPr>
          <w:p>
            <w:pPr>
              <w:spacing w:after="0"/>
              <w:rPr>
                <w:sz w:val="18"/>
                <w:szCs w:val="18"/>
                <w:color w:val="auto"/>
              </w:rPr>
            </w:pPr>
          </w:p>
        </w:tc>
        <w:tc>
          <w:tcPr>
            <w:tcW w:w="10180" w:type="dxa"/>
            <w:vAlign w:val="bottom"/>
          </w:tcPr>
          <w:p>
            <w:pPr>
              <w:ind w:left="480"/>
              <w:spacing w:after="0"/>
              <w:rPr>
                <w:sz w:val="20"/>
                <w:szCs w:val="20"/>
                <w:color w:val="auto"/>
              </w:rPr>
            </w:pPr>
            <w:r>
              <w:rPr>
                <w:rFonts w:ascii="Arial" w:cs="Arial" w:eastAsia="Arial" w:hAnsi="Arial"/>
                <w:sz w:val="17"/>
                <w:szCs w:val="17"/>
                <w:color w:val="auto"/>
              </w:rPr>
              <w:t>File No. 1-3548).</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605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7"/>
        </w:trPr>
        <w:tc>
          <w:tcPr>
            <w:tcW w:w="1380" w:type="dxa"/>
            <w:vAlign w:val="bottom"/>
          </w:tcPr>
          <w:p>
            <w:pPr>
              <w:spacing w:after="0"/>
              <w:rPr>
                <w:sz w:val="20"/>
                <w:szCs w:val="20"/>
                <w:color w:val="auto"/>
              </w:rPr>
            </w:pPr>
            <w:r>
              <w:rPr>
                <w:rFonts w:ascii="Arial" w:cs="Arial" w:eastAsia="Arial" w:hAnsi="Arial"/>
                <w:sz w:val="17"/>
                <w:szCs w:val="17"/>
                <w:b w:val="1"/>
                <w:bCs w:val="1"/>
                <w:color w:val="auto"/>
              </w:rPr>
              <w:t>Exhibit Number</w:t>
            </w:r>
          </w:p>
        </w:tc>
        <w:tc>
          <w:tcPr>
            <w:tcW w:w="10040" w:type="dxa"/>
            <w:vAlign w:val="bottom"/>
          </w:tcPr>
          <w:p>
            <w:pPr>
              <w:spacing w:after="0"/>
              <w:rPr>
                <w:sz w:val="18"/>
                <w:szCs w:val="18"/>
                <w:color w:val="auto"/>
              </w:rPr>
            </w:pPr>
          </w:p>
        </w:tc>
      </w:tr>
      <w:tr>
        <w:trPr>
          <w:trHeight w:val="201"/>
        </w:trPr>
        <w:tc>
          <w:tcPr>
            <w:tcW w:w="1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+10(n)9</w:t>
            </w:r>
          </w:p>
        </w:tc>
        <w:tc>
          <w:tcPr>
            <w:tcW w:w="10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ALLETE Non-Management Director Compensation Summary effective January 19, 2011.</w:t>
            </w:r>
          </w:p>
        </w:tc>
      </w:tr>
      <w:tr>
        <w:trPr>
          <w:trHeight w:val="189"/>
        </w:trPr>
        <w:tc>
          <w:tcPr>
            <w:tcW w:w="1380" w:type="dxa"/>
            <w:vAlign w:val="bottom"/>
          </w:tcPr>
          <w:p>
            <w:pPr>
              <w:ind w:left="240"/>
              <w:spacing w:after="0" w:line="189" w:lineRule="exact"/>
              <w:rPr>
                <w:sz w:val="20"/>
                <w:szCs w:val="20"/>
                <w:color w:val="auto"/>
              </w:rPr>
            </w:pPr>
            <w:r>
              <w:rPr>
                <w:rFonts w:ascii="Arial" w:cs="Arial" w:eastAsia="Arial" w:hAnsi="Arial"/>
                <w:sz w:val="17"/>
                <w:szCs w:val="17"/>
                <w:color w:val="auto"/>
              </w:rPr>
              <w:t>+*10(o)1</w:t>
            </w:r>
          </w:p>
        </w:tc>
        <w:tc>
          <w:tcPr>
            <w:tcW w:w="10040" w:type="dxa"/>
            <w:vAlign w:val="bottom"/>
          </w:tcPr>
          <w:p>
            <w:pPr>
              <w:ind w:left="220"/>
              <w:spacing w:after="0" w:line="189" w:lineRule="exact"/>
              <w:rPr>
                <w:sz w:val="20"/>
                <w:szCs w:val="20"/>
                <w:color w:val="auto"/>
              </w:rPr>
            </w:pPr>
            <w:r>
              <w:rPr>
                <w:rFonts w:ascii="Arial" w:cs="Arial" w:eastAsia="Arial" w:hAnsi="Arial"/>
                <w:sz w:val="17"/>
                <w:szCs w:val="17"/>
                <w:color w:val="auto"/>
                <w:w w:val="93"/>
              </w:rPr>
              <w:t>-  Minnesota Power (now ALLETE) Director Compensation Deferral Plan Amended and Restated, effective January 1, 1990 (filed as Exhibit</w:t>
            </w:r>
          </w:p>
        </w:tc>
      </w:tr>
      <w:tr>
        <w:trPr>
          <w:trHeight w:val="213"/>
        </w:trPr>
        <w:tc>
          <w:tcPr>
            <w:tcW w:w="1380" w:type="dxa"/>
            <w:vAlign w:val="bottom"/>
          </w:tcPr>
          <w:p>
            <w:pPr>
              <w:spacing w:after="0"/>
              <w:rPr>
                <w:sz w:val="18"/>
                <w:szCs w:val="18"/>
                <w:color w:val="auto"/>
              </w:rPr>
            </w:pPr>
          </w:p>
        </w:tc>
        <w:tc>
          <w:tcPr>
            <w:tcW w:w="10040" w:type="dxa"/>
            <w:vAlign w:val="bottom"/>
          </w:tcPr>
          <w:p>
            <w:pPr>
              <w:ind w:left="460"/>
              <w:spacing w:after="0"/>
              <w:rPr>
                <w:sz w:val="20"/>
                <w:szCs w:val="20"/>
                <w:color w:val="auto"/>
              </w:rPr>
            </w:pPr>
            <w:r>
              <w:rPr>
                <w:rFonts w:ascii="Arial" w:cs="Arial" w:eastAsia="Arial" w:hAnsi="Arial"/>
                <w:sz w:val="17"/>
                <w:szCs w:val="17"/>
                <w:color w:val="auto"/>
              </w:rPr>
              <w:t>10(ac) to the 2002 Form 10-K, File No. 1-3548).</w:t>
            </w:r>
          </w:p>
        </w:tc>
      </w:tr>
      <w:tr>
        <w:trPr>
          <w:trHeight w:val="189"/>
        </w:trPr>
        <w:tc>
          <w:tcPr>
            <w:tcW w:w="1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+*10(o)2</w:t>
            </w:r>
          </w:p>
        </w:tc>
        <w:tc>
          <w:tcPr>
            <w:tcW w:w="100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1"/>
              </w:rPr>
              <w:t>-  October 2003 Amendment to the Minnesota Power (now ALLETE) Director Compensation Deferral Plan (filed as Exhibit 10(aa)2 to the 2003</w:t>
            </w:r>
          </w:p>
        </w:tc>
      </w:tr>
      <w:tr>
        <w:trPr>
          <w:trHeight w:val="214"/>
        </w:trPr>
        <w:tc>
          <w:tcPr>
            <w:tcW w:w="1380" w:type="dxa"/>
            <w:vAlign w:val="bottom"/>
            <w:shd w:val="clear" w:color="auto" w:fill="CCEEFF"/>
          </w:tcPr>
          <w:p>
            <w:pPr>
              <w:spacing w:after="0"/>
              <w:rPr>
                <w:sz w:val="18"/>
                <w:szCs w:val="18"/>
                <w:color w:val="auto"/>
              </w:rPr>
            </w:pPr>
          </w:p>
        </w:tc>
        <w:tc>
          <w:tcPr>
            <w:tcW w:w="10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Form 10-K, File No. 1-3548).</w:t>
            </w:r>
          </w:p>
        </w:tc>
      </w:tr>
      <w:tr>
        <w:trPr>
          <w:trHeight w:val="189"/>
        </w:trPr>
        <w:tc>
          <w:tcPr>
            <w:tcW w:w="1380" w:type="dxa"/>
            <w:vAlign w:val="bottom"/>
          </w:tcPr>
          <w:p>
            <w:pPr>
              <w:ind w:left="240"/>
              <w:spacing w:after="0" w:line="189" w:lineRule="exact"/>
              <w:rPr>
                <w:sz w:val="20"/>
                <w:szCs w:val="20"/>
                <w:color w:val="auto"/>
              </w:rPr>
            </w:pPr>
            <w:r>
              <w:rPr>
                <w:rFonts w:ascii="Arial" w:cs="Arial" w:eastAsia="Arial" w:hAnsi="Arial"/>
                <w:sz w:val="17"/>
                <w:szCs w:val="17"/>
                <w:color w:val="auto"/>
              </w:rPr>
              <w:t>+*10(o)3</w:t>
            </w:r>
          </w:p>
        </w:tc>
        <w:tc>
          <w:tcPr>
            <w:tcW w:w="10040" w:type="dxa"/>
            <w:vAlign w:val="bottom"/>
          </w:tcPr>
          <w:p>
            <w:pPr>
              <w:ind w:left="220"/>
              <w:spacing w:after="0" w:line="189" w:lineRule="exact"/>
              <w:rPr>
                <w:sz w:val="20"/>
                <w:szCs w:val="20"/>
                <w:color w:val="auto"/>
              </w:rPr>
            </w:pPr>
            <w:r>
              <w:rPr>
                <w:rFonts w:ascii="Arial" w:cs="Arial" w:eastAsia="Arial" w:hAnsi="Arial"/>
                <w:sz w:val="17"/>
                <w:szCs w:val="17"/>
                <w:color w:val="auto"/>
                <w:w w:val="94"/>
              </w:rPr>
              <w:t>-  January 2005 Amendment to the ALLETE Director Compensation Deferral Plan (filed as Exhibit 10(c) to the March 31, 2005, Form 10-Q,</w:t>
            </w:r>
          </w:p>
        </w:tc>
      </w:tr>
      <w:tr>
        <w:trPr>
          <w:trHeight w:val="213"/>
        </w:trPr>
        <w:tc>
          <w:tcPr>
            <w:tcW w:w="1380" w:type="dxa"/>
            <w:vAlign w:val="bottom"/>
          </w:tcPr>
          <w:p>
            <w:pPr>
              <w:spacing w:after="0"/>
              <w:rPr>
                <w:sz w:val="18"/>
                <w:szCs w:val="18"/>
                <w:color w:val="auto"/>
              </w:rPr>
            </w:pPr>
          </w:p>
        </w:tc>
        <w:tc>
          <w:tcPr>
            <w:tcW w:w="10040" w:type="dxa"/>
            <w:vAlign w:val="bottom"/>
          </w:tcPr>
          <w:p>
            <w:pPr>
              <w:ind w:left="460"/>
              <w:spacing w:after="0"/>
              <w:rPr>
                <w:sz w:val="20"/>
                <w:szCs w:val="20"/>
                <w:color w:val="auto"/>
              </w:rPr>
            </w:pPr>
            <w:r>
              <w:rPr>
                <w:rFonts w:ascii="Arial" w:cs="Arial" w:eastAsia="Arial" w:hAnsi="Arial"/>
                <w:sz w:val="17"/>
                <w:szCs w:val="17"/>
                <w:color w:val="auto"/>
              </w:rPr>
              <w:t>File No. 1-3548).</w:t>
            </w:r>
          </w:p>
        </w:tc>
      </w:tr>
      <w:tr>
        <w:trPr>
          <w:trHeight w:val="189"/>
        </w:trPr>
        <w:tc>
          <w:tcPr>
            <w:tcW w:w="1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+*10(o)4</w:t>
            </w:r>
          </w:p>
        </w:tc>
        <w:tc>
          <w:tcPr>
            <w:tcW w:w="100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1"/>
              </w:rPr>
              <w:t>-  August 2006 Amendment to the ALLETE Director Compensation Deferral Plan (filed as Exhibit 10(d) to the September 30, 2006, Form 10-Q,</w:t>
            </w:r>
          </w:p>
        </w:tc>
      </w:tr>
      <w:tr>
        <w:trPr>
          <w:trHeight w:val="214"/>
        </w:trPr>
        <w:tc>
          <w:tcPr>
            <w:tcW w:w="1380" w:type="dxa"/>
            <w:vAlign w:val="bottom"/>
            <w:shd w:val="clear" w:color="auto" w:fill="CCEEFF"/>
          </w:tcPr>
          <w:p>
            <w:pPr>
              <w:spacing w:after="0"/>
              <w:rPr>
                <w:sz w:val="18"/>
                <w:szCs w:val="18"/>
                <w:color w:val="auto"/>
              </w:rPr>
            </w:pPr>
          </w:p>
        </w:tc>
        <w:tc>
          <w:tcPr>
            <w:tcW w:w="10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File No. 1-3548).</w:t>
            </w:r>
          </w:p>
        </w:tc>
      </w:tr>
      <w:tr>
        <w:trPr>
          <w:trHeight w:val="189"/>
        </w:trPr>
        <w:tc>
          <w:tcPr>
            <w:tcW w:w="1380" w:type="dxa"/>
            <w:vAlign w:val="bottom"/>
          </w:tcPr>
          <w:p>
            <w:pPr>
              <w:ind w:left="240"/>
              <w:spacing w:after="0" w:line="189" w:lineRule="exact"/>
              <w:rPr>
                <w:sz w:val="20"/>
                <w:szCs w:val="20"/>
                <w:color w:val="auto"/>
              </w:rPr>
            </w:pPr>
            <w:r>
              <w:rPr>
                <w:rFonts w:ascii="Arial" w:cs="Arial" w:eastAsia="Arial" w:hAnsi="Arial"/>
                <w:sz w:val="17"/>
                <w:szCs w:val="17"/>
                <w:color w:val="auto"/>
              </w:rPr>
              <w:t>+*10(o)5</w:t>
            </w:r>
          </w:p>
        </w:tc>
        <w:tc>
          <w:tcPr>
            <w:tcW w:w="10040" w:type="dxa"/>
            <w:vAlign w:val="bottom"/>
          </w:tcPr>
          <w:p>
            <w:pPr>
              <w:ind w:left="220"/>
              <w:spacing w:after="0" w:line="189" w:lineRule="exact"/>
              <w:rPr>
                <w:sz w:val="20"/>
                <w:szCs w:val="20"/>
                <w:color w:val="auto"/>
              </w:rPr>
            </w:pPr>
            <w:r>
              <w:rPr>
                <w:rFonts w:ascii="Arial" w:cs="Arial" w:eastAsia="Arial" w:hAnsi="Arial"/>
                <w:sz w:val="17"/>
                <w:szCs w:val="17"/>
                <w:color w:val="auto"/>
                <w:w w:val="91"/>
              </w:rPr>
              <w:t>-  ALLETE Non-Employee Director Compensation Deferral Plan II, effective May 1, 2009 (filed as Exhibit 10(a) to the June 30, 2009, Form 10-</w:t>
            </w:r>
          </w:p>
        </w:tc>
      </w:tr>
      <w:tr>
        <w:trPr>
          <w:trHeight w:val="213"/>
        </w:trPr>
        <w:tc>
          <w:tcPr>
            <w:tcW w:w="1380" w:type="dxa"/>
            <w:vAlign w:val="bottom"/>
          </w:tcPr>
          <w:p>
            <w:pPr>
              <w:spacing w:after="0"/>
              <w:rPr>
                <w:sz w:val="18"/>
                <w:szCs w:val="18"/>
                <w:color w:val="auto"/>
              </w:rPr>
            </w:pPr>
          </w:p>
        </w:tc>
        <w:tc>
          <w:tcPr>
            <w:tcW w:w="10040" w:type="dxa"/>
            <w:vAlign w:val="bottom"/>
          </w:tcPr>
          <w:p>
            <w:pPr>
              <w:ind w:left="460"/>
              <w:spacing w:after="0"/>
              <w:rPr>
                <w:sz w:val="20"/>
                <w:szCs w:val="20"/>
                <w:color w:val="auto"/>
              </w:rPr>
            </w:pPr>
            <w:r>
              <w:rPr>
                <w:rFonts w:ascii="Arial" w:cs="Arial" w:eastAsia="Arial" w:hAnsi="Arial"/>
                <w:sz w:val="17"/>
                <w:szCs w:val="17"/>
                <w:color w:val="auto"/>
              </w:rPr>
              <w:t>Q, File No. 1-3548).</w:t>
            </w:r>
          </w:p>
        </w:tc>
      </w:tr>
      <w:tr>
        <w:trPr>
          <w:trHeight w:val="189"/>
        </w:trPr>
        <w:tc>
          <w:tcPr>
            <w:tcW w:w="1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+*10(p)</w:t>
            </w:r>
          </w:p>
        </w:tc>
        <w:tc>
          <w:tcPr>
            <w:tcW w:w="100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w w:val="92"/>
              </w:rPr>
              <w:t>-  ALLETE Director Compensation Trust Agreement, effective October 11, 2004 (filed as Exhibit 10(a) to the September 30, 2004, Form 10-Q,</w:t>
            </w:r>
          </w:p>
        </w:tc>
      </w:tr>
      <w:tr>
        <w:trPr>
          <w:trHeight w:val="214"/>
        </w:trPr>
        <w:tc>
          <w:tcPr>
            <w:tcW w:w="1380" w:type="dxa"/>
            <w:vAlign w:val="bottom"/>
            <w:shd w:val="clear" w:color="auto" w:fill="CCEEFF"/>
          </w:tcPr>
          <w:p>
            <w:pPr>
              <w:spacing w:after="0"/>
              <w:rPr>
                <w:sz w:val="18"/>
                <w:szCs w:val="18"/>
                <w:color w:val="auto"/>
              </w:rPr>
            </w:pPr>
          </w:p>
        </w:tc>
        <w:tc>
          <w:tcPr>
            <w:tcW w:w="10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File No. 1-3548).</w:t>
            </w:r>
          </w:p>
        </w:tc>
      </w:tr>
      <w:tr>
        <w:trPr>
          <w:trHeight w:val="201"/>
        </w:trPr>
        <w:tc>
          <w:tcPr>
            <w:tcW w:w="1380" w:type="dxa"/>
            <w:vAlign w:val="bottom"/>
          </w:tcPr>
          <w:p>
            <w:pPr>
              <w:ind w:left="240"/>
              <w:spacing w:after="0"/>
              <w:rPr>
                <w:sz w:val="20"/>
                <w:szCs w:val="20"/>
                <w:color w:val="auto"/>
              </w:rPr>
            </w:pPr>
            <w:r>
              <w:rPr>
                <w:rFonts w:ascii="Arial" w:cs="Arial" w:eastAsia="Arial" w:hAnsi="Arial"/>
                <w:sz w:val="17"/>
                <w:szCs w:val="17"/>
                <w:color w:val="auto"/>
              </w:rPr>
              <w:t>+10(q)</w:t>
            </w:r>
          </w:p>
        </w:tc>
        <w:tc>
          <w:tcPr>
            <w:tcW w:w="10040" w:type="dxa"/>
            <w:vAlign w:val="bottom"/>
          </w:tcPr>
          <w:p>
            <w:pPr>
              <w:ind w:left="220"/>
              <w:spacing w:after="0"/>
              <w:rPr>
                <w:sz w:val="20"/>
                <w:szCs w:val="20"/>
                <w:color w:val="auto"/>
              </w:rPr>
            </w:pPr>
            <w:r>
              <w:rPr>
                <w:rFonts w:ascii="Arial" w:cs="Arial" w:eastAsia="Arial" w:hAnsi="Arial"/>
                <w:sz w:val="17"/>
                <w:szCs w:val="17"/>
                <w:color w:val="auto"/>
              </w:rPr>
              <w:t>-  ALLETE and Affiliated Companies Change in Control Severance Plan, as amended and restated, effective January 19, 2011.</w:t>
            </w:r>
          </w:p>
        </w:tc>
      </w:tr>
      <w:tr>
        <w:trPr>
          <w:trHeight w:val="201"/>
        </w:trPr>
        <w:tc>
          <w:tcPr>
            <w:tcW w:w="1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12</w:t>
            </w:r>
          </w:p>
        </w:tc>
        <w:tc>
          <w:tcPr>
            <w:tcW w:w="10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Computation of Ratios of Earnings to Fixed Charges.</w:t>
            </w:r>
          </w:p>
        </w:tc>
      </w:tr>
      <w:tr>
        <w:trPr>
          <w:trHeight w:val="201"/>
        </w:trPr>
        <w:tc>
          <w:tcPr>
            <w:tcW w:w="1380" w:type="dxa"/>
            <w:vAlign w:val="bottom"/>
          </w:tcPr>
          <w:p>
            <w:pPr>
              <w:ind w:left="240"/>
              <w:spacing w:after="0"/>
              <w:rPr>
                <w:sz w:val="20"/>
                <w:szCs w:val="20"/>
                <w:color w:val="auto"/>
              </w:rPr>
            </w:pPr>
            <w:r>
              <w:rPr>
                <w:rFonts w:ascii="Arial" w:cs="Arial" w:eastAsia="Arial" w:hAnsi="Arial"/>
                <w:sz w:val="17"/>
                <w:szCs w:val="17"/>
                <w:color w:val="auto"/>
              </w:rPr>
              <w:t>21</w:t>
            </w:r>
          </w:p>
        </w:tc>
        <w:tc>
          <w:tcPr>
            <w:tcW w:w="10040" w:type="dxa"/>
            <w:vAlign w:val="bottom"/>
          </w:tcPr>
          <w:p>
            <w:pPr>
              <w:ind w:left="220"/>
              <w:spacing w:after="0"/>
              <w:rPr>
                <w:sz w:val="20"/>
                <w:szCs w:val="20"/>
                <w:color w:val="auto"/>
              </w:rPr>
            </w:pPr>
            <w:r>
              <w:rPr>
                <w:rFonts w:ascii="Arial" w:cs="Arial" w:eastAsia="Arial" w:hAnsi="Arial"/>
                <w:sz w:val="17"/>
                <w:szCs w:val="17"/>
                <w:color w:val="auto"/>
              </w:rPr>
              <w:t>-  Subsidiaries of the Registrant.</w:t>
            </w:r>
          </w:p>
        </w:tc>
      </w:tr>
      <w:tr>
        <w:trPr>
          <w:trHeight w:val="201"/>
        </w:trPr>
        <w:tc>
          <w:tcPr>
            <w:tcW w:w="1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23(a)</w:t>
            </w:r>
          </w:p>
        </w:tc>
        <w:tc>
          <w:tcPr>
            <w:tcW w:w="10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Consent of Independent Registered Public Accounting Firm.</w:t>
            </w:r>
          </w:p>
        </w:tc>
      </w:tr>
      <w:tr>
        <w:trPr>
          <w:trHeight w:val="201"/>
        </w:trPr>
        <w:tc>
          <w:tcPr>
            <w:tcW w:w="1380" w:type="dxa"/>
            <w:vAlign w:val="bottom"/>
          </w:tcPr>
          <w:p>
            <w:pPr>
              <w:ind w:left="240"/>
              <w:spacing w:after="0"/>
              <w:rPr>
                <w:sz w:val="20"/>
                <w:szCs w:val="20"/>
                <w:color w:val="auto"/>
              </w:rPr>
            </w:pPr>
            <w:r>
              <w:rPr>
                <w:rFonts w:ascii="Arial" w:cs="Arial" w:eastAsia="Arial" w:hAnsi="Arial"/>
                <w:sz w:val="17"/>
                <w:szCs w:val="17"/>
                <w:color w:val="auto"/>
              </w:rPr>
              <w:t>31(a)</w:t>
            </w:r>
          </w:p>
        </w:tc>
        <w:tc>
          <w:tcPr>
            <w:tcW w:w="10040" w:type="dxa"/>
            <w:vAlign w:val="bottom"/>
          </w:tcPr>
          <w:p>
            <w:pPr>
              <w:ind w:left="220"/>
              <w:spacing w:after="0"/>
              <w:rPr>
                <w:sz w:val="20"/>
                <w:szCs w:val="20"/>
                <w:color w:val="auto"/>
              </w:rPr>
            </w:pPr>
            <w:r>
              <w:rPr>
                <w:rFonts w:ascii="Arial" w:cs="Arial" w:eastAsia="Arial" w:hAnsi="Arial"/>
                <w:sz w:val="17"/>
                <w:szCs w:val="17"/>
                <w:color w:val="auto"/>
                <w:w w:val="99"/>
              </w:rPr>
              <w:t>-  Rule 13a-14(a)/15d-14(a) Certification by the Chief Executive Officer Pursuant to Section 302 of the Sarbanes-Oxley Act of 2002.</w:t>
            </w:r>
          </w:p>
        </w:tc>
      </w:tr>
      <w:tr>
        <w:trPr>
          <w:trHeight w:val="201"/>
        </w:trPr>
        <w:tc>
          <w:tcPr>
            <w:tcW w:w="1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31(b)</w:t>
            </w:r>
          </w:p>
        </w:tc>
        <w:tc>
          <w:tcPr>
            <w:tcW w:w="10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Rule 13a-14(a)/15d-14(a) Certification by the Chief Financial Officer Pursuant to Section 302 of the Sarbanes-Oxley Act of 2002.</w:t>
            </w:r>
          </w:p>
        </w:tc>
      </w:tr>
    </w:tbl>
    <w:p>
      <w:pPr>
        <w:ind w:left="1840" w:hanging="1601"/>
        <w:spacing w:after="0" w:line="246" w:lineRule="auto"/>
        <w:tabs>
          <w:tab w:leader="none" w:pos="1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 Section 1350 Certification of Annual Report by the Chief Executive Officer and Chief Financial Officer Pursuant to Section 906 of the Sarbanes-Oxley Act of 2002.</w:t>
      </w:r>
    </w:p>
    <w:p>
      <w:pPr>
        <w:spacing w:after="0" w:line="1" w:lineRule="exact"/>
        <w:rPr>
          <w:sz w:val="20"/>
          <w:szCs w:val="20"/>
          <w:color w:val="auto"/>
        </w:rPr>
      </w:pPr>
    </w:p>
    <w:p>
      <w:pPr>
        <w:ind w:left="1840" w:hanging="1601"/>
        <w:spacing w:after="0" w:line="249" w:lineRule="auto"/>
        <w:tabs>
          <w:tab w:leader="none" w:pos="16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 ALLETE News Release dated February 16, 2011, announcing earnings for the year ended December 31, 2010. </w:t>
      </w:r>
      <w:r>
        <w:rPr>
          <w:rFonts w:ascii="Arial" w:cs="Arial" w:eastAsia="Arial" w:hAnsi="Arial"/>
          <w:sz w:val="17"/>
          <w:szCs w:val="17"/>
          <w:b w:val="1"/>
          <w:bCs w:val="1"/>
          <w:color w:val="auto"/>
        </w:rPr>
        <w:t>(This exhibit has been</w:t>
      </w:r>
      <w:r>
        <w:rPr>
          <w:rFonts w:ascii="Arial" w:cs="Arial" w:eastAsia="Arial" w:hAnsi="Arial"/>
          <w:sz w:val="17"/>
          <w:szCs w:val="17"/>
          <w:color w:val="auto"/>
        </w:rPr>
        <w:t xml:space="preserve"> </w:t>
      </w:r>
      <w:r>
        <w:rPr>
          <w:rFonts w:ascii="Arial" w:cs="Arial" w:eastAsia="Arial" w:hAnsi="Arial"/>
          <w:sz w:val="17"/>
          <w:szCs w:val="17"/>
          <w:b w:val="1"/>
          <w:bCs w:val="1"/>
          <w:color w:val="auto"/>
        </w:rPr>
        <w:t>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-514350</wp:posOffset>
            </wp:positionV>
            <wp:extent cx="7256145" cy="511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145" cy="511175"/>
                    </a:xfrm>
                    <a:prstGeom prst="rect">
                      <a:avLst/>
                    </a:prstGeom>
                    <a:noFill/>
                  </pic:spPr>
                </pic:pic>
              </a:graphicData>
            </a:graphic>
          </wp:anchor>
        </w:drawing>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601(b)(4)(iii), are not filed as exhibits since the total amount of debt authorized under each of these omitted instruments does not exceed 10 percent of our total consolidated assets. We will furnish copies of these instruments to the SEC upon its request.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 party to another long-term debt instrument, $38,995,000 original principal amount, of City of Cohasset, Minnesota, Variable Rate Demand Revenue Refunding Bonds (ALLETE, formerly Minnesota Power &amp; Light Company, Project) Series 1997A, Series 1997B and Series 1997C ($36,495,000 remaining principal balance) that, pursuant to Regulation S-K, Item 601(b)(4)(iii), is not filed as an exhibit since the total amount of debt authorized under this omitted instrument does not exceed 10 percent of our total consolidated assets. We will furnish copies of this instrument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7256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180" w:lineRule="exact"/>
        <w:rPr>
          <w:sz w:val="20"/>
          <w:szCs w:val="20"/>
          <w:color w:val="auto"/>
        </w:rPr>
      </w:pPr>
    </w:p>
    <w:p>
      <w:pPr>
        <w:ind w:left="400" w:hanging="399"/>
        <w:spacing w:after="0"/>
        <w:tabs>
          <w:tab w:leader="none" w:pos="40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Incorporated herein by reference as indicated.</w:t>
      </w:r>
    </w:p>
    <w:p>
      <w:pPr>
        <w:spacing w:after="0" w:line="18"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Management contract or compensatory plan or arrangement pursuant to Item 15(b).</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12" w:lineRule="exact"/>
        <w:rPr>
          <w:sz w:val="20"/>
          <w:szCs w:val="20"/>
          <w:color w:val="auto"/>
        </w:rPr>
      </w:pPr>
    </w:p>
    <w:p>
      <w:pPr>
        <w:spacing w:after="0"/>
        <w:tabs>
          <w:tab w:leader="none" w:pos="5080" w:val="left"/>
          <w:tab w:leader="none" w:pos="8040" w:val="left"/>
        </w:tabs>
        <w:rPr>
          <w:sz w:val="20"/>
          <w:szCs w:val="20"/>
          <w:color w:val="auto"/>
        </w:rPr>
      </w:pPr>
      <w:r>
        <w:rPr>
          <w:rFonts w:ascii="Arial" w:cs="Arial" w:eastAsia="Arial" w:hAnsi="Arial"/>
          <w:sz w:val="17"/>
          <w:szCs w:val="17"/>
          <w:color w:val="auto"/>
        </w:rPr>
        <w:t>Dated: February 16,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11430</wp:posOffset>
            </wp:positionV>
            <wp:extent cx="359219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92195" cy="15875"/>
                    </a:xfrm>
                    <a:prstGeom prst="rect">
                      <a:avLst/>
                    </a:prstGeom>
                    <a:noFill/>
                  </pic:spPr>
                </pic:pic>
              </a:graphicData>
            </a:graphic>
          </wp:anchor>
        </w:drawing>
      </w:r>
    </w:p>
    <w:p>
      <w:pPr>
        <w:spacing w:after="0" w:line="11" w:lineRule="exact"/>
        <w:rPr>
          <w:sz w:val="20"/>
          <w:szCs w:val="20"/>
          <w:color w:val="auto"/>
        </w:rPr>
      </w:pPr>
    </w:p>
    <w:p>
      <w:pPr>
        <w:jc w:val="center"/>
        <w:ind w:left="5780"/>
        <w:spacing w:after="0"/>
        <w:rPr>
          <w:sz w:val="20"/>
          <w:szCs w:val="20"/>
          <w:color w:val="auto"/>
        </w:rPr>
      </w:pPr>
      <w:r>
        <w:rPr>
          <w:rFonts w:ascii="Arial" w:cs="Arial" w:eastAsia="Arial" w:hAnsi="Arial"/>
          <w:sz w:val="17"/>
          <w:szCs w:val="17"/>
          <w:color w:val="auto"/>
        </w:rPr>
        <w:t>Alan R. Hodnik</w:t>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Signature</w:t>
            </w:r>
          </w:p>
        </w:tc>
        <w:tc>
          <w:tcPr>
            <w:tcW w:w="5500" w:type="dxa"/>
            <w:vAlign w:val="bottom"/>
            <w:tcBorders>
              <w:bottom w:val="single" w:sz="8" w:color="auto"/>
            </w:tcBorders>
          </w:tcPr>
          <w:p>
            <w:pPr>
              <w:jc w:val="center"/>
              <w:ind w:left="318"/>
              <w:spacing w:after="0"/>
              <w:rPr>
                <w:sz w:val="20"/>
                <w:szCs w:val="20"/>
                <w:color w:val="auto"/>
              </w:rPr>
            </w:pPr>
            <w:r>
              <w:rPr>
                <w:rFonts w:ascii="Arial" w:cs="Arial" w:eastAsia="Arial" w:hAnsi="Arial"/>
                <w:sz w:val="17"/>
                <w:szCs w:val="17"/>
                <w:b w:val="1"/>
                <w:bCs w:val="1"/>
                <w:color w:val="auto"/>
                <w:w w:val="97"/>
              </w:rPr>
              <w:t>Title</w:t>
            </w:r>
          </w:p>
        </w:tc>
        <w:tc>
          <w:tcPr>
            <w:tcW w:w="256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b w:val="1"/>
                <w:bCs w:val="1"/>
                <w:color w:val="auto"/>
                <w:w w:val="92"/>
              </w:rPr>
              <w:t>Date</w:t>
            </w:r>
          </w:p>
        </w:tc>
      </w:tr>
      <w:tr>
        <w:trPr>
          <w:trHeight w:val="40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Alan R. Hodnik</w:t>
            </w:r>
          </w:p>
        </w:tc>
        <w:tc>
          <w:tcPr>
            <w:tcW w:w="5500" w:type="dxa"/>
            <w:vAlign w:val="bottom"/>
          </w:tcPr>
          <w:p>
            <w:pPr>
              <w:jc w:val="center"/>
              <w:ind w:left="298"/>
              <w:spacing w:after="0"/>
              <w:rPr>
                <w:sz w:val="20"/>
                <w:szCs w:val="20"/>
                <w:color w:val="auto"/>
              </w:rPr>
            </w:pPr>
            <w:r>
              <w:rPr>
                <w:rFonts w:ascii="Arial" w:cs="Arial" w:eastAsia="Arial" w:hAnsi="Arial"/>
                <w:sz w:val="17"/>
                <w:szCs w:val="17"/>
                <w:color w:val="auto"/>
                <w:w w:val="90"/>
              </w:rPr>
              <w:t>President and Chief Executive Officer</w:t>
            </w:r>
          </w:p>
        </w:tc>
        <w:tc>
          <w:tcPr>
            <w:tcW w:w="2560" w:type="dxa"/>
            <w:vAlign w:val="bottom"/>
          </w:tcPr>
          <w:p>
            <w:pPr>
              <w:jc w:val="center"/>
              <w:ind w:left="33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5"/>
              </w:rPr>
              <w:t>Alan R. Hodnik</w:t>
            </w:r>
          </w:p>
        </w:tc>
        <w:tc>
          <w:tcPr>
            <w:tcW w:w="5500" w:type="dxa"/>
            <w:vAlign w:val="bottom"/>
          </w:tcPr>
          <w:p>
            <w:pPr>
              <w:jc w:val="center"/>
              <w:ind w:left="298"/>
              <w:spacing w:after="0"/>
              <w:rPr>
                <w:sz w:val="20"/>
                <w:szCs w:val="20"/>
                <w:color w:val="auto"/>
              </w:rPr>
            </w:pPr>
            <w:r>
              <w:rPr>
                <w:rFonts w:ascii="Arial" w:cs="Arial" w:eastAsia="Arial" w:hAnsi="Arial"/>
                <w:sz w:val="17"/>
                <w:szCs w:val="17"/>
                <w:color w:val="auto"/>
                <w:w w:val="93"/>
              </w:rPr>
              <w:t>(Principal Executive Officer)</w:t>
            </w:r>
          </w:p>
        </w:tc>
        <w:tc>
          <w:tcPr>
            <w:tcW w:w="256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Mark A. Schober</w:t>
            </w:r>
          </w:p>
        </w:tc>
        <w:tc>
          <w:tcPr>
            <w:tcW w:w="5500" w:type="dxa"/>
            <w:vAlign w:val="bottom"/>
          </w:tcPr>
          <w:p>
            <w:pPr>
              <w:jc w:val="center"/>
              <w:ind w:left="318"/>
              <w:spacing w:after="0"/>
              <w:rPr>
                <w:sz w:val="20"/>
                <w:szCs w:val="20"/>
                <w:color w:val="auto"/>
              </w:rPr>
            </w:pPr>
            <w:r>
              <w:rPr>
                <w:rFonts w:ascii="Arial" w:cs="Arial" w:eastAsia="Arial" w:hAnsi="Arial"/>
                <w:sz w:val="17"/>
                <w:szCs w:val="17"/>
                <w:color w:val="auto"/>
                <w:w w:val="90"/>
              </w:rPr>
              <w:t>Senior Vice President and Chief Financial Officer</w:t>
            </w:r>
          </w:p>
        </w:tc>
        <w:tc>
          <w:tcPr>
            <w:tcW w:w="2560" w:type="dxa"/>
            <w:vAlign w:val="bottom"/>
          </w:tcPr>
          <w:p>
            <w:pPr>
              <w:jc w:val="center"/>
              <w:ind w:left="33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1"/>
              </w:rPr>
              <w:t>Mark A. Schober</w:t>
            </w:r>
          </w:p>
        </w:tc>
        <w:tc>
          <w:tcPr>
            <w:tcW w:w="5500" w:type="dxa"/>
            <w:vAlign w:val="bottom"/>
          </w:tcPr>
          <w:p>
            <w:pPr>
              <w:jc w:val="center"/>
              <w:ind w:left="318"/>
              <w:spacing w:after="0"/>
              <w:rPr>
                <w:sz w:val="20"/>
                <w:szCs w:val="20"/>
                <w:color w:val="auto"/>
              </w:rPr>
            </w:pPr>
            <w:r>
              <w:rPr>
                <w:rFonts w:ascii="Arial" w:cs="Arial" w:eastAsia="Arial" w:hAnsi="Arial"/>
                <w:sz w:val="17"/>
                <w:szCs w:val="17"/>
                <w:color w:val="auto"/>
                <w:w w:val="93"/>
              </w:rPr>
              <w:t>(Principal Financial Officer)</w:t>
            </w:r>
          </w:p>
        </w:tc>
        <w:tc>
          <w:tcPr>
            <w:tcW w:w="256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Steven Q. DeVinck</w:t>
            </w:r>
          </w:p>
        </w:tc>
        <w:tc>
          <w:tcPr>
            <w:tcW w:w="5500" w:type="dxa"/>
            <w:vAlign w:val="bottom"/>
          </w:tcPr>
          <w:p>
            <w:pPr>
              <w:jc w:val="center"/>
              <w:ind w:left="298"/>
              <w:spacing w:after="0"/>
              <w:rPr>
                <w:sz w:val="20"/>
                <w:szCs w:val="20"/>
                <w:color w:val="auto"/>
              </w:rPr>
            </w:pPr>
            <w:r>
              <w:rPr>
                <w:rFonts w:ascii="Arial" w:cs="Arial" w:eastAsia="Arial" w:hAnsi="Arial"/>
                <w:sz w:val="17"/>
                <w:szCs w:val="17"/>
                <w:color w:val="auto"/>
                <w:w w:val="88"/>
              </w:rPr>
              <w:t>Controller and Vice President – Business Support</w:t>
            </w:r>
          </w:p>
        </w:tc>
        <w:tc>
          <w:tcPr>
            <w:tcW w:w="2560" w:type="dxa"/>
            <w:vAlign w:val="bottom"/>
          </w:tcPr>
          <w:p>
            <w:pPr>
              <w:jc w:val="center"/>
              <w:ind w:left="33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9"/>
              </w:rPr>
              <w:t>Steven Q. DeVinck</w:t>
            </w:r>
          </w:p>
        </w:tc>
        <w:tc>
          <w:tcPr>
            <w:tcW w:w="5500" w:type="dxa"/>
            <w:vAlign w:val="bottom"/>
          </w:tcPr>
          <w:p>
            <w:pPr>
              <w:jc w:val="center"/>
              <w:ind w:left="318"/>
              <w:spacing w:after="0"/>
              <w:rPr>
                <w:sz w:val="20"/>
                <w:szCs w:val="20"/>
                <w:color w:val="auto"/>
              </w:rPr>
            </w:pPr>
            <w:r>
              <w:rPr>
                <w:rFonts w:ascii="Arial" w:cs="Arial" w:eastAsia="Arial" w:hAnsi="Arial"/>
                <w:sz w:val="17"/>
                <w:szCs w:val="17"/>
                <w:color w:val="auto"/>
                <w:w w:val="93"/>
              </w:rPr>
              <w:t>(Principal Accounting Officer)</w:t>
            </w:r>
          </w:p>
        </w:tc>
        <w:tc>
          <w:tcPr>
            <w:tcW w:w="2560" w:type="dxa"/>
            <w:vAlign w:val="bottom"/>
          </w:tcPr>
          <w:p>
            <w:pPr>
              <w:spacing w:after="0"/>
              <w:rPr>
                <w:sz w:val="18"/>
                <w:szCs w:val="18"/>
                <w:color w:val="auto"/>
              </w:rPr>
            </w:pPr>
          </w:p>
        </w:tc>
      </w:tr>
      <w:tr>
        <w:trPr>
          <w:trHeight w:val="397"/>
        </w:trPr>
        <w:tc>
          <w:tcPr>
            <w:tcW w:w="3360" w:type="dxa"/>
            <w:vAlign w:val="bottom"/>
          </w:tcPr>
          <w:p>
            <w:pPr>
              <w:spacing w:after="0"/>
              <w:rPr>
                <w:sz w:val="24"/>
                <w:szCs w:val="24"/>
                <w:color w:val="auto"/>
              </w:rPr>
            </w:pPr>
          </w:p>
        </w:tc>
        <w:tc>
          <w:tcPr>
            <w:tcW w:w="5500" w:type="dxa"/>
            <w:vAlign w:val="bottom"/>
          </w:tcPr>
          <w:p>
            <w:pPr>
              <w:jc w:val="center"/>
              <w:ind w:right="698"/>
              <w:spacing w:after="0"/>
              <w:rPr>
                <w:sz w:val="20"/>
                <w:szCs w:val="20"/>
                <w:color w:val="auto"/>
              </w:rPr>
            </w:pPr>
            <w:r>
              <w:rPr>
                <w:rFonts w:ascii="Arial" w:cs="Arial" w:eastAsia="Arial" w:hAnsi="Arial"/>
                <w:sz w:val="17"/>
                <w:szCs w:val="17"/>
                <w:color w:val="auto"/>
                <w:w w:val="94"/>
              </w:rPr>
              <w:t>ALLETE 2010 Form 10-K</w:t>
            </w:r>
          </w:p>
        </w:tc>
        <w:tc>
          <w:tcPr>
            <w:tcW w:w="2560" w:type="dxa"/>
            <w:vAlign w:val="bottom"/>
          </w:tcPr>
          <w:p>
            <w:pPr>
              <w:spacing w:after="0"/>
              <w:rPr>
                <w:sz w:val="24"/>
                <w:szCs w:val="24"/>
                <w:color w:val="auto"/>
              </w:rPr>
            </w:pPr>
          </w:p>
        </w:tc>
      </w:tr>
      <w:tr>
        <w:trPr>
          <w:trHeight w:val="171"/>
        </w:trPr>
        <w:tc>
          <w:tcPr>
            <w:tcW w:w="3360" w:type="dxa"/>
            <w:vAlign w:val="bottom"/>
          </w:tcPr>
          <w:p>
            <w:pPr>
              <w:spacing w:after="0"/>
              <w:rPr>
                <w:sz w:val="14"/>
                <w:szCs w:val="14"/>
                <w:color w:val="auto"/>
              </w:rPr>
            </w:pPr>
          </w:p>
        </w:tc>
        <w:tc>
          <w:tcPr>
            <w:tcW w:w="5500" w:type="dxa"/>
            <w:vAlign w:val="bottom"/>
          </w:tcPr>
          <w:p>
            <w:pPr>
              <w:jc w:val="right"/>
              <w:ind w:right="3018"/>
              <w:spacing w:after="0"/>
              <w:rPr>
                <w:sz w:val="20"/>
                <w:szCs w:val="20"/>
                <w:color w:val="auto"/>
              </w:rPr>
            </w:pPr>
            <w:r>
              <w:rPr>
                <w:rFonts w:ascii="Arial" w:cs="Arial" w:eastAsia="Arial" w:hAnsi="Arial"/>
                <w:sz w:val="13"/>
                <w:szCs w:val="13"/>
                <w:color w:val="auto"/>
              </w:rPr>
              <w:t>50</w:t>
            </w:r>
          </w:p>
        </w:tc>
        <w:tc>
          <w:tcPr>
            <w:tcW w:w="2560" w:type="dxa"/>
            <w:vAlign w:val="bottom"/>
          </w:tcPr>
          <w:p>
            <w:pPr>
              <w:spacing w:after="0"/>
              <w:rPr>
                <w:sz w:val="14"/>
                <w:szCs w:val="14"/>
                <w:color w:val="auto"/>
              </w:rPr>
            </w:pPr>
          </w:p>
        </w:tc>
      </w:tr>
      <w:tr>
        <w:trPr>
          <w:trHeight w:val="296"/>
        </w:trPr>
        <w:tc>
          <w:tcPr>
            <w:tcW w:w="336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4820" w:type="dxa"/>
            <w:vAlign w:val="bottom"/>
          </w:tcPr>
          <w:p>
            <w:pPr>
              <w:jc w:val="center"/>
              <w:ind w:right="37"/>
              <w:spacing w:after="0"/>
              <w:rPr>
                <w:sz w:val="20"/>
                <w:szCs w:val="20"/>
                <w:color w:val="auto"/>
              </w:rPr>
            </w:pPr>
            <w:r>
              <w:rPr>
                <w:rFonts w:ascii="Arial" w:cs="Arial" w:eastAsia="Arial" w:hAnsi="Arial"/>
                <w:sz w:val="17"/>
                <w:szCs w:val="17"/>
                <w:b w:val="1"/>
                <w:bCs w:val="1"/>
                <w:color w:val="auto"/>
                <w:w w:val="88"/>
              </w:rPr>
              <w:t>Signatures (Continued)</w:t>
            </w:r>
          </w:p>
        </w:tc>
        <w:tc>
          <w:tcPr>
            <w:tcW w:w="3240" w:type="dxa"/>
            <w:vAlign w:val="bottom"/>
          </w:tcPr>
          <w:p>
            <w:pPr>
              <w:spacing w:after="0"/>
              <w:rPr>
                <w:sz w:val="18"/>
                <w:szCs w:val="18"/>
                <w:color w:val="auto"/>
              </w:rPr>
            </w:pPr>
          </w:p>
        </w:tc>
      </w:tr>
      <w:tr>
        <w:trPr>
          <w:trHeight w:val="88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Signature</w:t>
            </w:r>
          </w:p>
        </w:tc>
        <w:tc>
          <w:tcPr>
            <w:tcW w:w="4820" w:type="dxa"/>
            <w:vAlign w:val="bottom"/>
            <w:tcBorders>
              <w:bottom w:val="single" w:sz="8" w:color="auto"/>
            </w:tcBorders>
          </w:tcPr>
          <w:p>
            <w:pPr>
              <w:jc w:val="center"/>
              <w:ind w:left="997"/>
              <w:spacing w:after="0"/>
              <w:rPr>
                <w:sz w:val="20"/>
                <w:szCs w:val="20"/>
                <w:color w:val="auto"/>
              </w:rPr>
            </w:pPr>
            <w:r>
              <w:rPr>
                <w:rFonts w:ascii="Arial" w:cs="Arial" w:eastAsia="Arial" w:hAnsi="Arial"/>
                <w:sz w:val="17"/>
                <w:szCs w:val="17"/>
                <w:b w:val="1"/>
                <w:bCs w:val="1"/>
                <w:color w:val="auto"/>
                <w:w w:val="97"/>
              </w:rPr>
              <w:t>Title</w:t>
            </w:r>
          </w:p>
        </w:tc>
        <w:tc>
          <w:tcPr>
            <w:tcW w:w="3240" w:type="dxa"/>
            <w:vAlign w:val="bottom"/>
            <w:tcBorders>
              <w:bottom w:val="single" w:sz="8" w:color="auto"/>
            </w:tcBorders>
          </w:tcPr>
          <w:p>
            <w:pPr>
              <w:jc w:val="center"/>
              <w:ind w:left="1016"/>
              <w:spacing w:after="0"/>
              <w:rPr>
                <w:sz w:val="20"/>
                <w:szCs w:val="20"/>
                <w:color w:val="auto"/>
              </w:rPr>
            </w:pPr>
            <w:r>
              <w:rPr>
                <w:rFonts w:ascii="Arial" w:cs="Arial" w:eastAsia="Arial" w:hAnsi="Arial"/>
                <w:sz w:val="17"/>
                <w:szCs w:val="17"/>
                <w:b w:val="1"/>
                <w:bCs w:val="1"/>
                <w:color w:val="auto"/>
                <w:w w:val="92"/>
              </w:rPr>
              <w:t>Date</w:t>
            </w:r>
          </w:p>
        </w:tc>
      </w:tr>
      <w:tr>
        <w:trPr>
          <w:trHeight w:val="40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Kathleen A. Brekken</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1"/>
              </w:rPr>
              <w:t>Kathleen A. Brekken</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Kathryn W. Dindo</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3"/>
              </w:rPr>
              <w:t>Kathryn W. Dindo</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Heidi J. Eddins</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1"/>
              </w:rPr>
              <w:t>Heidi J. Eddins</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Sidney W. Emery, Jr.</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7"/>
              </w:rPr>
              <w:t>Sidney W. Emery, Jr.</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James S. Haines, Jr</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5"/>
              </w:rPr>
              <w:t>James S. Haines, Jr</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James J. Hoolihan</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8"/>
              </w:rPr>
              <w:t>James J. Hoolihan</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Madeleine W. Ludlow</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1"/>
              </w:rPr>
              <w:t>Madeleine W. Ludlow</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Douglas C. Neve</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90"/>
              </w:rPr>
              <w:t>Douglas C. Neve</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Leonard C. Rodman</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8"/>
              </w:rPr>
              <w:t>Leonard C. Rodman</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Donald J. Shippar</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8"/>
              </w:rPr>
              <w:t>Donald J. Shippar</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95"/>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Bruce W. Stender</w:t>
            </w:r>
          </w:p>
        </w:tc>
        <w:tc>
          <w:tcPr>
            <w:tcW w:w="4820" w:type="dxa"/>
            <w:vAlign w:val="bottom"/>
          </w:tcPr>
          <w:p>
            <w:pPr>
              <w:jc w:val="center"/>
              <w:ind w:left="977"/>
              <w:spacing w:after="0"/>
              <w:rPr>
                <w:sz w:val="20"/>
                <w:szCs w:val="20"/>
                <w:color w:val="auto"/>
              </w:rPr>
            </w:pPr>
            <w:r>
              <w:rPr>
                <w:rFonts w:ascii="Arial" w:cs="Arial" w:eastAsia="Arial" w:hAnsi="Arial"/>
                <w:sz w:val="17"/>
                <w:szCs w:val="17"/>
                <w:color w:val="auto"/>
                <w:w w:val="94"/>
              </w:rPr>
              <w:t>Director</w:t>
            </w:r>
          </w:p>
        </w:tc>
        <w:tc>
          <w:tcPr>
            <w:tcW w:w="3240" w:type="dxa"/>
            <w:vAlign w:val="bottom"/>
          </w:tcPr>
          <w:p>
            <w:pPr>
              <w:jc w:val="center"/>
              <w:ind w:left="1016"/>
              <w:spacing w:after="0"/>
              <w:rPr>
                <w:sz w:val="20"/>
                <w:szCs w:val="20"/>
                <w:color w:val="auto"/>
              </w:rPr>
            </w:pPr>
            <w:r>
              <w:rPr>
                <w:rFonts w:ascii="Arial" w:cs="Arial" w:eastAsia="Arial" w:hAnsi="Arial"/>
                <w:sz w:val="17"/>
                <w:szCs w:val="17"/>
                <w:color w:val="auto"/>
                <w:w w:val="87"/>
              </w:rPr>
              <w:t>February 16, 2011</w:t>
            </w:r>
          </w:p>
        </w:tc>
      </w:tr>
      <w:tr>
        <w:trPr>
          <w:trHeight w:val="213"/>
        </w:trPr>
        <w:tc>
          <w:tcPr>
            <w:tcW w:w="3360" w:type="dxa"/>
            <w:vAlign w:val="bottom"/>
          </w:tcPr>
          <w:p>
            <w:pPr>
              <w:jc w:val="center"/>
              <w:spacing w:after="0"/>
              <w:rPr>
                <w:sz w:val="20"/>
                <w:szCs w:val="20"/>
                <w:color w:val="auto"/>
              </w:rPr>
            </w:pPr>
            <w:r>
              <w:rPr>
                <w:rFonts w:ascii="Arial" w:cs="Arial" w:eastAsia="Arial" w:hAnsi="Arial"/>
                <w:sz w:val="17"/>
                <w:szCs w:val="17"/>
                <w:color w:val="auto"/>
                <w:w w:val="87"/>
              </w:rPr>
              <w:t>Bruce W. Stender</w:t>
            </w:r>
          </w:p>
        </w:tc>
        <w:tc>
          <w:tcPr>
            <w:tcW w:w="48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623"/>
        </w:trPr>
        <w:tc>
          <w:tcPr>
            <w:tcW w:w="3360" w:type="dxa"/>
            <w:vAlign w:val="bottom"/>
          </w:tcPr>
          <w:p>
            <w:pPr>
              <w:spacing w:after="0"/>
              <w:rPr>
                <w:sz w:val="24"/>
                <w:szCs w:val="24"/>
                <w:color w:val="auto"/>
              </w:rPr>
            </w:pPr>
          </w:p>
        </w:tc>
        <w:tc>
          <w:tcPr>
            <w:tcW w:w="4820" w:type="dxa"/>
            <w:vAlign w:val="bottom"/>
          </w:tcPr>
          <w:p>
            <w:pPr>
              <w:jc w:val="center"/>
              <w:ind w:right="17"/>
              <w:spacing w:after="0"/>
              <w:rPr>
                <w:sz w:val="20"/>
                <w:szCs w:val="20"/>
                <w:color w:val="auto"/>
              </w:rPr>
            </w:pPr>
            <w:r>
              <w:rPr>
                <w:rFonts w:ascii="Arial" w:cs="Arial" w:eastAsia="Arial" w:hAnsi="Arial"/>
                <w:sz w:val="17"/>
                <w:szCs w:val="17"/>
                <w:color w:val="auto"/>
                <w:w w:val="94"/>
              </w:rPr>
              <w:t>ALLETE 2010 Form 10-K</w:t>
            </w:r>
          </w:p>
        </w:tc>
        <w:tc>
          <w:tcPr>
            <w:tcW w:w="3240" w:type="dxa"/>
            <w:vAlign w:val="bottom"/>
          </w:tcPr>
          <w:p>
            <w:pPr>
              <w:spacing w:after="0"/>
              <w:rPr>
                <w:sz w:val="24"/>
                <w:szCs w:val="24"/>
                <w:color w:val="auto"/>
              </w:rPr>
            </w:pPr>
          </w:p>
        </w:tc>
      </w:tr>
      <w:tr>
        <w:trPr>
          <w:trHeight w:val="171"/>
        </w:trPr>
        <w:tc>
          <w:tcPr>
            <w:tcW w:w="3360" w:type="dxa"/>
            <w:vAlign w:val="bottom"/>
          </w:tcPr>
          <w:p>
            <w:pPr>
              <w:spacing w:after="0"/>
              <w:rPr>
                <w:sz w:val="14"/>
                <w:szCs w:val="14"/>
                <w:color w:val="auto"/>
              </w:rPr>
            </w:pPr>
          </w:p>
        </w:tc>
        <w:tc>
          <w:tcPr>
            <w:tcW w:w="4820" w:type="dxa"/>
            <w:vAlign w:val="bottom"/>
          </w:tcPr>
          <w:p>
            <w:pPr>
              <w:jc w:val="center"/>
              <w:ind w:right="57"/>
              <w:spacing w:after="0"/>
              <w:rPr>
                <w:sz w:val="20"/>
                <w:szCs w:val="20"/>
                <w:color w:val="auto"/>
              </w:rPr>
            </w:pPr>
            <w:r>
              <w:rPr>
                <w:rFonts w:ascii="Arial" w:cs="Arial" w:eastAsia="Arial" w:hAnsi="Arial"/>
                <w:sz w:val="13"/>
                <w:szCs w:val="13"/>
                <w:color w:val="auto"/>
                <w:w w:val="82"/>
              </w:rPr>
              <w:t>51</w:t>
            </w:r>
          </w:p>
        </w:tc>
        <w:tc>
          <w:tcPr>
            <w:tcW w:w="3240" w:type="dxa"/>
            <w:vAlign w:val="bottom"/>
          </w:tcPr>
          <w:p>
            <w:pPr>
              <w:spacing w:after="0"/>
              <w:rPr>
                <w:sz w:val="14"/>
                <w:szCs w:val="14"/>
                <w:color w:val="auto"/>
              </w:rPr>
            </w:pPr>
          </w:p>
        </w:tc>
      </w:tr>
      <w:tr>
        <w:trPr>
          <w:trHeight w:val="296"/>
        </w:trPr>
        <w:tc>
          <w:tcPr>
            <w:tcW w:w="336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ALLETE, Inc:</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In our opinion, the accompanying consolidated financial statements listed in the index appearing under Item 15(a)(1) present fairly, in all material respects, the financial position of ALLETE, Inc. and its subsidiaries (the Company) at December 31, 2010 and 2009, and the results of their operations and their cash flows for each of the three years in the period ended December 31, 2010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2010,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 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 red necessary in the circumstances. We believe that our audits provide a reasonable basis for our opinions.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 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16, 2011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7"/>
        </w:trPr>
        <w:tc>
          <w:tcPr>
            <w:tcW w:w="7140" w:type="dxa"/>
            <w:vAlign w:val="bottom"/>
          </w:tcPr>
          <w:p>
            <w:pPr>
              <w:spacing w:after="0"/>
              <w:rPr>
                <w:sz w:val="20"/>
                <w:szCs w:val="20"/>
                <w:color w:val="auto"/>
              </w:rPr>
            </w:pPr>
            <w:r>
              <w:rPr>
                <w:rFonts w:ascii="Arial" w:cs="Arial" w:eastAsia="Arial" w:hAnsi="Arial"/>
                <w:sz w:val="17"/>
                <w:szCs w:val="17"/>
                <w:b w:val="1"/>
                <w:bCs w:val="1"/>
                <w:color w:val="auto"/>
              </w:rPr>
              <w:t>Consolidated Financial Statements</w:t>
            </w:r>
          </w:p>
        </w:tc>
        <w:tc>
          <w:tcPr>
            <w:tcW w:w="30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654"/>
        </w:trPr>
        <w:tc>
          <w:tcPr>
            <w:tcW w:w="7140" w:type="dxa"/>
            <w:vAlign w:val="bottom"/>
          </w:tcPr>
          <w:p>
            <w:pPr>
              <w:spacing w:after="0"/>
              <w:rPr>
                <w:sz w:val="20"/>
                <w:szCs w:val="20"/>
                <w:color w:val="auto"/>
              </w:rPr>
            </w:pPr>
            <w:r>
              <w:rPr>
                <w:rFonts w:ascii="Arial" w:cs="Arial" w:eastAsia="Arial" w:hAnsi="Arial"/>
                <w:sz w:val="17"/>
                <w:szCs w:val="17"/>
                <w:b w:val="1"/>
                <w:bCs w:val="1"/>
                <w:color w:val="auto"/>
              </w:rPr>
              <w:t>ALLETE Consolidated Balance Sheet</w:t>
            </w:r>
          </w:p>
        </w:tc>
        <w:tc>
          <w:tcPr>
            <w:tcW w:w="3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7"/>
        </w:trPr>
        <w:tc>
          <w:tcPr>
            <w:tcW w:w="7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6"/>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As of December 31</w:t>
            </w:r>
          </w:p>
        </w:tc>
        <w:tc>
          <w:tcPr>
            <w:tcW w:w="30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1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Current Assets</w:t>
            </w:r>
          </w:p>
        </w:tc>
        <w:tc>
          <w:tcPr>
            <w:tcW w:w="3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$44.9</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$25.7</w:t>
            </w: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Short-Term Investments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6.7</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w:t>
            </w: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 (Less Allowance of $0.9 and $0.9)</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99.5</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118.5</w:t>
            </w: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60.0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57.0</w:t>
            </w:r>
          </w:p>
        </w:tc>
      </w:tr>
      <w:tr>
        <w:trPr>
          <w:trHeight w:val="206"/>
        </w:trPr>
        <w:tc>
          <w:tcPr>
            <w:tcW w:w="7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Prepayments and Other</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28.6</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24.3</w:t>
            </w:r>
          </w:p>
        </w:tc>
      </w:tr>
      <w:tr>
        <w:trPr>
          <w:trHeight w:val="201"/>
        </w:trPr>
        <w:tc>
          <w:tcPr>
            <w:tcW w:w="7140" w:type="dxa"/>
            <w:vAlign w:val="bottom"/>
          </w:tcPr>
          <w:p>
            <w:pPr>
              <w:ind w:left="300"/>
              <w:spacing w:after="0"/>
              <w:rPr>
                <w:sz w:val="20"/>
                <w:szCs w:val="20"/>
                <w:color w:val="auto"/>
              </w:rPr>
            </w:pPr>
            <w:r>
              <w:rPr>
                <w:rFonts w:ascii="Arial" w:cs="Arial" w:eastAsia="Arial" w:hAnsi="Arial"/>
                <w:sz w:val="17"/>
                <w:szCs w:val="17"/>
                <w:color w:val="auto"/>
              </w:rPr>
              <w:t>Total Current Assets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239.7</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225.5</w:t>
            </w: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1,805.6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1,622.7</w:t>
            </w: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Regulatory Assets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310.2</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293.2</w:t>
            </w: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93.3</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88.4</w:t>
            </w: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Other Investments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126.0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130.5</w:t>
            </w:r>
          </w:p>
        </w:tc>
      </w:tr>
      <w:tr>
        <w:trPr>
          <w:trHeight w:val="206"/>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34.3</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32.8</w:t>
            </w:r>
          </w:p>
        </w:tc>
      </w:t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3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$2,609.1</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$2,393.1</w:t>
            </w: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1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3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$75.4</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$62.1</w:t>
            </w: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Taxes</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22.0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20.6</w:t>
            </w: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Accrued Interest</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13.4</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11.1</w:t>
            </w: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Long-Term Debt Due Within One Year</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13.4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5.2</w:t>
            </w: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Notes Payable</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1.0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1.9</w:t>
            </w:r>
          </w:p>
        </w:tc>
      </w:tr>
      <w:tr>
        <w:trPr>
          <w:trHeight w:val="206"/>
        </w:trPr>
        <w:tc>
          <w:tcPr>
            <w:tcW w:w="7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33.7</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32.2</w:t>
            </w:r>
          </w:p>
        </w:tc>
      </w:tr>
      <w:tr>
        <w:trPr>
          <w:trHeight w:val="201"/>
        </w:trPr>
        <w:tc>
          <w:tcPr>
            <w:tcW w:w="7140" w:type="dxa"/>
            <w:vAlign w:val="bottom"/>
          </w:tcPr>
          <w:p>
            <w:pPr>
              <w:ind w:left="300"/>
              <w:spacing w:after="0"/>
              <w:rPr>
                <w:sz w:val="20"/>
                <w:szCs w:val="20"/>
                <w:color w:val="auto"/>
              </w:rPr>
            </w:pPr>
            <w:r>
              <w:rPr>
                <w:rFonts w:ascii="Arial" w:cs="Arial" w:eastAsia="Arial" w:hAnsi="Arial"/>
                <w:sz w:val="17"/>
                <w:szCs w:val="17"/>
                <w:color w:val="auto"/>
              </w:rPr>
              <w:t>Total Current Liabilities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158.9</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133.1</w:t>
            </w: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771.6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695.8</w:t>
            </w: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Deferred Income Taxes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325.2</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253.1</w:t>
            </w: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Regulatory Liabilities</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43.6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47.1</w:t>
            </w:r>
          </w:p>
        </w:tc>
      </w:t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Non-Current Liabilities</w:t>
            </w:r>
          </w:p>
        </w:tc>
        <w:tc>
          <w:tcPr>
            <w:tcW w:w="3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324.8</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325.0</w:t>
            </w:r>
          </w:p>
        </w:tc>
      </w:tr>
      <w:tr>
        <w:trPr>
          <w:trHeight w:val="206"/>
        </w:trPr>
        <w:tc>
          <w:tcPr>
            <w:tcW w:w="71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1,624.1</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1,454.1</w:t>
            </w:r>
          </w:p>
        </w:tc>
      </w:t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Commitments and Contingencies (Note 10)</w:t>
            </w:r>
          </w:p>
        </w:tc>
        <w:tc>
          <w:tcPr>
            <w:tcW w:w="30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1"/>
        </w:trPr>
        <w:tc>
          <w:tcPr>
            <w:tcW w:w="7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140" w:type="dxa"/>
            <w:vAlign w:val="bottom"/>
          </w:tcPr>
          <w:p>
            <w:pPr>
              <w:spacing w:after="0"/>
              <w:rPr>
                <w:sz w:val="20"/>
                <w:szCs w:val="20"/>
                <w:color w:val="auto"/>
              </w:rPr>
            </w:pPr>
            <w:r>
              <w:rPr>
                <w:rFonts w:ascii="Arial" w:cs="Arial" w:eastAsia="Arial" w:hAnsi="Arial"/>
                <w:sz w:val="17"/>
                <w:szCs w:val="17"/>
                <w:color w:val="auto"/>
              </w:rPr>
              <w:t>ALLETE’s Equity</w:t>
            </w:r>
          </w:p>
        </w:tc>
        <w:tc>
          <w:tcPr>
            <w:tcW w:w="3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 Without Par Value, 80.0 Shares Authorized, 35.8 and 35.2</w:t>
            </w: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140" w:type="dxa"/>
            <w:vAlign w:val="bottom"/>
          </w:tcPr>
          <w:p>
            <w:pPr>
              <w:ind w:left="300"/>
              <w:spacing w:after="0"/>
              <w:rPr>
                <w:sz w:val="20"/>
                <w:szCs w:val="20"/>
                <w:color w:val="auto"/>
              </w:rPr>
            </w:pPr>
            <w:r>
              <w:rPr>
                <w:rFonts w:ascii="Arial" w:cs="Arial" w:eastAsia="Arial" w:hAnsi="Arial"/>
                <w:sz w:val="17"/>
                <w:szCs w:val="17"/>
                <w:color w:val="auto"/>
              </w:rPr>
              <w:t>Shares Outstanding</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636.1</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613.4</w:t>
            </w:r>
          </w:p>
        </w:tc>
      </w:tr>
      <w:tr>
        <w:trPr>
          <w:trHeight w:val="201"/>
        </w:trPr>
        <w:tc>
          <w:tcPr>
            <w:tcW w:w="7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Unearned ESOP Shares</w:t>
            </w:r>
          </w:p>
        </w:tc>
        <w:tc>
          <w:tcPr>
            <w:tcW w:w="30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(36.8)</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(45.3)</w:t>
            </w:r>
          </w:p>
        </w:tc>
      </w:tr>
      <w:tr>
        <w:trPr>
          <w:trHeight w:val="201"/>
        </w:trPr>
        <w:tc>
          <w:tcPr>
            <w:tcW w:w="7140" w:type="dxa"/>
            <w:vAlign w:val="bottom"/>
          </w:tcPr>
          <w:p>
            <w:pPr>
              <w:ind w:left="160"/>
              <w:spacing w:after="0"/>
              <w:rPr>
                <w:sz w:val="20"/>
                <w:szCs w:val="20"/>
                <w:color w:val="auto"/>
              </w:rPr>
            </w:pPr>
            <w:r>
              <w:rPr>
                <w:rFonts w:ascii="Arial" w:cs="Arial" w:eastAsia="Arial" w:hAnsi="Arial"/>
                <w:sz w:val="17"/>
                <w:szCs w:val="17"/>
                <w:color w:val="auto"/>
              </w:rPr>
              <w:t>Accumulated Other Comprehensive Loss</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(23.2)</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(24.0)</w:t>
            </w:r>
          </w:p>
        </w:tc>
      </w:tr>
      <w:tr>
        <w:trPr>
          <w:trHeight w:val="206"/>
        </w:trPr>
        <w:tc>
          <w:tcPr>
            <w:tcW w:w="7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Retained Earnings</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399.9</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385.4</w:t>
            </w:r>
          </w:p>
        </w:tc>
      </w:tr>
      <w:tr>
        <w:trPr>
          <w:trHeight w:val="201"/>
        </w:trPr>
        <w:tc>
          <w:tcPr>
            <w:tcW w:w="7140" w:type="dxa"/>
            <w:vAlign w:val="bottom"/>
          </w:tcPr>
          <w:p>
            <w:pPr>
              <w:ind w:left="300"/>
              <w:spacing w:after="0"/>
              <w:rPr>
                <w:sz w:val="20"/>
                <w:szCs w:val="20"/>
                <w:color w:val="auto"/>
              </w:rPr>
            </w:pPr>
            <w:r>
              <w:rPr>
                <w:rFonts w:ascii="Arial" w:cs="Arial" w:eastAsia="Arial" w:hAnsi="Arial"/>
                <w:sz w:val="17"/>
                <w:szCs w:val="17"/>
                <w:color w:val="auto"/>
              </w:rPr>
              <w:t>Total ALLETE Equity</w:t>
            </w:r>
          </w:p>
        </w:tc>
        <w:tc>
          <w:tcPr>
            <w:tcW w:w="3040" w:type="dxa"/>
            <w:vAlign w:val="bottom"/>
          </w:tcPr>
          <w:p>
            <w:pPr>
              <w:jc w:val="right"/>
              <w:ind w:right="316"/>
              <w:spacing w:after="0"/>
              <w:rPr>
                <w:sz w:val="20"/>
                <w:szCs w:val="20"/>
                <w:color w:val="auto"/>
              </w:rPr>
            </w:pPr>
            <w:r>
              <w:rPr>
                <w:rFonts w:ascii="Arial" w:cs="Arial" w:eastAsia="Arial" w:hAnsi="Arial"/>
                <w:sz w:val="17"/>
                <w:szCs w:val="17"/>
                <w:color w:val="auto"/>
              </w:rPr>
              <w:t>976.0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929.5</w:t>
            </w:r>
          </w:p>
        </w:tc>
      </w:tr>
      <w:tr>
        <w:trPr>
          <w:trHeight w:val="206"/>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Non-Controlling Interest in Subsidiaries</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9.0</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9.5</w:t>
            </w:r>
          </w:p>
        </w:tc>
      </w:tr>
      <w:tr>
        <w:trPr>
          <w:trHeight w:val="206"/>
        </w:trPr>
        <w:tc>
          <w:tcPr>
            <w:tcW w:w="71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Equity</w:t>
            </w:r>
          </w:p>
        </w:tc>
        <w:tc>
          <w:tcPr>
            <w:tcW w:w="3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985.0</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939.0</w:t>
            </w:r>
          </w:p>
        </w:tc>
      </w:tr>
      <w:tr>
        <w:trPr>
          <w:trHeight w:val="206"/>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3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$2,609.1</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$2,393.1</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Arial" w:cs="Arial" w:eastAsia="Arial" w:hAnsi="Arial"/>
                <w:sz w:val="17"/>
                <w:szCs w:val="17"/>
                <w:b w:val="1"/>
                <w:bCs w:val="1"/>
                <w:color w:val="auto"/>
              </w:rPr>
              <w:t>ALLETE Consolidated Statement of Income</w:t>
            </w: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8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2010</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2009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7"/>
                <w:szCs w:val="17"/>
                <w:color w:val="auto"/>
              </w:rPr>
            </w:pPr>
          </w:p>
        </w:tc>
      </w:tr>
      <w:tr>
        <w:trPr>
          <w:trHeight w:val="201"/>
        </w:trPr>
        <w:tc>
          <w:tcPr>
            <w:tcW w:w="8000" w:type="dxa"/>
            <w:vAlign w:val="bottom"/>
          </w:tcPr>
          <w:p>
            <w:pPr>
              <w:spacing w:after="0"/>
              <w:rPr>
                <w:sz w:val="20"/>
                <w:szCs w:val="20"/>
                <w:color w:val="auto"/>
              </w:rPr>
            </w:pPr>
            <w:r>
              <w:rPr>
                <w:rFonts w:ascii="Arial" w:cs="Arial" w:eastAsia="Arial" w:hAnsi="Arial"/>
                <w:sz w:val="17"/>
                <w:szCs w:val="17"/>
                <w:b w:val="1"/>
                <w:bCs w:val="1"/>
                <w:color w:val="auto"/>
              </w:rPr>
              <w:t>Millions Except Per Share Amounts</w:t>
            </w: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tcPr>
          <w:p>
            <w:pPr>
              <w:ind w:left="160"/>
              <w:spacing w:after="0"/>
              <w:rPr>
                <w:sz w:val="20"/>
                <w:szCs w:val="20"/>
                <w:color w:val="auto"/>
              </w:rPr>
            </w:pPr>
            <w:r>
              <w:rPr>
                <w:rFonts w:ascii="Arial" w:cs="Arial" w:eastAsia="Arial" w:hAnsi="Arial"/>
                <w:sz w:val="17"/>
                <w:szCs w:val="17"/>
                <w:color w:val="auto"/>
              </w:rPr>
              <w:t>Operating Revenue</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$907.0</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$766.7</w:t>
            </w:r>
          </w:p>
        </w:tc>
        <w:tc>
          <w:tcPr>
            <w:tcW w:w="900" w:type="dxa"/>
            <w:vAlign w:val="bottom"/>
          </w:tcPr>
          <w:p>
            <w:pPr>
              <w:jc w:val="right"/>
              <w:spacing w:after="0"/>
              <w:rPr>
                <w:sz w:val="20"/>
                <w:szCs w:val="20"/>
                <w:color w:val="auto"/>
              </w:rPr>
            </w:pPr>
            <w:r>
              <w:rPr>
                <w:rFonts w:ascii="Arial" w:cs="Arial" w:eastAsia="Arial" w:hAnsi="Arial"/>
                <w:sz w:val="17"/>
                <w:szCs w:val="17"/>
                <w:color w:val="auto"/>
              </w:rPr>
              <w:t>$801.0</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Prior Year Rate Refunds</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Operating Revenue</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907.0</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759.1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801.0</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tcPr>
          <w:p>
            <w:pPr>
              <w:ind w:left="160"/>
              <w:spacing w:after="0"/>
              <w:rPr>
                <w:sz w:val="20"/>
                <w:szCs w:val="20"/>
                <w:color w:val="auto"/>
              </w:rPr>
            </w:pPr>
            <w:r>
              <w:rPr>
                <w:rFonts w:ascii="Arial" w:cs="Arial" w:eastAsia="Arial" w:hAnsi="Arial"/>
                <w:sz w:val="17"/>
                <w:szCs w:val="17"/>
                <w:color w:val="auto"/>
              </w:rPr>
              <w:t>Fuel and Purchased Power</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325.1</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279.5</w:t>
            </w:r>
          </w:p>
        </w:tc>
        <w:tc>
          <w:tcPr>
            <w:tcW w:w="900" w:type="dxa"/>
            <w:vAlign w:val="bottom"/>
          </w:tcPr>
          <w:p>
            <w:pPr>
              <w:jc w:val="right"/>
              <w:spacing w:after="0"/>
              <w:rPr>
                <w:sz w:val="20"/>
                <w:szCs w:val="20"/>
                <w:color w:val="auto"/>
              </w:rPr>
            </w:pPr>
            <w:r>
              <w:rPr>
                <w:rFonts w:ascii="Arial" w:cs="Arial" w:eastAsia="Arial" w:hAnsi="Arial"/>
                <w:sz w:val="17"/>
                <w:szCs w:val="17"/>
                <w:color w:val="auto"/>
              </w:rPr>
              <w:t>305.6</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and Maintenance</w:t>
            </w:r>
          </w:p>
        </w:tc>
        <w:tc>
          <w:tcPr>
            <w:tcW w:w="10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365.6</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308.9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Depreciation</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80.5</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64.7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771.2</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653.1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Operating Income</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135.8</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106.0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(39.2)</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(33.8)</w:t>
            </w:r>
          </w:p>
        </w:tc>
        <w:tc>
          <w:tcPr>
            <w:tcW w:w="900" w:type="dxa"/>
            <w:vAlign w:val="bottom"/>
          </w:tcPr>
          <w:p>
            <w:pPr>
              <w:jc w:val="right"/>
              <w:spacing w:after="0"/>
              <w:rPr>
                <w:sz w:val="20"/>
                <w:szCs w:val="20"/>
                <w:color w:val="auto"/>
              </w:rPr>
            </w:pPr>
            <w:r>
              <w:rPr>
                <w:rFonts w:ascii="Arial" w:cs="Arial" w:eastAsia="Arial" w:hAnsi="Arial"/>
                <w:sz w:val="17"/>
                <w:szCs w:val="17"/>
                <w:color w:val="auto"/>
              </w:rPr>
              <w:t>(26.3)</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Earnings in ATC</w:t>
            </w:r>
          </w:p>
        </w:tc>
        <w:tc>
          <w:tcPr>
            <w:tcW w:w="10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17.9</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17.5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4.6</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 Other Income (Expense)</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(16.7)</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(14.5)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7"/>
                <w:szCs w:val="17"/>
                <w:color w:val="auto"/>
              </w:rPr>
            </w:pPr>
          </w:p>
        </w:tc>
      </w:tr>
      <w:tr>
        <w:trPr>
          <w:trHeight w:val="201"/>
        </w:trPr>
        <w:tc>
          <w:tcPr>
            <w:tcW w:w="8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Non-Controlling Interest and Income Taxes</w:t>
            </w:r>
          </w:p>
        </w:tc>
        <w:tc>
          <w:tcPr>
            <w:tcW w:w="10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119.1</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91.5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Income Tax Expense</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44.3</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30.8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74.8</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Less: Non-Controlling Interest in Subsidiaries</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(0.5)</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(0.3)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$75.3</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$61.0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0" w:type="dxa"/>
            <w:vAlign w:val="bottom"/>
          </w:tcPr>
          <w:p>
            <w:pPr>
              <w:spacing w:after="0"/>
              <w:rPr>
                <w:sz w:val="17"/>
                <w:szCs w:val="17"/>
                <w:color w:val="auto"/>
              </w:rPr>
            </w:pPr>
          </w:p>
        </w:tc>
      </w:tr>
      <w:tr>
        <w:trPr>
          <w:trHeight w:val="201"/>
        </w:trPr>
        <w:tc>
          <w:tcPr>
            <w:tcW w:w="8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Average Shares of Common Stock</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tcPr>
          <w:p>
            <w:pPr>
              <w:ind w:left="160"/>
              <w:spacing w:after="0"/>
              <w:rPr>
                <w:sz w:val="20"/>
                <w:szCs w:val="20"/>
                <w:color w:val="auto"/>
              </w:rPr>
            </w:pPr>
            <w:r>
              <w:rPr>
                <w:rFonts w:ascii="Arial" w:cs="Arial" w:eastAsia="Arial" w:hAnsi="Arial"/>
                <w:sz w:val="17"/>
                <w:szCs w:val="17"/>
                <w:color w:val="auto"/>
              </w:rPr>
              <w:t>Basic</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34.2</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32.2</w:t>
            </w:r>
          </w:p>
        </w:tc>
        <w:tc>
          <w:tcPr>
            <w:tcW w:w="900" w:type="dxa"/>
            <w:vAlign w:val="bottom"/>
          </w:tcPr>
          <w:p>
            <w:pPr>
              <w:jc w:val="right"/>
              <w:spacing w:after="0"/>
              <w:rPr>
                <w:sz w:val="20"/>
                <w:szCs w:val="20"/>
                <w:color w:val="auto"/>
              </w:rPr>
            </w:pPr>
            <w:r>
              <w:rPr>
                <w:rFonts w:ascii="Arial" w:cs="Arial" w:eastAsia="Arial" w:hAnsi="Arial"/>
                <w:sz w:val="17"/>
                <w:szCs w:val="17"/>
                <w:color w:val="auto"/>
              </w:rPr>
              <w:t>29.2</w:t>
            </w: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34.3</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32.2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7"/>
                <w:szCs w:val="17"/>
                <w:color w:val="auto"/>
              </w:rPr>
            </w:pPr>
          </w:p>
        </w:tc>
      </w:tr>
      <w:tr>
        <w:trPr>
          <w:trHeight w:val="201"/>
        </w:trPr>
        <w:tc>
          <w:tcPr>
            <w:tcW w:w="8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Earnings Per Share of Common Stock</w:t>
            </w:r>
          </w:p>
        </w:tc>
        <w:tc>
          <w:tcPr>
            <w:tcW w:w="10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$2.20</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$1.89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7"/>
                <w:szCs w:val="17"/>
                <w:color w:val="auto"/>
              </w:rPr>
            </w:pPr>
          </w:p>
        </w:tc>
      </w:tr>
      <w:tr>
        <w:trPr>
          <w:trHeight w:val="201"/>
        </w:trPr>
        <w:tc>
          <w:tcPr>
            <w:tcW w:w="8000" w:type="dxa"/>
            <w:vAlign w:val="bottom"/>
          </w:tcPr>
          <w:p>
            <w:pPr>
              <w:spacing w:after="0"/>
              <w:rPr>
                <w:sz w:val="20"/>
                <w:szCs w:val="20"/>
                <w:color w:val="auto"/>
              </w:rPr>
            </w:pPr>
            <w:r>
              <w:rPr>
                <w:rFonts w:ascii="Arial" w:cs="Arial" w:eastAsia="Arial" w:hAnsi="Arial"/>
                <w:sz w:val="17"/>
                <w:szCs w:val="17"/>
                <w:b w:val="1"/>
                <w:bCs w:val="1"/>
                <w:color w:val="auto"/>
              </w:rPr>
              <w:t>Diluted Earnings Per Share of Common Stock</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$2.19</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$1.89</w:t>
            </w:r>
          </w:p>
        </w:tc>
        <w:tc>
          <w:tcPr>
            <w:tcW w:w="900" w:type="dxa"/>
            <w:vAlign w:val="bottom"/>
          </w:tcPr>
          <w:p>
            <w:pPr>
              <w:jc w:val="right"/>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7"/>
                <w:szCs w:val="17"/>
                <w:color w:val="auto"/>
              </w:rPr>
            </w:pPr>
          </w:p>
        </w:tc>
      </w:tr>
      <w:tr>
        <w:trPr>
          <w:trHeight w:val="201"/>
        </w:trPr>
        <w:tc>
          <w:tcPr>
            <w:tcW w:w="8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8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$1.76</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$1.76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17"/>
                <w:szCs w:val="17"/>
                <w:color w:val="auto"/>
              </w:rPr>
            </w:pPr>
          </w:p>
        </w:tc>
      </w:tr>
      <w:tr>
        <w:trPr>
          <w:trHeight w:val="427"/>
        </w:trPr>
        <w:tc>
          <w:tcPr>
            <w:tcW w:w="8000" w:type="dxa"/>
            <w:vAlign w:val="bottom"/>
          </w:tcPr>
          <w:p>
            <w:pPr>
              <w:ind w:left="3540"/>
              <w:spacing w:after="0"/>
              <w:rPr>
                <w:sz w:val="20"/>
                <w:szCs w:val="20"/>
                <w:color w:val="auto"/>
              </w:rPr>
            </w:pPr>
            <w:r>
              <w:rPr>
                <w:rFonts w:ascii="Arial" w:cs="Arial" w:eastAsia="Arial" w:hAnsi="Arial"/>
                <w:sz w:val="17"/>
                <w:szCs w:val="17"/>
                <w:color w:val="auto"/>
                <w:w w:val="89"/>
              </w:rPr>
              <w:t>The accompanying notes are an integral part of these statements.</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ALLETE Consolidated Statement of Cash Flows</w:t>
            </w:r>
          </w:p>
        </w:tc>
        <w:tc>
          <w:tcPr>
            <w:tcW w:w="2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58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2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rPr>
              <w:t>2010</w:t>
            </w:r>
          </w:p>
        </w:tc>
        <w:tc>
          <w:tcPr>
            <w:tcW w:w="14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b w:val="1"/>
                <w:bCs w:val="1"/>
                <w:color w:val="auto"/>
              </w:rPr>
              <w:t>2009</w:t>
            </w:r>
          </w:p>
        </w:tc>
        <w:tc>
          <w:tcPr>
            <w:tcW w:w="1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2008</w:t>
            </w:r>
          </w:p>
        </w:tc>
      </w:tr>
      <w:tr>
        <w:trPr>
          <w:trHeight w:val="201"/>
        </w:trPr>
        <w:tc>
          <w:tcPr>
            <w:tcW w:w="58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29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$74.8</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$60.7</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$83.0</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Allowance for Funds Used During Construction</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(4.2)</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(5.8)</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(3.3)</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Loss (Income) from Equity Investments, Net of Dividends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(3.1)</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0.1</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(3.1)</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Real Estate Foreclosure</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(0.7)</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Gain on Sale of Assets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(0.2)</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(4.8)</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Available-for-sale Securities</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(6.4)</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Loss on Impairment of Assets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3.1</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Expense</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80.5</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64.7</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55.5</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Amortization of Debt Issuance Costs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0.9</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0.9</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0.8</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 Tax Expense</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66.0</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75.2</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38.8</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Share-Based Compensation Expense</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2.2</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2.1</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1.8</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ESOP Compensation Expense</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7.1</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6.5</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10.1</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Bad Debt Expense</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1.1</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1.3</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0.7</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29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5860" w:type="dxa"/>
            <w:vAlign w:val="bottom"/>
          </w:tcPr>
          <w:p>
            <w:pPr>
              <w:ind w:left="300"/>
              <w:spacing w:after="0"/>
              <w:rPr>
                <w:sz w:val="20"/>
                <w:szCs w:val="20"/>
                <w:color w:val="auto"/>
              </w:rPr>
            </w:pPr>
            <w:r>
              <w:rPr>
                <w:rFonts w:ascii="Arial" w:cs="Arial" w:eastAsia="Arial" w:hAnsi="Arial"/>
                <w:sz w:val="17"/>
                <w:szCs w:val="17"/>
                <w:color w:val="auto"/>
              </w:rPr>
              <w:t>Accounts Receivable</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17.9</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(43.5)</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2.4</w:t>
            </w:r>
          </w:p>
        </w:tc>
      </w:tr>
      <w:tr>
        <w:trPr>
          <w:trHeight w:val="201"/>
        </w:trPr>
        <w:tc>
          <w:tcPr>
            <w:tcW w:w="5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(3.0)</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(7.3)</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(0.2)</w:t>
            </w:r>
          </w:p>
        </w:tc>
      </w:tr>
      <w:tr>
        <w:trPr>
          <w:trHeight w:val="201"/>
        </w:trPr>
        <w:tc>
          <w:tcPr>
            <w:tcW w:w="5860" w:type="dxa"/>
            <w:vAlign w:val="bottom"/>
          </w:tcPr>
          <w:p>
            <w:pPr>
              <w:ind w:left="300"/>
              <w:spacing w:after="0"/>
              <w:rPr>
                <w:sz w:val="20"/>
                <w:szCs w:val="20"/>
                <w:color w:val="auto"/>
              </w:rPr>
            </w:pPr>
            <w:r>
              <w:rPr>
                <w:rFonts w:ascii="Arial" w:cs="Arial" w:eastAsia="Arial" w:hAnsi="Arial"/>
                <w:sz w:val="17"/>
                <w:szCs w:val="17"/>
                <w:color w:val="auto"/>
              </w:rPr>
              <w:t>Prepayments and Other</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(4.3)</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11.2</w:t>
            </w:r>
          </w:p>
        </w:tc>
      </w:tr>
      <w:tr>
        <w:trPr>
          <w:trHeight w:val="201"/>
        </w:trPr>
        <w:tc>
          <w:tcPr>
            <w:tcW w:w="5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5.8</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10.5</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(14.1)</w:t>
            </w:r>
          </w:p>
        </w:tc>
      </w:tr>
      <w:tr>
        <w:trPr>
          <w:trHeight w:val="201"/>
        </w:trPr>
        <w:tc>
          <w:tcPr>
            <w:tcW w:w="5860" w:type="dxa"/>
            <w:vAlign w:val="bottom"/>
          </w:tcPr>
          <w:p>
            <w:pPr>
              <w:ind w:left="300"/>
              <w:spacing w:after="0"/>
              <w:rPr>
                <w:sz w:val="20"/>
                <w:szCs w:val="20"/>
                <w:color w:val="auto"/>
              </w:rPr>
            </w:pPr>
            <w:r>
              <w:rPr>
                <w:rFonts w:ascii="Arial" w:cs="Arial" w:eastAsia="Arial" w:hAnsi="Arial"/>
                <w:sz w:val="17"/>
                <w:szCs w:val="17"/>
                <w:color w:val="auto"/>
              </w:rPr>
              <w:t>Other Current Liabilities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5.2</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5.3</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5.9</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Regulatory and Other Assets</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16.3</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(18.3)</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(1.8)</w:t>
            </w:r>
          </w:p>
        </w:tc>
      </w:tr>
      <w:tr>
        <w:trPr>
          <w:trHeight w:val="206"/>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Regulatory and Other Liabilities</w:t>
            </w:r>
          </w:p>
        </w:tc>
        <w:tc>
          <w:tcPr>
            <w:tcW w:w="29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(33.8)</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(17.9)</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(22.9)</w:t>
            </w:r>
          </w:p>
        </w:tc>
      </w:tr>
      <w:tr>
        <w:trPr>
          <w:trHeight w:val="206"/>
        </w:trPr>
        <w:tc>
          <w:tcPr>
            <w:tcW w:w="58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from Operating Activities</w:t>
            </w:r>
          </w:p>
        </w:tc>
        <w:tc>
          <w:tcPr>
            <w:tcW w:w="2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228.7</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137.4</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153.6</w:t>
            </w:r>
          </w:p>
        </w:tc>
      </w:tr>
      <w:tr>
        <w:trPr>
          <w:trHeight w:val="201"/>
        </w:trPr>
        <w:tc>
          <w:tcPr>
            <w:tcW w:w="586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2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 of Available-for-sale Securities</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0.6</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8.9</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62.3</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Payments for Purchase of Available-for-sale Securities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(2.3)</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(2.2)</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(44.8)</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in ATC</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(1.6)</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(7.8)</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(7.4)</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Changes to Other Investments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1.3</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(0.7)</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(9.2)</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Plant and Equipment</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(248.9)</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(318.5)</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(301.1)</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Proceeds from Sale of Assets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0.3</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20.4</w:t>
            </w:r>
          </w:p>
        </w:tc>
      </w:tr>
      <w:tr>
        <w:trPr>
          <w:trHeight w:val="206"/>
        </w:trPr>
        <w:tc>
          <w:tcPr>
            <w:tcW w:w="5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3.7</w:t>
            </w:r>
          </w:p>
        </w:tc>
      </w:tr>
      <w:tr>
        <w:trPr>
          <w:trHeight w:val="206"/>
        </w:trPr>
        <w:tc>
          <w:tcPr>
            <w:tcW w:w="5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for Investing Activities</w:t>
            </w:r>
          </w:p>
        </w:tc>
        <w:tc>
          <w:tcPr>
            <w:tcW w:w="29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(250.9)</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(320.0)</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(276.1)</w:t>
            </w: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29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20.5</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65.2</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71.1</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Issuance of Long-Term Debt</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155.0</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111.4</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198.7</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Changes in Notes Payable</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(0.9)</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(4.1)</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6.0</w:t>
            </w:r>
          </w:p>
        </w:tc>
      </w:tr>
      <w:tr>
        <w:trPr>
          <w:trHeight w:val="201"/>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Reductions of Long-Term Debt</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(71.0)</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(9.1)</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(22.7)</w:t>
            </w:r>
          </w:p>
        </w:tc>
      </w:tr>
      <w:tr>
        <w:trPr>
          <w:trHeight w:val="201"/>
        </w:trPr>
        <w:tc>
          <w:tcPr>
            <w:tcW w:w="586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2920" w:type="dxa"/>
            <w:vAlign w:val="bottom"/>
          </w:tcPr>
          <w:p>
            <w:pPr>
              <w:jc w:val="right"/>
              <w:ind w:right="256"/>
              <w:spacing w:after="0"/>
              <w:rPr>
                <w:sz w:val="20"/>
                <w:szCs w:val="20"/>
                <w:color w:val="auto"/>
              </w:rPr>
            </w:pPr>
            <w:r>
              <w:rPr>
                <w:rFonts w:ascii="Arial" w:cs="Arial" w:eastAsia="Arial" w:hAnsi="Arial"/>
                <w:sz w:val="17"/>
                <w:szCs w:val="17"/>
                <w:color w:val="auto"/>
              </w:rPr>
              <w:t>(1.4)</w:t>
            </w:r>
          </w:p>
        </w:tc>
        <w:tc>
          <w:tcPr>
            <w:tcW w:w="1460" w:type="dxa"/>
            <w:vAlign w:val="bottom"/>
          </w:tcPr>
          <w:p>
            <w:pPr>
              <w:jc w:val="right"/>
              <w:ind w:right="236"/>
              <w:spacing w:after="0"/>
              <w:rPr>
                <w:sz w:val="20"/>
                <w:szCs w:val="20"/>
                <w:color w:val="auto"/>
              </w:rPr>
            </w:pPr>
            <w:r>
              <w:rPr>
                <w:rFonts w:ascii="Arial" w:cs="Arial" w:eastAsia="Arial" w:hAnsi="Arial"/>
                <w:sz w:val="17"/>
                <w:szCs w:val="17"/>
                <w:color w:val="auto"/>
              </w:rPr>
              <w:t>(0.6)</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(1.5)</w:t>
            </w:r>
          </w:p>
        </w:tc>
      </w:tr>
      <w:tr>
        <w:trPr>
          <w:trHeight w:val="206"/>
        </w:trPr>
        <w:tc>
          <w:tcPr>
            <w:tcW w:w="5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Dividends on Common Stock</w:t>
            </w:r>
          </w:p>
        </w:tc>
        <w:tc>
          <w:tcPr>
            <w:tcW w:w="2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(60.8)</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(56.5)</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(50.4)</w:t>
            </w:r>
          </w:p>
        </w:tc>
      </w:tr>
      <w:tr>
        <w:trPr>
          <w:trHeight w:val="206"/>
        </w:trPr>
        <w:tc>
          <w:tcPr>
            <w:tcW w:w="5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from Financing Activities</w:t>
            </w:r>
          </w:p>
        </w:tc>
        <w:tc>
          <w:tcPr>
            <w:tcW w:w="29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41.4</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106.3</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201.2</w:t>
            </w: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Cash Equivalents</w:t>
            </w:r>
          </w:p>
        </w:tc>
        <w:tc>
          <w:tcPr>
            <w:tcW w:w="2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19.2</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(76.3)</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78.7</w:t>
            </w:r>
          </w:p>
        </w:tc>
      </w:tr>
      <w:tr>
        <w:trPr>
          <w:trHeight w:val="206"/>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29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25.7</w:t>
            </w: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102.0</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23.3</w:t>
            </w:r>
          </w:p>
        </w:tc>
      </w:tr>
      <w:tr>
        <w:trPr>
          <w:trHeight w:val="206"/>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2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$44.9</w:t>
            </w:r>
          </w:p>
        </w:tc>
        <w:tc>
          <w:tcPr>
            <w:tcW w:w="14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$25.7</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$102.0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20"/>
                <w:szCs w:val="20"/>
                <w:color w:val="auto"/>
              </w:rPr>
            </w:pPr>
            <w:r>
              <w:rPr>
                <w:rFonts w:ascii="Arial" w:cs="Arial" w:eastAsia="Arial" w:hAnsi="Arial"/>
                <w:sz w:val="17"/>
                <w:szCs w:val="17"/>
                <w:b w:val="1"/>
                <w:bCs w:val="1"/>
                <w:color w:val="auto"/>
              </w:rPr>
              <w:t>ALLETE Consolidated Statement of Shareholders’ Equity</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28"/>
        </w:trPr>
        <w:tc>
          <w:tcPr>
            <w:tcW w:w="6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Accumulated</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1"/>
        </w:trPr>
        <w:tc>
          <w:tcPr>
            <w:tcW w:w="6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Other</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99"/>
              </w:rPr>
              <w:t>Unearned</w:t>
            </w: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w w:val="91"/>
              </w:rPr>
              <w:t>Shareholders’</w:t>
            </w:r>
          </w:p>
        </w:tc>
        <w:tc>
          <w:tcPr>
            <w:tcW w:w="1000" w:type="dxa"/>
            <w:vAlign w:val="bottom"/>
          </w:tcPr>
          <w:p>
            <w:pPr>
              <w:jc w:val="right"/>
              <w:ind w:right="156"/>
              <w:spacing w:after="0"/>
              <w:rPr>
                <w:sz w:val="20"/>
                <w:szCs w:val="20"/>
                <w:color w:val="auto"/>
              </w:rPr>
            </w:pPr>
            <w:r>
              <w:rPr>
                <w:rFonts w:ascii="Arial" w:cs="Arial" w:eastAsia="Arial" w:hAnsi="Arial"/>
                <w:sz w:val="17"/>
                <w:szCs w:val="17"/>
                <w:b w:val="1"/>
                <w:bCs w:val="1"/>
                <w:color w:val="auto"/>
              </w:rPr>
              <w:t>Retained</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7"/>
              </w:rPr>
              <w:t>Comprehensive</w:t>
            </w:r>
          </w:p>
        </w:tc>
        <w:tc>
          <w:tcPr>
            <w:tcW w:w="960" w:type="dxa"/>
            <w:vAlign w:val="bottom"/>
          </w:tcPr>
          <w:p>
            <w:pPr>
              <w:jc w:val="right"/>
              <w:ind w:right="256"/>
              <w:spacing w:after="0"/>
              <w:rPr>
                <w:sz w:val="20"/>
                <w:szCs w:val="20"/>
                <w:color w:val="auto"/>
              </w:rPr>
            </w:pPr>
            <w:r>
              <w:rPr>
                <w:rFonts w:ascii="Arial" w:cs="Arial" w:eastAsia="Arial" w:hAnsi="Arial"/>
                <w:sz w:val="17"/>
                <w:szCs w:val="17"/>
                <w:b w:val="1"/>
                <w:bCs w:val="1"/>
                <w:color w:val="auto"/>
              </w:rPr>
              <w:t>ESOP</w:t>
            </w: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Common</w:t>
            </w:r>
          </w:p>
        </w:tc>
      </w:tr>
      <w:tr>
        <w:trPr>
          <w:trHeight w:val="206"/>
        </w:trPr>
        <w:tc>
          <w:tcPr>
            <w:tcW w:w="6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Equity</w:t>
            </w:r>
          </w:p>
        </w:tc>
        <w:tc>
          <w:tcPr>
            <w:tcW w:w="10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Earnings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Income (Loss)</w:t>
            </w:r>
          </w:p>
        </w:tc>
        <w:tc>
          <w:tcPr>
            <w:tcW w:w="9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Shares</w:t>
            </w:r>
          </w:p>
        </w:tc>
        <w:tc>
          <w:tcPr>
            <w:tcW w:w="9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Stock</w:t>
            </w:r>
          </w:p>
        </w:tc>
      </w:tr>
      <w:tr>
        <w:trPr>
          <w:trHeight w:val="201"/>
        </w:trPr>
        <w:tc>
          <w:tcPr>
            <w:tcW w:w="61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December 31, 2007</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$742.6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$350.4</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$(4.5)</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$(64.5)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w:t>
            </w: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Comprehensive Income</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83.0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rPr>
              <w:t>Other Comprehensive Income – Net of Tax</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Loss on Securities – Net</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(6.0)</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(6.0)</w:t>
            </w: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ind w:left="300"/>
              <w:spacing w:after="0"/>
              <w:rPr>
                <w:sz w:val="20"/>
                <w:szCs w:val="20"/>
                <w:color w:val="auto"/>
              </w:rPr>
            </w:pPr>
            <w:r>
              <w:rPr>
                <w:rFonts w:ascii="Arial" w:cs="Arial" w:eastAsia="Arial" w:hAnsi="Arial"/>
                <w:sz w:val="17"/>
                <w:szCs w:val="17"/>
                <w:color w:val="auto"/>
              </w:rPr>
              <w:t>Reclassification Adjustment for Gains Included in Income</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(3.7)</w:t>
            </w:r>
          </w:p>
        </w:tc>
        <w:tc>
          <w:tcPr>
            <w:tcW w:w="1000" w:type="dxa"/>
            <w:vAlign w:val="bottom"/>
          </w:tcPr>
          <w:p>
            <w:pPr>
              <w:spacing w:after="0"/>
              <w:rPr>
                <w:sz w:val="17"/>
                <w:szCs w:val="17"/>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(3.7)</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Defined Benefit Pension and Other Postretirement Plans</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(18.8)</w:t>
            </w:r>
          </w:p>
        </w:tc>
        <w:tc>
          <w:tcPr>
            <w:tcW w:w="10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(18.8)</w:t>
            </w:r>
          </w:p>
        </w:tc>
        <w:tc>
          <w:tcPr>
            <w:tcW w:w="9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1"/>
        </w:trPr>
        <w:tc>
          <w:tcPr>
            <w:tcW w:w="6180" w:type="dxa"/>
            <w:vAlign w:val="bottom"/>
          </w:tcPr>
          <w:p>
            <w:pPr>
              <w:ind w:left="460"/>
              <w:spacing w:after="0"/>
              <w:rPr>
                <w:sz w:val="20"/>
                <w:szCs w:val="20"/>
                <w:color w:val="auto"/>
              </w:rPr>
            </w:pPr>
            <w:r>
              <w:rPr>
                <w:rFonts w:ascii="Arial" w:cs="Arial" w:eastAsia="Arial" w:hAnsi="Arial"/>
                <w:sz w:val="17"/>
                <w:szCs w:val="17"/>
                <w:color w:val="auto"/>
              </w:rPr>
              <w:t>Total Comprehensive Income</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54.5</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Non-Controlling Interest in Subsidiaries</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rPr>
              <w:t>Comprehensive Income Attributable to ALLETE</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54.0</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 to apply change in Pension and Postretirement measurement date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(1.6)</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Common Stock Issued – Net</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72.9</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72.9</w:t>
            </w: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(50.4)</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ESOP Shares Earned</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9.6</w:t>
            </w:r>
          </w:p>
        </w:tc>
        <w:tc>
          <w:tcPr>
            <w:tcW w:w="10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9.6</w:t>
            </w:r>
          </w:p>
        </w:tc>
        <w:tc>
          <w:tcPr>
            <w:tcW w:w="920" w:type="dxa"/>
            <w:vAlign w:val="bottom"/>
            <w:tcBorders>
              <w:bottom w:val="single" w:sz="8" w:color="auto"/>
            </w:tcBorders>
          </w:tcPr>
          <w:p>
            <w:pPr>
              <w:spacing w:after="0"/>
              <w:rPr>
                <w:sz w:val="17"/>
                <w:szCs w:val="17"/>
                <w:color w:val="auto"/>
              </w:rPr>
            </w:pPr>
          </w:p>
        </w:tc>
      </w:tr>
      <w:tr>
        <w:trPr>
          <w:trHeight w:val="206"/>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December 31, 2008</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827.1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(33.0)</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534.1</w:t>
            </w: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Comprehensive Income</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60.7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rPr>
              <w:t>Other Comprehensive Income – Net of Tax</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Gain on Securities – Net</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2.8</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2.8</w:t>
            </w: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6180" w:type="dxa"/>
            <w:vAlign w:val="bottom"/>
          </w:tcPr>
          <w:p>
            <w:pPr>
              <w:ind w:left="300"/>
              <w:spacing w:after="0"/>
              <w:rPr>
                <w:sz w:val="20"/>
                <w:szCs w:val="20"/>
                <w:color w:val="auto"/>
              </w:rPr>
            </w:pPr>
            <w:r>
              <w:rPr>
                <w:rFonts w:ascii="Arial" w:cs="Arial" w:eastAsia="Arial" w:hAnsi="Arial"/>
                <w:sz w:val="17"/>
                <w:szCs w:val="17"/>
                <w:color w:val="auto"/>
              </w:rPr>
              <w:t>Defined Benefit Pension and Other Postretirement Plans</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6.2</w:t>
            </w:r>
          </w:p>
        </w:tc>
        <w:tc>
          <w:tcPr>
            <w:tcW w:w="1000" w:type="dxa"/>
            <w:vAlign w:val="bottom"/>
          </w:tcPr>
          <w:p>
            <w:pPr>
              <w:spacing w:after="0"/>
              <w:rPr>
                <w:sz w:val="17"/>
                <w:szCs w:val="17"/>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6.2</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Comprehensive Income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69.7</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6180" w:type="dxa"/>
            <w:vAlign w:val="bottom"/>
          </w:tcPr>
          <w:p>
            <w:pPr>
              <w:ind w:left="280"/>
              <w:spacing w:after="0"/>
              <w:rPr>
                <w:sz w:val="20"/>
                <w:szCs w:val="20"/>
                <w:color w:val="auto"/>
              </w:rPr>
            </w:pPr>
            <w:r>
              <w:rPr>
                <w:rFonts w:ascii="Arial" w:cs="Arial" w:eastAsia="Arial" w:hAnsi="Arial"/>
                <w:sz w:val="17"/>
                <w:szCs w:val="17"/>
                <w:color w:val="auto"/>
              </w:rPr>
              <w:t>Non-Controlling Interest in Subsidiaries</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0.3</w:t>
            </w: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Comprehensive Income Attributable to ALLETE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70.0</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Common Stock Issued – Net</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79.3</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(56.5)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ESOP Shares Earned</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9.6</w:t>
            </w:r>
          </w:p>
        </w:tc>
        <w:tc>
          <w:tcPr>
            <w:tcW w:w="10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9.6</w:t>
            </w:r>
          </w:p>
        </w:tc>
        <w:tc>
          <w:tcPr>
            <w:tcW w:w="920" w:type="dxa"/>
            <w:vAlign w:val="bottom"/>
            <w:tcBorders>
              <w:bottom w:val="single" w:sz="8" w:color="auto"/>
            </w:tcBorders>
          </w:tcPr>
          <w:p>
            <w:pPr>
              <w:spacing w:after="0"/>
              <w:rPr>
                <w:sz w:val="17"/>
                <w:szCs w:val="17"/>
                <w:color w:val="auto"/>
              </w:rPr>
            </w:pPr>
          </w:p>
        </w:tc>
      </w:tr>
      <w:tr>
        <w:trPr>
          <w:trHeight w:val="206"/>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December 31, 2009</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929.5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385.4</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(24.0)</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(45.3)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613.4</w:t>
            </w: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Comprehensive Income</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74.8</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rPr>
              <w:t>Other Comprehensive Income – Net of Tax</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Unrealized Gain on Securities – Net</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0.8</w:t>
            </w:r>
          </w:p>
        </w:tc>
        <w:tc>
          <w:tcPr>
            <w:tcW w:w="10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0.8</w:t>
            </w:r>
          </w:p>
        </w:tc>
        <w:tc>
          <w:tcPr>
            <w:tcW w:w="9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1"/>
        </w:trPr>
        <w:tc>
          <w:tcPr>
            <w:tcW w:w="6180" w:type="dxa"/>
            <w:vAlign w:val="bottom"/>
          </w:tcPr>
          <w:p>
            <w:pPr>
              <w:ind w:left="460"/>
              <w:spacing w:after="0"/>
              <w:rPr>
                <w:sz w:val="20"/>
                <w:szCs w:val="20"/>
                <w:color w:val="auto"/>
              </w:rPr>
            </w:pPr>
            <w:r>
              <w:rPr>
                <w:rFonts w:ascii="Arial" w:cs="Arial" w:eastAsia="Arial" w:hAnsi="Arial"/>
                <w:sz w:val="17"/>
                <w:szCs w:val="17"/>
                <w:color w:val="auto"/>
              </w:rPr>
              <w:t>Total Comprehensive Income</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75.6</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Non-Controlling Interest in Subsidiaries</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rPr>
              <w:t>Comprehensive Income Attributable to ALLETE</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76.1</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Issued – Net</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22.7</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Dividends Declared</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(60.8)</w:t>
            </w:r>
          </w:p>
        </w:tc>
        <w:tc>
          <w:tcPr>
            <w:tcW w:w="1000" w:type="dxa"/>
            <w:vAlign w:val="bottom"/>
          </w:tcPr>
          <w:p>
            <w:pPr>
              <w:jc w:val="right"/>
              <w:spacing w:after="0"/>
              <w:rPr>
                <w:sz w:val="20"/>
                <w:szCs w:val="20"/>
                <w:color w:val="auto"/>
              </w:rPr>
            </w:pPr>
            <w:r>
              <w:rPr>
                <w:rFonts w:ascii="Arial" w:cs="Arial" w:eastAsia="Arial" w:hAnsi="Arial"/>
                <w:sz w:val="17"/>
                <w:szCs w:val="17"/>
                <w:color w:val="auto"/>
              </w:rPr>
              <w:t>(60.8)</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ESOP Shares Earned</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8.5</w:t>
            </w:r>
          </w:p>
        </w:tc>
        <w:tc>
          <w:tcPr>
            <w:tcW w:w="10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8.5</w:t>
            </w:r>
          </w:p>
        </w:tc>
        <w:tc>
          <w:tcPr>
            <w:tcW w:w="920" w:type="dxa"/>
            <w:vAlign w:val="bottom"/>
            <w:tcBorders>
              <w:bottom w:val="single" w:sz="8" w:color="auto"/>
            </w:tcBorders>
            <w:shd w:val="clear" w:color="auto" w:fill="CCEEFF"/>
          </w:tcPr>
          <w:p>
            <w:pPr>
              <w:spacing w:after="0"/>
              <w:rPr>
                <w:sz w:val="17"/>
                <w:szCs w:val="17"/>
                <w:color w:val="auto"/>
              </w:rPr>
            </w:pPr>
          </w:p>
        </w:tc>
      </w:tr>
      <w:tr>
        <w:trPr>
          <w:trHeight w:val="206"/>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as of December 31, 2010</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$976.0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$(23.2)</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$(36.8)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$636.1</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4"/>
          <w:szCs w:val="14"/>
          <w:b w:val="1"/>
          <w:bCs w:val="1"/>
          <w:color w:val="auto"/>
        </w:rPr>
        <w:t>Operations and Significant Accounting Policies</w:t>
      </w: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Financial Statement Preparation. </w:t>
      </w:r>
      <w:r>
        <w:rPr>
          <w:rFonts w:ascii="Arial" w:cs="Arial" w:eastAsia="Arial" w:hAnsi="Arial"/>
          <w:sz w:val="15"/>
          <w:szCs w:val="15"/>
          <w:color w:val="auto"/>
        </w:rPr>
        <w:t>References in this report to “we,” “us,” and “our” are to ALLETE and its subsidiaries, collectively. We prepare our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The Company performed an evaluation of subsequent events for potential recognition and disclosure through the time of the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Our consolidated financial statements include the accounts of ALLETE and all of our majority-owned subsidiary companies. All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intercompany balances and transactions have been eliminated in consolidation.</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Business Segments. </w:t>
      </w:r>
      <w:r>
        <w:rPr>
          <w:rFonts w:ascii="Arial" w:cs="Arial" w:eastAsia="Arial" w:hAnsi="Arial"/>
          <w:sz w:val="17"/>
          <w:szCs w:val="17"/>
          <w:color w:val="auto"/>
        </w:rPr>
        <w:t>Our Regulated Operations and Investments and Other segments were determined in accordance with the guidance on segment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retail and wholesale rate-regulated electric, natural gas, and water services in northeastern Minnesota and northwestern Wisconsin along</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Investment in ATC. Minnesota Power provides regulated utility electric service to 146,000 retail customers in northeastern Minnesota. SWL&amp;P, a wholly-owned subsidiary, provides regulated utility electric, natural gas and water service in northwestern Wisconsin to 15,000 electric customers, 12,000 natural gas customers and 10,000 water customers. Regulated utility rates are under the jurisdiction of Minnesota, Wisconsin and federal regulatory authorities. Our Investment in ATC includes our approximate 8 percent equity ownership interest in ATC, a Wisconsin-based utility that owns and maintains electric tr ansmission assets in parts of Wisconsin, Michigan, Minnesota and Illinois. (See Note 6. Investment in ATC.)</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segment also includes a small amount of non-rate base generation, approximately 7,000 acres of land available-for-sale in Minnesota, and earnings on cash and investments.</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BNI Coal, a wholly-owned subsidiary, mines and sells lignite coal to two North Dakota mine-mouth generating units, one of which is Square Butte. In 2010, Square Butte supplied approximately 50 percent (227.5 MW) of its output to Minnesota Power under a long-term contract. (See Note 10. Commitments, Guarantees and Contingencies.) Coal sales are recognized when delivered at the cost of production plus a specified profit per ton of coal delivered.</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ALLETE Properties is our Florida real estate investment. Our current strategy for the assets is to complete and maintain key entitlements and infrastructure improvements without requiring significant additional investment, and sell the portfolio over time or in bulk transactions.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Full profit recognition is recorded on sales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From time to time, certain contracts with customers allow us to receive participation revenue from land sales to third parties if various formula-based criteria are achieved.</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Land held-for-sale is recorded at the lower of cost or fair value determined by the evaluation of individual land parcels and is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standards for real estate. The cost of real estate includes the actual costs incurred and the estimate of future completion costs allocated to the real estate sold based upon the relative sales value metho d. Whenever events or circumstances indicate that the carrying value of the real estate may not be recoverable, impairments would be recorded and the related assets would be adjusted to their estimated fair value, less costs to sell. (See Note 7.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We consider all investments purchased with original maturities of three months or less to be cash equivalents.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7"/>
                <w:szCs w:val="17"/>
                <w:b w:val="1"/>
                <w:bCs w:val="1"/>
                <w:color w:val="auto"/>
              </w:rPr>
              <w:t>Note 1.</w:t>
            </w:r>
          </w:p>
        </w:tc>
        <w:tc>
          <w:tcPr>
            <w:tcW w:w="6540" w:type="dxa"/>
            <w:vAlign w:val="bottom"/>
          </w:tcPr>
          <w:p>
            <w:pPr>
              <w:ind w:left="300"/>
              <w:spacing w:after="0"/>
              <w:rPr>
                <w:sz w:val="20"/>
                <w:szCs w:val="20"/>
                <w:color w:val="auto"/>
              </w:rPr>
            </w:pPr>
            <w:r>
              <w:rPr>
                <w:rFonts w:ascii="Arial" w:cs="Arial" w:eastAsia="Arial" w:hAnsi="Arial"/>
                <w:sz w:val="17"/>
                <w:szCs w:val="17"/>
                <w:b w:val="1"/>
                <w:bCs w:val="1"/>
                <w:color w:val="auto"/>
              </w:rPr>
              <w:t>Operations and Significant Accounting Policies (Continued)</w:t>
            </w:r>
          </w:p>
        </w:tc>
        <w:tc>
          <w:tcPr>
            <w:tcW w:w="1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27"/>
        </w:trPr>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Supplemental Statement of Cash Flow Information</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7"/>
        </w:trPr>
        <w:tc>
          <w:tcPr>
            <w:tcW w:w="7440" w:type="dxa"/>
            <w:vAlign w:val="bottom"/>
            <w:gridSpan w:val="2"/>
          </w:tcPr>
          <w:p>
            <w:pPr>
              <w:spacing w:after="0"/>
              <w:rPr>
                <w:sz w:val="19"/>
                <w:szCs w:val="19"/>
                <w:color w:val="auto"/>
              </w:rPr>
            </w:pP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1"/>
        </w:trPr>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Cash Flows</w:t>
            </w: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w:t>
            </w: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17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2009</w:t>
            </w:r>
          </w:p>
        </w:tc>
        <w:tc>
          <w:tcPr>
            <w:tcW w:w="1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2008</w:t>
            </w:r>
          </w:p>
        </w:tc>
      </w:tr>
      <w:tr>
        <w:trPr>
          <w:trHeight w:val="201"/>
        </w:trPr>
        <w:tc>
          <w:tcPr>
            <w:tcW w:w="9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6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440" w:type="dxa"/>
            <w:vAlign w:val="bottom"/>
            <w:gridSpan w:val="2"/>
          </w:tcPr>
          <w:p>
            <w:pPr>
              <w:ind w:left="160"/>
              <w:spacing w:after="0"/>
              <w:rPr>
                <w:sz w:val="20"/>
                <w:szCs w:val="20"/>
                <w:color w:val="auto"/>
              </w:rPr>
            </w:pPr>
            <w:r>
              <w:rPr>
                <w:rFonts w:ascii="Arial" w:cs="Arial" w:eastAsia="Arial" w:hAnsi="Arial"/>
                <w:sz w:val="17"/>
                <w:szCs w:val="17"/>
                <w:color w:val="auto"/>
              </w:rPr>
              <w:t>Interest – Net of Amounts Capitalized</w:t>
            </w:r>
          </w:p>
        </w:tc>
        <w:tc>
          <w:tcPr>
            <w:tcW w:w="1720" w:type="dxa"/>
            <w:vAlign w:val="bottom"/>
          </w:tcPr>
          <w:p>
            <w:pPr>
              <w:jc w:val="right"/>
              <w:ind w:right="256"/>
              <w:spacing w:after="0"/>
              <w:rPr>
                <w:sz w:val="20"/>
                <w:szCs w:val="20"/>
                <w:color w:val="auto"/>
              </w:rPr>
            </w:pPr>
            <w:r>
              <w:rPr>
                <w:rFonts w:ascii="Arial" w:cs="Arial" w:eastAsia="Arial" w:hAnsi="Arial"/>
                <w:sz w:val="17"/>
                <w:szCs w:val="17"/>
                <w:color w:val="auto"/>
              </w:rPr>
              <w:t>$35.7</w:t>
            </w:r>
          </w:p>
        </w:tc>
        <w:tc>
          <w:tcPr>
            <w:tcW w:w="1240" w:type="dxa"/>
            <w:vAlign w:val="bottom"/>
          </w:tcPr>
          <w:p>
            <w:pPr>
              <w:jc w:val="right"/>
              <w:ind w:right="216"/>
              <w:spacing w:after="0"/>
              <w:rPr>
                <w:sz w:val="20"/>
                <w:szCs w:val="20"/>
                <w:color w:val="auto"/>
              </w:rPr>
            </w:pPr>
            <w:r>
              <w:rPr>
                <w:rFonts w:ascii="Arial" w:cs="Arial" w:eastAsia="Arial" w:hAnsi="Arial"/>
                <w:sz w:val="17"/>
                <w:szCs w:val="17"/>
                <w:color w:val="auto"/>
              </w:rPr>
              <w:t>$29.8</w:t>
            </w: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$25.2</w:t>
            </w:r>
          </w:p>
        </w:tc>
      </w:tr>
      <w:tr>
        <w:trPr>
          <w:trHeight w:val="201"/>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xml:space="preserve">Income Taxes (Net of refunds received of $57.1, $6.7 and $–) </w:t>
            </w:r>
            <w:r>
              <w:rPr>
                <w:rFonts w:ascii="Arial" w:cs="Arial" w:eastAsia="Arial" w:hAnsi="Arial"/>
                <w:sz w:val="17"/>
                <w:szCs w:val="17"/>
                <w:i w:val="1"/>
                <w:iCs w:val="1"/>
                <w:color w:val="auto"/>
              </w:rPr>
              <w:t>(a)</w:t>
            </w:r>
          </w:p>
        </w:tc>
        <w:tc>
          <w:tcPr>
            <w:tcW w:w="17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$(54.2)</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$(5.6)</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$6.5</w:t>
            </w:r>
          </w:p>
        </w:tc>
      </w:tr>
      <w:tr>
        <w:trPr>
          <w:trHeight w:val="201"/>
        </w:trPr>
        <w:tc>
          <w:tcPr>
            <w:tcW w:w="744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440" w:type="dxa"/>
            <w:vAlign w:val="bottom"/>
            <w:gridSpan w:val="2"/>
          </w:tcPr>
          <w:p>
            <w:pPr>
              <w:ind w:left="160"/>
              <w:spacing w:after="0"/>
              <w:rPr>
                <w:sz w:val="20"/>
                <w:szCs w:val="20"/>
                <w:color w:val="auto"/>
              </w:rPr>
            </w:pPr>
            <w:r>
              <w:rPr>
                <w:rFonts w:ascii="Arial" w:cs="Arial" w:eastAsia="Arial" w:hAnsi="Arial"/>
                <w:sz w:val="17"/>
                <w:szCs w:val="17"/>
                <w:color w:val="auto"/>
              </w:rPr>
              <w:t>Increase (Decrease) in Accounts Payable for Capital Additions to Property, Plant and Equipment</w:t>
            </w:r>
          </w:p>
        </w:tc>
        <w:tc>
          <w:tcPr>
            <w:tcW w:w="1720" w:type="dxa"/>
            <w:vAlign w:val="bottom"/>
          </w:tcPr>
          <w:p>
            <w:pPr>
              <w:jc w:val="right"/>
              <w:ind w:right="256"/>
              <w:spacing w:after="0"/>
              <w:rPr>
                <w:sz w:val="20"/>
                <w:szCs w:val="20"/>
                <w:color w:val="auto"/>
              </w:rPr>
            </w:pPr>
            <w:r>
              <w:rPr>
                <w:rFonts w:ascii="Arial" w:cs="Arial" w:eastAsia="Arial" w:hAnsi="Arial"/>
                <w:sz w:val="17"/>
                <w:szCs w:val="17"/>
                <w:color w:val="auto"/>
              </w:rPr>
              <w:t>$7.5</w:t>
            </w:r>
          </w:p>
        </w:tc>
        <w:tc>
          <w:tcPr>
            <w:tcW w:w="1240" w:type="dxa"/>
            <w:vAlign w:val="bottom"/>
          </w:tcPr>
          <w:p>
            <w:pPr>
              <w:jc w:val="right"/>
              <w:ind w:right="216"/>
              <w:spacing w:after="0"/>
              <w:rPr>
                <w:sz w:val="20"/>
                <w:szCs w:val="20"/>
                <w:color w:val="auto"/>
              </w:rPr>
            </w:pPr>
            <w:r>
              <w:rPr>
                <w:rFonts w:ascii="Arial" w:cs="Arial" w:eastAsia="Arial" w:hAnsi="Arial"/>
                <w:sz w:val="17"/>
                <w:szCs w:val="17"/>
                <w:color w:val="auto"/>
              </w:rPr>
              <w:t>$(24.1)</w:t>
            </w: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$17.1</w:t>
            </w:r>
          </w:p>
        </w:tc>
      </w:tr>
      <w:tr>
        <w:trPr>
          <w:trHeight w:val="201"/>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AFUDC – Equity</w:t>
            </w:r>
          </w:p>
        </w:tc>
        <w:tc>
          <w:tcPr>
            <w:tcW w:w="17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$4.2</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$5.8</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$3.3</w:t>
            </w:r>
          </w:p>
        </w:tc>
      </w:tr>
      <w:tr>
        <w:trPr>
          <w:trHeight w:val="206"/>
        </w:trPr>
        <w:tc>
          <w:tcPr>
            <w:tcW w:w="74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ALLETE Common Stock contributed to the Pension Plan</w:t>
            </w:r>
          </w:p>
        </w:tc>
        <w:tc>
          <w:tcPr>
            <w:tcW w:w="17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$(12.0)</w:t>
            </w: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r>
    </w:tbl>
    <w:p>
      <w:pPr>
        <w:spacing w:after="0" w:line="214" w:lineRule="exact"/>
        <w:rPr>
          <w:sz w:val="20"/>
          <w:szCs w:val="20"/>
          <w:color w:val="auto"/>
        </w:rPr>
      </w:pPr>
    </w:p>
    <w:p>
      <w:pPr>
        <w:jc w:val="both"/>
        <w:ind w:left="300" w:hanging="299"/>
        <w:spacing w:after="0" w:line="257" w:lineRule="auto"/>
        <w:tabs>
          <w:tab w:leader="none" w:pos="30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Due to bonus depreciation provisions in the Small Business Jobs Act of 2010 and the American Recovery and Reinvestment Act of 2009, lower estimated tax payments were made in 2010 and 2009. Refunds received in 2010 resulted from a 2009 NOL which was utilized by carrying it back against prior years’ taxable income and the completion of a state income tax audit.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reported on the balance sheet net of an allowance for doubtful accounts. The allowance is based on our evaluation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 portfolio under current conditions, overall portfolio quality, review of specific problems and such other factors that, in our judgment, deserve recognition in estimating losses.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Accounts Receivable</w:t>
            </w:r>
          </w:p>
        </w:tc>
        <w:tc>
          <w:tcPr>
            <w:tcW w:w="4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6"/>
        </w:trPr>
        <w:tc>
          <w:tcPr>
            <w:tcW w:w="6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w:t>
            </w:r>
          </w:p>
        </w:tc>
        <w:tc>
          <w:tcPr>
            <w:tcW w:w="4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Trade Accounts Receivable</w:t>
            </w:r>
          </w:p>
        </w:tc>
        <w:tc>
          <w:tcPr>
            <w:tcW w:w="4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6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Billed</w:t>
            </w:r>
          </w:p>
        </w:tc>
        <w:tc>
          <w:tcPr>
            <w:tcW w:w="42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$67.6</w:t>
            </w:r>
          </w:p>
        </w:tc>
        <w:tc>
          <w:tcPr>
            <w:tcW w:w="10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$56.5</w:t>
            </w:r>
          </w:p>
        </w:tc>
      </w:tr>
      <w:tr>
        <w:trPr>
          <w:trHeight w:val="201"/>
        </w:trPr>
        <w:tc>
          <w:tcPr>
            <w:tcW w:w="6140" w:type="dxa"/>
            <w:vAlign w:val="bottom"/>
          </w:tcPr>
          <w:p>
            <w:pPr>
              <w:ind w:left="160"/>
              <w:spacing w:after="0"/>
              <w:rPr>
                <w:sz w:val="20"/>
                <w:szCs w:val="20"/>
                <w:color w:val="auto"/>
              </w:rPr>
            </w:pPr>
            <w:r>
              <w:rPr>
                <w:rFonts w:ascii="Arial" w:cs="Arial" w:eastAsia="Arial" w:hAnsi="Arial"/>
                <w:sz w:val="17"/>
                <w:szCs w:val="17"/>
                <w:color w:val="auto"/>
              </w:rPr>
              <w:t>Unbilled</w:t>
            </w:r>
          </w:p>
        </w:tc>
        <w:tc>
          <w:tcPr>
            <w:tcW w:w="4260" w:type="dxa"/>
            <w:vAlign w:val="bottom"/>
          </w:tcPr>
          <w:p>
            <w:pPr>
              <w:jc w:val="right"/>
              <w:ind w:right="136"/>
              <w:spacing w:after="0"/>
              <w:rPr>
                <w:sz w:val="20"/>
                <w:szCs w:val="20"/>
                <w:color w:val="auto"/>
              </w:rPr>
            </w:pPr>
            <w:r>
              <w:rPr>
                <w:rFonts w:ascii="Arial" w:cs="Arial" w:eastAsia="Arial" w:hAnsi="Arial"/>
                <w:sz w:val="17"/>
                <w:szCs w:val="17"/>
                <w:color w:val="auto"/>
              </w:rPr>
              <w:t>18.9</w:t>
            </w:r>
          </w:p>
        </w:tc>
        <w:tc>
          <w:tcPr>
            <w:tcW w:w="1020" w:type="dxa"/>
            <w:vAlign w:val="bottom"/>
          </w:tcPr>
          <w:p>
            <w:pPr>
              <w:jc w:val="right"/>
              <w:ind w:right="276"/>
              <w:spacing w:after="0"/>
              <w:rPr>
                <w:sz w:val="20"/>
                <w:szCs w:val="20"/>
                <w:color w:val="auto"/>
              </w:rPr>
            </w:pPr>
            <w:r>
              <w:rPr>
                <w:rFonts w:ascii="Arial" w:cs="Arial" w:eastAsia="Arial" w:hAnsi="Arial"/>
                <w:sz w:val="17"/>
                <w:szCs w:val="17"/>
                <w:color w:val="auto"/>
              </w:rPr>
              <w:t>15.1</w:t>
            </w:r>
          </w:p>
        </w:tc>
      </w:tr>
      <w:tr>
        <w:trPr>
          <w:trHeight w:val="206"/>
        </w:trPr>
        <w:tc>
          <w:tcPr>
            <w:tcW w:w="6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Less: Allowance for Doubtful Accounts</w:t>
            </w:r>
          </w:p>
        </w:tc>
        <w:tc>
          <w:tcPr>
            <w:tcW w:w="4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0.9</w:t>
            </w:r>
          </w:p>
        </w:tc>
        <w:tc>
          <w:tcPr>
            <w:tcW w:w="1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0.9</w:t>
            </w:r>
          </w:p>
        </w:tc>
      </w:tr>
      <w:tr>
        <w:trPr>
          <w:trHeight w:val="206"/>
        </w:trPr>
        <w:tc>
          <w:tcPr>
            <w:tcW w:w="6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Trade Accounts Receivable</w:t>
            </w:r>
          </w:p>
        </w:tc>
        <w:tc>
          <w:tcPr>
            <w:tcW w:w="42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85.6</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70.7</w:t>
            </w:r>
          </w:p>
        </w:tc>
      </w:tr>
      <w:tr>
        <w:trPr>
          <w:trHeight w:val="206"/>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Taxes Receivable</w:t>
            </w:r>
          </w:p>
        </w:tc>
        <w:tc>
          <w:tcPr>
            <w:tcW w:w="4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13.9</w:t>
            </w:r>
          </w:p>
        </w:tc>
        <w:tc>
          <w:tcPr>
            <w:tcW w:w="1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47.8</w:t>
            </w:r>
          </w:p>
        </w:tc>
      </w:tr>
      <w:tr>
        <w:trPr>
          <w:trHeight w:val="206"/>
        </w:trPr>
        <w:tc>
          <w:tcPr>
            <w:tcW w:w="6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Accounts Receivable – Net</w:t>
            </w:r>
          </w:p>
        </w:tc>
        <w:tc>
          <w:tcPr>
            <w:tcW w:w="42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$99.5</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$118.5</w:t>
            </w:r>
          </w:p>
        </w:tc>
      </w:tr>
    </w:tbl>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Financial instruments that subject us to concentrations of credit risk consist primarily of accounts receivable. Minnesota Power sells</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electricity to 10 Large Power Customers. Receivables from these customers totaled $17.3 million at December 31, 2010 ($9.6 million at December 2009).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 market-based</w:t>
      </w:r>
      <w:r>
        <w:rPr>
          <w:rFonts w:ascii="Arial" w:cs="Arial" w:eastAsia="Arial" w:hAnsi="Arial"/>
          <w:sz w:val="17"/>
          <w:szCs w:val="17"/>
          <w:b w:val="1"/>
          <w:bCs w:val="1"/>
          <w:color w:val="auto"/>
        </w:rPr>
        <w:t xml:space="preserve"> </w:t>
      </w:r>
      <w:r>
        <w:rPr>
          <w:rFonts w:ascii="Arial" w:cs="Arial" w:eastAsia="Arial" w:hAnsi="Arial"/>
          <w:sz w:val="17"/>
          <w:szCs w:val="17"/>
          <w:color w:val="auto"/>
        </w:rPr>
        <w:t>rates and are net of an allowance for doubtful accounts. We assess delinquent finance receivables by comparing the balance of such receivable to the estimated fair value of the collateralized property. If the fair value of the property is less than the finance receivable, we record a reserve for the difference. We estimate fair value based on recent property tax assessed values or current appraisals. (See Note 7. Investments.)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 comprehensive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7.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cost or market. Amounts removed from inventory are recorded on an average cost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Inventories</w:t>
            </w:r>
          </w:p>
        </w:tc>
        <w:tc>
          <w:tcPr>
            <w:tcW w:w="4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w:t>
            </w:r>
          </w:p>
        </w:tc>
        <w:tc>
          <w:tcPr>
            <w:tcW w:w="47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2010</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2009</w:t>
            </w:r>
          </w:p>
        </w:tc>
      </w:tr>
      <w:tr>
        <w:trPr>
          <w:trHeight w:val="201"/>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1"/>
        </w:trPr>
        <w:tc>
          <w:tcPr>
            <w:tcW w:w="5460" w:type="dxa"/>
            <w:vAlign w:val="bottom"/>
          </w:tcPr>
          <w:p>
            <w:pPr>
              <w:spacing w:after="0"/>
              <w:rPr>
                <w:sz w:val="20"/>
                <w:szCs w:val="20"/>
                <w:color w:val="auto"/>
              </w:rPr>
            </w:pPr>
            <w:r>
              <w:rPr>
                <w:rFonts w:ascii="Arial" w:cs="Arial" w:eastAsia="Arial" w:hAnsi="Arial"/>
                <w:sz w:val="17"/>
                <w:szCs w:val="17"/>
                <w:color w:val="auto"/>
              </w:rPr>
              <w:t>Fuel</w:t>
            </w:r>
          </w:p>
        </w:tc>
        <w:tc>
          <w:tcPr>
            <w:tcW w:w="4740" w:type="dxa"/>
            <w:vAlign w:val="bottom"/>
          </w:tcPr>
          <w:p>
            <w:pPr>
              <w:jc w:val="right"/>
              <w:ind w:right="376"/>
              <w:spacing w:after="0"/>
              <w:rPr>
                <w:sz w:val="20"/>
                <w:szCs w:val="20"/>
                <w:color w:val="auto"/>
              </w:rPr>
            </w:pPr>
            <w:r>
              <w:rPr>
                <w:rFonts w:ascii="Arial" w:cs="Arial" w:eastAsia="Arial" w:hAnsi="Arial"/>
                <w:sz w:val="17"/>
                <w:szCs w:val="17"/>
                <w:color w:val="auto"/>
              </w:rPr>
              <w:t>$22.9</w:t>
            </w:r>
          </w:p>
        </w:tc>
        <w:tc>
          <w:tcPr>
            <w:tcW w:w="1220" w:type="dxa"/>
            <w:vAlign w:val="bottom"/>
          </w:tcPr>
          <w:p>
            <w:pPr>
              <w:jc w:val="right"/>
              <w:ind w:right="256"/>
              <w:spacing w:after="0"/>
              <w:rPr>
                <w:sz w:val="20"/>
                <w:szCs w:val="20"/>
                <w:color w:val="auto"/>
              </w:rPr>
            </w:pPr>
            <w:r>
              <w:rPr>
                <w:rFonts w:ascii="Arial" w:cs="Arial" w:eastAsia="Arial" w:hAnsi="Arial"/>
                <w:sz w:val="17"/>
                <w:szCs w:val="17"/>
                <w:color w:val="auto"/>
              </w:rPr>
              <w:t>$23.0</w:t>
            </w:r>
          </w:p>
        </w:tc>
      </w:tr>
      <w:tr>
        <w:trPr>
          <w:trHeight w:val="206"/>
        </w:trPr>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Materials and Supplies</w:t>
            </w:r>
          </w:p>
        </w:tc>
        <w:tc>
          <w:tcPr>
            <w:tcW w:w="47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37.1</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34.0</w:t>
            </w:r>
          </w:p>
        </w:tc>
      </w:tr>
      <w:tr>
        <w:trPr>
          <w:trHeight w:val="206"/>
        </w:trPr>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Inventories</w:t>
            </w:r>
          </w:p>
        </w:tc>
        <w:tc>
          <w:tcPr>
            <w:tcW w:w="47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$60.0</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$57.0</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9" w:name="page60"/>
    <w:bookmarkEnd w:id="59"/>
    <w:p>
      <w:pPr>
        <w:spacing w:after="0"/>
        <w:tabs>
          <w:tab w:leader="none" w:pos="118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recorded at original cost and are reported on the balance sheet net of accumulated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for additions, significant replacements, improvements and major plant overhauls are capitalized; maintenance and repair costs are expensed as incurred. Gains or losses on non-rate base property, plant and equipment are recognized when they are retired or otherwise disposed. When regulated utility property, plant and equipment are retired or otherwise disposed, no gain or loss is recognized in accordance with the accounting standards for Regulated Operations.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However, the MPUC has approved current cost recovery for several large capital projects recently, resulting in lower recognition of AFUDC. (See Note 3. Property, Plant and Equipment.)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Long-Lived Asset Impairments. </w:t>
      </w:r>
      <w:r>
        <w:rPr>
          <w:rFonts w:ascii="Arial" w:cs="Arial" w:eastAsia="Arial" w:hAnsi="Arial"/>
          <w:sz w:val="16"/>
          <w:szCs w:val="16"/>
          <w:color w:val="auto"/>
        </w:rPr>
        <w:t>We account for our long-lived assets at depreciated historical cost. A long-lived asset is tested for recoverability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circumstances indicate that its carrying amount may not be recoverable. We conduct this assessment in accordance with the accounting standards for impairment or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 s involved in both deciding if testing for recoverability is necessary and in estimating undiscounted future cash flows.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Derivatives. </w:t>
      </w:r>
      <w:r>
        <w:rPr>
          <w:rFonts w:ascii="Arial" w:cs="Arial" w:eastAsia="Arial" w:hAnsi="Arial"/>
          <w:sz w:val="17"/>
          <w:szCs w:val="17"/>
          <w:color w:val="auto"/>
        </w:rPr>
        <w:t>We review all material power purchase and sales contracts for derivative treatment to determine if they qualify for the normal purchase normal sale</w:t>
      </w:r>
      <w:r>
        <w:rPr>
          <w:rFonts w:ascii="Arial" w:cs="Arial" w:eastAsia="Arial" w:hAnsi="Arial"/>
          <w:sz w:val="17"/>
          <w:szCs w:val="17"/>
          <w:b w:val="1"/>
          <w:bCs w:val="1"/>
          <w:color w:val="auto"/>
        </w:rPr>
        <w:t xml:space="preserve"> </w:t>
      </w:r>
      <w:r>
        <w:rPr>
          <w:rFonts w:ascii="Arial" w:cs="Arial" w:eastAsia="Arial" w:hAnsi="Arial"/>
          <w:sz w:val="17"/>
          <w:szCs w:val="17"/>
          <w:color w:val="auto"/>
        </w:rPr>
        <w:t>exception under the guidance for derivatives and hedging.</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5"/>
          <w:szCs w:val="15"/>
          <w:b w:val="1"/>
          <w:bCs w:val="1"/>
          <w:color w:val="auto"/>
        </w:rPr>
        <w:t xml:space="preserve">Accounting for Stock-Based Compensation. </w:t>
      </w:r>
      <w:r>
        <w:rPr>
          <w:rFonts w:ascii="Arial" w:cs="Arial" w:eastAsia="Arial" w:hAnsi="Arial"/>
          <w:sz w:val="15"/>
          <w:szCs w:val="15"/>
          <w:color w:val="auto"/>
        </w:rPr>
        <w:t>We apply the fair value recognition guidance for share-based payments. Under this guidance, we recognize stock-based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expense for all share-based payments granted, net of an estimated forfeiture rate. (See Note 16. Employee Stock and Incentive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Prepayments and Other Current Assets</w:t>
            </w:r>
          </w:p>
        </w:tc>
        <w:tc>
          <w:tcPr>
            <w:tcW w:w="2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6"/>
        </w:trPr>
        <w:tc>
          <w:tcPr>
            <w:tcW w:w="78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As of December 31</w:t>
            </w:r>
          </w:p>
        </w:tc>
        <w:tc>
          <w:tcPr>
            <w:tcW w:w="25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2010</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2009</w:t>
            </w:r>
          </w:p>
        </w:tc>
      </w:tr>
      <w:tr>
        <w:trPr>
          <w:trHeight w:val="201"/>
        </w:trPr>
        <w:tc>
          <w:tcPr>
            <w:tcW w:w="78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Millions</w:t>
            </w:r>
          </w:p>
        </w:tc>
        <w:tc>
          <w:tcPr>
            <w:tcW w:w="2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1"/>
        </w:trPr>
        <w:tc>
          <w:tcPr>
            <w:tcW w:w="7860" w:type="dxa"/>
            <w:vAlign w:val="bottom"/>
          </w:tcPr>
          <w:p>
            <w:pPr>
              <w:ind w:left="160"/>
              <w:spacing w:after="0"/>
              <w:rPr>
                <w:sz w:val="20"/>
                <w:szCs w:val="20"/>
                <w:color w:val="auto"/>
              </w:rPr>
            </w:pPr>
            <w:r>
              <w:rPr>
                <w:rFonts w:ascii="Arial" w:cs="Arial" w:eastAsia="Arial" w:hAnsi="Arial"/>
                <w:sz w:val="17"/>
                <w:szCs w:val="17"/>
                <w:color w:val="auto"/>
              </w:rPr>
              <w:t>Deferred Fuel Adjustment Clause (See Note 5. Regulatory Matters)</w:t>
            </w:r>
          </w:p>
        </w:tc>
        <w:tc>
          <w:tcPr>
            <w:tcW w:w="2580" w:type="dxa"/>
            <w:vAlign w:val="bottom"/>
          </w:tcPr>
          <w:p>
            <w:pPr>
              <w:jc w:val="right"/>
              <w:ind w:right="196"/>
              <w:spacing w:after="0"/>
              <w:rPr>
                <w:sz w:val="20"/>
                <w:szCs w:val="20"/>
                <w:color w:val="auto"/>
              </w:rPr>
            </w:pPr>
            <w:r>
              <w:rPr>
                <w:rFonts w:ascii="Arial" w:cs="Arial" w:eastAsia="Arial" w:hAnsi="Arial"/>
                <w:sz w:val="17"/>
                <w:szCs w:val="17"/>
                <w:color w:val="auto"/>
              </w:rPr>
              <w:t>$20.6</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$15.5</w:t>
            </w:r>
          </w:p>
        </w:tc>
      </w:tr>
      <w:tr>
        <w:trPr>
          <w:trHeight w:val="206"/>
        </w:trPr>
        <w:tc>
          <w:tcPr>
            <w:tcW w:w="7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5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8.0</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8.8</w:t>
            </w:r>
          </w:p>
        </w:tc>
      </w:tr>
      <w:tr>
        <w:trPr>
          <w:trHeight w:val="206"/>
        </w:trPr>
        <w:tc>
          <w:tcPr>
            <w:tcW w:w="78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Total Prepayments and Other Current Assets</w:t>
            </w:r>
          </w:p>
        </w:tc>
        <w:tc>
          <w:tcPr>
            <w:tcW w:w="25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$28.6</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$24.3</w:t>
            </w:r>
          </w:p>
        </w:tc>
      </w:tr>
      <w:tr>
        <w:trPr>
          <w:trHeight w:val="453"/>
        </w:trPr>
        <w:tc>
          <w:tcPr>
            <w:tcW w:w="7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78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Other Non-Current Liabilities</w:t>
            </w:r>
          </w:p>
        </w:tc>
        <w:tc>
          <w:tcPr>
            <w:tcW w:w="2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6"/>
        </w:trPr>
        <w:tc>
          <w:tcPr>
            <w:tcW w:w="78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As of December 31</w:t>
            </w:r>
          </w:p>
        </w:tc>
        <w:tc>
          <w:tcPr>
            <w:tcW w:w="25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2010</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2009</w:t>
            </w:r>
          </w:p>
        </w:tc>
      </w:tr>
      <w:tr>
        <w:trPr>
          <w:trHeight w:val="201"/>
        </w:trPr>
        <w:tc>
          <w:tcPr>
            <w:tcW w:w="78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Millions</w:t>
            </w:r>
          </w:p>
        </w:tc>
        <w:tc>
          <w:tcPr>
            <w:tcW w:w="2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1"/>
        </w:trPr>
        <w:tc>
          <w:tcPr>
            <w:tcW w:w="7860" w:type="dxa"/>
            <w:vAlign w:val="bottom"/>
          </w:tcPr>
          <w:p>
            <w:pPr>
              <w:ind w:left="160"/>
              <w:spacing w:after="0"/>
              <w:rPr>
                <w:sz w:val="20"/>
                <w:szCs w:val="20"/>
                <w:color w:val="auto"/>
              </w:rPr>
            </w:pPr>
            <w:r>
              <w:rPr>
                <w:rFonts w:ascii="Arial" w:cs="Arial" w:eastAsia="Arial" w:hAnsi="Arial"/>
                <w:sz w:val="17"/>
                <w:szCs w:val="17"/>
                <w:color w:val="auto"/>
              </w:rPr>
              <w:t>Future Benefit Obligation Under Defined Benefit Pension and Other Postretirement Plans</w:t>
            </w:r>
          </w:p>
        </w:tc>
        <w:tc>
          <w:tcPr>
            <w:tcW w:w="2580" w:type="dxa"/>
            <w:vAlign w:val="bottom"/>
          </w:tcPr>
          <w:p>
            <w:pPr>
              <w:jc w:val="right"/>
              <w:ind w:right="196"/>
              <w:spacing w:after="0"/>
              <w:rPr>
                <w:sz w:val="20"/>
                <w:szCs w:val="20"/>
                <w:color w:val="auto"/>
              </w:rPr>
            </w:pPr>
            <w:r>
              <w:rPr>
                <w:rFonts w:ascii="Arial" w:cs="Arial" w:eastAsia="Arial" w:hAnsi="Arial"/>
                <w:sz w:val="17"/>
                <w:szCs w:val="17"/>
                <w:color w:val="auto"/>
              </w:rPr>
              <w:t>$231.4</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$231.2</w:t>
            </w:r>
          </w:p>
        </w:tc>
      </w:tr>
      <w:tr>
        <w:trPr>
          <w:trHeight w:val="201"/>
        </w:trPr>
        <w:tc>
          <w:tcPr>
            <w:tcW w:w="7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 Retirement Obligation (See Note 3. Property, Plant and Equipment)</w:t>
            </w:r>
          </w:p>
        </w:tc>
        <w:tc>
          <w:tcPr>
            <w:tcW w:w="25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50.3</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44.6</w:t>
            </w:r>
          </w:p>
        </w:tc>
      </w:tr>
      <w:tr>
        <w:trPr>
          <w:trHeight w:val="206"/>
        </w:trPr>
        <w:tc>
          <w:tcPr>
            <w:tcW w:w="78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25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43.1</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49.2</w:t>
            </w:r>
          </w:p>
        </w:tc>
      </w:tr>
      <w:tr>
        <w:trPr>
          <w:trHeight w:val="206"/>
        </w:trPr>
        <w:tc>
          <w:tcPr>
            <w:tcW w:w="7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Total Other Non-Current Liabilities</w:t>
            </w:r>
          </w:p>
        </w:tc>
        <w:tc>
          <w:tcPr>
            <w:tcW w:w="25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$324.8</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$325.0</w:t>
            </w:r>
          </w:p>
        </w:tc>
      </w:tr>
    </w:tbl>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Environmental Liabilities. </w:t>
      </w:r>
      <w:r>
        <w:rPr>
          <w:rFonts w:ascii="Arial" w:cs="Arial" w:eastAsia="Arial" w:hAnsi="Arial"/>
          <w:sz w:val="17"/>
          <w:szCs w:val="17"/>
          <w:color w:val="auto"/>
        </w:rPr>
        <w:t>We review environmental matters for disclosure on a quarterly basis. Accruals for environmental matters are recorded when it is probable</w:t>
      </w:r>
      <w:r>
        <w:rPr>
          <w:rFonts w:ascii="Arial" w:cs="Arial" w:eastAsia="Arial" w:hAnsi="Arial"/>
          <w:sz w:val="17"/>
          <w:szCs w:val="17"/>
          <w:b w:val="1"/>
          <w:bCs w:val="1"/>
          <w:color w:val="auto"/>
        </w:rPr>
        <w:t xml:space="preserve"> </w:t>
      </w:r>
      <w:r>
        <w:rPr>
          <w:rFonts w:ascii="Arial" w:cs="Arial" w:eastAsia="Arial" w:hAnsi="Arial"/>
          <w:sz w:val="17"/>
          <w:szCs w:val="17"/>
          <w:color w:val="auto"/>
        </w:rPr>
        <w:t>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10. Commitments, Guarantees and Contingencies.)</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Regulated utility rates are under the jurisdiction of Minnesota, Wisconsin and federal regulatory authorities. Customers are billed on a cycle basis.</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environmental and renewable energy expenditures. Fuel and purchased power expense is deferred to match the period in which the revenue for fuel and purchased power expense is collected from customers pursuant to the fuel adjustment clause.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Unamortized Discount and Premium on Debt. </w:t>
      </w:r>
      <w:r>
        <w:rPr>
          <w:rFonts w:ascii="Arial" w:cs="Arial" w:eastAsia="Arial" w:hAnsi="Arial"/>
          <w:sz w:val="17"/>
          <w:szCs w:val="17"/>
          <w:color w:val="auto"/>
        </w:rPr>
        <w:t>Discount and premium on debt are deferred and amortized over the terms of the related debt instruments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straight-line method.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0" w:name="page61"/>
    <w:bookmarkEnd w:id="60"/>
    <w:p>
      <w:pPr>
        <w:spacing w:after="0"/>
        <w:tabs>
          <w:tab w:leader="none" w:pos="118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5"/>
          <w:szCs w:val="15"/>
          <w:b w:val="1"/>
          <w:bCs w:val="1"/>
          <w:color w:val="auto"/>
        </w:rPr>
        <w:t>Operations and Significant Accounting Policies (Continued)</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file a consolidated federal income tax return. We account for income taxes using the liability method in accordance with the accounting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13. Income Tax Expense.)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 recorded as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to be remitted to the government entity. We account for the collection and payment of these taxes on a net basis.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 In July 2010, the FASB issued an accounting standards update requiring expanded disclosures on allowances for credit losses and the credit quality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receivables of an entity. This guidance also requires a roll forward schedule of the allowance for credit losses for each reporting period. The guidance for greater transparency was adopted December 31, 2010, and did not have an impact on our consolidated financial position, results of operations or cash flows. The guidance for the roll forward requirement is effective January 1, 2011, and is not expected to have an impact on our consolidated financial position, results of operations or cash flows as the amended guidance provides only disclosure requirements.</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In March 2010, the FASB issued new guidance on the accounting for credit derivatives that are embedded in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securitized financial assets. This new guidance eliminated the scope exception for embedded credit derivatives and provided new guidance on the evaluation to be performed. This guidance was effective June 15, 2010. As of December 31, 2010, we did not have any embedded credit derivatives.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In February 2010, the FASB issued an accounting standards update that eliminates the requirement to disclose the date through which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events have been evaluated. The amended guidance was adopted and effective during the first quarter of 2010, and did not have an impact on our consolidated financial position, results of operations or cash flows.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Fair Value. </w:t>
      </w:r>
      <w:r>
        <w:rPr>
          <w:rFonts w:ascii="Arial" w:cs="Arial" w:eastAsia="Arial" w:hAnsi="Arial"/>
          <w:sz w:val="15"/>
          <w:szCs w:val="15"/>
          <w:color w:val="auto"/>
        </w:rPr>
        <w:t>In January 2010, the FASB issued an amendment to the fair value measurement and disclosure standard improving disclosures about fair value measurements.</w:t>
      </w:r>
      <w:r>
        <w:rPr>
          <w:rFonts w:ascii="Arial" w:cs="Arial" w:eastAsia="Arial" w:hAnsi="Arial"/>
          <w:sz w:val="15"/>
          <w:szCs w:val="15"/>
          <w:i w:val="1"/>
          <w:iCs w:val="1"/>
          <w:color w:val="auto"/>
        </w:rPr>
        <w:t xml:space="preserve"> </w:t>
      </w:r>
      <w:r>
        <w:rPr>
          <w:rFonts w:ascii="Arial" w:cs="Arial" w:eastAsia="Arial" w:hAnsi="Arial"/>
          <w:sz w:val="15"/>
          <w:szCs w:val="15"/>
          <w:color w:val="auto"/>
        </w:rPr>
        <w:t>This amended guidance requires separate disclosure of significant transfers in and out of Levels 1 and 2 and the reasons for the transfers. The amended guidance also requires that in the Level 3 reconciliation, the information about purchases, sales, issuances, and settlements be disclosed separately on a gross basis rather than as one net number. The guidance for the Level 1 and 2 disclosures was adopted January 1, 2010, and did not have an impact on our consolidated financial position, results of operations or cash flows. The guidance for the act ivity in Level 3 disclosures is effective January 1, 2011, and is not expected to have an impact on our consolidated financial position, results of operations or cash flows as the amended guidance provides only disclosure requirements.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Variable Interest Entities (VIEs). </w:t>
      </w:r>
      <w:r>
        <w:rPr>
          <w:rFonts w:ascii="Arial" w:cs="Arial" w:eastAsia="Arial" w:hAnsi="Arial"/>
          <w:sz w:val="17"/>
          <w:szCs w:val="17"/>
          <w:color w:val="auto"/>
        </w:rPr>
        <w:t>In June 2009, the FASB issued authoritative guidance changing the approach to determine a VIE’s primary beneficiary and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assessments of whether an enterprise is the primary beneficiary of a VIE. This guidance also requires additional disclosures about a company’s involvement with VIEs and any significant changes in risk exposure due to that involvement. This guidance was adopted January 1, 2010, and did not have an impact on our consolidated financial position,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1" w:name="page62"/>
    <w:bookmarkEnd w:id="61"/>
    <w:p>
      <w:pPr>
        <w:spacing w:after="0"/>
        <w:tabs>
          <w:tab w:leader="none" w:pos="11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4"/>
          <w:szCs w:val="14"/>
          <w:b w:val="1"/>
          <w:bCs w:val="1"/>
          <w:color w:val="auto"/>
        </w:rPr>
        <w:t>Business Segments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investments. For a description of our reportable business segments, see Item 1. Business.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Regulated</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94"/>
              </w:rPr>
              <w:t>Investments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Operations</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2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$907.0</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$835.5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840" w:type="dxa"/>
            <w:vAlign w:val="bottom"/>
          </w:tcPr>
          <w:p>
            <w:pPr>
              <w:jc w:val="right"/>
              <w:ind w:right="96"/>
              <w:spacing w:after="0"/>
              <w:rPr>
                <w:sz w:val="20"/>
                <w:szCs w:val="20"/>
                <w:color w:val="auto"/>
              </w:rPr>
            </w:pPr>
            <w:r>
              <w:rPr>
                <w:rFonts w:ascii="Arial" w:cs="Arial" w:eastAsia="Arial" w:hAnsi="Arial"/>
                <w:sz w:val="17"/>
                <w:szCs w:val="17"/>
                <w:color w:val="auto"/>
              </w:rPr>
              <w:t>325.1</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325.1</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365.6</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292.3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80.5</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Income (Loss)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135.8</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142.0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2840" w:type="dxa"/>
            <w:vAlign w:val="bottom"/>
          </w:tcPr>
          <w:p>
            <w:pPr>
              <w:jc w:val="right"/>
              <w:ind w:right="96"/>
              <w:spacing w:after="0"/>
              <w:rPr>
                <w:sz w:val="20"/>
                <w:szCs w:val="20"/>
                <w:color w:val="auto"/>
              </w:rPr>
            </w:pPr>
            <w:r>
              <w:rPr>
                <w:rFonts w:ascii="Arial" w:cs="Arial" w:eastAsia="Arial" w:hAnsi="Arial"/>
                <w:sz w:val="17"/>
                <w:szCs w:val="17"/>
                <w:color w:val="auto"/>
              </w:rPr>
              <w:t>(39.2)</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(32.3)</w:t>
            </w:r>
          </w:p>
        </w:tc>
        <w:tc>
          <w:tcPr>
            <w:tcW w:w="114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17.9</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4.6</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(Loss) Before Non-Controlling Interest and Income Taxes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119.1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131.4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44.3</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Net Income (Loss)</w:t>
            </w:r>
          </w:p>
        </w:tc>
        <w:tc>
          <w:tcPr>
            <w:tcW w:w="2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74.8</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79.8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(0.5)</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ALLETE</w:t>
            </w:r>
          </w:p>
        </w:tc>
        <w:tc>
          <w:tcPr>
            <w:tcW w:w="2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$75.3</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$79.8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$2,609.1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$2,375.4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Capital Additions</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$260.0</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Regulated</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94"/>
              </w:rPr>
              <w:t>Investments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Operations</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2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$766.7</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$689.4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Prior Year Rate Refunds</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(7.6)</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Operating Revenue</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759.1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681.8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840" w:type="dxa"/>
            <w:vAlign w:val="bottom"/>
          </w:tcPr>
          <w:p>
            <w:pPr>
              <w:jc w:val="right"/>
              <w:ind w:right="96"/>
              <w:spacing w:after="0"/>
              <w:rPr>
                <w:sz w:val="20"/>
                <w:szCs w:val="20"/>
                <w:color w:val="auto"/>
              </w:rPr>
            </w:pPr>
            <w:r>
              <w:rPr>
                <w:rFonts w:ascii="Arial" w:cs="Arial" w:eastAsia="Arial" w:hAnsi="Arial"/>
                <w:sz w:val="17"/>
                <w:szCs w:val="17"/>
                <w:color w:val="auto"/>
              </w:rPr>
              <w:t>279.5</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279.5</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308.9</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235.8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64.7</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Income (Loss)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106.0</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106.3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2840" w:type="dxa"/>
            <w:vAlign w:val="bottom"/>
          </w:tcPr>
          <w:p>
            <w:pPr>
              <w:jc w:val="right"/>
              <w:ind w:right="96"/>
              <w:spacing w:after="0"/>
              <w:rPr>
                <w:sz w:val="20"/>
                <w:szCs w:val="20"/>
                <w:color w:val="auto"/>
              </w:rPr>
            </w:pPr>
            <w:r>
              <w:rPr>
                <w:rFonts w:ascii="Arial" w:cs="Arial" w:eastAsia="Arial" w:hAnsi="Arial"/>
                <w:sz w:val="17"/>
                <w:szCs w:val="17"/>
                <w:color w:val="auto"/>
              </w:rPr>
              <w:t>(33.8)</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(28.3)</w:t>
            </w:r>
          </w:p>
        </w:tc>
        <w:tc>
          <w:tcPr>
            <w:tcW w:w="1140" w:type="dxa"/>
            <w:vAlign w:val="bottom"/>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17.5</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(Loss) Before Non-Controlling Interest and Income Taxes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91.5</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101.3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30.8</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Net Income (Loss)</w:t>
            </w:r>
          </w:p>
        </w:tc>
        <w:tc>
          <w:tcPr>
            <w:tcW w:w="2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60.7</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(0.3)</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ALLETE</w:t>
            </w:r>
          </w:p>
        </w:tc>
        <w:tc>
          <w:tcPr>
            <w:tcW w:w="2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$61.0</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$2,393.1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$2,184.0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Capital Additions</w:t>
            </w:r>
          </w:p>
        </w:tc>
        <w:tc>
          <w:tcPr>
            <w:tcW w:w="2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$303.7</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7"/>
                <w:szCs w:val="17"/>
                <w:b w:val="1"/>
                <w:bCs w:val="1"/>
                <w:color w:val="auto"/>
              </w:rPr>
              <w:t>Note 2.</w:t>
            </w:r>
          </w:p>
        </w:tc>
        <w:tc>
          <w:tcPr>
            <w:tcW w:w="4600" w:type="dxa"/>
            <w:vAlign w:val="bottom"/>
          </w:tcPr>
          <w:p>
            <w:pPr>
              <w:spacing w:after="0"/>
              <w:rPr>
                <w:sz w:val="20"/>
                <w:szCs w:val="20"/>
                <w:color w:val="auto"/>
              </w:rPr>
            </w:pPr>
            <w:r>
              <w:rPr>
                <w:rFonts w:ascii="Arial" w:cs="Arial" w:eastAsia="Arial" w:hAnsi="Arial"/>
                <w:sz w:val="17"/>
                <w:szCs w:val="17"/>
                <w:b w:val="1"/>
                <w:bCs w:val="1"/>
                <w:color w:val="auto"/>
              </w:rPr>
              <w:t>Business Segments (Continued)</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Regulated</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94"/>
              </w:rPr>
              <w:t>Investments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Operations</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6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46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$801.0</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$712.2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tcPr>
          <w:p>
            <w:pPr>
              <w:spacing w:after="0"/>
              <w:rPr>
                <w:sz w:val="20"/>
                <w:szCs w:val="20"/>
                <w:color w:val="auto"/>
              </w:rPr>
            </w:pPr>
            <w:r>
              <w:rPr>
                <w:rFonts w:ascii="Arial" w:cs="Arial" w:eastAsia="Arial" w:hAnsi="Arial"/>
                <w:sz w:val="17"/>
                <w:szCs w:val="17"/>
                <w:color w:val="auto"/>
              </w:rPr>
              <w:t>Fuel and Purchased Power</w:t>
            </w:r>
          </w:p>
        </w:tc>
        <w:tc>
          <w:tcPr>
            <w:tcW w:w="3080" w:type="dxa"/>
            <w:vAlign w:val="bottom"/>
          </w:tcPr>
          <w:p>
            <w:pPr>
              <w:jc w:val="right"/>
              <w:ind w:right="96"/>
              <w:spacing w:after="0"/>
              <w:rPr>
                <w:sz w:val="20"/>
                <w:szCs w:val="20"/>
                <w:color w:val="auto"/>
              </w:rPr>
            </w:pPr>
            <w:r>
              <w:rPr>
                <w:rFonts w:ascii="Arial" w:cs="Arial" w:eastAsia="Arial" w:hAnsi="Arial"/>
                <w:sz w:val="17"/>
                <w:szCs w:val="17"/>
                <w:color w:val="auto"/>
              </w:rPr>
              <w:t>305.6</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305.6</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318.1</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239.3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Depreciation Expense</w:t>
            </w:r>
          </w:p>
        </w:tc>
        <w:tc>
          <w:tcPr>
            <w:tcW w:w="3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55.5</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Operating Income</w:t>
            </w: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121.8</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w w:val="92"/>
              </w:rPr>
              <w:t>Interest Expense</w:t>
            </w:r>
          </w:p>
        </w:tc>
        <w:tc>
          <w:tcPr>
            <w:tcW w:w="4600" w:type="dxa"/>
            <w:vAlign w:val="bottom"/>
          </w:tcPr>
          <w:p>
            <w:pPr>
              <w:spacing w:after="0"/>
              <w:rPr>
                <w:sz w:val="17"/>
                <w:szCs w:val="17"/>
                <w:color w:val="auto"/>
              </w:rPr>
            </w:pPr>
          </w:p>
        </w:tc>
        <w:tc>
          <w:tcPr>
            <w:tcW w:w="3080" w:type="dxa"/>
            <w:vAlign w:val="bottom"/>
          </w:tcPr>
          <w:p>
            <w:pPr>
              <w:jc w:val="right"/>
              <w:ind w:right="96"/>
              <w:spacing w:after="0"/>
              <w:rPr>
                <w:sz w:val="20"/>
                <w:szCs w:val="20"/>
                <w:color w:val="auto"/>
              </w:rPr>
            </w:pPr>
            <w:r>
              <w:rPr>
                <w:rFonts w:ascii="Arial" w:cs="Arial" w:eastAsia="Arial" w:hAnsi="Arial"/>
                <w:sz w:val="17"/>
                <w:szCs w:val="17"/>
                <w:color w:val="auto"/>
              </w:rPr>
              <w:t>(26.3)</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(24.0)</w:t>
            </w:r>
          </w:p>
        </w:tc>
        <w:tc>
          <w:tcPr>
            <w:tcW w:w="114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15.3</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46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15.6</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Income Before Non-Controlling Interest and Income Taxes</w:t>
            </w: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126.4</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111.5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Income Tax Expense (Benefit)</w:t>
            </w:r>
          </w:p>
        </w:tc>
        <w:tc>
          <w:tcPr>
            <w:tcW w:w="3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43.4</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43.6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460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83.0</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Non-Controlling Interest in Subsidiaries</w:t>
            </w:r>
          </w:p>
        </w:tc>
        <w:tc>
          <w:tcPr>
            <w:tcW w:w="3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0.5</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Income Attributable to ALLETE</w:t>
            </w:r>
          </w:p>
        </w:tc>
        <w:tc>
          <w:tcPr>
            <w:tcW w:w="3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$82.5</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460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$2,134.8</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$1,832.1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Capital Additions</w:t>
            </w:r>
          </w:p>
        </w:tc>
        <w:tc>
          <w:tcPr>
            <w:tcW w:w="46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$322.9</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$317.0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7"/>
                <w:szCs w:val="17"/>
                <w:b w:val="1"/>
                <w:bCs w:val="1"/>
                <w:color w:val="auto"/>
              </w:rPr>
              <w:t>Note 3.</w:t>
            </w:r>
          </w:p>
        </w:tc>
        <w:tc>
          <w:tcPr>
            <w:tcW w:w="5160" w:type="dxa"/>
            <w:vAlign w:val="bottom"/>
          </w:tcPr>
          <w:p>
            <w:pPr>
              <w:spacing w:after="0"/>
              <w:rPr>
                <w:sz w:val="20"/>
                <w:szCs w:val="20"/>
                <w:color w:val="auto"/>
              </w:rPr>
            </w:pPr>
            <w:r>
              <w:rPr>
                <w:rFonts w:ascii="Arial" w:cs="Arial" w:eastAsia="Arial" w:hAnsi="Arial"/>
                <w:sz w:val="17"/>
                <w:szCs w:val="17"/>
                <w:b w:val="1"/>
                <w:bCs w:val="1"/>
                <w:color w:val="auto"/>
              </w:rPr>
              <w:t>Property, Plant and Equipment</w:t>
            </w: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6360" w:type="dxa"/>
            <w:vAlign w:val="bottom"/>
            <w:gridSpan w:val="2"/>
          </w:tcPr>
          <w:p>
            <w:pPr>
              <w:spacing w:after="0"/>
              <w:rPr>
                <w:sz w:val="19"/>
                <w:szCs w:val="19"/>
                <w:color w:val="auto"/>
              </w:rPr>
            </w:pPr>
          </w:p>
        </w:tc>
        <w:tc>
          <w:tcPr>
            <w:tcW w:w="39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1"/>
        </w:trPr>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Property, Plant and Equipment</w:t>
            </w:r>
          </w:p>
        </w:tc>
        <w:tc>
          <w:tcPr>
            <w:tcW w:w="3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6"/>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of December 31</w:t>
            </w:r>
          </w:p>
        </w:tc>
        <w:tc>
          <w:tcPr>
            <w:tcW w:w="394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2010</w:t>
            </w: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2009</w:t>
            </w: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16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w w:val="95"/>
              </w:rPr>
              <w:t>Regulated Utility</w:t>
            </w:r>
          </w:p>
        </w:tc>
        <w:tc>
          <w:tcPr>
            <w:tcW w:w="5160" w:type="dxa"/>
            <w:vAlign w:val="bottom"/>
          </w:tcPr>
          <w:p>
            <w:pPr>
              <w:spacing w:after="0"/>
              <w:rPr>
                <w:sz w:val="17"/>
                <w:szCs w:val="17"/>
                <w:color w:val="auto"/>
              </w:rPr>
            </w:pPr>
          </w:p>
        </w:tc>
        <w:tc>
          <w:tcPr>
            <w:tcW w:w="3940" w:type="dxa"/>
            <w:vAlign w:val="bottom"/>
          </w:tcPr>
          <w:p>
            <w:pPr>
              <w:jc w:val="right"/>
              <w:ind w:right="256"/>
              <w:spacing w:after="0"/>
              <w:rPr>
                <w:sz w:val="20"/>
                <w:szCs w:val="20"/>
                <w:color w:val="auto"/>
              </w:rPr>
            </w:pPr>
            <w:r>
              <w:rPr>
                <w:rFonts w:ascii="Arial" w:cs="Arial" w:eastAsia="Arial" w:hAnsi="Arial"/>
                <w:sz w:val="17"/>
                <w:szCs w:val="17"/>
                <w:color w:val="auto"/>
              </w:rPr>
              <w:t>$2,649.2</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$2,415.7</w:t>
            </w:r>
          </w:p>
        </w:tc>
      </w:tr>
      <w:tr>
        <w:trPr>
          <w:trHeight w:val="201"/>
        </w:trPr>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Work in Progress</w:t>
            </w:r>
          </w:p>
        </w:tc>
        <w:tc>
          <w:tcPr>
            <w:tcW w:w="39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86.6</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89.6</w:t>
            </w:r>
          </w:p>
        </w:tc>
      </w:tr>
      <w:tr>
        <w:trPr>
          <w:trHeight w:val="206"/>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Accumulated Depreciation</w:t>
            </w:r>
          </w:p>
        </w:tc>
        <w:tc>
          <w:tcPr>
            <w:tcW w:w="3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(975.8)</w:t>
            </w: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(928.8)</w:t>
            </w:r>
          </w:p>
        </w:tc>
      </w:tr>
      <w:tr>
        <w:trPr>
          <w:trHeight w:val="206"/>
        </w:trPr>
        <w:tc>
          <w:tcPr>
            <w:tcW w:w="63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Regulated Utility Plant – Net</w:t>
            </w:r>
          </w:p>
        </w:tc>
        <w:tc>
          <w:tcPr>
            <w:tcW w:w="3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1,760.0</w:t>
            </w:r>
          </w:p>
        </w:tc>
        <w:tc>
          <w:tcPr>
            <w:tcW w:w="11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1,576.5</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Non-Rate Base Energy Operations</w:t>
            </w:r>
          </w:p>
        </w:tc>
        <w:tc>
          <w:tcPr>
            <w:tcW w:w="3940" w:type="dxa"/>
            <w:vAlign w:val="bottom"/>
          </w:tcPr>
          <w:p>
            <w:pPr>
              <w:jc w:val="right"/>
              <w:ind w:right="256"/>
              <w:spacing w:after="0"/>
              <w:rPr>
                <w:sz w:val="20"/>
                <w:szCs w:val="20"/>
                <w:color w:val="auto"/>
              </w:rPr>
            </w:pPr>
            <w:r>
              <w:rPr>
                <w:rFonts w:ascii="Arial" w:cs="Arial" w:eastAsia="Arial" w:hAnsi="Arial"/>
                <w:sz w:val="17"/>
                <w:szCs w:val="17"/>
                <w:color w:val="auto"/>
              </w:rPr>
              <w:t>88.4</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87.0</w:t>
            </w:r>
          </w:p>
        </w:tc>
      </w:tr>
      <w:tr>
        <w:trPr>
          <w:trHeight w:val="201"/>
        </w:trPr>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Work in Progress</w:t>
            </w:r>
          </w:p>
        </w:tc>
        <w:tc>
          <w:tcPr>
            <w:tcW w:w="39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4.5</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w:t>
            </w:r>
          </w:p>
        </w:tc>
      </w:tr>
      <w:tr>
        <w:trPr>
          <w:trHeight w:val="206"/>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Accumulated Depreciation</w:t>
            </w:r>
          </w:p>
        </w:tc>
        <w:tc>
          <w:tcPr>
            <w:tcW w:w="3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(48.0)</w:t>
            </w: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(45.5)</w:t>
            </w:r>
          </w:p>
        </w:tc>
      </w:tr>
      <w:tr>
        <w:trPr>
          <w:trHeight w:val="206"/>
        </w:trPr>
        <w:tc>
          <w:tcPr>
            <w:tcW w:w="63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Non-Rate Base Energy Operations Plant – Net</w:t>
            </w:r>
          </w:p>
        </w:tc>
        <w:tc>
          <w:tcPr>
            <w:tcW w:w="3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44.9</w:t>
            </w:r>
          </w:p>
        </w:tc>
        <w:tc>
          <w:tcPr>
            <w:tcW w:w="11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45.1</w:t>
            </w:r>
          </w:p>
        </w:tc>
      </w:tr>
      <w:tr>
        <w:trPr>
          <w:trHeight w:val="206"/>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Other Plant – Net</w:t>
            </w:r>
          </w:p>
        </w:tc>
        <w:tc>
          <w:tcPr>
            <w:tcW w:w="51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0.7</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1.1</w:t>
            </w:r>
          </w:p>
        </w:tc>
      </w:tr>
      <w:tr>
        <w:trPr>
          <w:trHeight w:val="206"/>
        </w:trPr>
        <w:tc>
          <w:tcPr>
            <w:tcW w:w="63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Property, Plant and Equipment – Net</w:t>
            </w:r>
          </w:p>
        </w:tc>
        <w:tc>
          <w:tcPr>
            <w:tcW w:w="3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$1,805.6</w:t>
            </w:r>
          </w:p>
        </w:tc>
        <w:tc>
          <w:tcPr>
            <w:tcW w:w="11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$1,622.7</w:t>
            </w:r>
          </w:p>
        </w:tc>
      </w:tr>
    </w:tbl>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Depreciation is computed using the straight-line method over the estimated useful lives of the various classes of assets. The MPUC and the PSCW have approved depreciation rates for our Regulated Utility plant.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256145" cy="143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145" cy="14351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Regulated Utility –</w:t>
            </w:r>
          </w:p>
        </w:tc>
        <w:tc>
          <w:tcPr>
            <w:tcW w:w="1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Generation</w:t>
            </w:r>
          </w:p>
        </w:tc>
        <w:tc>
          <w:tcPr>
            <w:tcW w:w="2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 to 35 years</w:t>
            </w:r>
          </w:p>
        </w:tc>
        <w:tc>
          <w:tcPr>
            <w:tcW w:w="33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Non-Rate Base Operations</w:t>
            </w:r>
          </w:p>
        </w:tc>
        <w:tc>
          <w:tcPr>
            <w:tcW w:w="24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3 to 61 years</w:t>
            </w:r>
          </w:p>
        </w:tc>
      </w:tr>
      <w:tr>
        <w:trPr>
          <w:trHeight w:val="201"/>
        </w:trPr>
        <w:tc>
          <w:tcPr>
            <w:tcW w:w="1700" w:type="dxa"/>
            <w:vAlign w:val="bottom"/>
          </w:tcPr>
          <w:p>
            <w:pPr>
              <w:spacing w:after="0"/>
              <w:rPr>
                <w:sz w:val="17"/>
                <w:szCs w:val="17"/>
                <w:color w:val="auto"/>
              </w:rPr>
            </w:pPr>
          </w:p>
        </w:tc>
        <w:tc>
          <w:tcPr>
            <w:tcW w:w="1700" w:type="dxa"/>
            <w:vAlign w:val="bottom"/>
          </w:tcPr>
          <w:p>
            <w:pPr>
              <w:ind w:left="360"/>
              <w:spacing w:after="0"/>
              <w:rPr>
                <w:sz w:val="20"/>
                <w:szCs w:val="20"/>
                <w:color w:val="auto"/>
              </w:rPr>
            </w:pPr>
            <w:r>
              <w:rPr>
                <w:rFonts w:ascii="Arial" w:cs="Arial" w:eastAsia="Arial" w:hAnsi="Arial"/>
                <w:sz w:val="17"/>
                <w:szCs w:val="17"/>
                <w:color w:val="auto"/>
              </w:rPr>
              <w:t>Transmission</w:t>
            </w:r>
          </w:p>
        </w:tc>
        <w:tc>
          <w:tcPr>
            <w:tcW w:w="2160" w:type="dxa"/>
            <w:vAlign w:val="bottom"/>
          </w:tcPr>
          <w:p>
            <w:pPr>
              <w:ind w:left="440"/>
              <w:spacing w:after="0"/>
              <w:rPr>
                <w:sz w:val="20"/>
                <w:szCs w:val="20"/>
                <w:color w:val="auto"/>
              </w:rPr>
            </w:pPr>
            <w:r>
              <w:rPr>
                <w:rFonts w:ascii="Arial" w:cs="Arial" w:eastAsia="Arial" w:hAnsi="Arial"/>
                <w:sz w:val="17"/>
                <w:szCs w:val="17"/>
                <w:color w:val="auto"/>
              </w:rPr>
              <w:t>42 to 61 years</w:t>
            </w:r>
          </w:p>
        </w:tc>
        <w:tc>
          <w:tcPr>
            <w:tcW w:w="3380" w:type="dxa"/>
            <w:vAlign w:val="bottom"/>
          </w:tcPr>
          <w:p>
            <w:pPr>
              <w:ind w:left="760"/>
              <w:spacing w:after="0"/>
              <w:rPr>
                <w:sz w:val="20"/>
                <w:szCs w:val="20"/>
                <w:color w:val="auto"/>
              </w:rPr>
            </w:pPr>
            <w:r>
              <w:rPr>
                <w:rFonts w:ascii="Arial" w:cs="Arial" w:eastAsia="Arial" w:hAnsi="Arial"/>
                <w:sz w:val="17"/>
                <w:szCs w:val="17"/>
                <w:color w:val="auto"/>
              </w:rPr>
              <w:t>Other Plant</w:t>
            </w:r>
          </w:p>
        </w:tc>
        <w:tc>
          <w:tcPr>
            <w:tcW w:w="2480" w:type="dxa"/>
            <w:vAlign w:val="bottom"/>
          </w:tcPr>
          <w:p>
            <w:pPr>
              <w:ind w:left="820"/>
              <w:spacing w:after="0"/>
              <w:rPr>
                <w:sz w:val="20"/>
                <w:szCs w:val="20"/>
                <w:color w:val="auto"/>
              </w:rPr>
            </w:pPr>
            <w:r>
              <w:rPr>
                <w:rFonts w:ascii="Arial" w:cs="Arial" w:eastAsia="Arial" w:hAnsi="Arial"/>
                <w:sz w:val="17"/>
                <w:szCs w:val="17"/>
                <w:color w:val="auto"/>
              </w:rPr>
              <w:t>5 to 25 years</w:t>
            </w:r>
          </w:p>
        </w:tc>
      </w:tr>
      <w:tr>
        <w:trPr>
          <w:trHeight w:val="206"/>
        </w:trPr>
        <w:tc>
          <w:tcPr>
            <w:tcW w:w="17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Distribution</w:t>
            </w:r>
          </w:p>
        </w:tc>
        <w:tc>
          <w:tcPr>
            <w:tcW w:w="21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14 to 65 years</w:t>
            </w:r>
          </w:p>
        </w:tc>
        <w:tc>
          <w:tcPr>
            <w:tcW w:w="338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r>
    </w:tbl>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long-lived assets that result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construction or development and/or normal operation of the asset. Asset retirement obligations (ARO) relate primarily to the decommissioning of our utility steam generating facilities and land reclamation at BNI Coal, and are included in Other Non-Current Liabilities on our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 Conditional asset re 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Long-standing ratemaking practices approved by applicable state and federal regulatory commissions have allowed provisions for future plant removal costs in depreciation rates. These plant removal cost recoveries were included in accumulated depreciation. These plant removal cost recoveries are 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7"/>
        </w:trPr>
        <w:tc>
          <w:tcPr>
            <w:tcW w:w="1120" w:type="dxa"/>
            <w:vAlign w:val="bottom"/>
          </w:tcPr>
          <w:p>
            <w:pPr>
              <w:spacing w:after="0"/>
              <w:rPr>
                <w:sz w:val="20"/>
                <w:szCs w:val="20"/>
                <w:color w:val="auto"/>
              </w:rPr>
            </w:pPr>
            <w:r>
              <w:rPr>
                <w:rFonts w:ascii="Arial" w:cs="Arial" w:eastAsia="Arial" w:hAnsi="Arial"/>
                <w:sz w:val="17"/>
                <w:szCs w:val="17"/>
                <w:b w:val="1"/>
                <w:bCs w:val="1"/>
                <w:color w:val="auto"/>
              </w:rPr>
              <w:t>Note 3.</w:t>
            </w:r>
          </w:p>
        </w:tc>
        <w:tc>
          <w:tcPr>
            <w:tcW w:w="4400" w:type="dxa"/>
            <w:vAlign w:val="bottom"/>
          </w:tcPr>
          <w:p>
            <w:pPr>
              <w:ind w:left="80"/>
              <w:spacing w:after="0"/>
              <w:rPr>
                <w:sz w:val="20"/>
                <w:szCs w:val="20"/>
                <w:color w:val="auto"/>
              </w:rPr>
            </w:pPr>
            <w:r>
              <w:rPr>
                <w:rFonts w:ascii="Arial" w:cs="Arial" w:eastAsia="Arial" w:hAnsi="Arial"/>
                <w:sz w:val="17"/>
                <w:szCs w:val="17"/>
                <w:b w:val="1"/>
                <w:bCs w:val="1"/>
                <w:color w:val="auto"/>
              </w:rPr>
              <w:t>Property, Plant and Equipment (Continued)</w:t>
            </w:r>
          </w:p>
        </w:tc>
        <w:tc>
          <w:tcPr>
            <w:tcW w:w="1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7"/>
        </w:trPr>
        <w:tc>
          <w:tcPr>
            <w:tcW w:w="5520" w:type="dxa"/>
            <w:vAlign w:val="bottom"/>
            <w:gridSpan w:val="2"/>
          </w:tcPr>
          <w:p>
            <w:pPr>
              <w:spacing w:after="0"/>
              <w:rPr>
                <w:sz w:val="19"/>
                <w:szCs w:val="19"/>
                <w:color w:val="auto"/>
              </w:rPr>
            </w:pPr>
          </w:p>
        </w:tc>
        <w:tc>
          <w:tcPr>
            <w:tcW w:w="1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6"/>
        </w:trPr>
        <w:tc>
          <w:tcPr>
            <w:tcW w:w="5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Asset Retirement Obligation</w:t>
            </w:r>
          </w:p>
        </w:tc>
        <w:tc>
          <w:tcPr>
            <w:tcW w:w="19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Obligation as of December 31, 2008</w:t>
            </w:r>
          </w:p>
        </w:tc>
        <w:tc>
          <w:tcPr>
            <w:tcW w:w="19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$39.5</w:t>
            </w:r>
          </w:p>
        </w:tc>
      </w:tr>
      <w:tr>
        <w:trPr>
          <w:trHeight w:val="201"/>
        </w:trPr>
        <w:tc>
          <w:tcPr>
            <w:tcW w:w="5520" w:type="dxa"/>
            <w:vAlign w:val="bottom"/>
            <w:gridSpan w:val="2"/>
          </w:tcPr>
          <w:p>
            <w:pPr>
              <w:spacing w:after="0"/>
              <w:rPr>
                <w:sz w:val="20"/>
                <w:szCs w:val="20"/>
                <w:color w:val="auto"/>
              </w:rPr>
            </w:pPr>
            <w:r>
              <w:rPr>
                <w:rFonts w:ascii="Arial" w:cs="Arial" w:eastAsia="Arial" w:hAnsi="Arial"/>
                <w:sz w:val="17"/>
                <w:szCs w:val="17"/>
                <w:color w:val="auto"/>
              </w:rPr>
              <w:t>Accretion Expense</w:t>
            </w: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Arial" w:cs="Arial" w:eastAsia="Arial" w:hAnsi="Arial"/>
                <w:sz w:val="17"/>
                <w:szCs w:val="17"/>
                <w:color w:val="auto"/>
              </w:rPr>
              <w:t>2.3</w:t>
            </w:r>
          </w:p>
        </w:tc>
      </w:tr>
      <w:tr>
        <w:trPr>
          <w:trHeight w:val="206"/>
        </w:trPr>
        <w:tc>
          <w:tcPr>
            <w:tcW w:w="5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Additional Liabilities Incurred in 2009</w:t>
            </w:r>
          </w:p>
        </w:tc>
        <w:tc>
          <w:tcPr>
            <w:tcW w:w="19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2.8</w:t>
            </w:r>
          </w:p>
        </w:tc>
      </w:tr>
      <w:tr>
        <w:trPr>
          <w:trHeight w:val="201"/>
        </w:trPr>
        <w:tc>
          <w:tcPr>
            <w:tcW w:w="5520" w:type="dxa"/>
            <w:vAlign w:val="bottom"/>
            <w:gridSpan w:val="2"/>
          </w:tcPr>
          <w:p>
            <w:pPr>
              <w:spacing w:after="0"/>
              <w:rPr>
                <w:sz w:val="20"/>
                <w:szCs w:val="20"/>
                <w:color w:val="auto"/>
              </w:rPr>
            </w:pPr>
            <w:r>
              <w:rPr>
                <w:rFonts w:ascii="Arial" w:cs="Arial" w:eastAsia="Arial" w:hAnsi="Arial"/>
                <w:sz w:val="17"/>
                <w:szCs w:val="17"/>
                <w:color w:val="auto"/>
              </w:rPr>
              <w:t>Obligation as of December 31, 2009</w:t>
            </w: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Arial" w:cs="Arial" w:eastAsia="Arial" w:hAnsi="Arial"/>
                <w:sz w:val="17"/>
                <w:szCs w:val="17"/>
                <w:color w:val="auto"/>
              </w:rPr>
              <w:t>44.6</w:t>
            </w:r>
          </w:p>
        </w:tc>
      </w:tr>
      <w:tr>
        <w:trPr>
          <w:trHeight w:val="201"/>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Accretion Expense</w:t>
            </w:r>
          </w:p>
        </w:tc>
        <w:tc>
          <w:tcPr>
            <w:tcW w:w="19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2.9</w:t>
            </w:r>
          </w:p>
        </w:tc>
      </w:tr>
      <w:tr>
        <w:trPr>
          <w:trHeight w:val="206"/>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Additional Liabilities Incurred in 2010</w:t>
            </w:r>
          </w:p>
        </w:tc>
        <w:tc>
          <w:tcPr>
            <w:tcW w:w="19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2.8</w:t>
            </w:r>
          </w:p>
        </w:tc>
      </w:tr>
      <w:tr>
        <w:trPr>
          <w:trHeight w:val="206"/>
        </w:trPr>
        <w:tc>
          <w:tcPr>
            <w:tcW w:w="5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Obligation as of December 31, 2010</w:t>
            </w:r>
          </w:p>
        </w:tc>
        <w:tc>
          <w:tcPr>
            <w:tcW w:w="19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$50.3</w:t>
            </w:r>
          </w:p>
        </w:tc>
      </w:tr>
      <w:tr>
        <w:trPr>
          <w:trHeight w:val="653"/>
        </w:trPr>
        <w:tc>
          <w:tcPr>
            <w:tcW w:w="1120" w:type="dxa"/>
            <w:vAlign w:val="bottom"/>
          </w:tcPr>
          <w:p>
            <w:pPr>
              <w:spacing w:after="0"/>
              <w:rPr>
                <w:sz w:val="20"/>
                <w:szCs w:val="20"/>
                <w:color w:val="auto"/>
              </w:rPr>
            </w:pPr>
            <w:r>
              <w:rPr>
                <w:rFonts w:ascii="Arial" w:cs="Arial" w:eastAsia="Arial" w:hAnsi="Arial"/>
                <w:sz w:val="17"/>
                <w:szCs w:val="17"/>
                <w:b w:val="1"/>
                <w:bCs w:val="1"/>
                <w:color w:val="auto"/>
              </w:rPr>
              <w:t>Note 4.</w:t>
            </w:r>
          </w:p>
        </w:tc>
        <w:tc>
          <w:tcPr>
            <w:tcW w:w="4400" w:type="dxa"/>
            <w:vAlign w:val="bottom"/>
          </w:tcPr>
          <w:p>
            <w:pPr>
              <w:ind w:left="80"/>
              <w:spacing w:after="0"/>
              <w:rPr>
                <w:sz w:val="20"/>
                <w:szCs w:val="20"/>
                <w:color w:val="auto"/>
              </w:rPr>
            </w:pPr>
            <w:r>
              <w:rPr>
                <w:rFonts w:ascii="Arial" w:cs="Arial" w:eastAsia="Arial" w:hAnsi="Arial"/>
                <w:sz w:val="17"/>
                <w:szCs w:val="17"/>
                <w:b w:val="1"/>
                <w:bCs w:val="1"/>
                <w:color w:val="auto"/>
              </w:rPr>
              <w:t>Jointly-Owned Electric Facility</w:t>
            </w: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7"/>
        </w:trPr>
        <w:tc>
          <w:tcPr>
            <w:tcW w:w="9720" w:type="dxa"/>
            <w:vAlign w:val="bottom"/>
            <w:gridSpan w:val="4"/>
          </w:tcPr>
          <w:p>
            <w:pPr>
              <w:spacing w:after="0"/>
              <w:rPr>
                <w:sz w:val="20"/>
                <w:szCs w:val="20"/>
                <w:color w:val="auto"/>
              </w:rPr>
            </w:pPr>
            <w:r>
              <w:rPr>
                <w:rFonts w:ascii="Arial" w:cs="Arial" w:eastAsia="Arial" w:hAnsi="Arial"/>
                <w:sz w:val="17"/>
                <w:szCs w:val="17"/>
                <w:color w:val="auto"/>
              </w:rPr>
              <w:t>Following are our investments in jointly owned plants and the related ownership percentages as of December 31, 2010:</w:t>
            </w:r>
          </w:p>
        </w:tc>
        <w:tc>
          <w:tcPr>
            <w:tcW w:w="1700" w:type="dxa"/>
            <w:vAlign w:val="bottom"/>
          </w:tcPr>
          <w:p>
            <w:pPr>
              <w:spacing w:after="0"/>
              <w:rPr>
                <w:sz w:val="24"/>
                <w:szCs w:val="24"/>
                <w:color w:val="auto"/>
              </w:rPr>
            </w:pPr>
          </w:p>
        </w:tc>
      </w:tr>
      <w:tr>
        <w:trPr>
          <w:trHeight w:val="227"/>
        </w:trPr>
        <w:tc>
          <w:tcPr>
            <w:tcW w:w="1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85"/>
        </w:trPr>
        <w:tc>
          <w:tcPr>
            <w:tcW w:w="112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496"/>
              <w:spacing w:after="0" w:line="185" w:lineRule="exact"/>
              <w:rPr>
                <w:sz w:val="20"/>
                <w:szCs w:val="20"/>
                <w:color w:val="auto"/>
              </w:rPr>
            </w:pPr>
            <w:r>
              <w:rPr>
                <w:rFonts w:ascii="Arial" w:cs="Arial" w:eastAsia="Arial" w:hAnsi="Arial"/>
                <w:sz w:val="17"/>
                <w:szCs w:val="17"/>
                <w:b w:val="1"/>
                <w:bCs w:val="1"/>
                <w:color w:val="auto"/>
              </w:rPr>
              <w:t>Accumulated</w:t>
            </w:r>
          </w:p>
        </w:tc>
        <w:tc>
          <w:tcPr>
            <w:tcW w:w="2220" w:type="dxa"/>
            <w:vAlign w:val="bottom"/>
            <w:shd w:val="clear" w:color="auto" w:fill="CCEEFF"/>
          </w:tcPr>
          <w:p>
            <w:pPr>
              <w:jc w:val="right"/>
              <w:ind w:right="296"/>
              <w:spacing w:after="0" w:line="185" w:lineRule="exact"/>
              <w:rPr>
                <w:sz w:val="20"/>
                <w:szCs w:val="20"/>
                <w:color w:val="auto"/>
              </w:rPr>
            </w:pPr>
            <w:r>
              <w:rPr>
                <w:rFonts w:ascii="Arial" w:cs="Arial" w:eastAsia="Arial" w:hAnsi="Arial"/>
                <w:sz w:val="17"/>
                <w:szCs w:val="17"/>
                <w:b w:val="1"/>
                <w:bCs w:val="1"/>
                <w:color w:val="auto"/>
              </w:rPr>
              <w:t>Construction Work in</w:t>
            </w:r>
          </w:p>
        </w:tc>
        <w:tc>
          <w:tcPr>
            <w:tcW w:w="1700" w:type="dxa"/>
            <w:vAlign w:val="bottom"/>
            <w:shd w:val="clear" w:color="auto" w:fill="CCEEFF"/>
          </w:tcPr>
          <w:p>
            <w:pPr>
              <w:spacing w:after="0"/>
              <w:rPr>
                <w:sz w:val="16"/>
                <w:szCs w:val="16"/>
                <w:color w:val="auto"/>
              </w:rPr>
            </w:pPr>
          </w:p>
        </w:tc>
      </w:tr>
      <w:tr>
        <w:trPr>
          <w:trHeight w:val="223"/>
        </w:trPr>
        <w:tc>
          <w:tcPr>
            <w:tcW w:w="112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Plant in Service</w:t>
            </w:r>
          </w:p>
        </w:tc>
        <w:tc>
          <w:tcPr>
            <w:tcW w:w="19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Depreciation</w:t>
            </w:r>
          </w:p>
        </w:tc>
        <w:tc>
          <w:tcPr>
            <w:tcW w:w="22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7"/>
                <w:szCs w:val="17"/>
                <w:b w:val="1"/>
                <w:bCs w:val="1"/>
                <w:color w:val="auto"/>
              </w:rPr>
              <w:t>Progress</w:t>
            </w:r>
          </w:p>
        </w:tc>
        <w:tc>
          <w:tcPr>
            <w:tcW w:w="17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 Ownership</w:t>
            </w:r>
          </w:p>
        </w:tc>
      </w:tr>
      <w:tr>
        <w:trPr>
          <w:trHeight w:val="201"/>
        </w:trPr>
        <w:tc>
          <w:tcPr>
            <w:tcW w:w="11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Boswell Unit 4</w:t>
            </w:r>
          </w:p>
        </w:tc>
        <w:tc>
          <w:tcPr>
            <w:tcW w:w="440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$407.5</w:t>
            </w:r>
          </w:p>
        </w:tc>
        <w:tc>
          <w:tcPr>
            <w:tcW w:w="19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$175.5</w:t>
            </w:r>
          </w:p>
        </w:tc>
        <w:tc>
          <w:tcPr>
            <w:tcW w:w="22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$19.6</w:t>
            </w:r>
          </w:p>
        </w:tc>
        <w:tc>
          <w:tcPr>
            <w:tcW w:w="170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rPr>
              <w:t>80</w:t>
            </w:r>
          </w:p>
        </w:tc>
      </w:tr>
      <w:tr>
        <w:trPr>
          <w:trHeight w:val="206"/>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CapX2020</w:t>
            </w:r>
          </w:p>
        </w:tc>
        <w:tc>
          <w:tcPr>
            <w:tcW w:w="44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22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11.3</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9.3 – 14.7</w:t>
            </w:r>
          </w:p>
        </w:tc>
      </w:tr>
      <w:tr>
        <w:trPr>
          <w:trHeight w:val="206"/>
        </w:trPr>
        <w:tc>
          <w:tcPr>
            <w:tcW w:w="11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44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$407.5</w:t>
            </w:r>
          </w:p>
        </w:tc>
        <w:tc>
          <w:tcPr>
            <w:tcW w:w="1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$175.5</w:t>
            </w:r>
          </w:p>
        </w:tc>
        <w:tc>
          <w:tcPr>
            <w:tcW w:w="2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$30.9</w:t>
            </w:r>
          </w:p>
        </w:tc>
        <w:tc>
          <w:tcPr>
            <w:tcW w:w="1700" w:type="dxa"/>
            <w:vAlign w:val="bottom"/>
            <w:tcBorders>
              <w:bottom w:val="single" w:sz="8" w:color="auto"/>
            </w:tcBorders>
            <w:shd w:val="clear" w:color="auto" w:fill="CCEEFF"/>
          </w:tcPr>
          <w:p>
            <w:pPr>
              <w:spacing w:after="0"/>
              <w:rPr>
                <w:sz w:val="17"/>
                <w:szCs w:val="17"/>
                <w:color w:val="auto"/>
              </w:rPr>
            </w:pPr>
          </w:p>
        </w:tc>
      </w:tr>
    </w:tbl>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own 80 percent of the 585-MW Boswell Energy Center Unit 4 (Boswell Unit 4). While we operate the plant, certain decisions about the operations of Boswell Unit 4 are subject to the oversight of a committee on which we and WPPI Energy,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We are a participant in the CapX2020 initiative to ensure reliable electric transmission and distribution in the surrounding region, along with other electric cooperatives, municipals, and investor-owned utilities. We are currently participating in three CapX2020 pr ojects with varying ownership percentages.</w:t>
      </w:r>
    </w:p>
    <w:p>
      <w:pPr>
        <w:spacing w:after="0" w:line="200" w:lineRule="exact"/>
        <w:rPr>
          <w:sz w:val="20"/>
          <w:szCs w:val="20"/>
          <w:color w:val="auto"/>
        </w:rPr>
      </w:pP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Regulatory Matters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the FERC or the PSCW.</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On November 2, 2009, Minnesota Power filed an $81 million retail rate increase request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 t. As a result of these increased sales, interim rates were approximately $52 million for 2010.</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November 2, 2010, Minnesota Power received a written order from the MPUC approving a retail rate increase of approximately $54 million, a 10.38 percent return on common equity and a 54.29 percent equity ratio, subject to reconsideration. In a hearing on January 19, 2011, the MPUC denied all reconsideration requests. Final rates will be implemented after acceptance of the compliance filing, estimated in the second quarter of 2011. Minnesota Power will continue to collect interim rates from its customers until the new rates go into effect. We expect no interim rate refunds will be issued.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 Wisconsin.</w:t>
      </w:r>
      <w:r>
        <w:rPr>
          <w:rFonts w:ascii="Arial" w:cs="Arial" w:eastAsia="Arial" w:hAnsi="Arial"/>
          <w:sz w:val="17"/>
          <w:szCs w:val="17"/>
          <w:i w:val="1"/>
          <w:iCs w:val="1"/>
          <w:color w:val="auto"/>
        </w:rPr>
        <w:t xml:space="preserve"> </w:t>
      </w:r>
      <w:r>
        <w:rPr>
          <w:rFonts w:ascii="Arial" w:cs="Arial" w:eastAsia="Arial" w:hAnsi="Arial"/>
          <w:sz w:val="17"/>
          <w:szCs w:val="17"/>
          <w:color w:val="auto"/>
        </w:rPr>
        <w:t>SWL&amp;P, a wholly-owned subsidiary of ALLETE, is also a private utility in Wisconsin and a customer of Minnesota Power. In 2008, Minnesota Power entered into formula-based rate contracts with these customers. The rates included in these contracts are calculated using a cost-based formula methodology that is set at the beginning of the year using estimated costs, and provides for a true-up calculation for actual costs. The estimated true-up is recorded in the current year, then finalized and billed or paid to customers in the following year. The contracts include a termination clause requiring a 3 year n otice to terminate. To date, no termination notices have been received.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4" w:name="page65"/>
    <w:bookmarkEnd w:id="64"/>
    <w:p>
      <w:pPr>
        <w:spacing w:after="0"/>
        <w:tabs>
          <w:tab w:leader="none" w:pos="11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Regulatory Matters (Continued)</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2010 Wisconsin Rate Increase. </w:t>
      </w:r>
      <w:r>
        <w:rPr>
          <w:rFonts w:ascii="Arial" w:cs="Arial" w:eastAsia="Arial" w:hAnsi="Arial"/>
          <w:sz w:val="16"/>
          <w:szCs w:val="16"/>
          <w:color w:val="auto"/>
        </w:rPr>
        <w:t>During 2010, SWL&amp;P’s retail rates were based on a 2008 PSCW retail rate order, which was effective January 1, 2009. SWL&amp;P’s 2011</w:t>
      </w:r>
      <w:r>
        <w:rPr>
          <w:rFonts w:ascii="Arial" w:cs="Arial" w:eastAsia="Arial" w:hAnsi="Arial"/>
          <w:sz w:val="16"/>
          <w:szCs w:val="16"/>
          <w:i w:val="1"/>
          <w:iCs w:val="1"/>
          <w:color w:val="auto"/>
        </w:rPr>
        <w:t xml:space="preserve"> </w:t>
      </w:r>
      <w:r>
        <w:rPr>
          <w:rFonts w:ascii="Arial" w:cs="Arial" w:eastAsia="Arial" w:hAnsi="Arial"/>
          <w:sz w:val="16"/>
          <w:szCs w:val="16"/>
          <w:color w:val="auto"/>
        </w:rPr>
        <w:t>retail rates are based on a 2010 PSCW retail rate order, effective January 1, 2011, and allows for a 10.9 percent return on common equity. The new rates reflect a 2.4 percent average increase in retail utility rates for SWL&amp;P customers (a 12.80 percent increase in water rates, a 2.49 percent increase in natural gas rates and a 0.68 percent increase in electric rates). On an annualized basis, the rate increase will generate approximately $2 million in additional revenue.</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Deferred Regulatory Assets and Liabilities. </w:t>
      </w:r>
      <w:r>
        <w:rPr>
          <w:rFonts w:ascii="Arial" w:cs="Arial" w:eastAsia="Arial" w:hAnsi="Arial"/>
          <w:sz w:val="17"/>
          <w:szCs w:val="17"/>
          <w:color w:val="auto"/>
        </w:rPr>
        <w:t>Our regulated utility operations are subject to the accounting guidance on Regulated Operations. We capitalize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costs, as regulatory assets, which are probable of recovery in future utility rates. Regulatory liabilities represent amounts expected to be refunded or credited to customers in rates. No regulatory assets or liabilities are currently earning a return.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Regulatory Assets and Liabilities</w:t>
            </w:r>
          </w:p>
        </w:tc>
        <w:tc>
          <w:tcPr>
            <w:tcW w:w="3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6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w:t>
            </w:r>
          </w:p>
        </w:tc>
        <w:tc>
          <w:tcPr>
            <w:tcW w:w="33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2010</w:t>
            </w: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2009</w:t>
            </w:r>
          </w:p>
        </w:tc>
      </w:tr>
      <w:tr>
        <w:trPr>
          <w:trHeight w:val="201"/>
        </w:trPr>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6840" w:type="dxa"/>
            <w:vAlign w:val="bottom"/>
          </w:tcPr>
          <w:p>
            <w:pPr>
              <w:spacing w:after="0"/>
              <w:rPr>
                <w:sz w:val="20"/>
                <w:szCs w:val="20"/>
                <w:color w:val="auto"/>
              </w:rPr>
            </w:pPr>
            <w:r>
              <w:rPr>
                <w:rFonts w:ascii="Arial" w:cs="Arial" w:eastAsia="Arial" w:hAnsi="Arial"/>
                <w:sz w:val="17"/>
                <w:szCs w:val="17"/>
                <w:b w:val="1"/>
                <w:bCs w:val="1"/>
                <w:color w:val="auto"/>
              </w:rPr>
              <w:t>Deferred Regulatory Assets</w:t>
            </w:r>
          </w:p>
        </w:tc>
        <w:tc>
          <w:tcPr>
            <w:tcW w:w="3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Future Benefit Obligations Under</w:t>
            </w:r>
          </w:p>
        </w:tc>
        <w:tc>
          <w:tcPr>
            <w:tcW w:w="3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6840" w:type="dxa"/>
            <w:vAlign w:val="bottom"/>
          </w:tcPr>
          <w:p>
            <w:pPr>
              <w:ind w:left="300"/>
              <w:spacing w:after="0"/>
              <w:rPr>
                <w:sz w:val="20"/>
                <w:szCs w:val="20"/>
                <w:color w:val="auto"/>
              </w:rPr>
            </w:pPr>
            <w:r>
              <w:rPr>
                <w:rFonts w:ascii="Arial" w:cs="Arial" w:eastAsia="Arial" w:hAnsi="Arial"/>
                <w:sz w:val="17"/>
                <w:szCs w:val="17"/>
                <w:color w:val="auto"/>
              </w:rPr>
              <w:t xml:space="preserve">Defined Benefit Pension and Other Postretirement Plans </w:t>
            </w:r>
            <w:r>
              <w:rPr>
                <w:rFonts w:ascii="Arial" w:cs="Arial" w:eastAsia="Arial" w:hAnsi="Arial"/>
                <w:sz w:val="17"/>
                <w:szCs w:val="17"/>
                <w:i w:val="1"/>
                <w:iCs w:val="1"/>
                <w:color w:val="auto"/>
              </w:rPr>
              <w:t>(a)</w:t>
            </w:r>
          </w:p>
        </w:tc>
        <w:tc>
          <w:tcPr>
            <w:tcW w:w="3380" w:type="dxa"/>
            <w:vAlign w:val="bottom"/>
          </w:tcPr>
          <w:p>
            <w:pPr>
              <w:jc w:val="right"/>
              <w:ind w:right="316"/>
              <w:spacing w:after="0"/>
              <w:rPr>
                <w:sz w:val="20"/>
                <w:szCs w:val="20"/>
                <w:color w:val="auto"/>
              </w:rPr>
            </w:pPr>
            <w:r>
              <w:rPr>
                <w:rFonts w:ascii="Arial" w:cs="Arial" w:eastAsia="Arial" w:hAnsi="Arial"/>
                <w:sz w:val="17"/>
                <w:szCs w:val="17"/>
                <w:color w:val="auto"/>
              </w:rPr>
              <w:t>$257.9</w:t>
            </w: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$235.8</w:t>
            </w: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Boswell Unit 3 Environmental Rider </w:t>
            </w:r>
            <w:r>
              <w:rPr>
                <w:rFonts w:ascii="Arial" w:cs="Arial" w:eastAsia="Arial" w:hAnsi="Arial"/>
                <w:sz w:val="17"/>
                <w:szCs w:val="17"/>
                <w:i w:val="1"/>
                <w:iCs w:val="1"/>
                <w:color w:val="auto"/>
              </w:rPr>
              <w:t>(b)</w:t>
            </w:r>
          </w:p>
        </w:tc>
        <w:tc>
          <w:tcPr>
            <w:tcW w:w="33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20.5</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20.9</w:t>
            </w:r>
          </w:p>
        </w:tc>
      </w:tr>
      <w:tr>
        <w:trPr>
          <w:trHeight w:val="201"/>
        </w:trPr>
        <w:tc>
          <w:tcPr>
            <w:tcW w:w="6840" w:type="dxa"/>
            <w:vAlign w:val="bottom"/>
          </w:tcPr>
          <w:p>
            <w:pPr>
              <w:ind w:left="160"/>
              <w:spacing w:after="0"/>
              <w:rPr>
                <w:sz w:val="20"/>
                <w:szCs w:val="20"/>
                <w:color w:val="auto"/>
              </w:rPr>
            </w:pPr>
            <w:r>
              <w:rPr>
                <w:rFonts w:ascii="Arial" w:cs="Arial" w:eastAsia="Arial" w:hAnsi="Arial"/>
                <w:sz w:val="17"/>
                <w:szCs w:val="17"/>
                <w:color w:val="auto"/>
              </w:rPr>
              <w:t xml:space="preserve">Deferred Fuel </w:t>
            </w:r>
            <w:r>
              <w:rPr>
                <w:rFonts w:ascii="Arial" w:cs="Arial" w:eastAsia="Arial" w:hAnsi="Arial"/>
                <w:sz w:val="17"/>
                <w:szCs w:val="17"/>
                <w:i w:val="1"/>
                <w:iCs w:val="1"/>
                <w:color w:val="auto"/>
              </w:rPr>
              <w:t>(c)</w:t>
            </w:r>
          </w:p>
        </w:tc>
        <w:tc>
          <w:tcPr>
            <w:tcW w:w="3380" w:type="dxa"/>
            <w:vAlign w:val="bottom"/>
          </w:tcPr>
          <w:p>
            <w:pPr>
              <w:jc w:val="right"/>
              <w:ind w:right="316"/>
              <w:spacing w:after="0"/>
              <w:rPr>
                <w:sz w:val="20"/>
                <w:szCs w:val="20"/>
                <w:color w:val="auto"/>
              </w:rPr>
            </w:pPr>
            <w:r>
              <w:rPr>
                <w:rFonts w:ascii="Arial" w:cs="Arial" w:eastAsia="Arial" w:hAnsi="Arial"/>
                <w:sz w:val="17"/>
                <w:szCs w:val="17"/>
                <w:color w:val="auto"/>
              </w:rPr>
              <w:t>20.6</w:t>
            </w: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20.8</w:t>
            </w: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33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17.3</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15.7</w:t>
            </w:r>
          </w:p>
        </w:tc>
      </w:tr>
      <w:tr>
        <w:trPr>
          <w:trHeight w:val="201"/>
        </w:trPr>
        <w:tc>
          <w:tcPr>
            <w:tcW w:w="6840" w:type="dxa"/>
            <w:vAlign w:val="bottom"/>
          </w:tcPr>
          <w:p>
            <w:pPr>
              <w:ind w:left="160"/>
              <w:spacing w:after="0"/>
              <w:rPr>
                <w:sz w:val="20"/>
                <w:szCs w:val="20"/>
                <w:color w:val="auto"/>
              </w:rPr>
            </w:pPr>
            <w:r>
              <w:rPr>
                <w:rFonts w:ascii="Arial" w:cs="Arial" w:eastAsia="Arial" w:hAnsi="Arial"/>
                <w:sz w:val="17"/>
                <w:szCs w:val="17"/>
                <w:color w:val="auto"/>
              </w:rPr>
              <w:t>Asset Retirement Obligation</w:t>
            </w:r>
          </w:p>
        </w:tc>
        <w:tc>
          <w:tcPr>
            <w:tcW w:w="3380" w:type="dxa"/>
            <w:vAlign w:val="bottom"/>
          </w:tcPr>
          <w:p>
            <w:pPr>
              <w:jc w:val="right"/>
              <w:ind w:right="316"/>
              <w:spacing w:after="0"/>
              <w:rPr>
                <w:sz w:val="20"/>
                <w:szCs w:val="20"/>
                <w:color w:val="auto"/>
              </w:rPr>
            </w:pPr>
            <w:r>
              <w:rPr>
                <w:rFonts w:ascii="Arial" w:cs="Arial" w:eastAsia="Arial" w:hAnsi="Arial"/>
                <w:sz w:val="17"/>
                <w:szCs w:val="17"/>
                <w:color w:val="auto"/>
              </w:rPr>
              <w:t>7.8</w:t>
            </w: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6.3</w:t>
            </w: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MISO Costs</w:t>
            </w:r>
          </w:p>
        </w:tc>
        <w:tc>
          <w:tcPr>
            <w:tcW w:w="33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0.9</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2.4</w:t>
            </w:r>
          </w:p>
        </w:tc>
      </w:tr>
      <w:tr>
        <w:trPr>
          <w:trHeight w:val="201"/>
        </w:trPr>
        <w:tc>
          <w:tcPr>
            <w:tcW w:w="6840" w:type="dxa"/>
            <w:vAlign w:val="bottom"/>
          </w:tcPr>
          <w:p>
            <w:pPr>
              <w:ind w:left="160"/>
              <w:spacing w:after="0"/>
              <w:rPr>
                <w:sz w:val="20"/>
                <w:szCs w:val="20"/>
                <w:color w:val="auto"/>
              </w:rPr>
            </w:pPr>
            <w:r>
              <w:rPr>
                <w:rFonts w:ascii="Arial" w:cs="Arial" w:eastAsia="Arial" w:hAnsi="Arial"/>
                <w:sz w:val="17"/>
                <w:szCs w:val="17"/>
                <w:color w:val="auto"/>
              </w:rPr>
              <w:t>Premium on Reacquired Debt</w:t>
            </w:r>
          </w:p>
        </w:tc>
        <w:tc>
          <w:tcPr>
            <w:tcW w:w="3380" w:type="dxa"/>
            <w:vAlign w:val="bottom"/>
          </w:tcPr>
          <w:p>
            <w:pPr>
              <w:jc w:val="right"/>
              <w:ind w:right="316"/>
              <w:spacing w:after="0"/>
              <w:rPr>
                <w:sz w:val="20"/>
                <w:szCs w:val="20"/>
                <w:color w:val="auto"/>
              </w:rPr>
            </w:pPr>
            <w:r>
              <w:rPr>
                <w:rFonts w:ascii="Arial" w:cs="Arial" w:eastAsia="Arial" w:hAnsi="Arial"/>
                <w:sz w:val="17"/>
                <w:szCs w:val="17"/>
                <w:color w:val="auto"/>
              </w:rPr>
              <w:t>1.8</w:t>
            </w: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2.0</w:t>
            </w:r>
          </w:p>
        </w:tc>
      </w:tr>
      <w:tr>
        <w:trPr>
          <w:trHeight w:val="206"/>
        </w:trPr>
        <w:tc>
          <w:tcPr>
            <w:tcW w:w="6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3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4.0</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4.8</w:t>
            </w:r>
          </w:p>
        </w:tc>
      </w:tr>
      <w:tr>
        <w:trPr>
          <w:trHeight w:val="206"/>
        </w:trPr>
        <w:tc>
          <w:tcPr>
            <w:tcW w:w="6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Assets</w:t>
            </w:r>
          </w:p>
        </w:tc>
        <w:tc>
          <w:tcPr>
            <w:tcW w:w="33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$330.8</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$308.7</w:t>
            </w:r>
          </w:p>
        </w:tc>
      </w:tr>
      <w:tr>
        <w:trPr>
          <w:trHeight w:val="201"/>
        </w:trPr>
        <w:tc>
          <w:tcPr>
            <w:tcW w:w="68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6840" w:type="dxa"/>
            <w:vAlign w:val="bottom"/>
          </w:tcPr>
          <w:p>
            <w:pPr>
              <w:spacing w:after="0"/>
              <w:rPr>
                <w:sz w:val="20"/>
                <w:szCs w:val="20"/>
                <w:color w:val="auto"/>
              </w:rPr>
            </w:pPr>
            <w:r>
              <w:rPr>
                <w:rFonts w:ascii="Arial" w:cs="Arial" w:eastAsia="Arial" w:hAnsi="Arial"/>
                <w:sz w:val="17"/>
                <w:szCs w:val="17"/>
                <w:b w:val="1"/>
                <w:bCs w:val="1"/>
                <w:color w:val="auto"/>
              </w:rPr>
              <w:t>Deferred Regulatory Liabilities</w:t>
            </w:r>
          </w:p>
        </w:tc>
        <w:tc>
          <w:tcPr>
            <w:tcW w:w="3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338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$23.4</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$25.9</w:t>
            </w:r>
          </w:p>
        </w:tc>
      </w:tr>
      <w:tr>
        <w:trPr>
          <w:trHeight w:val="201"/>
        </w:trPr>
        <w:tc>
          <w:tcPr>
            <w:tcW w:w="6840" w:type="dxa"/>
            <w:vAlign w:val="bottom"/>
          </w:tcPr>
          <w:p>
            <w:pPr>
              <w:ind w:left="160"/>
              <w:spacing w:after="0"/>
              <w:rPr>
                <w:sz w:val="20"/>
                <w:szCs w:val="20"/>
                <w:color w:val="auto"/>
              </w:rPr>
            </w:pPr>
            <w:r>
              <w:rPr>
                <w:rFonts w:ascii="Arial" w:cs="Arial" w:eastAsia="Arial" w:hAnsi="Arial"/>
                <w:sz w:val="17"/>
                <w:szCs w:val="17"/>
                <w:color w:val="auto"/>
              </w:rPr>
              <w:t>Plant Removal Obligations</w:t>
            </w:r>
          </w:p>
        </w:tc>
        <w:tc>
          <w:tcPr>
            <w:tcW w:w="3380" w:type="dxa"/>
            <w:vAlign w:val="bottom"/>
          </w:tcPr>
          <w:p>
            <w:pPr>
              <w:jc w:val="right"/>
              <w:ind w:right="316"/>
              <w:spacing w:after="0"/>
              <w:rPr>
                <w:sz w:val="20"/>
                <w:szCs w:val="20"/>
                <w:color w:val="auto"/>
              </w:rPr>
            </w:pPr>
            <w:r>
              <w:rPr>
                <w:rFonts w:ascii="Arial" w:cs="Arial" w:eastAsia="Arial" w:hAnsi="Arial"/>
                <w:sz w:val="17"/>
                <w:szCs w:val="17"/>
                <w:color w:val="auto"/>
              </w:rPr>
              <w:t>16.9</w:t>
            </w: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16.9</w:t>
            </w:r>
          </w:p>
        </w:tc>
      </w:tr>
      <w:tr>
        <w:trPr>
          <w:trHeight w:val="206"/>
        </w:trPr>
        <w:tc>
          <w:tcPr>
            <w:tcW w:w="6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33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3.3</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4.3</w:t>
            </w:r>
          </w:p>
        </w:tc>
      </w:tr>
      <w:tr>
        <w:trPr>
          <w:trHeight w:val="206"/>
        </w:trPr>
        <w:tc>
          <w:tcPr>
            <w:tcW w:w="6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Liabilities</w:t>
            </w:r>
          </w:p>
        </w:tc>
        <w:tc>
          <w:tcPr>
            <w:tcW w:w="33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$43.6</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$47.1</w:t>
            </w:r>
          </w:p>
        </w:tc>
      </w:tr>
    </w:tbl>
    <w:p>
      <w:pPr>
        <w:spacing w:after="0" w:line="214" w:lineRule="exact"/>
        <w:rPr>
          <w:sz w:val="20"/>
          <w:szCs w:val="20"/>
          <w:color w:val="auto"/>
        </w:rPr>
      </w:pPr>
    </w:p>
    <w:p>
      <w:pPr>
        <w:ind w:left="300" w:hanging="299"/>
        <w:spacing w:after="0"/>
        <w:tabs>
          <w:tab w:leader="none" w:pos="30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See Note 15. Pension and Other Postretirement Benefit Plans.</w:t>
      </w:r>
    </w:p>
    <w:p>
      <w:pPr>
        <w:spacing w:after="0" w:line="17" w:lineRule="exact"/>
        <w:rPr>
          <w:rFonts w:ascii="Arial" w:cs="Arial" w:eastAsia="Arial" w:hAnsi="Arial"/>
          <w:sz w:val="17"/>
          <w:szCs w:val="17"/>
          <w:i w:val="1"/>
          <w:iCs w:val="1"/>
          <w:color w:val="auto"/>
        </w:rPr>
      </w:pPr>
    </w:p>
    <w:p>
      <w:pPr>
        <w:jc w:val="both"/>
        <w:ind w:left="300" w:right="40" w:hanging="299"/>
        <w:spacing w:after="0" w:line="246" w:lineRule="auto"/>
        <w:tabs>
          <w:tab w:leader="none" w:pos="30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MPUC-approved current cost recovery rider related to environmental improvements that were placed in service in November 2009. As part of our 2010 rate case, on November 2, 2010, the MPUC approved a proposal to move the rider balance to Property, Plant and Equipment to recover in rate base, which will be effective upon a final rate order.</w:t>
      </w:r>
    </w:p>
    <w:p>
      <w:pPr>
        <w:spacing w:after="0" w:line="2" w:lineRule="exact"/>
        <w:rPr>
          <w:rFonts w:ascii="Arial" w:cs="Arial" w:eastAsia="Arial" w:hAnsi="Arial"/>
          <w:sz w:val="17"/>
          <w:szCs w:val="17"/>
          <w:i w:val="1"/>
          <w:iCs w:val="1"/>
          <w:color w:val="auto"/>
        </w:rPr>
      </w:pPr>
    </w:p>
    <w:p>
      <w:pPr>
        <w:ind w:left="300" w:right="140" w:hanging="299"/>
        <w:spacing w:after="0" w:line="319" w:lineRule="auto"/>
        <w:tabs>
          <w:tab w:leader="none" w:pos="300"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2009, under our 2008 rate case, $5 million of this balance related to deferred fuel costs incurred under the former base cost of fuel calculation. During the fourth quarter of 2010, it was determined that the asset was no longer probable of recovery in future utility rates and was therefore written off.</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and Non-Current Deferred Regulatory Assets and Liabilities</w:t>
            </w:r>
          </w:p>
        </w:tc>
        <w:tc>
          <w:tcPr>
            <w:tcW w:w="3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w:t>
            </w:r>
          </w:p>
        </w:tc>
        <w:tc>
          <w:tcPr>
            <w:tcW w:w="31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080" w:type="dxa"/>
            <w:vAlign w:val="bottom"/>
          </w:tcPr>
          <w:p>
            <w:pPr>
              <w:spacing w:after="0"/>
              <w:rPr>
                <w:sz w:val="20"/>
                <w:szCs w:val="20"/>
                <w:color w:val="auto"/>
              </w:rPr>
            </w:pPr>
            <w:r>
              <w:rPr>
                <w:rFonts w:ascii="Arial" w:cs="Arial" w:eastAsia="Arial" w:hAnsi="Arial"/>
                <w:sz w:val="17"/>
                <w:szCs w:val="17"/>
                <w:color w:val="auto"/>
              </w:rPr>
              <w:t xml:space="preserve">Total Current Deferred Regulatory Assets </w:t>
            </w:r>
            <w:r>
              <w:rPr>
                <w:rFonts w:ascii="Arial" w:cs="Arial" w:eastAsia="Arial" w:hAnsi="Arial"/>
                <w:sz w:val="17"/>
                <w:szCs w:val="17"/>
                <w:i w:val="1"/>
                <w:iCs w:val="1"/>
                <w:color w:val="auto"/>
              </w:rPr>
              <w:t>(a)</w:t>
            </w:r>
          </w:p>
        </w:tc>
        <w:tc>
          <w:tcPr>
            <w:tcW w:w="3100" w:type="dxa"/>
            <w:vAlign w:val="bottom"/>
          </w:tcPr>
          <w:p>
            <w:pPr>
              <w:jc w:val="right"/>
              <w:ind w:right="316"/>
              <w:spacing w:after="0"/>
              <w:rPr>
                <w:sz w:val="20"/>
                <w:szCs w:val="20"/>
                <w:color w:val="auto"/>
              </w:rPr>
            </w:pPr>
            <w:r>
              <w:rPr>
                <w:rFonts w:ascii="Arial" w:cs="Arial" w:eastAsia="Arial" w:hAnsi="Arial"/>
                <w:sz w:val="17"/>
                <w:szCs w:val="17"/>
                <w:color w:val="auto"/>
              </w:rPr>
              <w:t>$20.6</w:t>
            </w:r>
          </w:p>
        </w:tc>
        <w:tc>
          <w:tcPr>
            <w:tcW w:w="1240" w:type="dxa"/>
            <w:vAlign w:val="bottom"/>
          </w:tcPr>
          <w:p>
            <w:pPr>
              <w:jc w:val="right"/>
              <w:ind w:right="196"/>
              <w:spacing w:after="0"/>
              <w:rPr>
                <w:sz w:val="20"/>
                <w:szCs w:val="20"/>
                <w:color w:val="auto"/>
              </w:rPr>
            </w:pPr>
            <w:r>
              <w:rPr>
                <w:rFonts w:ascii="Arial" w:cs="Arial" w:eastAsia="Arial" w:hAnsi="Arial"/>
                <w:sz w:val="17"/>
                <w:szCs w:val="17"/>
                <w:color w:val="auto"/>
              </w:rPr>
              <w:t>$15.5</w:t>
            </w:r>
          </w:p>
        </w:tc>
      </w:tr>
      <w:tr>
        <w:trPr>
          <w:trHeight w:val="206"/>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Non-Current Deferred Regulatory Assets</w:t>
            </w:r>
          </w:p>
        </w:tc>
        <w:tc>
          <w:tcPr>
            <w:tcW w:w="31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310.2</w:t>
            </w:r>
          </w:p>
        </w:tc>
        <w:tc>
          <w:tcPr>
            <w:tcW w:w="12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293.2</w:t>
            </w:r>
          </w:p>
        </w:tc>
      </w:tr>
      <w:tr>
        <w:trPr>
          <w:trHeight w:val="206"/>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Deferred Regulatory Assets</w:t>
            </w:r>
          </w:p>
        </w:tc>
        <w:tc>
          <w:tcPr>
            <w:tcW w:w="31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$330.8</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$308.7</w:t>
            </w:r>
          </w:p>
        </w:tc>
      </w:tr>
      <w:tr>
        <w:trPr>
          <w:trHeight w:val="20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Deferred Regulatory Liabilities</w:t>
            </w:r>
          </w:p>
        </w:tc>
        <w:tc>
          <w:tcPr>
            <w:tcW w:w="31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r>
      <w:tr>
        <w:trPr>
          <w:trHeight w:val="206"/>
        </w:trPr>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Non-Current Deferred Regulatory Liabilities</w:t>
            </w:r>
          </w:p>
        </w:tc>
        <w:tc>
          <w:tcPr>
            <w:tcW w:w="31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$43.6</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$47.1</w:t>
            </w:r>
          </w:p>
        </w:tc>
      </w:tr>
      <w:tr>
        <w:trPr>
          <w:trHeight w:val="206"/>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Deferred Regulatory Liabilities</w:t>
            </w:r>
          </w:p>
        </w:tc>
        <w:tc>
          <w:tcPr>
            <w:tcW w:w="31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$43.6</w:t>
            </w:r>
          </w:p>
        </w:tc>
        <w:tc>
          <w:tcPr>
            <w:tcW w:w="12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$47.1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Current deferred regulatory assets consist of deferred fuel costs and are included in prepayments and other on the consolidated balance sheet.</w:t>
      </w:r>
    </w:p>
    <w:p>
      <w:pPr>
        <w:spacing w:after="0" w:line="200" w:lineRule="exact"/>
        <w:rPr>
          <w:sz w:val="20"/>
          <w:szCs w:val="20"/>
          <w:color w:val="auto"/>
        </w:rPr>
      </w:pP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Investment in ATC</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Investment in ATC. </w:t>
      </w:r>
      <w:r>
        <w:rPr>
          <w:rFonts w:ascii="Arial" w:cs="Arial" w:eastAsia="Arial" w:hAnsi="Arial"/>
          <w:sz w:val="17"/>
          <w:szCs w:val="17"/>
          <w:color w:val="auto"/>
        </w:rPr>
        <w:t>Our wholly-owned subsidiary, Rainy River Energy, owns approximately 8 percent of ATC, a Wisconsin-based utility that owns and maintains</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 transmission assets in parts of Wisconsin, Michigan, Minnesota, and Illinois. ATC rates are FERC approved and are based on a 12.2 percent return on common equity dedicated to utility plant. We account for our investment in ATC under the equity method of accounting. As of December 31, 2010, our equity investment balance in ATC was $93.3 million ($88.4 million at December 31, 2009). On January 31, 2011, we invested an additional $0.8 million in ATC. In total, we expect to invest approximately $2 million throughout 2011.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7"/>
                <w:szCs w:val="17"/>
                <w:b w:val="1"/>
                <w:bCs w:val="1"/>
                <w:color w:val="auto"/>
              </w:rPr>
              <w:t>Note 6.</w:t>
            </w:r>
          </w:p>
        </w:tc>
        <w:tc>
          <w:tcPr>
            <w:tcW w:w="4460" w:type="dxa"/>
            <w:vAlign w:val="bottom"/>
          </w:tcPr>
          <w:p>
            <w:pPr>
              <w:spacing w:after="0"/>
              <w:rPr>
                <w:sz w:val="20"/>
                <w:szCs w:val="20"/>
                <w:color w:val="auto"/>
              </w:rPr>
            </w:pPr>
            <w:r>
              <w:rPr>
                <w:rFonts w:ascii="Arial" w:cs="Arial" w:eastAsia="Arial" w:hAnsi="Arial"/>
                <w:sz w:val="17"/>
                <w:szCs w:val="17"/>
                <w:b w:val="1"/>
                <w:bCs w:val="1"/>
                <w:color w:val="auto"/>
              </w:rPr>
              <w:t>Investment in ATC (Continued)</w:t>
            </w:r>
          </w:p>
        </w:tc>
        <w:tc>
          <w:tcPr>
            <w:tcW w:w="3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660" w:type="dxa"/>
            <w:vAlign w:val="bottom"/>
            <w:gridSpan w:val="2"/>
          </w:tcPr>
          <w:p>
            <w:pPr>
              <w:spacing w:after="0"/>
              <w:rPr>
                <w:sz w:val="19"/>
                <w:szCs w:val="19"/>
                <w:color w:val="auto"/>
              </w:rPr>
            </w:pPr>
          </w:p>
        </w:tc>
        <w:tc>
          <w:tcPr>
            <w:tcW w:w="3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ALLETE’s Interest in ATC</w:t>
            </w: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6"/>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3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2010</w:t>
            </w: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2009</w:t>
            </w: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4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Equity Investment Beginning Balance</w:t>
            </w:r>
          </w:p>
        </w:tc>
        <w:tc>
          <w:tcPr>
            <w:tcW w:w="3220" w:type="dxa"/>
            <w:vAlign w:val="bottom"/>
          </w:tcPr>
          <w:p>
            <w:pPr>
              <w:spacing w:after="0"/>
              <w:rPr>
                <w:sz w:val="17"/>
                <w:szCs w:val="17"/>
                <w:color w:val="auto"/>
              </w:rPr>
            </w:pPr>
          </w:p>
        </w:tc>
        <w:tc>
          <w:tcPr>
            <w:tcW w:w="1380" w:type="dxa"/>
            <w:vAlign w:val="bottom"/>
          </w:tcPr>
          <w:p>
            <w:pPr>
              <w:jc w:val="right"/>
              <w:ind w:right="236"/>
              <w:spacing w:after="0"/>
              <w:rPr>
                <w:sz w:val="20"/>
                <w:szCs w:val="20"/>
                <w:color w:val="auto"/>
              </w:rPr>
            </w:pPr>
            <w:r>
              <w:rPr>
                <w:rFonts w:ascii="Arial" w:cs="Arial" w:eastAsia="Arial" w:hAnsi="Arial"/>
                <w:sz w:val="17"/>
                <w:szCs w:val="17"/>
                <w:color w:val="auto"/>
              </w:rPr>
              <w:t>$88.4</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$76.9</w:t>
            </w: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w w:val="86"/>
              </w:rPr>
              <w:t>Cash Investments</w:t>
            </w:r>
          </w:p>
        </w:tc>
        <w:tc>
          <w:tcPr>
            <w:tcW w:w="44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1.6</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7.8</w:t>
            </w: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color w:val="auto"/>
              </w:rPr>
              <w:t>Equity in ATC Earnings</w:t>
            </w:r>
          </w:p>
        </w:tc>
        <w:tc>
          <w:tcPr>
            <w:tcW w:w="3220" w:type="dxa"/>
            <w:vAlign w:val="bottom"/>
          </w:tcPr>
          <w:p>
            <w:pPr>
              <w:spacing w:after="0"/>
              <w:rPr>
                <w:sz w:val="17"/>
                <w:szCs w:val="17"/>
                <w:color w:val="auto"/>
              </w:rPr>
            </w:pPr>
          </w:p>
        </w:tc>
        <w:tc>
          <w:tcPr>
            <w:tcW w:w="1380" w:type="dxa"/>
            <w:vAlign w:val="bottom"/>
          </w:tcPr>
          <w:p>
            <w:pPr>
              <w:jc w:val="right"/>
              <w:ind w:right="236"/>
              <w:spacing w:after="0"/>
              <w:rPr>
                <w:sz w:val="20"/>
                <w:szCs w:val="20"/>
                <w:color w:val="auto"/>
              </w:rPr>
            </w:pPr>
            <w:r>
              <w:rPr>
                <w:rFonts w:ascii="Arial" w:cs="Arial" w:eastAsia="Arial" w:hAnsi="Arial"/>
                <w:sz w:val="17"/>
                <w:szCs w:val="17"/>
                <w:color w:val="auto"/>
              </w:rPr>
              <w:t>17.9</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17.5</w:t>
            </w:r>
          </w:p>
        </w:tc>
      </w:tr>
      <w:tr>
        <w:trPr>
          <w:trHeight w:val="206"/>
        </w:trPr>
        <w:tc>
          <w:tcPr>
            <w:tcW w:w="5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Distributed ATC Earnings</w:t>
            </w:r>
          </w:p>
        </w:tc>
        <w:tc>
          <w:tcPr>
            <w:tcW w:w="3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(14.6)</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r>
      <w:tr>
        <w:trPr>
          <w:trHeight w:val="206"/>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Equity Investment Ending Balance</w:t>
            </w:r>
          </w:p>
        </w:tc>
        <w:tc>
          <w:tcPr>
            <w:tcW w:w="3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$93.3</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$88.4</w:t>
            </w:r>
          </w:p>
        </w:tc>
      </w:tr>
      <w:tr>
        <w:trPr>
          <w:trHeight w:val="226"/>
        </w:trPr>
        <w:tc>
          <w:tcPr>
            <w:tcW w:w="5660" w:type="dxa"/>
            <w:vAlign w:val="bottom"/>
            <w:gridSpan w:val="2"/>
          </w:tcPr>
          <w:p>
            <w:pPr>
              <w:spacing w:after="0"/>
              <w:rPr>
                <w:sz w:val="19"/>
                <w:szCs w:val="19"/>
                <w:color w:val="auto"/>
              </w:rPr>
            </w:pPr>
          </w:p>
        </w:tc>
        <w:tc>
          <w:tcPr>
            <w:tcW w:w="3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5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ATC Summarized Financial Data</w:t>
            </w:r>
          </w:p>
        </w:tc>
        <w:tc>
          <w:tcPr>
            <w:tcW w:w="3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201"/>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w:t>
            </w:r>
          </w:p>
        </w:tc>
        <w:tc>
          <w:tcPr>
            <w:tcW w:w="3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5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As of December 31</w:t>
            </w:r>
          </w:p>
        </w:tc>
        <w:tc>
          <w:tcPr>
            <w:tcW w:w="3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b w:val="1"/>
                <w:bCs w:val="1"/>
                <w:color w:val="auto"/>
              </w:rPr>
              <w:t>2010</w:t>
            </w:r>
          </w:p>
        </w:tc>
        <w:tc>
          <w:tcPr>
            <w:tcW w:w="11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2009</w:t>
            </w:r>
          </w:p>
        </w:tc>
      </w:tr>
      <w:tr>
        <w:trPr>
          <w:trHeight w:val="201"/>
        </w:trPr>
        <w:tc>
          <w:tcPr>
            <w:tcW w:w="12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44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$59.9</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$51.1</w:t>
            </w:r>
          </w:p>
        </w:tc>
      </w:tr>
      <w:tr>
        <w:trPr>
          <w:trHeight w:val="206"/>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Non-Current Assets</w:t>
            </w:r>
          </w:p>
        </w:tc>
        <w:tc>
          <w:tcPr>
            <w:tcW w:w="3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2,888.4</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2,767.3</w:t>
            </w:r>
          </w:p>
        </w:tc>
      </w:tr>
      <w:tr>
        <w:trPr>
          <w:trHeight w:val="206"/>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4460" w:type="dxa"/>
            <w:vAlign w:val="bottom"/>
            <w:tcBorders>
              <w:bottom w:val="single" w:sz="8" w:color="auto"/>
            </w:tcBorders>
            <w:shd w:val="clear" w:color="auto" w:fill="CCEEFF"/>
          </w:tcPr>
          <w:p>
            <w:pPr>
              <w:spacing w:after="0"/>
              <w:rPr>
                <w:sz w:val="17"/>
                <w:szCs w:val="17"/>
                <w:color w:val="auto"/>
              </w:rPr>
            </w:pPr>
          </w:p>
        </w:tc>
        <w:tc>
          <w:tcPr>
            <w:tcW w:w="3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$2,948.3</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$2,818.4</w:t>
            </w:r>
          </w:p>
        </w:tc>
      </w:tr>
      <w:tr>
        <w:trPr>
          <w:trHeight w:val="201"/>
        </w:trPr>
        <w:tc>
          <w:tcPr>
            <w:tcW w:w="5660" w:type="dxa"/>
            <w:vAlign w:val="bottom"/>
            <w:gridSpan w:val="2"/>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$428.4</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$285.5</w:t>
            </w: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w w:val="95"/>
              </w:rPr>
              <w:t>Long-Term Debt</w:t>
            </w:r>
          </w:p>
        </w:tc>
        <w:tc>
          <w:tcPr>
            <w:tcW w:w="4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tcPr>
          <w:p>
            <w:pPr>
              <w:jc w:val="right"/>
              <w:ind w:right="236"/>
              <w:spacing w:after="0"/>
              <w:rPr>
                <w:sz w:val="20"/>
                <w:szCs w:val="20"/>
                <w:color w:val="auto"/>
              </w:rPr>
            </w:pPr>
            <w:r>
              <w:rPr>
                <w:rFonts w:ascii="Arial" w:cs="Arial" w:eastAsia="Arial" w:hAnsi="Arial"/>
                <w:sz w:val="17"/>
                <w:szCs w:val="17"/>
                <w:color w:val="auto"/>
              </w:rPr>
              <w:t>1,175.0</w:t>
            </w: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1,259.6</w:t>
            </w: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84.9</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76.9</w:t>
            </w:r>
          </w:p>
        </w:tc>
      </w:tr>
      <w:tr>
        <w:trPr>
          <w:trHeight w:val="206"/>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Members’ Equity</w:t>
            </w:r>
          </w:p>
        </w:tc>
        <w:tc>
          <w:tcPr>
            <w:tcW w:w="44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1,260.0</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1,196.4</w:t>
            </w:r>
          </w:p>
        </w:tc>
      </w:tr>
      <w:tr>
        <w:trPr>
          <w:trHeight w:val="206"/>
        </w:trPr>
        <w:tc>
          <w:tcPr>
            <w:tcW w:w="5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Total Liabilities and Members’ Equity</w:t>
            </w:r>
          </w:p>
        </w:tc>
        <w:tc>
          <w:tcPr>
            <w:tcW w:w="3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$2,948.3</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$2,818.4</w:t>
            </w:r>
          </w:p>
        </w:tc>
      </w:tr>
      <w:tr>
        <w:trPr>
          <w:trHeight w:val="226"/>
        </w:trPr>
        <w:tc>
          <w:tcPr>
            <w:tcW w:w="5660" w:type="dxa"/>
            <w:vAlign w:val="bottom"/>
            <w:gridSpan w:val="2"/>
          </w:tcPr>
          <w:p>
            <w:pPr>
              <w:spacing w:after="0"/>
              <w:rPr>
                <w:sz w:val="19"/>
                <w:szCs w:val="19"/>
                <w:color w:val="auto"/>
              </w:rPr>
            </w:pPr>
          </w:p>
        </w:tc>
        <w:tc>
          <w:tcPr>
            <w:tcW w:w="3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6"/>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322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2010</w:t>
            </w:r>
          </w:p>
        </w:tc>
        <w:tc>
          <w:tcPr>
            <w:tcW w:w="138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2009</w:t>
            </w: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2008</w:t>
            </w:r>
          </w:p>
        </w:tc>
      </w:tr>
      <w:tr>
        <w:trPr>
          <w:trHeight w:val="201"/>
        </w:trPr>
        <w:tc>
          <w:tcPr>
            <w:tcW w:w="1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4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rPr>
              <w:t>Revenue</w:t>
            </w:r>
          </w:p>
        </w:tc>
        <w:tc>
          <w:tcPr>
            <w:tcW w:w="4460" w:type="dxa"/>
            <w:vAlign w:val="bottom"/>
          </w:tcPr>
          <w:p>
            <w:pPr>
              <w:spacing w:after="0"/>
              <w:rPr>
                <w:sz w:val="17"/>
                <w:szCs w:val="17"/>
                <w:color w:val="auto"/>
              </w:rPr>
            </w:pPr>
          </w:p>
        </w:tc>
        <w:tc>
          <w:tcPr>
            <w:tcW w:w="3220" w:type="dxa"/>
            <w:vAlign w:val="bottom"/>
          </w:tcPr>
          <w:p>
            <w:pPr>
              <w:jc w:val="right"/>
              <w:ind w:right="236"/>
              <w:spacing w:after="0"/>
              <w:rPr>
                <w:sz w:val="20"/>
                <w:szCs w:val="20"/>
                <w:color w:val="auto"/>
              </w:rPr>
            </w:pPr>
            <w:r>
              <w:rPr>
                <w:rFonts w:ascii="Arial" w:cs="Arial" w:eastAsia="Arial" w:hAnsi="Arial"/>
                <w:sz w:val="17"/>
                <w:szCs w:val="17"/>
                <w:color w:val="auto"/>
              </w:rPr>
              <w:t>$556.7</w:t>
            </w:r>
          </w:p>
        </w:tc>
        <w:tc>
          <w:tcPr>
            <w:tcW w:w="1380" w:type="dxa"/>
            <w:vAlign w:val="bottom"/>
          </w:tcPr>
          <w:p>
            <w:pPr>
              <w:jc w:val="right"/>
              <w:ind w:right="256"/>
              <w:spacing w:after="0"/>
              <w:rPr>
                <w:sz w:val="20"/>
                <w:szCs w:val="20"/>
                <w:color w:val="auto"/>
              </w:rPr>
            </w:pPr>
            <w:r>
              <w:rPr>
                <w:rFonts w:ascii="Arial" w:cs="Arial" w:eastAsia="Arial" w:hAnsi="Arial"/>
                <w:sz w:val="17"/>
                <w:szCs w:val="17"/>
                <w:color w:val="auto"/>
              </w:rPr>
              <w:t>$521.5</w:t>
            </w:r>
          </w:p>
        </w:tc>
        <w:tc>
          <w:tcPr>
            <w:tcW w:w="1160" w:type="dxa"/>
            <w:vAlign w:val="bottom"/>
          </w:tcPr>
          <w:p>
            <w:pPr>
              <w:jc w:val="right"/>
              <w:spacing w:after="0"/>
              <w:rPr>
                <w:sz w:val="20"/>
                <w:szCs w:val="20"/>
                <w:color w:val="auto"/>
              </w:rPr>
            </w:pPr>
            <w:r>
              <w:rPr>
                <w:rFonts w:ascii="Arial" w:cs="Arial" w:eastAsia="Arial" w:hAnsi="Arial"/>
                <w:sz w:val="17"/>
                <w:szCs w:val="17"/>
                <w:color w:val="auto"/>
              </w:rPr>
              <w:t>$466.6</w:t>
            </w:r>
          </w:p>
        </w:tc>
      </w:tr>
      <w:tr>
        <w:trPr>
          <w:trHeight w:val="201"/>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w:t>
            </w:r>
          </w:p>
        </w:tc>
        <w:tc>
          <w:tcPr>
            <w:tcW w:w="32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251.1</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230.3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w:t>
            </w:r>
          </w:p>
        </w:tc>
      </w:tr>
      <w:tr>
        <w:trPr>
          <w:trHeight w:val="206"/>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Expense</w:t>
            </w:r>
          </w:p>
        </w:tc>
        <w:tc>
          <w:tcPr>
            <w:tcW w:w="44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85.9</w:t>
            </w: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77.8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w:t>
            </w:r>
          </w:p>
        </w:tc>
      </w:tr>
      <w:tr>
        <w:trPr>
          <w:trHeight w:val="206"/>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4460" w:type="dxa"/>
            <w:vAlign w:val="bottom"/>
            <w:tcBorders>
              <w:bottom w:val="single" w:sz="8" w:color="auto"/>
            </w:tcBorders>
            <w:shd w:val="clear" w:color="auto" w:fill="CCEEFF"/>
          </w:tcPr>
          <w:p>
            <w:pPr>
              <w:spacing w:after="0"/>
              <w:rPr>
                <w:sz w:val="17"/>
                <w:szCs w:val="17"/>
                <w:color w:val="auto"/>
              </w:rPr>
            </w:pPr>
          </w:p>
        </w:tc>
        <w:tc>
          <w:tcPr>
            <w:tcW w:w="3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$219.7</w:t>
            </w:r>
          </w:p>
        </w:tc>
        <w:tc>
          <w:tcPr>
            <w:tcW w:w="13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$213.4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r>
      <w:tr>
        <w:trPr>
          <w:trHeight w:val="407"/>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ALLETE’s Equity in Net Income</w:t>
            </w:r>
          </w:p>
        </w:tc>
        <w:tc>
          <w:tcPr>
            <w:tcW w:w="32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$17.9</w:t>
            </w: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$17.5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r>
      <w:tr>
        <w:trPr>
          <w:trHeight w:val="653"/>
        </w:trPr>
        <w:tc>
          <w:tcPr>
            <w:tcW w:w="1200" w:type="dxa"/>
            <w:vAlign w:val="bottom"/>
          </w:tcPr>
          <w:p>
            <w:pPr>
              <w:spacing w:after="0"/>
              <w:rPr>
                <w:sz w:val="20"/>
                <w:szCs w:val="20"/>
                <w:color w:val="auto"/>
              </w:rPr>
            </w:pPr>
            <w:r>
              <w:rPr>
                <w:rFonts w:ascii="Arial" w:cs="Arial" w:eastAsia="Arial" w:hAnsi="Arial"/>
                <w:sz w:val="17"/>
                <w:szCs w:val="17"/>
                <w:b w:val="1"/>
                <w:bCs w:val="1"/>
                <w:color w:val="auto"/>
              </w:rPr>
              <w:t>Note 7.</w:t>
            </w:r>
          </w:p>
        </w:tc>
        <w:tc>
          <w:tcPr>
            <w:tcW w:w="4460" w:type="dxa"/>
            <w:vAlign w:val="bottom"/>
          </w:tcPr>
          <w:p>
            <w:pPr>
              <w:spacing w:after="0"/>
              <w:rPr>
                <w:sz w:val="20"/>
                <w:szCs w:val="20"/>
                <w:color w:val="auto"/>
              </w:rPr>
            </w:pPr>
            <w:r>
              <w:rPr>
                <w:rFonts w:ascii="Arial" w:cs="Arial" w:eastAsia="Arial" w:hAnsi="Arial"/>
                <w:sz w:val="17"/>
                <w:szCs w:val="17"/>
                <w:b w:val="1"/>
                <w:bCs w:val="1"/>
                <w:color w:val="auto"/>
              </w:rPr>
              <w:t>Investments</w:t>
            </w:r>
          </w:p>
        </w:tc>
        <w:tc>
          <w:tcPr>
            <w:tcW w:w="3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At December 31, 2010, our long-term investment portfolio included the real estate assets of ALLETE Properties, debt and equity securities consisting</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of securities held to fund employee benefits and land held-for-sale in Minnesota.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Investments</w:t>
            </w:r>
          </w:p>
        </w:tc>
        <w:tc>
          <w:tcPr>
            <w:tcW w:w="4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w:t>
            </w:r>
          </w:p>
        </w:tc>
        <w:tc>
          <w:tcPr>
            <w:tcW w:w="464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rPr>
              <w:t>2010</w:t>
            </w: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5680" w:type="dxa"/>
            <w:vAlign w:val="bottom"/>
          </w:tcPr>
          <w:p>
            <w:pPr>
              <w:spacing w:after="0"/>
              <w:rPr>
                <w:sz w:val="20"/>
                <w:szCs w:val="20"/>
                <w:color w:val="auto"/>
              </w:rPr>
            </w:pPr>
            <w:r>
              <w:rPr>
                <w:rFonts w:ascii="Arial" w:cs="Arial" w:eastAsia="Arial" w:hAnsi="Arial"/>
                <w:sz w:val="17"/>
                <w:szCs w:val="17"/>
                <w:color w:val="auto"/>
              </w:rPr>
              <w:t>ALLETE Properties</w:t>
            </w:r>
          </w:p>
        </w:tc>
        <w:tc>
          <w:tcPr>
            <w:tcW w:w="4640" w:type="dxa"/>
            <w:vAlign w:val="bottom"/>
          </w:tcPr>
          <w:p>
            <w:pPr>
              <w:jc w:val="right"/>
              <w:ind w:right="176"/>
              <w:spacing w:after="0"/>
              <w:rPr>
                <w:sz w:val="20"/>
                <w:szCs w:val="20"/>
                <w:color w:val="auto"/>
              </w:rPr>
            </w:pPr>
            <w:r>
              <w:rPr>
                <w:rFonts w:ascii="Arial" w:cs="Arial" w:eastAsia="Arial" w:hAnsi="Arial"/>
                <w:sz w:val="17"/>
                <w:szCs w:val="17"/>
                <w:color w:val="auto"/>
              </w:rPr>
              <w:t>$94.0</w:t>
            </w:r>
          </w:p>
        </w:tc>
        <w:tc>
          <w:tcPr>
            <w:tcW w:w="1100" w:type="dxa"/>
            <w:vAlign w:val="bottom"/>
          </w:tcPr>
          <w:p>
            <w:pPr>
              <w:jc w:val="right"/>
              <w:spacing w:after="0"/>
              <w:rPr>
                <w:sz w:val="20"/>
                <w:szCs w:val="20"/>
                <w:color w:val="auto"/>
              </w:rPr>
            </w:pPr>
            <w:r>
              <w:rPr>
                <w:rFonts w:ascii="Arial" w:cs="Arial" w:eastAsia="Arial" w:hAnsi="Arial"/>
                <w:sz w:val="17"/>
                <w:szCs w:val="17"/>
                <w:color w:val="auto"/>
              </w:rPr>
              <w:t>$93.1</w:t>
            </w:r>
          </w:p>
        </w:tc>
        <w:tc>
          <w:tcPr>
            <w:tcW w:w="20" w:type="dxa"/>
            <w:vAlign w:val="bottom"/>
          </w:tcPr>
          <w:p>
            <w:pPr>
              <w:spacing w:after="0"/>
              <w:rPr>
                <w:sz w:val="17"/>
                <w:szCs w:val="17"/>
                <w:color w:val="auto"/>
              </w:rPr>
            </w:pPr>
          </w:p>
        </w:tc>
      </w:t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Available-for-sale Securities </w:t>
            </w:r>
            <w:r>
              <w:rPr>
                <w:rFonts w:ascii="Arial" w:cs="Arial" w:eastAsia="Arial" w:hAnsi="Arial"/>
                <w:sz w:val="17"/>
                <w:szCs w:val="17"/>
                <w:i w:val="1"/>
                <w:iCs w:val="1"/>
                <w:color w:val="auto"/>
              </w:rPr>
              <w:t>(a)</w:t>
            </w:r>
          </w:p>
        </w:tc>
        <w:tc>
          <w:tcPr>
            <w:tcW w:w="46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25.2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20" w:type="dxa"/>
            <w:vAlign w:val="bottom"/>
          </w:tcPr>
          <w:p>
            <w:pPr>
              <w:spacing w:after="0"/>
              <w:rPr>
                <w:sz w:val="17"/>
                <w:szCs w:val="17"/>
                <w:color w:val="auto"/>
              </w:rPr>
            </w:pPr>
          </w:p>
        </w:tc>
      </w:tr>
      <w:tr>
        <w:trPr>
          <w:trHeight w:val="206"/>
        </w:trPr>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46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6.8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r>
      <w:tr>
        <w:trPr>
          <w:trHeight w:val="206"/>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Other Investments</w:t>
            </w:r>
          </w:p>
        </w:tc>
        <w:tc>
          <w:tcPr>
            <w:tcW w:w="46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$126.0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20" w:type="dxa"/>
            <w:vAlign w:val="bottom"/>
          </w:tcPr>
          <w:p>
            <w:pPr>
              <w:spacing w:after="0"/>
              <w:rPr>
                <w:sz w:val="17"/>
                <w:szCs w:val="17"/>
                <w:color w:val="auto"/>
              </w:rPr>
            </w:pPr>
          </w:p>
        </w:tc>
      </w:tr>
    </w:tbl>
    <w:p>
      <w:pPr>
        <w:spacing w:after="0" w:line="214" w:lineRule="exact"/>
        <w:rPr>
          <w:sz w:val="20"/>
          <w:szCs w:val="20"/>
          <w:color w:val="auto"/>
        </w:rPr>
      </w:pPr>
    </w:p>
    <w:p>
      <w:pPr>
        <w:ind w:left="300" w:right="180" w:hanging="299"/>
        <w:spacing w:after="0" w:line="268" w:lineRule="auto"/>
        <w:tabs>
          <w:tab w:leader="none" w:pos="30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As of December 31, 2010, our remaining $6.7 million of Auction Rate Securities were classified as short-term as they were called prior to December 31, 2010, and redeemed at carrying value on January 5, 2011.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7"/>
                <w:szCs w:val="17"/>
                <w:b w:val="1"/>
                <w:bCs w:val="1"/>
                <w:color w:val="auto"/>
              </w:rPr>
              <w:t>Note 7.</w:t>
            </w:r>
          </w:p>
        </w:tc>
        <w:tc>
          <w:tcPr>
            <w:tcW w:w="6140" w:type="dxa"/>
            <w:vAlign w:val="bottom"/>
          </w:tcPr>
          <w:p>
            <w:pPr>
              <w:ind w:left="300"/>
              <w:spacing w:after="0"/>
              <w:rPr>
                <w:sz w:val="20"/>
                <w:szCs w:val="20"/>
                <w:color w:val="auto"/>
              </w:rPr>
            </w:pPr>
            <w:r>
              <w:rPr>
                <w:rFonts w:ascii="Arial" w:cs="Arial" w:eastAsia="Arial" w:hAnsi="Arial"/>
                <w:sz w:val="17"/>
                <w:szCs w:val="17"/>
                <w:b w:val="1"/>
                <w:bCs w:val="1"/>
                <w:color w:val="auto"/>
              </w:rPr>
              <w:t>Investments (Continued)</w:t>
            </w: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7"/>
        </w:trPr>
        <w:tc>
          <w:tcPr>
            <w:tcW w:w="7040" w:type="dxa"/>
            <w:vAlign w:val="bottom"/>
            <w:gridSpan w:val="2"/>
          </w:tcPr>
          <w:p>
            <w:pPr>
              <w:spacing w:after="0"/>
              <w:rPr>
                <w:sz w:val="19"/>
                <w:szCs w:val="19"/>
                <w:color w:val="auto"/>
              </w:rPr>
            </w:pPr>
          </w:p>
        </w:tc>
        <w:tc>
          <w:tcPr>
            <w:tcW w:w="3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1"/>
        </w:trPr>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3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of December 31</w:t>
            </w:r>
          </w:p>
        </w:tc>
        <w:tc>
          <w:tcPr>
            <w:tcW w:w="310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2010</w:t>
            </w: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61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7040" w:type="dxa"/>
            <w:vAlign w:val="bottom"/>
            <w:gridSpan w:val="2"/>
          </w:tcPr>
          <w:p>
            <w:pPr>
              <w:spacing w:after="0"/>
              <w:rPr>
                <w:sz w:val="20"/>
                <w:szCs w:val="20"/>
                <w:color w:val="auto"/>
              </w:rPr>
            </w:pPr>
            <w:r>
              <w:rPr>
                <w:rFonts w:ascii="Arial" w:cs="Arial" w:eastAsia="Arial" w:hAnsi="Arial"/>
                <w:sz w:val="17"/>
                <w:szCs w:val="17"/>
                <w:color w:val="auto"/>
              </w:rPr>
              <w:t>Land Held-for-Sale Beginning Balance</w:t>
            </w:r>
          </w:p>
        </w:tc>
        <w:tc>
          <w:tcPr>
            <w:tcW w:w="3100" w:type="dxa"/>
            <w:vAlign w:val="bottom"/>
          </w:tcPr>
          <w:p>
            <w:pPr>
              <w:jc w:val="right"/>
              <w:ind w:right="356"/>
              <w:spacing w:after="0"/>
              <w:rPr>
                <w:sz w:val="20"/>
                <w:szCs w:val="20"/>
                <w:color w:val="auto"/>
              </w:rPr>
            </w:pPr>
            <w:r>
              <w:rPr>
                <w:rFonts w:ascii="Arial" w:cs="Arial" w:eastAsia="Arial" w:hAnsi="Arial"/>
                <w:sz w:val="17"/>
                <w:szCs w:val="17"/>
                <w:color w:val="auto"/>
              </w:rPr>
              <w:t>$74.9</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$71.2</w:t>
            </w:r>
          </w:p>
        </w:tc>
      </w:tr>
      <w:tr>
        <w:trPr>
          <w:trHeight w:val="201"/>
        </w:trPr>
        <w:tc>
          <w:tcPr>
            <w:tcW w:w="7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Additions during period:</w:t>
            </w:r>
          </w:p>
        </w:tc>
        <w:tc>
          <w:tcPr>
            <w:tcW w:w="3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7040" w:type="dxa"/>
            <w:vAlign w:val="bottom"/>
            <w:gridSpan w:val="2"/>
          </w:tcPr>
          <w:p>
            <w:pPr>
              <w:ind w:left="460"/>
              <w:spacing w:after="0"/>
              <w:rPr>
                <w:sz w:val="20"/>
                <w:szCs w:val="20"/>
                <w:color w:val="auto"/>
              </w:rPr>
            </w:pPr>
            <w:r>
              <w:rPr>
                <w:rFonts w:ascii="Arial" w:cs="Arial" w:eastAsia="Arial" w:hAnsi="Arial"/>
                <w:sz w:val="17"/>
                <w:szCs w:val="17"/>
                <w:color w:val="auto"/>
              </w:rPr>
              <w:t xml:space="preserve">Deeds to Collateralized Property </w:t>
            </w:r>
            <w:r>
              <w:rPr>
                <w:rFonts w:ascii="Arial" w:cs="Arial" w:eastAsia="Arial" w:hAnsi="Arial"/>
                <w:sz w:val="17"/>
                <w:szCs w:val="17"/>
                <w:i w:val="1"/>
                <w:iCs w:val="1"/>
                <w:color w:val="auto"/>
              </w:rPr>
              <w:t>(a)</w:t>
            </w:r>
          </w:p>
        </w:tc>
        <w:tc>
          <w:tcPr>
            <w:tcW w:w="3100" w:type="dxa"/>
            <w:vAlign w:val="bottom"/>
          </w:tcPr>
          <w:p>
            <w:pPr>
              <w:jc w:val="right"/>
              <w:ind w:right="356"/>
              <w:spacing w:after="0"/>
              <w:rPr>
                <w:sz w:val="20"/>
                <w:szCs w:val="20"/>
                <w:color w:val="auto"/>
              </w:rPr>
            </w:pPr>
            <w:r>
              <w:rPr>
                <w:rFonts w:ascii="Arial" w:cs="Arial" w:eastAsia="Arial" w:hAnsi="Arial"/>
                <w:sz w:val="17"/>
                <w:szCs w:val="17"/>
                <w:color w:val="auto"/>
              </w:rPr>
              <w:t>9.9</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w:t>
            </w:r>
          </w:p>
        </w:tc>
      </w:tr>
      <w:tr>
        <w:trPr>
          <w:trHeight w:val="201"/>
        </w:trPr>
        <w:tc>
          <w:tcPr>
            <w:tcW w:w="7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Capitalized Improvements and Other</w:t>
            </w:r>
          </w:p>
        </w:tc>
        <w:tc>
          <w:tcPr>
            <w:tcW w:w="310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1.2</w:t>
            </w:r>
          </w:p>
        </w:tc>
        <w:tc>
          <w:tcPr>
            <w:tcW w:w="12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5.6</w:t>
            </w:r>
          </w:p>
        </w:tc>
      </w:tr>
      <w:tr>
        <w:trPr>
          <w:trHeight w:val="206"/>
        </w:trPr>
        <w:tc>
          <w:tcPr>
            <w:tcW w:w="70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Deductions during period: Cost of Real Estate Sold</w:t>
            </w:r>
          </w:p>
        </w:tc>
        <w:tc>
          <w:tcPr>
            <w:tcW w:w="3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(1.9)</w:t>
            </w:r>
          </w:p>
        </w:tc>
      </w:tr>
      <w:tr>
        <w:trPr>
          <w:trHeight w:val="201"/>
        </w:trPr>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 Held-for-Sale Ending Balance</w:t>
            </w:r>
          </w:p>
        </w:tc>
        <w:tc>
          <w:tcPr>
            <w:tcW w:w="310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86.0</w:t>
            </w:r>
          </w:p>
        </w:tc>
        <w:tc>
          <w:tcPr>
            <w:tcW w:w="12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74.9</w:t>
            </w:r>
          </w:p>
        </w:tc>
      </w:tr>
      <w:tr>
        <w:trPr>
          <w:trHeight w:val="201"/>
        </w:trPr>
        <w:tc>
          <w:tcPr>
            <w:tcW w:w="7040" w:type="dxa"/>
            <w:vAlign w:val="bottom"/>
            <w:gridSpan w:val="2"/>
          </w:tcPr>
          <w:p>
            <w:pPr>
              <w:spacing w:after="0"/>
              <w:rPr>
                <w:sz w:val="20"/>
                <w:szCs w:val="20"/>
                <w:color w:val="auto"/>
              </w:rPr>
            </w:pPr>
            <w:r>
              <w:rPr>
                <w:rFonts w:ascii="Arial" w:cs="Arial" w:eastAsia="Arial" w:hAnsi="Arial"/>
                <w:sz w:val="17"/>
                <w:szCs w:val="17"/>
                <w:color w:val="auto"/>
              </w:rPr>
              <w:t xml:space="preserve">Long-Term Finance Receivables (net of allowances of $0.8 and $0.4) </w:t>
            </w:r>
            <w:r>
              <w:rPr>
                <w:rFonts w:ascii="Arial" w:cs="Arial" w:eastAsia="Arial" w:hAnsi="Arial"/>
                <w:sz w:val="17"/>
                <w:szCs w:val="17"/>
                <w:i w:val="1"/>
                <w:iCs w:val="1"/>
                <w:color w:val="auto"/>
              </w:rPr>
              <w:t>(a)</w:t>
            </w:r>
          </w:p>
        </w:tc>
        <w:tc>
          <w:tcPr>
            <w:tcW w:w="3100" w:type="dxa"/>
            <w:vAlign w:val="bottom"/>
          </w:tcPr>
          <w:p>
            <w:pPr>
              <w:jc w:val="right"/>
              <w:ind w:right="356"/>
              <w:spacing w:after="0"/>
              <w:rPr>
                <w:sz w:val="20"/>
                <w:szCs w:val="20"/>
                <w:color w:val="auto"/>
              </w:rPr>
            </w:pPr>
            <w:r>
              <w:rPr>
                <w:rFonts w:ascii="Arial" w:cs="Arial" w:eastAsia="Arial" w:hAnsi="Arial"/>
                <w:sz w:val="17"/>
                <w:szCs w:val="17"/>
                <w:color w:val="auto"/>
              </w:rPr>
              <w:t>3.7</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12.9</w:t>
            </w:r>
          </w:p>
        </w:tc>
      </w:tr>
      <w:tr>
        <w:trPr>
          <w:trHeight w:val="206"/>
        </w:trPr>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6140" w:type="dxa"/>
            <w:vAlign w:val="bottom"/>
            <w:tcBorders>
              <w:bottom w:val="single" w:sz="8" w:color="auto"/>
            </w:tcBorders>
            <w:shd w:val="clear" w:color="auto" w:fill="CCEEFF"/>
          </w:tcPr>
          <w:p>
            <w:pPr>
              <w:spacing w:after="0"/>
              <w:rPr>
                <w:sz w:val="17"/>
                <w:szCs w:val="17"/>
                <w:color w:val="auto"/>
              </w:rPr>
            </w:pPr>
          </w:p>
        </w:tc>
        <w:tc>
          <w:tcPr>
            <w:tcW w:w="31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4.3</w:t>
            </w:r>
          </w:p>
        </w:tc>
        <w:tc>
          <w:tcPr>
            <w:tcW w:w="1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5.3</w:t>
            </w:r>
          </w:p>
        </w:tc>
      </w:tr>
      <w:tr>
        <w:trPr>
          <w:trHeight w:val="206"/>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Real Estate Assets</w:t>
            </w:r>
          </w:p>
        </w:tc>
        <w:tc>
          <w:tcPr>
            <w:tcW w:w="3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$94.0</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$93.1</w:t>
            </w:r>
          </w:p>
        </w:tc>
      </w:tr>
    </w:tbl>
    <w:p>
      <w:pPr>
        <w:spacing w:after="0" w:line="214" w:lineRule="exact"/>
        <w:rPr>
          <w:sz w:val="20"/>
          <w:szCs w:val="20"/>
          <w:color w:val="auto"/>
        </w:rPr>
      </w:pPr>
    </w:p>
    <w:p>
      <w:pPr>
        <w:ind w:left="260" w:right="660" w:hanging="259"/>
        <w:spacing w:after="0" w:line="268" w:lineRule="auto"/>
        <w:tabs>
          <w:tab w:leader="none" w:pos="2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The deeds to collateralized property resulted primarily from an entity which filed for voluntary Chapter 11 bankruptcy and were recorded at fair value net of estimated selling costs. The change in the long-term finance receivables was primarily a result of the same transaction.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determined by the evaluation of individual land parcels. Land values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and no impairments were recorded for the year ended December 31, 2010 (none in 2009).</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Long-Term Finance Receivables</w:t>
      </w:r>
      <w:r>
        <w:rPr>
          <w:rFonts w:ascii="Arial" w:cs="Arial" w:eastAsia="Arial" w:hAnsi="Arial"/>
          <w:sz w:val="17"/>
          <w:szCs w:val="17"/>
          <w:color w:val="auto"/>
        </w:rPr>
        <w:t>. As of December 31, 2010, long-term finance receivables were $3.7 million net of allowance ($12.9 million net of allowance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2009). Long-term finance receivables are collateralized by property sold, accrue interest at market-based rates and are net of an allowance for doubtful accounts. As of December 31, 2010, the reserve balance was due to an impairment of $0.8 million on a delinquent note receivable where the fair value of the collateralized property was less than the note balance ($0.3 million of impairments in 2009). This valuation technique constitutes a Level 3 non-recurring fair value measurement.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June 2010, ALLETE Properties received deeds in lieu of foreclosure to properties which had been sold in multiple transactions over various years to one purchaser. The properties were sold with seller financing, of which $7.0 million remained due and owing from the purchaser that filed for voluntary Chapter 11 bankruptcy protection in June 2009. The bankruptcy trustee approved the transfer of the properties back to ALLETE Properties in satisfaction of the amount owed. The fair value of the properties received net of selling expenses was $8.8 million. The receipt of properties resulted in a pretax gain of $0.7 million after reflecting other liabilities assumed and non-controlling interest.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Available-for-Sale Investments. </w:t>
      </w:r>
      <w:r>
        <w:rPr>
          <w:rFonts w:ascii="Arial" w:cs="Arial" w:eastAsia="Arial" w:hAnsi="Arial"/>
          <w:sz w:val="15"/>
          <w:szCs w:val="15"/>
          <w:color w:val="auto"/>
        </w:rPr>
        <w:t>We account for our available-for-sale portfolio in accordance with the guidance for certain investments in debt and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Our available-for-sale securities portfolio consisted of securities established to fund certain employee benefits and auction rate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256145" cy="14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145" cy="14351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Millions</w:t>
            </w:r>
          </w:p>
        </w:tc>
        <w:tc>
          <w:tcPr>
            <w:tcW w:w="260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Gross Unrealized</w:t>
            </w:r>
          </w:p>
        </w:tc>
        <w:tc>
          <w:tcPr>
            <w:tcW w:w="15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r>
      <w:tr>
        <w:trPr>
          <w:trHeight w:val="206"/>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As of December 31</w:t>
            </w:r>
          </w:p>
        </w:tc>
        <w:tc>
          <w:tcPr>
            <w:tcW w:w="26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rPr>
              <w:t>Cost</w:t>
            </w:r>
          </w:p>
        </w:tc>
        <w:tc>
          <w:tcPr>
            <w:tcW w:w="232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7"/>
                <w:szCs w:val="17"/>
                <w:b w:val="1"/>
                <w:bCs w:val="1"/>
                <w:color w:val="auto"/>
              </w:rPr>
              <w:t>Gain</w:t>
            </w:r>
          </w:p>
        </w:tc>
        <w:tc>
          <w:tcPr>
            <w:tcW w:w="15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b w:val="1"/>
                <w:bCs w:val="1"/>
                <w:color w:val="auto"/>
                <w:w w:val="86"/>
              </w:rPr>
              <w:t>(Loss)</w:t>
            </w:r>
          </w:p>
        </w:tc>
        <w:tc>
          <w:tcPr>
            <w:tcW w:w="22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b w:val="1"/>
                <w:bCs w:val="1"/>
                <w:color w:val="auto"/>
              </w:rPr>
              <w:t>Fair Value</w:t>
            </w:r>
          </w:p>
        </w:tc>
      </w:tr>
      <w:tr>
        <w:trPr>
          <w:trHeight w:val="201"/>
        </w:trPr>
        <w:tc>
          <w:tcPr>
            <w:tcW w:w="2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1"/>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260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$27.4</w:t>
            </w:r>
          </w:p>
        </w:tc>
        <w:tc>
          <w:tcPr>
            <w:tcW w:w="2320" w:type="dxa"/>
            <w:vAlign w:val="bottom"/>
            <w:shd w:val="clear" w:color="auto" w:fill="CCEEFF"/>
          </w:tcPr>
          <w:p>
            <w:pPr>
              <w:jc w:val="right"/>
              <w:ind w:right="916"/>
              <w:spacing w:after="0"/>
              <w:rPr>
                <w:sz w:val="20"/>
                <w:szCs w:val="20"/>
                <w:color w:val="auto"/>
              </w:rPr>
            </w:pPr>
            <w:r>
              <w:rPr>
                <w:rFonts w:ascii="Arial" w:cs="Arial" w:eastAsia="Arial" w:hAnsi="Arial"/>
                <w:sz w:val="17"/>
                <w:szCs w:val="17"/>
                <w:color w:val="auto"/>
              </w:rPr>
              <w:t>$0.2</w:t>
            </w:r>
          </w:p>
        </w:tc>
        <w:tc>
          <w:tcPr>
            <w:tcW w:w="156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$(2.4)</w:t>
            </w:r>
          </w:p>
        </w:tc>
        <w:tc>
          <w:tcPr>
            <w:tcW w:w="22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$25.2</w:t>
            </w:r>
          </w:p>
        </w:tc>
      </w:tr>
      <w:tr>
        <w:trPr>
          <w:trHeight w:val="201"/>
        </w:trPr>
        <w:tc>
          <w:tcPr>
            <w:tcW w:w="2720" w:type="dxa"/>
            <w:vAlign w:val="bottom"/>
          </w:tcPr>
          <w:p>
            <w:pPr>
              <w:spacing w:after="0"/>
              <w:rPr>
                <w:sz w:val="20"/>
                <w:szCs w:val="20"/>
                <w:color w:val="auto"/>
              </w:rPr>
            </w:pPr>
            <w:r>
              <w:rPr>
                <w:rFonts w:ascii="Arial" w:cs="Arial" w:eastAsia="Arial" w:hAnsi="Arial"/>
                <w:sz w:val="17"/>
                <w:szCs w:val="17"/>
                <w:color w:val="auto"/>
              </w:rPr>
              <w:t>2009</w:t>
            </w:r>
          </w:p>
        </w:tc>
        <w:tc>
          <w:tcPr>
            <w:tcW w:w="2600" w:type="dxa"/>
            <w:vAlign w:val="bottom"/>
          </w:tcPr>
          <w:p>
            <w:pPr>
              <w:jc w:val="right"/>
              <w:ind w:right="436"/>
              <w:spacing w:after="0"/>
              <w:rPr>
                <w:sz w:val="20"/>
                <w:szCs w:val="20"/>
                <w:color w:val="auto"/>
              </w:rPr>
            </w:pPr>
            <w:r>
              <w:rPr>
                <w:rFonts w:ascii="Arial" w:cs="Arial" w:eastAsia="Arial" w:hAnsi="Arial"/>
                <w:sz w:val="17"/>
                <w:szCs w:val="17"/>
                <w:color w:val="auto"/>
              </w:rPr>
              <w:t>$33.1</w:t>
            </w:r>
          </w:p>
        </w:tc>
        <w:tc>
          <w:tcPr>
            <w:tcW w:w="2320" w:type="dxa"/>
            <w:vAlign w:val="bottom"/>
          </w:tcPr>
          <w:p>
            <w:pPr>
              <w:jc w:val="right"/>
              <w:ind w:right="916"/>
              <w:spacing w:after="0"/>
              <w:rPr>
                <w:sz w:val="20"/>
                <w:szCs w:val="20"/>
                <w:color w:val="auto"/>
              </w:rPr>
            </w:pPr>
            <w:r>
              <w:rPr>
                <w:rFonts w:ascii="Arial" w:cs="Arial" w:eastAsia="Arial" w:hAnsi="Arial"/>
                <w:sz w:val="17"/>
                <w:szCs w:val="17"/>
                <w:color w:val="auto"/>
              </w:rPr>
              <w:t>$0.1</w:t>
            </w: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$(3.7)</w:t>
            </w:r>
          </w:p>
        </w:tc>
        <w:tc>
          <w:tcPr>
            <w:tcW w:w="2220" w:type="dxa"/>
            <w:vAlign w:val="bottom"/>
          </w:tcPr>
          <w:p>
            <w:pPr>
              <w:jc w:val="right"/>
              <w:ind w:right="336"/>
              <w:spacing w:after="0"/>
              <w:rPr>
                <w:sz w:val="20"/>
                <w:szCs w:val="20"/>
                <w:color w:val="auto"/>
              </w:rPr>
            </w:pPr>
            <w:r>
              <w:rPr>
                <w:rFonts w:ascii="Arial" w:cs="Arial" w:eastAsia="Arial" w:hAnsi="Arial"/>
                <w:sz w:val="17"/>
                <w:szCs w:val="17"/>
                <w:color w:val="auto"/>
              </w:rPr>
              <w:t>$29.5</w:t>
            </w:r>
          </w:p>
        </w:tc>
      </w:tr>
      <w:tr>
        <w:trPr>
          <w:trHeight w:val="206"/>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2008</w:t>
            </w:r>
          </w:p>
        </w:tc>
        <w:tc>
          <w:tcPr>
            <w:tcW w:w="2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$40.5</w:t>
            </w:r>
          </w:p>
        </w:tc>
        <w:tc>
          <w:tcPr>
            <w:tcW w:w="23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color w:val="auto"/>
              </w:rPr>
              <w:t>$(7.9)</w:t>
            </w:r>
          </w:p>
        </w:tc>
        <w:tc>
          <w:tcPr>
            <w:tcW w:w="2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$32.6</w:t>
            </w: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16"/>
              <w:spacing w:after="0"/>
              <w:rPr>
                <w:sz w:val="20"/>
                <w:szCs w:val="20"/>
                <w:color w:val="auto"/>
              </w:rPr>
            </w:pPr>
            <w:r>
              <w:rPr>
                <w:rFonts w:ascii="Arial" w:cs="Arial" w:eastAsia="Arial" w:hAnsi="Arial"/>
                <w:sz w:val="17"/>
                <w:szCs w:val="17"/>
                <w:b w:val="1"/>
                <w:bCs w:val="1"/>
                <w:color w:val="auto"/>
                <w:w w:val="89"/>
              </w:rPr>
              <w:t>Net Unrealized</w:t>
            </w:r>
          </w:p>
        </w:tc>
      </w:tr>
      <w:tr>
        <w:trPr>
          <w:trHeight w:val="201"/>
        </w:trPr>
        <w:tc>
          <w:tcPr>
            <w:tcW w:w="2920" w:type="dxa"/>
            <w:vAlign w:val="bottom"/>
          </w:tcPr>
          <w:p>
            <w:pPr>
              <w:spacing w:after="0"/>
              <w:rPr>
                <w:sz w:val="17"/>
                <w:szCs w:val="17"/>
                <w:color w:val="auto"/>
              </w:rPr>
            </w:pPr>
          </w:p>
        </w:tc>
        <w:tc>
          <w:tcPr>
            <w:tcW w:w="2480" w:type="dxa"/>
            <w:vAlign w:val="bottom"/>
          </w:tcPr>
          <w:p>
            <w:pPr>
              <w:jc w:val="right"/>
              <w:ind w:right="856"/>
              <w:spacing w:after="0"/>
              <w:rPr>
                <w:sz w:val="20"/>
                <w:szCs w:val="20"/>
                <w:color w:val="auto"/>
              </w:rPr>
            </w:pPr>
            <w:r>
              <w:rPr>
                <w:rFonts w:ascii="Arial" w:cs="Arial" w:eastAsia="Arial" w:hAnsi="Arial"/>
                <w:sz w:val="17"/>
                <w:szCs w:val="17"/>
                <w:b w:val="1"/>
                <w:bCs w:val="1"/>
                <w:color w:val="auto"/>
              </w:rPr>
              <w:t>Net</w:t>
            </w:r>
          </w:p>
        </w:tc>
        <w:tc>
          <w:tcPr>
            <w:tcW w:w="9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w w:val="97"/>
              </w:rPr>
              <w:t>Gross Realized</w:t>
            </w:r>
          </w:p>
        </w:tc>
        <w:tc>
          <w:tcPr>
            <w:tcW w:w="128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7"/>
                <w:szCs w:val="17"/>
                <w:b w:val="1"/>
                <w:bCs w:val="1"/>
                <w:color w:val="auto"/>
                <w:w w:val="90"/>
              </w:rPr>
              <w:t>Gain (Loss) in Other</w:t>
            </w:r>
          </w:p>
        </w:tc>
      </w:tr>
      <w:tr>
        <w:trPr>
          <w:trHeight w:val="206"/>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24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b w:val="1"/>
                <w:bCs w:val="1"/>
                <w:color w:val="auto"/>
              </w:rPr>
              <w:t>Proceeds</w:t>
            </w:r>
          </w:p>
        </w:tc>
        <w:tc>
          <w:tcPr>
            <w:tcW w:w="9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b w:val="1"/>
                <w:bCs w:val="1"/>
                <w:color w:val="auto"/>
                <w:w w:val="95"/>
              </w:rPr>
              <w:t>Gain</w:t>
            </w:r>
          </w:p>
        </w:tc>
        <w:tc>
          <w:tcPr>
            <w:tcW w:w="1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94"/>
              </w:rPr>
              <w:t>(Loss)</w:t>
            </w:r>
          </w:p>
        </w:tc>
        <w:tc>
          <w:tcPr>
            <w:tcW w:w="2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Comprehensive Income</w:t>
            </w:r>
          </w:p>
        </w:tc>
      </w:tr>
      <w:tr>
        <w:trPr>
          <w:trHeight w:val="201"/>
        </w:trPr>
        <w:tc>
          <w:tcPr>
            <w:tcW w:w="29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1"/>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248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$(1.7)</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$1.4</w:t>
            </w:r>
          </w:p>
        </w:tc>
      </w:tr>
      <w:tr>
        <w:trPr>
          <w:trHeight w:val="201"/>
        </w:trPr>
        <w:tc>
          <w:tcPr>
            <w:tcW w:w="2920" w:type="dxa"/>
            <w:vAlign w:val="bottom"/>
          </w:tcPr>
          <w:p>
            <w:pPr>
              <w:spacing w:after="0"/>
              <w:rPr>
                <w:sz w:val="20"/>
                <w:szCs w:val="20"/>
                <w:color w:val="auto"/>
              </w:rPr>
            </w:pPr>
            <w:r>
              <w:rPr>
                <w:rFonts w:ascii="Arial" w:cs="Arial" w:eastAsia="Arial" w:hAnsi="Arial"/>
                <w:sz w:val="17"/>
                <w:szCs w:val="17"/>
                <w:color w:val="auto"/>
              </w:rPr>
              <w:t>2009</w:t>
            </w:r>
          </w:p>
        </w:tc>
        <w:tc>
          <w:tcPr>
            <w:tcW w:w="2480" w:type="dxa"/>
            <w:vAlign w:val="bottom"/>
          </w:tcPr>
          <w:p>
            <w:pPr>
              <w:jc w:val="right"/>
              <w:ind w:right="456"/>
              <w:spacing w:after="0"/>
              <w:rPr>
                <w:sz w:val="20"/>
                <w:szCs w:val="20"/>
                <w:color w:val="auto"/>
              </w:rPr>
            </w:pPr>
            <w:r>
              <w:rPr>
                <w:rFonts w:ascii="Arial" w:cs="Arial" w:eastAsia="Arial" w:hAnsi="Arial"/>
                <w:sz w:val="17"/>
                <w:szCs w:val="17"/>
                <w:color w:val="auto"/>
              </w:rPr>
              <w:t>$6.7</w:t>
            </w:r>
          </w:p>
        </w:tc>
        <w:tc>
          <w:tcPr>
            <w:tcW w:w="920" w:type="dxa"/>
            <w:vAlign w:val="bottom"/>
          </w:tcPr>
          <w:p>
            <w:pPr>
              <w:spacing w:after="0"/>
              <w:rPr>
                <w:sz w:val="17"/>
                <w:szCs w:val="17"/>
                <w:color w:val="auto"/>
              </w:rPr>
            </w:pPr>
          </w:p>
        </w:tc>
        <w:tc>
          <w:tcPr>
            <w:tcW w:w="1300" w:type="dxa"/>
            <w:vAlign w:val="bottom"/>
          </w:tcPr>
          <w:p>
            <w:pPr>
              <w:jc w:val="right"/>
              <w:ind w:right="89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576"/>
              <w:spacing w:after="0"/>
              <w:rPr>
                <w:sz w:val="20"/>
                <w:szCs w:val="20"/>
                <w:color w:val="auto"/>
              </w:rPr>
            </w:pPr>
            <w:r>
              <w:rPr>
                <w:rFonts w:ascii="Arial" w:cs="Arial" w:eastAsia="Arial" w:hAnsi="Arial"/>
                <w:sz w:val="17"/>
                <w:szCs w:val="17"/>
                <w:color w:val="auto"/>
              </w:rPr>
              <w:t>$4.5</w:t>
            </w:r>
          </w:p>
        </w:tc>
      </w:tr>
      <w:tr>
        <w:trPr>
          <w:trHeight w:val="206"/>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2008</w:t>
            </w:r>
          </w:p>
        </w:tc>
        <w:tc>
          <w:tcPr>
            <w:tcW w:w="24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$17.5</w:t>
            </w:r>
          </w:p>
        </w:tc>
        <w:tc>
          <w:tcPr>
            <w:tcW w:w="9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7"/>
                <w:szCs w:val="17"/>
                <w:color w:val="auto"/>
                <w:w w:val="90"/>
              </w:rPr>
              <w:t>$6.5</w:t>
            </w:r>
          </w:p>
        </w:tc>
        <w:tc>
          <w:tcPr>
            <w:tcW w:w="1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$(0.1)</w:t>
            </w:r>
          </w:p>
        </w:tc>
        <w:tc>
          <w:tcPr>
            <w:tcW w:w="25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rPr>
              <w:t>$(9.7)</w:t>
            </w:r>
          </w:p>
        </w:tc>
      </w:tr>
    </w:tbl>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Auction Rate Securities. </w:t>
      </w:r>
      <w:r>
        <w:rPr>
          <w:rFonts w:ascii="Arial" w:cs="Arial" w:eastAsia="Arial" w:hAnsi="Arial"/>
          <w:sz w:val="17"/>
          <w:szCs w:val="17"/>
          <w:color w:val="auto"/>
        </w:rPr>
        <w:t>As of December 31, 2010, our ARS were classified as a short-term investment as the remaining balance of $6.7 million was redeemed at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on January 5, 2011. As of December 31, 2009, our ARS were classified as long-term investments.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7" w:name="page68"/>
    <w:bookmarkEnd w:id="67"/>
    <w:p>
      <w:pPr>
        <w:spacing w:after="0"/>
        <w:tabs>
          <w:tab w:leader="none" w:pos="11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Fair Value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 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ARS consisting of guaranteed student loans and derivative instruments consisting of FTRs.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December 31, 2010, and December 31, 2009. Each asset and liability is classified based on the lowest level of input that is significant to the fair value measurement. Our assessment of the significance of a particular input to the fair value measurement requires judgment, which may affect the valuation of fair value assets and liabilities and their placement within the fair value hierarchy levels.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auto"/>
            </w:tcBorders>
            <w:gridSpan w:val="4"/>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96"/>
              </w:rPr>
              <w:t>At Fair Value as of December 31, 2010</w:t>
            </w:r>
          </w:p>
        </w:tc>
      </w:tr>
      <w:tr>
        <w:trPr>
          <w:trHeight w:val="206"/>
        </w:trPr>
        <w:tc>
          <w:tcPr>
            <w:tcW w:w="6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1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Level 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Level 3</w:t>
            </w: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Total</w:t>
            </w: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65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5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$19.4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$19.4</w:t>
            </w:r>
          </w:p>
        </w:tc>
      </w:tr>
      <w:tr>
        <w:trPr>
          <w:trHeight w:val="201"/>
        </w:trPr>
        <w:tc>
          <w:tcPr>
            <w:tcW w:w="6500" w:type="dxa"/>
            <w:vAlign w:val="bottom"/>
          </w:tcPr>
          <w:p>
            <w:pPr>
              <w:spacing w:after="0"/>
              <w:rPr>
                <w:sz w:val="20"/>
                <w:szCs w:val="20"/>
                <w:color w:val="auto"/>
              </w:rPr>
            </w:pPr>
            <w:r>
              <w:rPr>
                <w:rFonts w:ascii="Arial" w:cs="Arial" w:eastAsia="Arial" w:hAnsi="Arial"/>
                <w:sz w:val="17"/>
                <w:szCs w:val="17"/>
                <w:color w:val="auto"/>
              </w:rPr>
              <w:t>Available-for-sale Securities</w:t>
            </w: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65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Corporate Debt Securities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7.5</w:t>
            </w:r>
          </w:p>
        </w:tc>
      </w:tr>
      <w:tr>
        <w:trPr>
          <w:trHeight w:val="206"/>
        </w:trPr>
        <w:tc>
          <w:tcPr>
            <w:tcW w:w="65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 xml:space="preserve">Debt Securities Issued by States of the United States (ARS) </w:t>
            </w:r>
            <w:r>
              <w:rPr>
                <w:rFonts w:ascii="Arial" w:cs="Arial" w:eastAsia="Arial" w:hAnsi="Arial"/>
                <w:sz w:val="17"/>
                <w:szCs w:val="17"/>
                <w:i w:val="1"/>
                <w:iCs w:val="1"/>
                <w:color w:val="auto"/>
              </w:rPr>
              <w:t>(a)</w:t>
            </w:r>
          </w:p>
        </w:tc>
        <w:tc>
          <w:tcPr>
            <w:tcW w:w="1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$6.7</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6.7</w:t>
            </w:r>
          </w:p>
        </w:tc>
      </w:tr>
      <w:tr>
        <w:trPr>
          <w:trHeight w:val="201"/>
        </w:trPr>
        <w:tc>
          <w:tcPr>
            <w:tcW w:w="65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Available-for-sale Securities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6.7</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14.2</w:t>
            </w:r>
          </w:p>
        </w:tc>
      </w:tr>
      <w:tr>
        <w:trPr>
          <w:trHeight w:val="206"/>
        </w:trPr>
        <w:tc>
          <w:tcPr>
            <w:tcW w:w="6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Money Market Funds</w:t>
            </w:r>
          </w:p>
        </w:tc>
        <w:tc>
          <w:tcPr>
            <w:tcW w:w="25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0.8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0.8</w:t>
            </w:r>
          </w:p>
        </w:tc>
      </w:tr>
      <w:tr>
        <w:trPr>
          <w:trHeight w:val="20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Assets</w:t>
            </w:r>
          </w:p>
        </w:tc>
        <w:tc>
          <w:tcPr>
            <w:tcW w:w="254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$6.7</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$34.4</w:t>
            </w:r>
          </w:p>
        </w:tc>
      </w:tr>
      <w:tr>
        <w:trPr>
          <w:trHeight w:val="201"/>
        </w:trPr>
        <w:tc>
          <w:tcPr>
            <w:tcW w:w="6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6"/>
        </w:trPr>
        <w:tc>
          <w:tcPr>
            <w:tcW w:w="6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Compensation</w:t>
            </w:r>
          </w:p>
        </w:tc>
        <w:tc>
          <w:tcPr>
            <w:tcW w:w="1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$13.3</w:t>
            </w:r>
          </w:p>
        </w:tc>
      </w:tr>
      <w:tr>
        <w:trPr>
          <w:trHeight w:val="20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Liabilities</w:t>
            </w:r>
          </w:p>
        </w:tc>
        <w:tc>
          <w:tcPr>
            <w:tcW w:w="17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$13.3</w:t>
            </w:r>
          </w:p>
        </w:tc>
      </w:tr>
      <w:tr>
        <w:trPr>
          <w:trHeight w:val="201"/>
        </w:trPr>
        <w:tc>
          <w:tcPr>
            <w:tcW w:w="6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Net Fair Value of Assets (Liabilities)</w:t>
            </w:r>
          </w:p>
        </w:tc>
        <w:tc>
          <w:tcPr>
            <w:tcW w:w="254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$6.7</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$21.1</w:t>
            </w:r>
          </w:p>
        </w:tc>
      </w:tr>
      <w:tr>
        <w:trPr>
          <w:trHeight w:val="427"/>
        </w:trPr>
        <w:tc>
          <w:tcPr>
            <w:tcW w:w="6500" w:type="dxa"/>
            <w:vAlign w:val="bottom"/>
          </w:tcPr>
          <w:p>
            <w:pPr>
              <w:spacing w:after="0"/>
              <w:rPr>
                <w:sz w:val="20"/>
                <w:szCs w:val="20"/>
                <w:color w:val="auto"/>
              </w:rPr>
            </w:pPr>
            <w:r>
              <w:rPr>
                <w:rFonts w:ascii="Arial" w:cs="Arial" w:eastAsia="Arial" w:hAnsi="Arial"/>
                <w:sz w:val="17"/>
                <w:szCs w:val="17"/>
                <w:i w:val="1"/>
                <w:iCs w:val="1"/>
                <w:color w:val="auto"/>
                <w:w w:val="93"/>
              </w:rPr>
              <w:t>(a)  The remaining $6.7 million of ARS were redeemed at carrying value on January 5, 2011.</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3"/>
        </w:trPr>
        <w:tc>
          <w:tcPr>
            <w:tcW w:w="6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r>
      <w:tr>
        <w:trPr>
          <w:trHeight w:val="201"/>
        </w:trPr>
        <w:tc>
          <w:tcPr>
            <w:tcW w:w="6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b w:val="1"/>
                <w:bCs w:val="1"/>
                <w:color w:val="auto"/>
                <w:w w:val="87"/>
              </w:rPr>
              <w:t>Debt Securities</w:t>
            </w:r>
          </w:p>
        </w:tc>
        <w:tc>
          <w:tcPr>
            <w:tcW w:w="640" w:type="dxa"/>
            <w:vAlign w:val="bottom"/>
            <w:shd w:val="clear" w:color="auto" w:fill="CCEEFF"/>
          </w:tcPr>
          <w:p>
            <w:pPr>
              <w:spacing w:after="0"/>
              <w:rPr>
                <w:sz w:val="17"/>
                <w:szCs w:val="17"/>
                <w:color w:val="auto"/>
              </w:rPr>
            </w:pPr>
          </w:p>
        </w:tc>
      </w:tr>
      <w:tr>
        <w:trPr>
          <w:trHeight w:val="201"/>
        </w:trPr>
        <w:tc>
          <w:tcPr>
            <w:tcW w:w="6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85"/>
              </w:rPr>
              <w:t>Issued by the States</w:t>
            </w:r>
          </w:p>
        </w:tc>
        <w:tc>
          <w:tcPr>
            <w:tcW w:w="640" w:type="dxa"/>
            <w:vAlign w:val="bottom"/>
          </w:tcPr>
          <w:p>
            <w:pPr>
              <w:spacing w:after="0"/>
              <w:rPr>
                <w:sz w:val="17"/>
                <w:szCs w:val="17"/>
                <w:color w:val="auto"/>
              </w:rPr>
            </w:pP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b w:val="1"/>
                <w:bCs w:val="1"/>
                <w:color w:val="auto"/>
                <w:w w:val="87"/>
              </w:rPr>
              <w:t>of the United States</w:t>
            </w:r>
          </w:p>
        </w:tc>
        <w:tc>
          <w:tcPr>
            <w:tcW w:w="640" w:type="dxa"/>
            <w:vAlign w:val="bottom"/>
            <w:shd w:val="clear" w:color="auto" w:fill="CCEEFF"/>
          </w:tcPr>
          <w:p>
            <w:pPr>
              <w:spacing w:after="0"/>
              <w:rPr>
                <w:sz w:val="17"/>
                <w:szCs w:val="17"/>
                <w:color w:val="auto"/>
              </w:rPr>
            </w:pPr>
          </w:p>
        </w:tc>
      </w:tr>
      <w:tr>
        <w:trPr>
          <w:trHeight w:val="206"/>
        </w:trPr>
        <w:tc>
          <w:tcPr>
            <w:tcW w:w="6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Activity in Level 3</w:t>
            </w:r>
          </w:p>
        </w:tc>
        <w:tc>
          <w:tcPr>
            <w:tcW w:w="2540" w:type="dxa"/>
            <w:vAlign w:val="bottom"/>
            <w:tcBorders>
              <w:bottom w:val="single" w:sz="8" w:color="auto"/>
            </w:tcBorders>
            <w:gridSpan w:val="2"/>
          </w:tcPr>
          <w:p>
            <w:pPr>
              <w:jc w:val="right"/>
              <w:ind w:right="1396"/>
              <w:spacing w:after="0"/>
              <w:rPr>
                <w:sz w:val="20"/>
                <w:szCs w:val="20"/>
                <w:color w:val="auto"/>
              </w:rPr>
            </w:pPr>
            <w:r>
              <w:rPr>
                <w:rFonts w:ascii="Arial" w:cs="Arial" w:eastAsia="Arial" w:hAnsi="Arial"/>
                <w:sz w:val="17"/>
                <w:szCs w:val="17"/>
                <w:b w:val="1"/>
                <w:bCs w:val="1"/>
                <w:color w:val="auto"/>
              </w:rPr>
              <w:t>Derivatives</w:t>
            </w: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36"/>
              <w:spacing w:after="0"/>
              <w:rPr>
                <w:sz w:val="20"/>
                <w:szCs w:val="20"/>
                <w:color w:val="auto"/>
              </w:rPr>
            </w:pPr>
            <w:r>
              <w:rPr>
                <w:rFonts w:ascii="Arial" w:cs="Arial" w:eastAsia="Arial" w:hAnsi="Arial"/>
                <w:sz w:val="17"/>
                <w:szCs w:val="17"/>
                <w:b w:val="1"/>
                <w:bCs w:val="1"/>
                <w:color w:val="auto"/>
                <w:w w:val="93"/>
              </w:rPr>
              <w:t>(ARS)</w:t>
            </w:r>
          </w:p>
        </w:tc>
        <w:tc>
          <w:tcPr>
            <w:tcW w:w="640" w:type="dxa"/>
            <w:vAlign w:val="bottom"/>
            <w:tcBorders>
              <w:bottom w:val="single" w:sz="8" w:color="auto"/>
            </w:tcBorders>
          </w:tcPr>
          <w:p>
            <w:pPr>
              <w:spacing w:after="0"/>
              <w:rPr>
                <w:sz w:val="17"/>
                <w:szCs w:val="17"/>
                <w:color w:val="auto"/>
              </w:rPr>
            </w:pP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6500" w:type="dxa"/>
            <w:vAlign w:val="bottom"/>
          </w:tcPr>
          <w:p>
            <w:pPr>
              <w:spacing w:after="0"/>
              <w:rPr>
                <w:sz w:val="20"/>
                <w:szCs w:val="20"/>
                <w:color w:val="auto"/>
              </w:rPr>
            </w:pPr>
            <w:r>
              <w:rPr>
                <w:rFonts w:ascii="Arial" w:cs="Arial" w:eastAsia="Arial" w:hAnsi="Arial"/>
                <w:sz w:val="17"/>
                <w:szCs w:val="17"/>
                <w:color w:val="auto"/>
              </w:rPr>
              <w:t>Balance as of December 31, 2009</w:t>
            </w:r>
          </w:p>
        </w:tc>
        <w:tc>
          <w:tcPr>
            <w:tcW w:w="1740" w:type="dxa"/>
            <w:vAlign w:val="bottom"/>
          </w:tcPr>
          <w:p>
            <w:pPr>
              <w:jc w:val="right"/>
              <w:ind w:right="316"/>
              <w:spacing w:after="0"/>
              <w:rPr>
                <w:sz w:val="20"/>
                <w:szCs w:val="20"/>
                <w:color w:val="auto"/>
              </w:rPr>
            </w:pPr>
            <w:r>
              <w:rPr>
                <w:rFonts w:ascii="Arial" w:cs="Arial" w:eastAsia="Arial" w:hAnsi="Arial"/>
                <w:sz w:val="17"/>
                <w:szCs w:val="17"/>
                <w:color w:val="auto"/>
              </w:rPr>
              <w:t>$0.7</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$6.7</w:t>
            </w:r>
          </w:p>
        </w:tc>
        <w:tc>
          <w:tcPr>
            <w:tcW w:w="640" w:type="dxa"/>
            <w:vAlign w:val="bottom"/>
          </w:tcPr>
          <w:p>
            <w:pPr>
              <w:spacing w:after="0"/>
              <w:rPr>
                <w:sz w:val="17"/>
                <w:szCs w:val="17"/>
                <w:color w:val="auto"/>
              </w:rPr>
            </w:pP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Purchases, sales, issuances and settlements, net</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(0.7)</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r>
      <w:tr>
        <w:trPr>
          <w:trHeight w:val="206"/>
        </w:trPr>
        <w:tc>
          <w:tcPr>
            <w:tcW w:w="6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Level 3 transfers in</w:t>
            </w:r>
          </w:p>
        </w:tc>
        <w:tc>
          <w:tcPr>
            <w:tcW w:w="2540" w:type="dxa"/>
            <w:vAlign w:val="bottom"/>
            <w:tcBorders>
              <w:bottom w:val="single" w:sz="8" w:color="auto"/>
            </w:tcBorders>
            <w:gridSpan w:val="2"/>
          </w:tcPr>
          <w:p>
            <w:pPr>
              <w:jc w:val="right"/>
              <w:ind w:right="111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spacing w:after="0"/>
              <w:rPr>
                <w:sz w:val="17"/>
                <w:szCs w:val="17"/>
                <w:color w:val="auto"/>
              </w:rPr>
            </w:pPr>
          </w:p>
        </w:tc>
      </w:tr>
      <w:tr>
        <w:trPr>
          <w:trHeight w:val="20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December 31, 2010 (</w:t>
            </w:r>
            <w:r>
              <w:rPr>
                <w:rFonts w:ascii="Arial" w:cs="Arial" w:eastAsia="Arial" w:hAnsi="Arial"/>
                <w:sz w:val="17"/>
                <w:szCs w:val="17"/>
                <w:i w:val="1"/>
                <w:iCs w:val="1"/>
                <w:color w:val="auto"/>
              </w:rPr>
              <w:t>a)</w:t>
            </w:r>
          </w:p>
        </w:tc>
        <w:tc>
          <w:tcPr>
            <w:tcW w:w="2540" w:type="dxa"/>
            <w:vAlign w:val="bottom"/>
            <w:tcBorders>
              <w:bottom w:val="single" w:sz="8" w:color="auto"/>
            </w:tcBorders>
            <w:gridSpan w:val="2"/>
            <w:shd w:val="clear" w:color="auto" w:fill="CCEEFF"/>
          </w:tcPr>
          <w:p>
            <w:pPr>
              <w:jc w:val="right"/>
              <w:ind w:right="111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$6.7</w:t>
            </w:r>
          </w:p>
        </w:tc>
        <w:tc>
          <w:tcPr>
            <w:tcW w:w="640" w:type="dxa"/>
            <w:vAlign w:val="bottom"/>
            <w:tcBorders>
              <w:bottom w:val="single" w:sz="8" w:color="auto"/>
            </w:tcBorders>
            <w:shd w:val="clear" w:color="auto" w:fill="CCEEFF"/>
          </w:tcPr>
          <w:p>
            <w:pPr>
              <w:spacing w:after="0"/>
              <w:rPr>
                <w:sz w:val="17"/>
                <w:szCs w:val="17"/>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The remaining $6.7 million of ARS were redeemed at carrying value on January 5, 2011.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7"/>
                <w:szCs w:val="17"/>
                <w:b w:val="1"/>
                <w:bCs w:val="1"/>
                <w:color w:val="auto"/>
              </w:rPr>
              <w:t>Note 8.</w:t>
            </w:r>
          </w:p>
        </w:tc>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Fair Value (Continued)</w:t>
            </w: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1"/>
        </w:trPr>
        <w:tc>
          <w:tcPr>
            <w:tcW w:w="1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180" w:type="dxa"/>
            <w:vAlign w:val="bottom"/>
            <w:gridSpan w:val="4"/>
          </w:tcPr>
          <w:p>
            <w:pPr>
              <w:spacing w:after="0"/>
              <w:rPr>
                <w:sz w:val="17"/>
                <w:szCs w:val="17"/>
                <w:color w:val="auto"/>
              </w:rPr>
            </w:pPr>
          </w:p>
        </w:tc>
      </w:tr>
      <w:tr>
        <w:trPr>
          <w:trHeight w:val="206"/>
        </w:trPr>
        <w:tc>
          <w:tcPr>
            <w:tcW w:w="118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auto"/>
            </w:tcBorders>
            <w:gridSpan w:val="4"/>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96"/>
              </w:rPr>
              <w:t>At Fair Value as of December 31, 2009</w:t>
            </w: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Recurring Fair Value Measures</w:t>
            </w:r>
          </w:p>
        </w:tc>
        <w:tc>
          <w:tcPr>
            <w:tcW w:w="20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Level 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Level 3</w:t>
            </w: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Total</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0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5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w w:val="91"/>
              </w:rPr>
              <w:t>Equity Securities</w:t>
            </w:r>
          </w:p>
        </w:tc>
        <w:tc>
          <w:tcPr>
            <w:tcW w:w="506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$17.8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$17.8</w:t>
            </w:r>
          </w:p>
        </w:tc>
      </w:tr>
      <w:tr>
        <w:trPr>
          <w:trHeight w:val="201"/>
        </w:trPr>
        <w:tc>
          <w:tcPr>
            <w:tcW w:w="6240" w:type="dxa"/>
            <w:vAlign w:val="bottom"/>
            <w:gridSpan w:val="2"/>
          </w:tcPr>
          <w:p>
            <w:pPr>
              <w:spacing w:after="0"/>
              <w:rPr>
                <w:sz w:val="20"/>
                <w:szCs w:val="20"/>
                <w:color w:val="auto"/>
              </w:rPr>
            </w:pPr>
            <w:r>
              <w:rPr>
                <w:rFonts w:ascii="Arial" w:cs="Arial" w:eastAsia="Arial" w:hAnsi="Arial"/>
                <w:sz w:val="17"/>
                <w:szCs w:val="17"/>
                <w:color w:val="auto"/>
              </w:rPr>
              <w:t>Available-for-sale Securities</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62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Corporate Debt Securities</w:t>
            </w: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6.4</w:t>
            </w:r>
          </w:p>
        </w:tc>
      </w:tr>
      <w:tr>
        <w:trPr>
          <w:trHeight w:val="206"/>
        </w:trPr>
        <w:tc>
          <w:tcPr>
            <w:tcW w:w="624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color w:val="auto"/>
              </w:rPr>
              <w:t>Debt Securities Issued by States of the United States (ARS)</w:t>
            </w:r>
          </w:p>
        </w:tc>
        <w:tc>
          <w:tcPr>
            <w:tcW w:w="20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$6.7</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6.7</w:t>
            </w:r>
          </w:p>
        </w:tc>
      </w:tr>
      <w:tr>
        <w:trPr>
          <w:trHeight w:val="201"/>
        </w:trPr>
        <w:tc>
          <w:tcPr>
            <w:tcW w:w="62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Available-for-sale Securities</w:t>
            </w: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6.7</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13.1</w:t>
            </w:r>
          </w:p>
        </w:tc>
      </w:tr>
      <w:tr>
        <w:trPr>
          <w:trHeight w:val="201"/>
        </w:trPr>
        <w:tc>
          <w:tcPr>
            <w:tcW w:w="1180" w:type="dxa"/>
            <w:vAlign w:val="bottom"/>
          </w:tcPr>
          <w:p>
            <w:pPr>
              <w:spacing w:after="0"/>
              <w:rPr>
                <w:sz w:val="20"/>
                <w:szCs w:val="20"/>
                <w:color w:val="auto"/>
              </w:rPr>
            </w:pPr>
            <w:r>
              <w:rPr>
                <w:rFonts w:ascii="Arial" w:cs="Arial" w:eastAsia="Arial" w:hAnsi="Arial"/>
                <w:sz w:val="17"/>
                <w:szCs w:val="17"/>
                <w:color w:val="auto"/>
              </w:rPr>
              <w:t>Derivatives</w:t>
            </w:r>
          </w:p>
        </w:tc>
        <w:tc>
          <w:tcPr>
            <w:tcW w:w="5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6"/>
              <w:spacing w:after="0"/>
              <w:rPr>
                <w:sz w:val="20"/>
                <w:szCs w:val="20"/>
                <w:color w:val="auto"/>
              </w:rPr>
            </w:pPr>
            <w:r>
              <w:rPr>
                <w:rFonts w:ascii="Arial" w:cs="Arial" w:eastAsia="Arial" w:hAnsi="Arial"/>
                <w:sz w:val="17"/>
                <w:szCs w:val="17"/>
                <w:color w:val="auto"/>
              </w:rPr>
              <w:t>0.7</w:t>
            </w:r>
          </w:p>
        </w:tc>
        <w:tc>
          <w:tcPr>
            <w:tcW w:w="660" w:type="dxa"/>
            <w:vAlign w:val="bottom"/>
          </w:tcPr>
          <w:p>
            <w:pPr>
              <w:jc w:val="right"/>
              <w:ind w:right="96"/>
              <w:spacing w:after="0"/>
              <w:rPr>
                <w:sz w:val="20"/>
                <w:szCs w:val="20"/>
                <w:color w:val="auto"/>
              </w:rPr>
            </w:pPr>
            <w:r>
              <w:rPr>
                <w:rFonts w:ascii="Arial" w:cs="Arial" w:eastAsia="Arial" w:hAnsi="Arial"/>
                <w:sz w:val="17"/>
                <w:szCs w:val="17"/>
                <w:color w:val="auto"/>
              </w:rPr>
              <w:t>0.7</w:t>
            </w:r>
          </w:p>
        </w:tc>
      </w:tr>
      <w:tr>
        <w:trPr>
          <w:trHeight w:val="206"/>
        </w:trPr>
        <w:tc>
          <w:tcPr>
            <w:tcW w:w="6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84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1.4</w:t>
            </w: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Fair Value of Assets</w:t>
            </w:r>
          </w:p>
        </w:tc>
        <w:tc>
          <w:tcPr>
            <w:tcW w:w="28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7"/>
                <w:szCs w:val="17"/>
                <w:color w:val="auto"/>
              </w:rPr>
              <w:t>$19.2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$7.4</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$33.0</w:t>
            </w:r>
          </w:p>
        </w:tc>
      </w:tr>
      <w:tr>
        <w:trPr>
          <w:trHeight w:val="201"/>
        </w:trPr>
        <w:tc>
          <w:tcPr>
            <w:tcW w:w="11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5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6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20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$14.6</w:t>
            </w: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Fair Value of Liabilities</w:t>
            </w:r>
          </w:p>
        </w:tc>
        <w:tc>
          <w:tcPr>
            <w:tcW w:w="20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$14.6</w:t>
            </w:r>
          </w:p>
        </w:tc>
      </w:tr>
      <w:tr>
        <w:trPr>
          <w:trHeight w:val="201"/>
        </w:trPr>
        <w:tc>
          <w:tcPr>
            <w:tcW w:w="6240" w:type="dxa"/>
            <w:vAlign w:val="bottom"/>
            <w:gridSpan w:val="2"/>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Net Fair Value of Assets (Liabilities)</w:t>
            </w:r>
          </w:p>
        </w:tc>
        <w:tc>
          <w:tcPr>
            <w:tcW w:w="28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7"/>
                <w:szCs w:val="17"/>
                <w:color w:val="auto"/>
              </w:rPr>
              <w:t>$19.2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$7.4</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$18.4</w:t>
            </w:r>
          </w:p>
        </w:tc>
      </w:tr>
      <w:tr>
        <w:trPr>
          <w:trHeight w:val="453"/>
        </w:trPr>
        <w:tc>
          <w:tcPr>
            <w:tcW w:w="1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r>
      <w:tr>
        <w:trPr>
          <w:trHeight w:val="201"/>
        </w:trPr>
        <w:tc>
          <w:tcPr>
            <w:tcW w:w="11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56"/>
              <w:spacing w:after="0"/>
              <w:rPr>
                <w:sz w:val="20"/>
                <w:szCs w:val="20"/>
                <w:color w:val="auto"/>
              </w:rPr>
            </w:pPr>
            <w:r>
              <w:rPr>
                <w:rFonts w:ascii="Arial" w:cs="Arial" w:eastAsia="Arial" w:hAnsi="Arial"/>
                <w:sz w:val="17"/>
                <w:szCs w:val="17"/>
                <w:b w:val="1"/>
                <w:bCs w:val="1"/>
                <w:color w:val="auto"/>
                <w:w w:val="87"/>
              </w:rPr>
              <w:t>Debt Securities</w:t>
            </w:r>
          </w:p>
        </w:tc>
      </w:tr>
      <w:tr>
        <w:trPr>
          <w:trHeight w:val="201"/>
        </w:trPr>
        <w:tc>
          <w:tcPr>
            <w:tcW w:w="1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gridSpan w:val="2"/>
          </w:tcPr>
          <w:p>
            <w:pPr>
              <w:jc w:val="center"/>
              <w:ind w:right="156"/>
              <w:spacing w:after="0"/>
              <w:rPr>
                <w:sz w:val="20"/>
                <w:szCs w:val="20"/>
                <w:color w:val="auto"/>
              </w:rPr>
            </w:pPr>
            <w:r>
              <w:rPr>
                <w:rFonts w:ascii="Arial" w:cs="Arial" w:eastAsia="Arial" w:hAnsi="Arial"/>
                <w:sz w:val="17"/>
                <w:szCs w:val="17"/>
                <w:b w:val="1"/>
                <w:bCs w:val="1"/>
                <w:color w:val="auto"/>
                <w:w w:val="85"/>
              </w:rPr>
              <w:t>Issued by the States</w:t>
            </w:r>
          </w:p>
        </w:tc>
      </w:tr>
      <w:tr>
        <w:trPr>
          <w:trHeight w:val="201"/>
        </w:trPr>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56"/>
              <w:spacing w:after="0"/>
              <w:rPr>
                <w:sz w:val="20"/>
                <w:szCs w:val="20"/>
                <w:color w:val="auto"/>
              </w:rPr>
            </w:pPr>
            <w:r>
              <w:rPr>
                <w:rFonts w:ascii="Arial" w:cs="Arial" w:eastAsia="Arial" w:hAnsi="Arial"/>
                <w:sz w:val="17"/>
                <w:szCs w:val="17"/>
                <w:b w:val="1"/>
                <w:bCs w:val="1"/>
                <w:color w:val="auto"/>
                <w:w w:val="87"/>
              </w:rPr>
              <w:t>of the United States</w:t>
            </w: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Activity in Level 3</w:t>
            </w:r>
          </w:p>
        </w:tc>
        <w:tc>
          <w:tcPr>
            <w:tcW w:w="2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b w:val="1"/>
                <w:bCs w:val="1"/>
                <w:color w:val="auto"/>
              </w:rPr>
              <w:t>Derivatives</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b w:val="1"/>
                <w:bCs w:val="1"/>
                <w:color w:val="auto"/>
                <w:w w:val="93"/>
              </w:rPr>
              <w:t>(ARS)</w:t>
            </w:r>
          </w:p>
        </w:tc>
        <w:tc>
          <w:tcPr>
            <w:tcW w:w="660" w:type="dxa"/>
            <w:vAlign w:val="bottom"/>
            <w:tcBorders>
              <w:bottom w:val="single" w:sz="8" w:color="auto"/>
            </w:tcBorders>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0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1"/>
        </w:trPr>
        <w:tc>
          <w:tcPr>
            <w:tcW w:w="6240" w:type="dxa"/>
            <w:vAlign w:val="bottom"/>
            <w:gridSpan w:val="2"/>
          </w:tcPr>
          <w:p>
            <w:pPr>
              <w:spacing w:after="0"/>
              <w:rPr>
                <w:sz w:val="20"/>
                <w:szCs w:val="20"/>
                <w:color w:val="auto"/>
              </w:rPr>
            </w:pPr>
            <w:r>
              <w:rPr>
                <w:rFonts w:ascii="Arial" w:cs="Arial" w:eastAsia="Arial" w:hAnsi="Arial"/>
                <w:sz w:val="17"/>
                <w:szCs w:val="17"/>
                <w:color w:val="auto"/>
              </w:rPr>
              <w:t>Balance as of December 31, 2008</w:t>
            </w:r>
          </w:p>
        </w:tc>
        <w:tc>
          <w:tcPr>
            <w:tcW w:w="2000" w:type="dxa"/>
            <w:vAlign w:val="bottom"/>
          </w:tcPr>
          <w:p>
            <w:pPr>
              <w:spacing w:after="0"/>
              <w:rPr>
                <w:sz w:val="17"/>
                <w:szCs w:val="17"/>
                <w:color w:val="auto"/>
              </w:rPr>
            </w:pPr>
          </w:p>
        </w:tc>
        <w:tc>
          <w:tcPr>
            <w:tcW w:w="8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$15.2</w:t>
            </w:r>
          </w:p>
        </w:tc>
        <w:tc>
          <w:tcPr>
            <w:tcW w:w="660" w:type="dxa"/>
            <w:vAlign w:val="bottom"/>
          </w:tcPr>
          <w:p>
            <w:pPr>
              <w:spacing w:after="0"/>
              <w:rPr>
                <w:sz w:val="17"/>
                <w:szCs w:val="17"/>
                <w:color w:val="auto"/>
              </w:rPr>
            </w:pPr>
          </w:p>
        </w:tc>
      </w:tr>
      <w:tr>
        <w:trPr>
          <w:trHeight w:val="201"/>
        </w:trPr>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Purchases, sales, issuances and settlements, net (</w:t>
            </w:r>
            <w:r>
              <w:rPr>
                <w:rFonts w:ascii="Arial" w:cs="Arial" w:eastAsia="Arial" w:hAnsi="Arial"/>
                <w:sz w:val="17"/>
                <w:szCs w:val="17"/>
                <w:i w:val="1"/>
                <w:iCs w:val="1"/>
                <w:color w:val="auto"/>
              </w:rPr>
              <w:t>a)</w:t>
            </w:r>
          </w:p>
        </w:tc>
        <w:tc>
          <w:tcPr>
            <w:tcW w:w="2840" w:type="dxa"/>
            <w:vAlign w:val="bottom"/>
            <w:gridSpan w:val="2"/>
            <w:shd w:val="clear" w:color="auto" w:fill="CCEEFF"/>
          </w:tcPr>
          <w:p>
            <w:pPr>
              <w:jc w:val="right"/>
              <w:ind w:right="236"/>
              <w:spacing w:after="0"/>
              <w:rPr>
                <w:sz w:val="20"/>
                <w:szCs w:val="20"/>
                <w:color w:val="auto"/>
              </w:rPr>
            </w:pPr>
            <w:r>
              <w:rPr>
                <w:rFonts w:ascii="Arial" w:cs="Arial" w:eastAsia="Arial" w:hAnsi="Arial"/>
                <w:sz w:val="17"/>
                <w:szCs w:val="17"/>
                <w:color w:val="auto"/>
              </w:rPr>
              <w:t>$0.7</w:t>
            </w: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(8.5)</w:t>
            </w:r>
          </w:p>
        </w:tc>
        <w:tc>
          <w:tcPr>
            <w:tcW w:w="660" w:type="dxa"/>
            <w:vAlign w:val="bottom"/>
            <w:shd w:val="clear" w:color="auto" w:fill="CCEEFF"/>
          </w:tcPr>
          <w:p>
            <w:pPr>
              <w:spacing w:after="0"/>
              <w:rPr>
                <w:sz w:val="17"/>
                <w:szCs w:val="17"/>
                <w:color w:val="auto"/>
              </w:rPr>
            </w:pPr>
          </w:p>
        </w:tc>
      </w:tr>
      <w:tr>
        <w:trPr>
          <w:trHeight w:val="20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Level 3 transfers in</w:t>
            </w:r>
          </w:p>
        </w:tc>
        <w:tc>
          <w:tcPr>
            <w:tcW w:w="20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17"/>
                <w:szCs w:val="17"/>
                <w:color w:val="auto"/>
              </w:rPr>
            </w:pPr>
          </w:p>
        </w:tc>
      </w:tr>
      <w:tr>
        <w:trPr>
          <w:trHeight w:val="206"/>
        </w:trPr>
        <w:tc>
          <w:tcPr>
            <w:tcW w:w="6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2009</w:t>
            </w:r>
          </w:p>
        </w:tc>
        <w:tc>
          <w:tcPr>
            <w:tcW w:w="2840" w:type="dxa"/>
            <w:vAlign w:val="bottom"/>
            <w:tcBorders>
              <w:bottom w:val="single" w:sz="8" w:color="auto"/>
            </w:tcBorders>
            <w:gridSpan w:val="2"/>
            <w:shd w:val="clear" w:color="auto" w:fill="CCEEFF"/>
          </w:tcPr>
          <w:p>
            <w:pPr>
              <w:jc w:val="right"/>
              <w:ind w:right="236"/>
              <w:spacing w:after="0"/>
              <w:rPr>
                <w:sz w:val="20"/>
                <w:szCs w:val="20"/>
                <w:color w:val="auto"/>
              </w:rPr>
            </w:pPr>
            <w:r>
              <w:rPr>
                <w:rFonts w:ascii="Arial" w:cs="Arial" w:eastAsia="Arial" w:hAnsi="Arial"/>
                <w:sz w:val="17"/>
                <w:szCs w:val="17"/>
                <w:color w:val="auto"/>
              </w:rPr>
              <w:t>$0.7</w:t>
            </w: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$6.7</w:t>
            </w:r>
          </w:p>
        </w:tc>
        <w:tc>
          <w:tcPr>
            <w:tcW w:w="660" w:type="dxa"/>
            <w:vAlign w:val="bottom"/>
            <w:tcBorders>
              <w:bottom w:val="single" w:sz="8" w:color="auto"/>
            </w:tcBorders>
            <w:shd w:val="clear" w:color="auto" w:fill="CCEEFF"/>
          </w:tcPr>
          <w:p>
            <w:pPr>
              <w:spacing w:after="0"/>
              <w:rPr>
                <w:sz w:val="17"/>
                <w:szCs w:val="17"/>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ARS were redeemed during 2009 at carrying value.</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policy is to recognize transfers in and transfers out as of the actual date of the event or change in circumstances that caused the transfer. For the year ended December 31, 2010 and 2009, there were no transfers in or out of Levels 1, 2 or 3.</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below, the estimated fair value of all financial instruments approximates the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amount. The fair value for the items below were based on quoted market prices for the same or similar instruments.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43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Carrying Amount</w:t>
            </w:r>
          </w:p>
        </w:tc>
        <w:tc>
          <w:tcPr>
            <w:tcW w:w="11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Fair Value</w:t>
            </w:r>
          </w:p>
        </w:tc>
      </w:tr>
      <w:tr>
        <w:trPr>
          <w:trHeight w:val="201"/>
        </w:trPr>
        <w:tc>
          <w:tcPr>
            <w:tcW w:w="59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Including Current Portion</w:t>
            </w:r>
          </w:p>
        </w:tc>
        <w:tc>
          <w:tcPr>
            <w:tcW w:w="4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5900" w:type="dxa"/>
            <w:vAlign w:val="bottom"/>
          </w:tcPr>
          <w:p>
            <w:pPr>
              <w:ind w:left="160"/>
              <w:spacing w:after="0"/>
              <w:rPr>
                <w:sz w:val="20"/>
                <w:szCs w:val="20"/>
                <w:color w:val="auto"/>
              </w:rPr>
            </w:pPr>
            <w:r>
              <w:rPr>
                <w:rFonts w:ascii="Arial" w:cs="Arial" w:eastAsia="Arial" w:hAnsi="Arial"/>
                <w:sz w:val="17"/>
                <w:szCs w:val="17"/>
                <w:color w:val="auto"/>
              </w:rPr>
              <w:t>December 31, 2010</w:t>
            </w:r>
          </w:p>
        </w:tc>
        <w:tc>
          <w:tcPr>
            <w:tcW w:w="4380" w:type="dxa"/>
            <w:vAlign w:val="bottom"/>
          </w:tcPr>
          <w:p>
            <w:pPr>
              <w:jc w:val="right"/>
              <w:ind w:right="356"/>
              <w:spacing w:after="0"/>
              <w:rPr>
                <w:sz w:val="20"/>
                <w:szCs w:val="20"/>
                <w:color w:val="auto"/>
              </w:rPr>
            </w:pPr>
            <w:r>
              <w:rPr>
                <w:rFonts w:ascii="Arial" w:cs="Arial" w:eastAsia="Arial" w:hAnsi="Arial"/>
                <w:sz w:val="17"/>
                <w:szCs w:val="17"/>
                <w:color w:val="auto"/>
              </w:rPr>
              <w:t>$785.0</w:t>
            </w:r>
          </w:p>
        </w:tc>
        <w:tc>
          <w:tcPr>
            <w:tcW w:w="1140" w:type="dxa"/>
            <w:vAlign w:val="bottom"/>
          </w:tcPr>
          <w:p>
            <w:pPr>
              <w:jc w:val="right"/>
              <w:ind w:right="196"/>
              <w:spacing w:after="0"/>
              <w:rPr>
                <w:sz w:val="20"/>
                <w:szCs w:val="20"/>
                <w:color w:val="auto"/>
              </w:rPr>
            </w:pPr>
            <w:r>
              <w:rPr>
                <w:rFonts w:ascii="Arial" w:cs="Arial" w:eastAsia="Arial" w:hAnsi="Arial"/>
                <w:sz w:val="17"/>
                <w:szCs w:val="17"/>
                <w:color w:val="auto"/>
              </w:rPr>
              <w:t>$796.7</w:t>
            </w:r>
          </w:p>
        </w:tc>
      </w:tr>
      <w:tr>
        <w:trPr>
          <w:trHeight w:val="206"/>
        </w:trPr>
        <w:tc>
          <w:tcPr>
            <w:tcW w:w="5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December 31, 2009</w:t>
            </w:r>
          </w:p>
        </w:tc>
        <w:tc>
          <w:tcPr>
            <w:tcW w:w="43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$701.0</w:t>
            </w: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$734.8</w:t>
            </w: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Short-Term and Long-Term Debt</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Total short-term debt outstanding as of December 31, 2010, was $14.4 million ($7.1 million at December 31, 2009) and consisted of long-term debt</w:t>
      </w:r>
      <w:r>
        <w:rPr>
          <w:rFonts w:ascii="Arial" w:cs="Arial" w:eastAsia="Arial" w:hAnsi="Arial"/>
          <w:sz w:val="17"/>
          <w:szCs w:val="17"/>
          <w:b w:val="1"/>
          <w:bCs w:val="1"/>
          <w:color w:val="auto"/>
        </w:rPr>
        <w:t xml:space="preserve"> </w:t>
      </w:r>
      <w:r>
        <w:rPr>
          <w:rFonts w:ascii="Arial" w:cs="Arial" w:eastAsia="Arial" w:hAnsi="Arial"/>
          <w:sz w:val="17"/>
          <w:szCs w:val="17"/>
          <w:color w:val="auto"/>
        </w:rPr>
        <w:t>due within one year and notes payable. (See ALLETE consolidated balance sheet.)</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2010, we had bank lines of credit aggregating $154.0 million ($157.0 million at December 31, 2009), the majority of which expire in January 2012. We expect to enter into new bank lines of credit during 2011 to replace the expiring facility. These bank lines of credit are available to provide short-term bank loans and credit support for commercial paper. At December 31, 2010, $1.0 million ($69.2 million at December 31, 2009) was drawn on our lines of credit leaving a $153.0 million balance available for use ($87.8 million at December 31, 2009). In December 2009, we drew $65.0 million on our $150.0 million syndicated revolving credit facility to temporarily fund the purchase of the 250 kV DC transmission line. In February 2010, we issued $80.0 million of First Mortgage Bonds (Bonds) (see Long-Term Debt, below). We used the proceeds from the sale of the Bonds to pay off the outstanding amount drawn on the line, resulting in the $65.0 million borrowing under our line of credit being classified as long-term debt at December 31, 2009.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9" w:name="page70"/>
    <w:bookmarkEnd w:id="69"/>
    <w:p>
      <w:pPr>
        <w:spacing w:after="0"/>
        <w:tabs>
          <w:tab w:leader="none" w:pos="11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Short-Term and Long-Term Debt (Continued)</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12, 2009, BNI Coal replaced a $6.0 million Promissory Note and Supplement (Line of Credit) with CoBANK, ACB with a $3.0 million Line of Credit and a $3.0 million term loan with CoBANK, ACB. The Line of Credit was renewed on December 22, 2010, and now expires on November 20, 2012. The Line of Credit is being used for general corporate purposes. As of December 31, 2010, $1.0 million was drawn on the Line of Credit. The $3.0 million term loan has a fixed interest rate of 5.19 percent and is payable in 28 equal quarterly installments commencing January 20, 2010, and ending on October 20, 2016.</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The aggregate amount of long-term debt maturing during 2011 is $13.4 million ($3.3 million in 2012; $73.9 million in 2013; $19.5 million in 2014;</w:t>
      </w:r>
      <w:r>
        <w:rPr>
          <w:rFonts w:ascii="Arial" w:cs="Arial" w:eastAsia="Arial" w:hAnsi="Arial"/>
          <w:sz w:val="17"/>
          <w:szCs w:val="17"/>
          <w:b w:val="1"/>
          <w:bCs w:val="1"/>
          <w:color w:val="auto"/>
        </w:rPr>
        <w:t xml:space="preserve"> </w:t>
      </w:r>
      <w:r>
        <w:rPr>
          <w:rFonts w:ascii="Arial" w:cs="Arial" w:eastAsia="Arial" w:hAnsi="Arial"/>
          <w:sz w:val="17"/>
          <w:szCs w:val="17"/>
          <w:color w:val="auto"/>
        </w:rPr>
        <w:t>$16.3 million in 2015; and $658.6 million thereafter). Substantially all of our electric plant is subject to the lien of the mortgages collateralizing various First Mortgage Bonds. The mortgages contain non-financial covenants customary in utility mortgages, including restrictions on our ability to incur liens, dispose of assets, and merge with other entities.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2010, we issued $80.0 million in principal amount of unregistered First Mortgage Bonds in the private placement market in three series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b w:val="1"/>
                <w:bCs w:val="1"/>
                <w:color w:val="auto"/>
              </w:rPr>
              <w:t>Issue Date</w:t>
            </w:r>
          </w:p>
        </w:tc>
        <w:tc>
          <w:tcPr>
            <w:tcW w:w="2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3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Principal Amount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Interest Rate</w:t>
            </w:r>
          </w:p>
        </w:tc>
      </w:tr>
      <w:tr>
        <w:trPr>
          <w:trHeight w:val="201"/>
        </w:trPr>
        <w:tc>
          <w:tcPr>
            <w:tcW w:w="2660" w:type="dxa"/>
            <w:vAlign w:val="bottom"/>
          </w:tcPr>
          <w:p>
            <w:pPr>
              <w:spacing w:after="0"/>
              <w:rPr>
                <w:sz w:val="20"/>
                <w:szCs w:val="20"/>
                <w:color w:val="auto"/>
              </w:rPr>
            </w:pPr>
            <w:r>
              <w:rPr>
                <w:rFonts w:ascii="Arial" w:cs="Arial" w:eastAsia="Arial" w:hAnsi="Arial"/>
                <w:sz w:val="17"/>
                <w:szCs w:val="17"/>
                <w:color w:val="auto"/>
              </w:rPr>
              <w:t>February 17, 2010</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April 15, 2021</w:t>
            </w:r>
          </w:p>
        </w:tc>
        <w:tc>
          <w:tcPr>
            <w:tcW w:w="3120" w:type="dxa"/>
            <w:vAlign w:val="bottom"/>
          </w:tcPr>
          <w:p>
            <w:pPr>
              <w:jc w:val="center"/>
              <w:spacing w:after="0"/>
              <w:rPr>
                <w:sz w:val="20"/>
                <w:szCs w:val="20"/>
                <w:color w:val="auto"/>
              </w:rPr>
            </w:pPr>
            <w:r>
              <w:rPr>
                <w:rFonts w:ascii="Arial" w:cs="Arial" w:eastAsia="Arial" w:hAnsi="Arial"/>
                <w:sz w:val="17"/>
                <w:szCs w:val="17"/>
                <w:color w:val="auto"/>
                <w:w w:val="98"/>
              </w:rPr>
              <w:t>$15 Million</w:t>
            </w:r>
          </w:p>
        </w:tc>
        <w:tc>
          <w:tcPr>
            <w:tcW w:w="2840" w:type="dxa"/>
            <w:vAlign w:val="bottom"/>
          </w:tcPr>
          <w:p>
            <w:pPr>
              <w:jc w:val="center"/>
              <w:spacing w:after="0"/>
              <w:rPr>
                <w:sz w:val="20"/>
                <w:szCs w:val="20"/>
                <w:color w:val="auto"/>
              </w:rPr>
            </w:pPr>
            <w:r>
              <w:rPr>
                <w:rFonts w:ascii="Arial" w:cs="Arial" w:eastAsia="Arial" w:hAnsi="Arial"/>
                <w:sz w:val="17"/>
                <w:szCs w:val="17"/>
                <w:color w:val="auto"/>
                <w:w w:val="91"/>
              </w:rPr>
              <w:t>4.85%</w:t>
            </w:r>
          </w:p>
        </w:tc>
      </w:tr>
      <w:tr>
        <w:trPr>
          <w:trHeight w:val="201"/>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February 17, 2010</w:t>
            </w:r>
          </w:p>
        </w:tc>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April 15, 2025</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$30 Million</w:t>
            </w:r>
          </w:p>
        </w:tc>
        <w:tc>
          <w:tcPr>
            <w:tcW w:w="2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5.10%</w:t>
            </w:r>
          </w:p>
        </w:tc>
      </w:tr>
      <w:tr>
        <w:trPr>
          <w:trHeight w:val="206"/>
        </w:trPr>
        <w:tc>
          <w:tcPr>
            <w:tcW w:w="2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February 17, 2010</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April 15, 2040</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$35 Million</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6.00%</w:t>
            </w:r>
          </w:p>
        </w:tc>
      </w:tr>
    </w:tbl>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used the proceeds from the sale of the bonds to pay off an outstanding balance of $65 million on our syndicated revolving credit facility, to fund utility capital investments and for general corporate purposes.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August 2010, we issued $75.0 million in principal amount of unregistered First Mortgage Bonds in the private placement market in two series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b w:val="1"/>
                <w:bCs w:val="1"/>
                <w:color w:val="auto"/>
              </w:rPr>
              <w:t>Issue Date</w:t>
            </w:r>
          </w:p>
        </w:tc>
        <w:tc>
          <w:tcPr>
            <w:tcW w:w="2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3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7"/>
                <w:szCs w:val="17"/>
                <w:b w:val="1"/>
                <w:bCs w:val="1"/>
                <w:color w:val="auto"/>
                <w:w w:val="90"/>
              </w:rPr>
              <w:t>Principal Amount</w:t>
            </w:r>
          </w:p>
        </w:tc>
        <w:tc>
          <w:tcPr>
            <w:tcW w:w="2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Interest Rate</w:t>
            </w:r>
          </w:p>
        </w:tc>
      </w:tr>
      <w:tr>
        <w:trPr>
          <w:trHeight w:val="201"/>
        </w:trPr>
        <w:tc>
          <w:tcPr>
            <w:tcW w:w="2580" w:type="dxa"/>
            <w:vAlign w:val="bottom"/>
          </w:tcPr>
          <w:p>
            <w:pPr>
              <w:spacing w:after="0"/>
              <w:rPr>
                <w:sz w:val="20"/>
                <w:szCs w:val="20"/>
                <w:color w:val="auto"/>
              </w:rPr>
            </w:pPr>
            <w:r>
              <w:rPr>
                <w:rFonts w:ascii="Arial" w:cs="Arial" w:eastAsia="Arial" w:hAnsi="Arial"/>
                <w:sz w:val="17"/>
                <w:szCs w:val="17"/>
                <w:color w:val="auto"/>
              </w:rPr>
              <w:t>August 17, 2010</w:t>
            </w:r>
          </w:p>
        </w:tc>
        <w:tc>
          <w:tcPr>
            <w:tcW w:w="2820" w:type="dxa"/>
            <w:vAlign w:val="bottom"/>
          </w:tcPr>
          <w:p>
            <w:pPr>
              <w:jc w:val="center"/>
              <w:spacing w:after="0"/>
              <w:rPr>
                <w:sz w:val="20"/>
                <w:szCs w:val="20"/>
                <w:color w:val="auto"/>
              </w:rPr>
            </w:pPr>
            <w:r>
              <w:rPr>
                <w:rFonts w:ascii="Arial" w:cs="Arial" w:eastAsia="Arial" w:hAnsi="Arial"/>
                <w:sz w:val="17"/>
                <w:szCs w:val="17"/>
                <w:color w:val="auto"/>
                <w:w w:val="88"/>
              </w:rPr>
              <w:t>October 15, 2025</w:t>
            </w:r>
          </w:p>
        </w:tc>
        <w:tc>
          <w:tcPr>
            <w:tcW w:w="3080" w:type="dxa"/>
            <w:vAlign w:val="bottom"/>
          </w:tcPr>
          <w:p>
            <w:pPr>
              <w:jc w:val="center"/>
              <w:ind w:right="76"/>
              <w:spacing w:after="0"/>
              <w:rPr>
                <w:sz w:val="20"/>
                <w:szCs w:val="20"/>
                <w:color w:val="auto"/>
              </w:rPr>
            </w:pPr>
            <w:r>
              <w:rPr>
                <w:rFonts w:ascii="Arial" w:cs="Arial" w:eastAsia="Arial" w:hAnsi="Arial"/>
                <w:sz w:val="17"/>
                <w:szCs w:val="17"/>
                <w:color w:val="auto"/>
                <w:w w:val="98"/>
              </w:rPr>
              <w:t>$30 Million</w:t>
            </w:r>
          </w:p>
        </w:tc>
        <w:tc>
          <w:tcPr>
            <w:tcW w:w="2940" w:type="dxa"/>
            <w:vAlign w:val="bottom"/>
          </w:tcPr>
          <w:p>
            <w:pPr>
              <w:jc w:val="center"/>
              <w:spacing w:after="0"/>
              <w:rPr>
                <w:sz w:val="20"/>
                <w:szCs w:val="20"/>
                <w:color w:val="auto"/>
              </w:rPr>
            </w:pPr>
            <w:r>
              <w:rPr>
                <w:rFonts w:ascii="Arial" w:cs="Arial" w:eastAsia="Arial" w:hAnsi="Arial"/>
                <w:sz w:val="17"/>
                <w:szCs w:val="17"/>
                <w:color w:val="auto"/>
                <w:w w:val="91"/>
              </w:rPr>
              <w:t>4.90%</w:t>
            </w:r>
          </w:p>
        </w:tc>
      </w:tr>
      <w:tr>
        <w:trPr>
          <w:trHeight w:val="206"/>
        </w:trPr>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August 17, 2010</w:t>
            </w:r>
          </w:p>
        </w:tc>
        <w:tc>
          <w:tcPr>
            <w:tcW w:w="2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April 15, 2040</w:t>
            </w:r>
          </w:p>
        </w:tc>
        <w:tc>
          <w:tcPr>
            <w:tcW w:w="3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7"/>
                <w:szCs w:val="17"/>
                <w:color w:val="auto"/>
                <w:w w:val="98"/>
              </w:rPr>
              <w:t>$45 Million</w:t>
            </w:r>
          </w:p>
        </w:tc>
        <w:tc>
          <w:tcPr>
            <w:tcW w:w="2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5.82%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used the proceeds to fund utility capital investments and for general corporate purposes.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February and August 2010 bond issuances (the Bonds),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7"/>
                <w:szCs w:val="17"/>
                <w:b w:val="1"/>
                <w:bCs w:val="1"/>
                <w:color w:val="auto"/>
              </w:rPr>
              <w:t>Note 9.</w:t>
            </w:r>
          </w:p>
        </w:tc>
        <w:tc>
          <w:tcPr>
            <w:tcW w:w="7280" w:type="dxa"/>
            <w:vAlign w:val="bottom"/>
          </w:tcPr>
          <w:p>
            <w:pPr>
              <w:ind w:left="600"/>
              <w:spacing w:after="0"/>
              <w:rPr>
                <w:sz w:val="20"/>
                <w:szCs w:val="20"/>
                <w:color w:val="auto"/>
              </w:rPr>
            </w:pPr>
            <w:r>
              <w:rPr>
                <w:rFonts w:ascii="Arial" w:cs="Arial" w:eastAsia="Arial" w:hAnsi="Arial"/>
                <w:sz w:val="17"/>
                <w:szCs w:val="17"/>
                <w:b w:val="1"/>
                <w:bCs w:val="1"/>
                <w:color w:val="auto"/>
              </w:rPr>
              <w:t>Short-Term and Long-Term Debt (Continued)</w:t>
            </w:r>
          </w:p>
        </w:tc>
        <w:tc>
          <w:tcPr>
            <w:tcW w:w="2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7880" w:type="dxa"/>
            <w:vAlign w:val="bottom"/>
            <w:gridSpan w:val="2"/>
          </w:tcPr>
          <w:p>
            <w:pPr>
              <w:spacing w:after="0"/>
              <w:rPr>
                <w:sz w:val="19"/>
                <w:szCs w:val="19"/>
                <w:color w:val="auto"/>
              </w:rPr>
            </w:pPr>
          </w:p>
        </w:tc>
        <w:tc>
          <w:tcPr>
            <w:tcW w:w="2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Long-Term Debt</w:t>
            </w:r>
          </w:p>
        </w:tc>
        <w:tc>
          <w:tcPr>
            <w:tcW w:w="2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of December 31</w:t>
            </w:r>
          </w:p>
        </w:tc>
        <w:tc>
          <w:tcPr>
            <w:tcW w:w="2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2010</w:t>
            </w: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1"/>
              </w:rPr>
              <w:t>Millions</w:t>
            </w:r>
          </w:p>
        </w:tc>
        <w:tc>
          <w:tcPr>
            <w:tcW w:w="72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7880" w:type="dxa"/>
            <w:vAlign w:val="bottom"/>
            <w:gridSpan w:val="2"/>
          </w:tcPr>
          <w:p>
            <w:pPr>
              <w:spacing w:after="0"/>
              <w:rPr>
                <w:sz w:val="20"/>
                <w:szCs w:val="20"/>
                <w:color w:val="auto"/>
              </w:rPr>
            </w:pPr>
            <w:r>
              <w:rPr>
                <w:rFonts w:ascii="Arial" w:cs="Arial" w:eastAsia="Arial" w:hAnsi="Arial"/>
                <w:sz w:val="17"/>
                <w:szCs w:val="17"/>
                <w:color w:val="auto"/>
              </w:rPr>
              <w:t>First Mortgage Bonds</w:t>
            </w: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7"/>
              </w:rPr>
              <w:t>4.86%</w:t>
            </w:r>
          </w:p>
        </w:tc>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2013</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6.94%</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2014</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18.0</w:t>
            </w:r>
          </w:p>
        </w:tc>
        <w:tc>
          <w:tcPr>
            <w:tcW w:w="760" w:type="dxa"/>
            <w:vAlign w:val="bottom"/>
          </w:tcPr>
          <w:p>
            <w:pPr>
              <w:jc w:val="right"/>
              <w:spacing w:after="0"/>
              <w:rPr>
                <w:sz w:val="20"/>
                <w:szCs w:val="20"/>
                <w:color w:val="auto"/>
              </w:rPr>
            </w:pPr>
            <w:r>
              <w:rPr>
                <w:rFonts w:ascii="Arial" w:cs="Arial" w:eastAsia="Arial" w:hAnsi="Arial"/>
                <w:sz w:val="17"/>
                <w:szCs w:val="17"/>
                <w:color w:val="auto"/>
              </w:rPr>
              <w:t>18.0</w:t>
            </w: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7"/>
              </w:rPr>
              <w:t>7.70%</w:t>
            </w:r>
          </w:p>
        </w:tc>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2016</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8.17%</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2019</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42.0</w:t>
            </w:r>
          </w:p>
        </w:tc>
        <w:tc>
          <w:tcPr>
            <w:tcW w:w="760" w:type="dxa"/>
            <w:vAlign w:val="bottom"/>
          </w:tcPr>
          <w:p>
            <w:pPr>
              <w:jc w:val="right"/>
              <w:spacing w:after="0"/>
              <w:rPr>
                <w:sz w:val="20"/>
                <w:szCs w:val="20"/>
                <w:color w:val="auto"/>
              </w:rPr>
            </w:pPr>
            <w:r>
              <w:rPr>
                <w:rFonts w:ascii="Arial" w:cs="Arial" w:eastAsia="Arial" w:hAnsi="Arial"/>
                <w:sz w:val="17"/>
                <w:szCs w:val="17"/>
                <w:color w:val="auto"/>
              </w:rPr>
              <w:t>42.0</w:t>
            </w: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7"/>
              </w:rPr>
              <w:t>5.28%</w:t>
            </w:r>
          </w:p>
        </w:tc>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2020</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35.0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4.85%</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2021</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15.0</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7"/>
              </w:rPr>
              <w:t>4.95%</w:t>
            </w:r>
          </w:p>
        </w:tc>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Pollution Control Series F Due 2022</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111.0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6.02%</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2023</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75.0</w:t>
            </w:r>
          </w:p>
        </w:tc>
        <w:tc>
          <w:tcPr>
            <w:tcW w:w="760" w:type="dxa"/>
            <w:vAlign w:val="bottom"/>
          </w:tcPr>
          <w:p>
            <w:pPr>
              <w:jc w:val="right"/>
              <w:spacing w:after="0"/>
              <w:rPr>
                <w:sz w:val="20"/>
                <w:szCs w:val="20"/>
                <w:color w:val="auto"/>
              </w:rPr>
            </w:pPr>
            <w:r>
              <w:rPr>
                <w:rFonts w:ascii="Arial" w:cs="Arial" w:eastAsia="Arial" w:hAnsi="Arial"/>
                <w:sz w:val="17"/>
                <w:szCs w:val="17"/>
                <w:color w:val="auto"/>
              </w:rPr>
              <w:t>75.0</w:t>
            </w: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4.90% Series Due 2025</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5.10%</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2025</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30.0</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7"/>
              </w:rPr>
              <w:t>5.99%</w:t>
            </w:r>
          </w:p>
        </w:tc>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Due 2027</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5.69%</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2036</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50.0</w:t>
            </w:r>
          </w:p>
        </w:tc>
        <w:tc>
          <w:tcPr>
            <w:tcW w:w="760" w:type="dxa"/>
            <w:vAlign w:val="bottom"/>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6.00% Series Due 2040</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35.0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7880" w:type="dxa"/>
            <w:vAlign w:val="bottom"/>
            <w:gridSpan w:val="2"/>
          </w:tcPr>
          <w:p>
            <w:pPr>
              <w:ind w:left="120"/>
              <w:spacing w:after="0"/>
              <w:rPr>
                <w:sz w:val="20"/>
                <w:szCs w:val="20"/>
                <w:color w:val="auto"/>
              </w:rPr>
            </w:pPr>
            <w:r>
              <w:rPr>
                <w:rFonts w:ascii="Arial" w:cs="Arial" w:eastAsia="Arial" w:hAnsi="Arial"/>
                <w:sz w:val="17"/>
                <w:szCs w:val="17"/>
                <w:color w:val="auto"/>
              </w:rPr>
              <w:t>5.82% Series Due 2040</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45.0</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SWL&amp;P First Mortgage Bonds</w:t>
            </w:r>
          </w:p>
        </w:tc>
        <w:tc>
          <w:tcPr>
            <w:tcW w:w="2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00" w:type="dxa"/>
            <w:vAlign w:val="bottom"/>
          </w:tcPr>
          <w:p>
            <w:pPr>
              <w:ind w:left="160"/>
              <w:spacing w:after="0"/>
              <w:rPr>
                <w:sz w:val="20"/>
                <w:szCs w:val="20"/>
                <w:color w:val="auto"/>
              </w:rPr>
            </w:pPr>
            <w:r>
              <w:rPr>
                <w:rFonts w:ascii="Arial" w:cs="Arial" w:eastAsia="Arial" w:hAnsi="Arial"/>
                <w:sz w:val="17"/>
                <w:szCs w:val="17"/>
                <w:color w:val="auto"/>
                <w:w w:val="87"/>
              </w:rPr>
              <w:t>7.25%</w:t>
            </w:r>
          </w:p>
        </w:tc>
        <w:tc>
          <w:tcPr>
            <w:tcW w:w="7280" w:type="dxa"/>
            <w:vAlign w:val="bottom"/>
          </w:tcPr>
          <w:p>
            <w:pPr>
              <w:ind w:left="20"/>
              <w:spacing w:after="0"/>
              <w:rPr>
                <w:sz w:val="20"/>
                <w:szCs w:val="20"/>
                <w:color w:val="auto"/>
              </w:rPr>
            </w:pPr>
            <w:r>
              <w:rPr>
                <w:rFonts w:ascii="Arial" w:cs="Arial" w:eastAsia="Arial" w:hAnsi="Arial"/>
                <w:sz w:val="17"/>
                <w:szCs w:val="17"/>
                <w:color w:val="auto"/>
              </w:rPr>
              <w:t>Series Due 2013</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10.0</w:t>
            </w: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Unsecured Notes 5.99% Due 2017</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r>
      <w:tr>
        <w:trPr>
          <w:trHeight w:val="201"/>
        </w:trPr>
        <w:tc>
          <w:tcPr>
            <w:tcW w:w="7880" w:type="dxa"/>
            <w:vAlign w:val="bottom"/>
            <w:gridSpan w:val="2"/>
          </w:tcPr>
          <w:p>
            <w:pPr>
              <w:spacing w:after="0"/>
              <w:rPr>
                <w:sz w:val="20"/>
                <w:szCs w:val="20"/>
                <w:color w:val="auto"/>
              </w:rPr>
            </w:pPr>
            <w:r>
              <w:rPr>
                <w:rFonts w:ascii="Arial" w:cs="Arial" w:eastAsia="Arial" w:hAnsi="Arial"/>
                <w:sz w:val="17"/>
                <w:szCs w:val="17"/>
                <w:color w:val="auto"/>
              </w:rPr>
              <w:t>Variable Demand Revenue Refunding Bonds Series 1997 A, B, and C Due 2012 – 2020</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28.3</w:t>
            </w:r>
          </w:p>
        </w:tc>
        <w:tc>
          <w:tcPr>
            <w:tcW w:w="760" w:type="dxa"/>
            <w:vAlign w:val="bottom"/>
          </w:tcPr>
          <w:p>
            <w:pPr>
              <w:jc w:val="right"/>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Development Revenue Bonds 6.5% Due 2025</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7"/>
                <w:szCs w:val="17"/>
                <w:color w:val="auto"/>
              </w:rPr>
            </w:pPr>
          </w:p>
        </w:tc>
      </w:tr>
      <w:tr>
        <w:trPr>
          <w:trHeight w:val="201"/>
        </w:trPr>
        <w:tc>
          <w:tcPr>
            <w:tcW w:w="7880" w:type="dxa"/>
            <w:vAlign w:val="bottom"/>
            <w:gridSpan w:val="2"/>
          </w:tcPr>
          <w:p>
            <w:pPr>
              <w:spacing w:after="0"/>
              <w:rPr>
                <w:sz w:val="20"/>
                <w:szCs w:val="20"/>
                <w:color w:val="auto"/>
              </w:rPr>
            </w:pPr>
            <w:r>
              <w:rPr>
                <w:rFonts w:ascii="Arial" w:cs="Arial" w:eastAsia="Arial" w:hAnsi="Arial"/>
                <w:sz w:val="17"/>
                <w:szCs w:val="17"/>
                <w:color w:val="auto"/>
              </w:rPr>
              <w:t>Industrial Development Variable Rate Demand Refunding</w:t>
            </w: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78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Revenue Bonds Series 2006 Due 2025</w:t>
            </w:r>
          </w:p>
        </w:tc>
        <w:tc>
          <w:tcPr>
            <w:tcW w:w="27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27.8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20" w:type="dxa"/>
            <w:vAlign w:val="bottom"/>
          </w:tcPr>
          <w:p>
            <w:pPr>
              <w:spacing w:after="0"/>
              <w:rPr>
                <w:sz w:val="17"/>
                <w:szCs w:val="17"/>
                <w:color w:val="auto"/>
              </w:rPr>
            </w:pPr>
          </w:p>
        </w:tc>
      </w:tr>
      <w:tr>
        <w:trPr>
          <w:trHeight w:val="206"/>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xml:space="preserve">Line of Credit Facility </w:t>
            </w:r>
            <w:r>
              <w:rPr>
                <w:rFonts w:ascii="Arial" w:cs="Arial" w:eastAsia="Arial" w:hAnsi="Arial"/>
                <w:sz w:val="17"/>
                <w:szCs w:val="17"/>
                <w:i w:val="1"/>
                <w:iCs w:val="1"/>
                <w:color w:val="auto"/>
              </w:rPr>
              <w:t>(a)</w:t>
            </w:r>
          </w:p>
        </w:tc>
        <w:tc>
          <w:tcPr>
            <w:tcW w:w="27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20" w:type="dxa"/>
            <w:vAlign w:val="bottom"/>
          </w:tcPr>
          <w:p>
            <w:pPr>
              <w:spacing w:after="0"/>
              <w:rPr>
                <w:sz w:val="17"/>
                <w:szCs w:val="17"/>
                <w:color w:val="auto"/>
              </w:rPr>
            </w:pPr>
          </w:p>
        </w:tc>
      </w:tr>
      <w:tr>
        <w:trPr>
          <w:trHeight w:val="206"/>
        </w:trPr>
        <w:tc>
          <w:tcPr>
            <w:tcW w:w="78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Long-Term Debt, 1.0% – 8.0% Due 2011 – 2037</w:t>
            </w:r>
          </w:p>
        </w:tc>
        <w:tc>
          <w:tcPr>
            <w:tcW w:w="2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0" w:type="dxa"/>
            <w:vAlign w:val="bottom"/>
          </w:tcPr>
          <w:p>
            <w:pPr>
              <w:spacing w:after="0"/>
              <w:rPr>
                <w:sz w:val="17"/>
                <w:szCs w:val="17"/>
                <w:color w:val="auto"/>
              </w:rPr>
            </w:pPr>
          </w:p>
        </w:tc>
      </w:tr>
      <w:tr>
        <w:trPr>
          <w:trHeight w:val="201"/>
        </w:trPr>
        <w:tc>
          <w:tcPr>
            <w:tcW w:w="7880" w:type="dxa"/>
            <w:vAlign w:val="bottom"/>
            <w:gridSpan w:val="2"/>
          </w:tcPr>
          <w:p>
            <w:pPr>
              <w:spacing w:after="0"/>
              <w:rPr>
                <w:sz w:val="20"/>
                <w:szCs w:val="20"/>
                <w:color w:val="auto"/>
              </w:rPr>
            </w:pPr>
            <w:r>
              <w:rPr>
                <w:rFonts w:ascii="Arial" w:cs="Arial" w:eastAsia="Arial" w:hAnsi="Arial"/>
                <w:sz w:val="17"/>
                <w:szCs w:val="17"/>
                <w:color w:val="auto"/>
              </w:rPr>
              <w:t>Total Long-Term Debt</w:t>
            </w:r>
          </w:p>
        </w:tc>
        <w:tc>
          <w:tcPr>
            <w:tcW w:w="2780" w:type="dxa"/>
            <w:vAlign w:val="bottom"/>
          </w:tcPr>
          <w:p>
            <w:pPr>
              <w:jc w:val="right"/>
              <w:ind w:right="56"/>
              <w:spacing w:after="0"/>
              <w:rPr>
                <w:sz w:val="20"/>
                <w:szCs w:val="20"/>
                <w:color w:val="auto"/>
              </w:rPr>
            </w:pPr>
            <w:r>
              <w:rPr>
                <w:rFonts w:ascii="Arial" w:cs="Arial" w:eastAsia="Arial" w:hAnsi="Arial"/>
                <w:sz w:val="17"/>
                <w:szCs w:val="17"/>
                <w:color w:val="auto"/>
              </w:rPr>
              <w:t>785.0</w:t>
            </w:r>
          </w:p>
        </w:tc>
        <w:tc>
          <w:tcPr>
            <w:tcW w:w="760" w:type="dxa"/>
            <w:vAlign w:val="bottom"/>
          </w:tcPr>
          <w:p>
            <w:pPr>
              <w:jc w:val="right"/>
              <w:spacing w:after="0"/>
              <w:rPr>
                <w:sz w:val="20"/>
                <w:szCs w:val="20"/>
                <w:color w:val="auto"/>
              </w:rPr>
            </w:pPr>
            <w:r>
              <w:rPr>
                <w:rFonts w:ascii="Arial" w:cs="Arial" w:eastAsia="Arial" w:hAnsi="Arial"/>
                <w:sz w:val="17"/>
                <w:szCs w:val="17"/>
                <w:color w:val="auto"/>
              </w:rPr>
              <w:t>701.0</w:t>
            </w:r>
          </w:p>
        </w:tc>
        <w:tc>
          <w:tcPr>
            <w:tcW w:w="20" w:type="dxa"/>
            <w:vAlign w:val="bottom"/>
          </w:tcPr>
          <w:p>
            <w:pPr>
              <w:spacing w:after="0"/>
              <w:rPr>
                <w:sz w:val="17"/>
                <w:szCs w:val="17"/>
                <w:color w:val="auto"/>
              </w:rPr>
            </w:pPr>
          </w:p>
        </w:tc>
      </w:tr>
      <w:tr>
        <w:trPr>
          <w:trHeight w:val="206"/>
        </w:trPr>
        <w:tc>
          <w:tcPr>
            <w:tcW w:w="78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Less: Due Within One Year</w:t>
            </w:r>
          </w:p>
        </w:tc>
        <w:tc>
          <w:tcPr>
            <w:tcW w:w="2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r>
      <w:tr>
        <w:trPr>
          <w:trHeight w:val="206"/>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Long-Term Debt</w:t>
            </w:r>
          </w:p>
        </w:tc>
        <w:tc>
          <w:tcPr>
            <w:tcW w:w="27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$771.6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$695.8</w:t>
            </w:r>
          </w:p>
        </w:tc>
        <w:tc>
          <w:tcPr>
            <w:tcW w:w="2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ind w:left="320" w:hanging="278"/>
        <w:spacing w:after="0" w:line="268" w:lineRule="auto"/>
        <w:tabs>
          <w:tab w:leader="none" w:pos="3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A portion of the proceeds from the issuance on February 17, 2010, of $80 million principal amount of First Mortgage Bonds due in 2021, 2025 and 2040, was used to repay the outstanding borrowings on the Line of Credit Facility as of December 31, 2009.</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Our long-term debt arrangements contain customary covenants. In addition, our lines of credit and letters of credit supporting certain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December 31, 2010, our ratio was approximately 0.43 to 1.00. Failure to meet this covenant would give rise to an event of default if not cured after notice from the lender, in which event ALLETE may need to pursue alternative sources of funding. Some of ALLETE’s debt arrangements contain “cross-defau lt” provisions that would result in an event of default if there is a failure under other financing arrangements to meet payment terms or to observe other covenants that would result in an acceleration of payments due. As of December 31, 2010, ALLETE was in compliance with its financial covenants.</w:t>
      </w:r>
    </w:p>
    <w:p>
      <w:pPr>
        <w:spacing w:after="0" w:line="200" w:lineRule="exact"/>
        <w:rPr>
          <w:sz w:val="20"/>
          <w:szCs w:val="20"/>
          <w:color w:val="auto"/>
        </w:rPr>
      </w:pPr>
    </w:p>
    <w:p>
      <w:pPr>
        <w:spacing w:after="0" w:line="21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 either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no variable interest in the PPA,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 is limited to our fixed capacity and energy payments.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power purchase agreement with Square Butte that extends through 2026 (Agreement). It provides a long-term supply of energy</w:t>
      </w:r>
      <w:r>
        <w:rPr>
          <w:rFonts w:ascii="Arial" w:cs="Arial" w:eastAsia="Arial" w:hAnsi="Arial"/>
          <w:sz w:val="17"/>
          <w:szCs w:val="17"/>
          <w:i w:val="1"/>
          <w:iCs w:val="1"/>
          <w:color w:val="auto"/>
        </w:rPr>
        <w:t xml:space="preserve"> </w:t>
      </w:r>
      <w:r>
        <w:rPr>
          <w:rFonts w:ascii="Arial" w:cs="Arial" w:eastAsia="Arial" w:hAnsi="Arial"/>
          <w:sz w:val="17"/>
          <w:szCs w:val="17"/>
          <w:color w:val="auto"/>
        </w:rPr>
        <w:t>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1" w:name="page72"/>
    <w:bookmarkEnd w:id="71"/>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We expect debt service, operating and maintenance and depreciation expenses for Square Butte to increase in 2011 due to environmental compliance obligations. As of December 31, 2010, Square Butte had total debt outstanding of $379.6 mi llion. Annual debt service for Square Butte is expected to be approximately $39 million in each of the five years, 2011 through 2015. Fuel expenses are recoverable through our fuel adjustment clause and include the cost of coal purchased from BNI Coal, our subsidiary, under a long-term contract.</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Minnesota Power’s cost of power purchased from Square Butte during 2010 was $55.2 million ($53.9 million in 2009; $56.7 million in 2008). This reflects Minnesota Power’s pro rata share of total Square Butte costs, based on the 50 percent output entitlement in 2010 (50 percent in 2009; 55 percent in 2008). Included in this amount was Minnesota Power’s pro rata share of interest expense of $10.2 million in 2010 ($11.0 million in 2009; $11.6 million in 2008).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conjunction with the purchase of the existing 250 kV DC transmission line from Square Butte on December 31, 2009,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 entered into a contingent power sales agreement with Minnkota Power. Under the power sales agreement, Minnesota Power will sell a portion of its output from Square Butte to Minnkota, resulting in Minnkota’s net entitlement increasing and Minnesota Power’s net entitlement decreasing until Minnesota Power’s share is eliminated at the end of 2025.</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 power will be sold under this agreement until Minnkota Power has placed in service a new AC transmission line, which is anticipated to occur in 2013. This new AC transmission line will allow Minnkota to transmit its entitlement from Square Butte directly to its customers, which, in turn, will provide Minnesota Power with additional capacity on the DC line to transmit new wind generation.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Wind PPA. </w:t>
      </w:r>
      <w:r>
        <w:rPr>
          <w:rFonts w:ascii="Arial" w:cs="Arial" w:eastAsia="Arial" w:hAnsi="Arial"/>
          <w:sz w:val="17"/>
          <w:szCs w:val="17"/>
          <w:color w:val="auto"/>
        </w:rPr>
        <w:t>In 2006 and 2007, we entered into two long-term wind PPA with an affiliate of NextEra Energy, Inc. to purchase the output from two wind facilities, Oliver</w:t>
      </w:r>
      <w:r>
        <w:rPr>
          <w:rFonts w:ascii="Arial" w:cs="Arial" w:eastAsia="Arial" w:hAnsi="Arial"/>
          <w:sz w:val="17"/>
          <w:szCs w:val="17"/>
          <w:i w:val="1"/>
          <w:iCs w:val="1"/>
          <w:color w:val="auto"/>
        </w:rPr>
        <w:t xml:space="preserve"> </w:t>
      </w:r>
      <w:r>
        <w:rPr>
          <w:rFonts w:ascii="Arial" w:cs="Arial" w:eastAsia="Arial" w:hAnsi="Arial"/>
          <w:sz w:val="17"/>
          <w:szCs w:val="17"/>
          <w:color w:val="auto"/>
        </w:rPr>
        <w:t>Wind I (50 MW) and Oliver Wind II (48 MW), located near Center, North Dakota. Each agreement is for 25 years and provides for the purchase of all output from the facilities at fixed prices. There are no fixed capacity charges, and we only pay for energy as it is delivered to us.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Hydro PPA. </w:t>
      </w:r>
      <w:r>
        <w:rPr>
          <w:rFonts w:ascii="Arial" w:cs="Arial" w:eastAsia="Arial" w:hAnsi="Arial"/>
          <w:sz w:val="17"/>
          <w:szCs w:val="17"/>
          <w:color w:val="auto"/>
        </w:rPr>
        <w:t>We have a PPA with Manitoba Hydro that began in May 2009 and expires in April 2015. Under the agreement with Manitoba Hydro, Minnesota Power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purchasing 50 MW of capacity and the energy associated with that capacity. Both the capacity price and the energy price are adjusted annually by the change in a governmental inflationary index.</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April 30, 2010, Minnesota Power signed a definitive agreement with Manitoba Hydro, subject to MPUC approval,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September 1, 2010, we filed a petition with the MPUC to approve our PPA with Manitoba Hydro. On October 28, 2010, the OES filed comments recommending approval.</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North Dakota Wind Development</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On December 31, 2009, we purchased an existing 250 kV DC transmission line from Square Butte for $69.7 million. The 465-mile</w:t>
      </w:r>
      <w:r>
        <w:rPr>
          <w:rFonts w:ascii="Arial" w:cs="Arial" w:eastAsia="Arial" w:hAnsi="Arial"/>
          <w:sz w:val="15"/>
          <w:szCs w:val="15"/>
          <w:b w:val="1"/>
          <w:bCs w:val="1"/>
          <w:color w:val="auto"/>
        </w:rPr>
        <w:t xml:space="preserve"> </w:t>
      </w:r>
      <w:r>
        <w:rPr>
          <w:rFonts w:ascii="Arial" w:cs="Arial" w:eastAsia="Arial" w:hAnsi="Arial"/>
          <w:sz w:val="15"/>
          <w:szCs w:val="15"/>
          <w:color w:val="auto"/>
        </w:rPr>
        <w:t>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16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Bison 1 is a two phase, 82 MW wind project in North Dakota. All permitting has been received and the first phase was completed in 2010. Phase one included construction of a 22-mile, 230 kV transmission line and the installation of 16 2.3 MW wind turbines, all of which were in-service at the end of 2010. Phase two is expected to be completed late in 2011 and consists of the installation of 15 3.0 MW wind turbines. Bison 1 is expected to have a total capital cost of approximately $177 million, of which $121 million was spent through December 31, 2010. In 2009, the MPUC approved Minnesota Power’s petition seeking current cost recovery eligibility for investments and expenditures related to Bison 1, and in July 2010, the MPUC approved our petition establishing rates effective August 1, 2010.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Leasing Agreements. </w:t>
      </w:r>
      <w:r>
        <w:rPr>
          <w:rFonts w:ascii="Arial" w:cs="Arial" w:eastAsia="Arial" w:hAnsi="Arial"/>
          <w:sz w:val="16"/>
          <w:szCs w:val="16"/>
          <w:color w:val="auto"/>
        </w:rPr>
        <w:t>BNI Coal is obligated to make lease payments for a dragline totaling $2.8 million annually for the lease term which expires in 2027. BNI Coal has</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at the end of the lease term to renew the lease at fair 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2011, $8.4 million in 2012, $8.5 million in 2013, $8.7 million in 2014, $8.4 million in 2015 and $44.7 million thereafter. Total rent and lease expense was $9.4 million in 2010 ($9.3 million in 2009; $8.5 million in 2008).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2" w:name="page73"/>
    <w:bookmarkEnd w:id="72"/>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We have coal supply agreements and transportation agreements providing for the purchase and delivery of a significant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coal requirements. These coal and transportation agreements, including option terms, expire in various years between 2011 and 2015. Our minimum annual payment obligation for 2011 is $41.0 million, 2012 is $1.6 million, and 2013 is $1.4 million.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b w:val="1"/>
          <w:bCs w:val="1"/>
          <w:color w:val="auto"/>
        </w:rPr>
        <w:t xml:space="preserve">CapX2020 Transmission Projects. </w:t>
      </w:r>
      <w:r>
        <w:rPr>
          <w:rFonts w:ascii="Arial" w:cs="Arial" w:eastAsia="Arial" w:hAnsi="Arial"/>
          <w:sz w:val="15"/>
          <w:szCs w:val="15"/>
          <w:color w:val="auto"/>
        </w:rPr>
        <w:t>Minnesota Power is a participant in the CapX2020 initiative which represents an effort to ensure electric transmission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reliability 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 As future CapX2020 projects are identified, Minnesota Power may elect to participate on a project̵1;by-project basis.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$11.3 million was spent through December 31, 2010.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July 2010, the MPUC granted a route permit for the 28-mile 345 kV transmission line between Monticello and St. Cloud. Construction of the project is expected to be complete in late 2011. The 210-mile 345 kV transmission line from St. Cloud to Fargo is expected to be complete by 2015. Construction for the Bemidji to Grand Rapids 230 kV line project commenced in January 2011.</w:t>
      </w:r>
    </w:p>
    <w:p>
      <w:pPr>
        <w:spacing w:after="0" w:line="20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have an approved cost recovery rider in place for certain transmission expenditures, and our current billing factor was approved by the MPUC in June 2009. The billing factor allows us to charge our retail customers on a current basis for the costs of constructing certain transmission facilities plus a return on the capital invested. In our 2010 rate case we moved completed transmission projects from the current cost recovery rider to base rates. In July 2010, we filed for an updated billing factor that includes additional transmission projects and expenses, including the CapX2020 projects, which we expect to be approved in early 2011.</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Air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electric utility industry is heavily regulated both at the Federal and State level to address air emissions. Minnesota Power’s generating facilities mainly burn low-sulfur western sub-bituminous coal. Square Butte, located in North Dakota, burns lignite coal. All of Minnesota Power’s generating facilities are equipped with pollution control equipment such as scrubbers, bag houses, and low NO</w:t>
      </w:r>
      <w:r>
        <w:rPr>
          <w:rFonts w:ascii="Arial" w:cs="Arial" w:eastAsia="Arial" w:hAnsi="Arial"/>
          <w:sz w:val="23"/>
          <w:szCs w:val="23"/>
          <w:color w:val="auto"/>
          <w:vertAlign w:val="subscript"/>
        </w:rPr>
        <w:t>x</w:t>
      </w:r>
      <w:r>
        <w:rPr>
          <w:rFonts w:ascii="Arial" w:cs="Arial" w:eastAsia="Arial" w:hAnsi="Arial"/>
          <w:sz w:val="17"/>
          <w:szCs w:val="17"/>
          <w:color w:val="auto"/>
        </w:rPr>
        <w:t xml:space="preserve"> technologies. At this time, these facilities are substantially compliant with applicable emission requirements.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3" w:name="page74"/>
    <w:bookmarkEnd w:id="73"/>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New Source Review. </w:t>
      </w:r>
      <w:r>
        <w:rPr>
          <w:rFonts w:ascii="Arial" w:cs="Arial" w:eastAsia="Arial" w:hAnsi="Arial"/>
          <w:sz w:val="17"/>
          <w:szCs w:val="17"/>
          <w:color w:val="auto"/>
        </w:rPr>
        <w:t>In August 2008, Minnesota Power received a Notice of Violation (NOV) from the United States EPA asserting violations of the New Source Review</w:t>
      </w:r>
      <w:r>
        <w:rPr>
          <w:rFonts w:ascii="Arial" w:cs="Arial" w:eastAsia="Arial" w:hAnsi="Arial"/>
          <w:sz w:val="17"/>
          <w:szCs w:val="17"/>
          <w:i w:val="1"/>
          <w:iCs w:val="1"/>
          <w:color w:val="auto"/>
        </w:rPr>
        <w:t xml:space="preserve"> </w:t>
      </w:r>
      <w:r>
        <w:rPr>
          <w:rFonts w:ascii="Arial" w:cs="Arial" w:eastAsia="Arial" w:hAnsi="Arial"/>
          <w:sz w:val="17"/>
          <w:szCs w:val="17"/>
          <w:color w:val="auto"/>
        </w:rPr>
        <w:t>(NSR)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Minnesota Power believes the projects were in full compliance with the Clean Air Act, NSR requirements and applicable permits.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emissions at Laskin and Boswell, and continues to reduce emissions at Boswell.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EPA Transport Rule. </w:t>
      </w:r>
      <w:r>
        <w:rPr>
          <w:rFonts w:ascii="Arial" w:cs="Arial" w:eastAsia="Arial" w:hAnsi="Arial"/>
          <w:sz w:val="16"/>
          <w:szCs w:val="16"/>
          <w:color w:val="auto"/>
        </w:rPr>
        <w:t>On July 6, 2010, the EPA proposed a rule known as the Transport Rule (TR) requiring 31 states, including Minnesota and the District of Columbia,</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power plant SO</w:t>
      </w:r>
      <w:r>
        <w:rPr>
          <w:rFonts w:ascii="Arial" w:cs="Arial" w:eastAsia="Arial" w:hAnsi="Arial"/>
          <w:sz w:val="22"/>
          <w:szCs w:val="22"/>
          <w:color w:val="auto"/>
          <w:vertAlign w:val="subscript"/>
        </w:rPr>
        <w:t>2</w:t>
      </w:r>
      <w:r>
        <w:rPr>
          <w:rFonts w:ascii="Arial" w:cs="Arial" w:eastAsia="Arial" w:hAnsi="Arial"/>
          <w:sz w:val="16"/>
          <w:szCs w:val="16"/>
          <w:color w:val="auto"/>
        </w:rPr>
        <w:t xml:space="preserve"> and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emissions that can significantly contribute to ozone and fine particle pollution problems in other states. If adopted, the TR will replace the Clean Air Interstate Rule (CAIR) that was issued by the EPA in March 2005. Minnesota was included as one of the original 28 CAIR states but, following Minnesota Power’s successful challenge to CAIR, the EPA granted an administrative stay of the CAIR requirements in Minnesota while it prepared the TR. The proposed TR responds to the United States Court of Appeals for the District of Columbia Circuit’s remand of CAIR by replacing and reforming provisions to address updated air quality standards, improved emissions data and reformed emissions transport modeling.</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EPA took public comments on the proposed rule through October 1, 2010, and plans to finalize the rule in June 2011. Emissions reductions are proposed to take effect in 2012, within one year of projected finalization of the rule.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EPA has not yet determined whether trading of emission allowances between regulated generating units or states may be implemented. Since 2006, we have made substantial investments in pollution control equipment at our Laskin, Taconite Harbor and Boswell generating units which have significantly reduced emissions. These reductions may satisfy Minnesota Power’s obligations with respect to these requirements. We are unable to predict any additional compliance costs we might incur at this time.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 visibility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 eligible units complete and submit a BART emissions control retrofit study, which was completed for Taconite Harbor Unit 3 in November 2008. The retrofit work completed in 2009 at Boswell Unit 3 meets the BART requirements for that unit. In December 2009, the MPCA approved the SIP for submittal to the EPA for its review and approval. Approval by th e EPA is pending on whether to approve the Minnesota SIP. If approved, Minnesota Power will have five years to bring Taconite Harbor Unit 3 into compliance. It is uncertain what controls will ultimately be required at Taconite Harbor Unit 3 in connection with the regional haze rule.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EPA National Emission Standards for Hazardous Air Pollutants (NESHAPs) for Electric Utility Units. </w:t>
      </w:r>
      <w:r>
        <w:rPr>
          <w:rFonts w:ascii="Arial" w:cs="Arial" w:eastAsia="Arial" w:hAnsi="Arial"/>
          <w:sz w:val="15"/>
          <w:szCs w:val="15"/>
          <w:color w:val="auto"/>
        </w:rPr>
        <w:t>Under Section 112 of the Clean Air Act, the EPA is required to set</w:t>
      </w:r>
      <w:r>
        <w:rPr>
          <w:rFonts w:ascii="Arial" w:cs="Arial" w:eastAsia="Arial" w:hAnsi="Arial"/>
          <w:sz w:val="15"/>
          <w:szCs w:val="15"/>
          <w:i w:val="1"/>
          <w:iCs w:val="1"/>
          <w:color w:val="auto"/>
        </w:rPr>
        <w:t xml:space="preserve"> </w:t>
      </w:r>
      <w:r>
        <w:rPr>
          <w:rFonts w:ascii="Arial" w:cs="Arial" w:eastAsia="Arial" w:hAnsi="Arial"/>
          <w:sz w:val="15"/>
          <w:szCs w:val="15"/>
          <w:color w:val="auto"/>
        </w:rPr>
        <w:t>emission standards for hazardous air pollutants for certain source categories. In December 2009, Minnesota Power and other utilities received an Information Collection Request from the EPA requiring that emissions data be provided and stack testing be performed in order to develop a database upon which to base future regulations. On March 30, 2010, Minnesota Power responded to the Information Collection Request. Stack testing was completed during the third quarter of 2010 and the results were submitted to the EPA. The EPA is subject to a consent decree which requires the EPA to propose a utility NESHAPs rul e by March 2011, with the final rule by November 2011. As part of the NESHAPs rulemaking, EPA will develop Maximum Achievable Control Technology standards for utilities. Costs for complying with potential future mercury and other hazardous air pollutant regulations under the Clean Air Act cannot be estimated at this time.</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Minnesota Mercury Emission Reduction Act. </w:t>
      </w:r>
      <w:r>
        <w:rPr>
          <w:rFonts w:ascii="Arial" w:cs="Arial" w:eastAsia="Arial" w:hAnsi="Arial"/>
          <w:sz w:val="15"/>
          <w:szCs w:val="15"/>
          <w:color w:val="auto"/>
        </w:rPr>
        <w:t>Under Minnesota law, a mercury emissions reduction plan for Boswell Unit 4 is required to be submitted by July 1, 2015,</w:t>
      </w:r>
      <w:r>
        <w:rPr>
          <w:rFonts w:ascii="Arial" w:cs="Arial" w:eastAsia="Arial" w:hAnsi="Arial"/>
          <w:sz w:val="15"/>
          <w:szCs w:val="15"/>
          <w:i w:val="1"/>
          <w:iCs w:val="1"/>
          <w:color w:val="auto"/>
        </w:rPr>
        <w:t xml:space="preserve"> </w:t>
      </w:r>
      <w:r>
        <w:rPr>
          <w:rFonts w:ascii="Arial" w:cs="Arial" w:eastAsia="Arial" w:hAnsi="Arial"/>
          <w:sz w:val="15"/>
          <w:szCs w:val="15"/>
          <w:color w:val="auto"/>
        </w:rPr>
        <w:t>with implementation no later than December 31, 2018. The statute also calls for an evaluation of a mercury control alternative which provides for environmental and public health benefits without imposing excessive costs on the utility’s customers. Costs for the Boswell Unit 4 emission reduction plan cannot be estimated at this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059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4" w:name="page75"/>
    <w:bookmarkEnd w:id="74"/>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Proposed and Finalized National Ambient Air Quality Standards. </w:t>
      </w:r>
      <w:r>
        <w:rPr>
          <w:rFonts w:ascii="Arial" w:cs="Arial" w:eastAsia="Arial" w:hAnsi="Arial"/>
          <w:sz w:val="17"/>
          <w:szCs w:val="17"/>
          <w:color w:val="auto"/>
        </w:rPr>
        <w:t>The EPA is required to review the National Ambient Air Quality Standards (NAAQS) every five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Each state is required to adopt plans describing how they will reduce emissions to attain these NAAQS if the state’s air quality is not in compliance with a NAAQS. These state plans often include more stringent air emission limitations on sources of air pollutants in the state. Four NAAQS have either recently been revised, or are currently proposed for revision, as described below.</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is proposing to more stringently control emissions that result in ground level ozone. In January 2010, the EPA proposed to reduce the eight-hour</w:t>
      </w:r>
      <w:r>
        <w:rPr>
          <w:rFonts w:ascii="Arial" w:cs="Arial" w:eastAsia="Arial" w:hAnsi="Arial"/>
          <w:sz w:val="17"/>
          <w:szCs w:val="17"/>
          <w:i w:val="1"/>
          <w:iCs w:val="1"/>
          <w:color w:val="auto"/>
        </w:rPr>
        <w:t xml:space="preserve"> </w:t>
      </w:r>
      <w:r>
        <w:rPr>
          <w:rFonts w:ascii="Arial" w:cs="Arial" w:eastAsia="Arial" w:hAnsi="Arial"/>
          <w:sz w:val="17"/>
          <w:szCs w:val="17"/>
          <w:color w:val="auto"/>
        </w:rPr>
        <w:t>ozone standard and to adopt a secondary standard for the protection of sensitive vegetation from ozone-related damage. The EPA expects to issue final standards by July 2011. As proposed, states have until early 2014 to submit plans outlining how they will meet the standards.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color w:val="auto"/>
        </w:rPr>
        <w:t xml:space="preserve">Particulate Matter NAAQS. </w:t>
      </w:r>
      <w:r>
        <w:rPr>
          <w:rFonts w:ascii="Arial" w:cs="Arial" w:eastAsia="Arial" w:hAnsi="Arial"/>
          <w:sz w:val="16"/>
          <w:szCs w:val="16"/>
          <w:color w:val="auto"/>
        </w:rPr>
        <w:t>The EPA finalized the NAAQS Particulate Matter standards in September 2006. The EPA established a more stringent 24-hour average fine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particulate (PM</w:t>
      </w:r>
      <w:r>
        <w:rPr>
          <w:rFonts w:ascii="Arial" w:cs="Arial" w:eastAsia="Arial" w:hAnsi="Arial"/>
          <w:sz w:val="22"/>
          <w:szCs w:val="22"/>
          <w:color w:val="auto"/>
          <w:vertAlign w:val="subscript"/>
        </w:rPr>
        <w:t>2.5</w:t>
      </w:r>
      <w:r>
        <w:rPr>
          <w:rFonts w:ascii="Arial" w:cs="Arial" w:eastAsia="Arial" w:hAnsi="Arial"/>
          <w:sz w:val="16"/>
          <w:szCs w:val="16"/>
          <w:color w:val="auto"/>
        </w:rPr>
        <w:t>) standard and kept the annual average fine particulate matter standard and the 24-hour coarse particulate matter standard unchanged. The District of Columbia Circuit Court of Appeals has remanded the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 to the EPA, requiring consideration of lower annual average standard values. The EPA has indicated that ambient air quality monitoring for 2008 through 2010 will be used as a basis for states to characterize their attainment status. The EPA plans to finalize the new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standards in 2011, and state attainment status determination will likely not occur prior to 2013. As early as late 2014, affected sources would have to take additional control measures if modeling demonstrates non-compliance at the property boundary.</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23"/>
          <w:szCs w:val="23"/>
          <w:i w:val="1"/>
          <w:iCs w:val="1"/>
          <w:color w:val="auto"/>
          <w:vertAlign w:val="subscript"/>
        </w:rPr>
        <w:t>2</w:t>
      </w:r>
      <w:r>
        <w:rPr>
          <w:rFonts w:ascii="Arial" w:cs="Arial" w:eastAsia="Arial" w:hAnsi="Arial"/>
          <w:sz w:val="17"/>
          <w:szCs w:val="17"/>
          <w:i w:val="1"/>
          <w:iCs w:val="1"/>
          <w:color w:val="auto"/>
        </w:rPr>
        <w:t xml:space="preserve"> and NO</w:t>
      </w:r>
      <w:r>
        <w:rPr>
          <w:rFonts w:ascii="Arial" w:cs="Arial" w:eastAsia="Arial" w:hAnsi="Arial"/>
          <w:sz w:val="23"/>
          <w:szCs w:val="23"/>
          <w:i w:val="1"/>
          <w:iCs w:val="1"/>
          <w:color w:val="auto"/>
          <w:vertAlign w:val="subscript"/>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The EPA recently finalized a new one-hour NAAQS for SO</w:t>
      </w:r>
      <w:r>
        <w:rPr>
          <w:rFonts w:ascii="Arial" w:cs="Arial" w:eastAsia="Arial" w:hAnsi="Arial"/>
          <w:sz w:val="23"/>
          <w:szCs w:val="23"/>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23"/>
          <w:szCs w:val="23"/>
          <w:color w:val="auto"/>
          <w:vertAlign w:val="subscript"/>
        </w:rPr>
        <w:t>2</w:t>
      </w:r>
      <w:r>
        <w:rPr>
          <w:rFonts w:ascii="Arial" w:cs="Arial" w:eastAsia="Arial" w:hAnsi="Arial"/>
          <w:sz w:val="17"/>
          <w:szCs w:val="17"/>
          <w:color w:val="auto"/>
        </w:rPr>
        <w:t>. Monitor data indicates that Minnesota will likely be in compliance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these new standards; however, the SO</w:t>
      </w:r>
      <w:r>
        <w:rPr>
          <w:rFonts w:ascii="Arial" w:cs="Arial" w:eastAsia="Arial" w:hAnsi="Arial"/>
          <w:sz w:val="23"/>
          <w:szCs w:val="23"/>
          <w:color w:val="auto"/>
          <w:vertAlign w:val="subscript"/>
        </w:rPr>
        <w:t>2</w:t>
      </w:r>
      <w:r>
        <w:rPr>
          <w:rFonts w:ascii="Arial" w:cs="Arial" w:eastAsia="Arial" w:hAnsi="Arial"/>
          <w:sz w:val="17"/>
          <w:szCs w:val="17"/>
          <w:color w:val="auto"/>
        </w:rPr>
        <w:t xml:space="preserve"> NAAQS also requires the EPA to evaluate modeling data to determine attai nment. It is unclear what the outcome of this evaluation will be. These NAAQS could also result in more stringent emission limits on our steam generating facilities, possibly resulting in additional control measures on some of our units.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are unable to predict the nature or timing of any additional NAAQS regulation or compliance costs we might incur at this time.</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Climate Change. </w:t>
      </w:r>
      <w:r>
        <w:rPr>
          <w:rFonts w:ascii="Arial" w:cs="Arial" w:eastAsia="Arial" w:hAnsi="Arial"/>
          <w:sz w:val="17"/>
          <w:szCs w:val="17"/>
          <w:color w:val="auto"/>
        </w:rPr>
        <w:t>Minnesota Power is addressing climate change by taking the following steps that also ensure reliable and environmentally compliant generation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to meet our customer’s requirements:</w:t>
      </w:r>
    </w:p>
    <w:p>
      <w:pPr>
        <w:spacing w:after="0" w:line="192" w:lineRule="exact"/>
        <w:rPr>
          <w:sz w:val="20"/>
          <w:szCs w:val="20"/>
          <w:color w:val="auto"/>
        </w:rPr>
      </w:pPr>
    </w:p>
    <w:p>
      <w:pPr>
        <w:ind w:left="600" w:hanging="1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 our renewable energy supply.</w:t>
      </w:r>
    </w:p>
    <w:p>
      <w:pPr>
        <w:spacing w:after="0" w:line="17" w:lineRule="exact"/>
        <w:rPr>
          <w:rFonts w:ascii="Arial" w:cs="Arial" w:eastAsia="Arial" w:hAnsi="Arial"/>
          <w:sz w:val="17"/>
          <w:szCs w:val="17"/>
          <w:color w:val="auto"/>
        </w:rPr>
      </w:pPr>
    </w:p>
    <w:p>
      <w:pPr>
        <w:ind w:left="600" w:hanging="1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Improve the efficiency of our coal-based generation facilities, as well as other process efficiencies.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energy conservation initiatives for our customers and engage in other demand side efforts.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Support research of technologies to reduce carbon emissions from generation facilities and support carbon sequestration efforts.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Achieve overall carbon emission reductions.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Midwestern Greenhouse Gas Reduction Accord. </w:t>
      </w:r>
      <w:r>
        <w:rPr>
          <w:rFonts w:ascii="Arial" w:cs="Arial" w:eastAsia="Arial" w:hAnsi="Arial"/>
          <w:sz w:val="17"/>
          <w:szCs w:val="17"/>
          <w:color w:val="auto"/>
        </w:rPr>
        <w:t>Minnesota is also participating in the Midwestern Greenhouse Gas Reduction Accord (the Accord), a regional effort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 multi-state approach to GHG emission reductions. The Accord includes an agreement to develop a multi-sector cap-and-trade system to help meet the targets established by the group.</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On May 13, 2010, the EPA issued the final Prevention of Significant Deterioration (PSD) and Title V Greenhouse Gas Tailoring Rule</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The PSD/Tailoring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our existing facilities, the rule does not require amending our existing Title V Operating Permits to include GHGs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per year or more of total GHG on a CO</w:t>
      </w:r>
      <w:r>
        <w:rPr>
          <w:rFonts w:ascii="Arial" w:cs="Arial" w:eastAsia="Arial" w:hAnsi="Arial"/>
          <w:sz w:val="22"/>
          <w:szCs w:val="22"/>
          <w:color w:val="auto"/>
          <w:vertAlign w:val="subscript"/>
        </w:rPr>
        <w:t>2</w:t>
      </w:r>
      <w:r>
        <w:rPr>
          <w:rFonts w:ascii="Arial" w:cs="Arial" w:eastAsia="Arial" w:hAnsi="Arial"/>
          <w:sz w:val="16"/>
          <w:szCs w:val="16"/>
          <w:color w:val="auto"/>
        </w:rPr>
        <w:t xml:space="preserve"> equivalent basis.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75" w:name="page76"/>
    <w:bookmarkEnd w:id="75"/>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(Continued)</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EPA also provided examples and technical summaries of GHG emission control technologies and techniques EPA considers available or likely to be available to sources. It is possible these control technologies could be determined to be BACT on a project by project basis. In the near term, one option appears to be energy efficiency maximization.</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Legal challenges to the EPA’s regulation of GHG emissions, including the Tailoring Rule, have been filed and are awaiting judicial determination. Comments to the Permitting Guidance were also submitted and may be addressed by EPA in the form of revised guidance documents.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Coal Ash Management Facilities. </w:t>
      </w:r>
      <w:r>
        <w:rPr>
          <w:rFonts w:ascii="Arial" w:cs="Arial" w:eastAsia="Arial" w:hAnsi="Arial"/>
          <w:sz w:val="17"/>
          <w:szCs w:val="17"/>
          <w:color w:val="auto"/>
        </w:rPr>
        <w:t>Minnesota Power generates coal ash at all five of its steam electric stations. Two facilities store ash in onsite impoundments (ash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On June 18, 2010, the EPA proposed regulations for coal combustion residuals generated by the electric utility sector. The proposal sought comments on three general regulatory schemes for coal ash. Public comments were submitted to the EPA by November 19, 2010. We are unable to predict the complia nce costs we might incur; however, there is the possibility they could have a material impact.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within the City of Superior, Wisconsin,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formerly operated by SWL&amp;P. We have been working with the WDNR to determine the extent of contamination and the remediation of contaminated locations. At December 31, 2010, we have a $0.5 million liability for this site, and a corresponding regulatory asset as we expect recovery of remediation costs to be allowed by the PSCW.</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BNI Coal. </w:t>
      </w:r>
      <w:r>
        <w:rPr>
          <w:rFonts w:ascii="Arial" w:cs="Arial" w:eastAsia="Arial" w:hAnsi="Arial"/>
          <w:sz w:val="17"/>
          <w:szCs w:val="17"/>
          <w:color w:val="auto"/>
        </w:rPr>
        <w:t>As of December 31, 2010, BNI Coal had surety bonds outstanding of $18.4 million related to the reclamation liability for closing costs associated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$10.0 million, of which $6.7 million is needed to meet the requirements for BNI Coal’s total reclamation liability currently estimated at $25.1 million. BNI Coal does not believe it is likely that any of these outstanding bonds will be drawn upon.</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color w:val="auto"/>
        </w:rPr>
        <w:t xml:space="preserve">ALLETE Properties. </w:t>
      </w:r>
      <w:r>
        <w:rPr>
          <w:rFonts w:ascii="Arial" w:cs="Arial" w:eastAsia="Arial" w:hAnsi="Arial"/>
          <w:sz w:val="15"/>
          <w:szCs w:val="15"/>
          <w:color w:val="auto"/>
        </w:rPr>
        <w:t>As of December 31, 2010, ALLETE Properties, through its subsidiaries, had surety bonds outstanding of $11.6 million primarily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and maintenance obligations to governmental entities to construct improvements in their various projects. The remaining work to be completed on these improvements is estimated to be approximately $9.0 million, and ALLETE Properties does not believe it is likely that any of these outstanding bonds will be drawn upon.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 xml:space="preserve">Community Development District Obligations. </w:t>
      </w:r>
      <w:r>
        <w:rPr>
          <w:rFonts w:ascii="Arial" w:cs="Arial" w:eastAsia="Arial" w:hAnsi="Arial"/>
          <w:sz w:val="15"/>
          <w:szCs w:val="15"/>
          <w:color w:val="auto"/>
        </w:rPr>
        <w:t>In March 2005, the Town Center District issued $26.4 million of tax-exempt, 6 percent capital improvement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bonds; and in May 2006, the Palm Coast Park District issued $31.8 million of tax-exempt, 5.7 percent special assessment bonds.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assessments imposed, levied and collected by each district. The asses sments were billed to the landowners in November 2006, for Town Center and November 2007, for Palm Coast Park. To the extent that we still own land at the time of the assessment, we will incur the cost of our portion of these assessments, based upon our ownership of benefited property. At December 31, 2010, we owned 69 percent of the assessable land in the Town Center District (69 percent at December 31, 2009) and 93 percent of the assessable land in the Palm Coast Park District (86 percent at December 31, 2009). At these ownership levels our annual assessments are $1.4 million for Town Center and $2.1 million for Palm Coast Park. As we sell property, the obligation to pay special assessments will pass to the new landowners. Under current accounting rules, these bonds are not reflected as debt on our consolidated balance sheet.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6" w:name="page77"/>
    <w:bookmarkEnd w:id="76"/>
    <w:p>
      <w:pPr>
        <w:spacing w:after="0"/>
        <w:tabs>
          <w:tab w:leader="none" w:pos="11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Commitments, Guarantees and Contingencies (Continued)</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expense related to any damages th at may result from the lawsuit has not been recorded as of December 31, 2010, because a potential loss is not currently probable or reasonably estimable; however, the Company believes it has adequate insurance coverage for potential loss.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7"/>
                <w:szCs w:val="17"/>
                <w:b w:val="1"/>
                <w:bCs w:val="1"/>
                <w:color w:val="auto"/>
                <w:w w:val="87"/>
              </w:rPr>
              <w:t>Note 11.</w:t>
            </w:r>
          </w:p>
        </w:tc>
        <w:tc>
          <w:tcPr>
            <w:tcW w:w="6080" w:type="dxa"/>
            <w:vAlign w:val="bottom"/>
          </w:tcPr>
          <w:p>
            <w:pPr>
              <w:ind w:left="600"/>
              <w:spacing w:after="0"/>
              <w:rPr>
                <w:sz w:val="20"/>
                <w:szCs w:val="20"/>
                <w:color w:val="auto"/>
              </w:rPr>
            </w:pPr>
            <w:r>
              <w:rPr>
                <w:rFonts w:ascii="Arial" w:cs="Arial" w:eastAsia="Arial" w:hAnsi="Arial"/>
                <w:sz w:val="17"/>
                <w:szCs w:val="17"/>
                <w:b w:val="1"/>
                <w:bCs w:val="1"/>
                <w:color w:val="auto"/>
              </w:rPr>
              <w:t>Common Stock and Earnings Per Share</w:t>
            </w:r>
          </w:p>
        </w:tc>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1"/>
        </w:trPr>
        <w:tc>
          <w:tcPr>
            <w:tcW w:w="6680" w:type="dxa"/>
            <w:vAlign w:val="bottom"/>
            <w:gridSpan w:val="2"/>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Summary of Common Stock</w:t>
            </w:r>
          </w:p>
        </w:tc>
        <w:tc>
          <w:tcPr>
            <w:tcW w:w="36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Shares</w:t>
            </w:r>
          </w:p>
        </w:tc>
        <w:tc>
          <w:tcPr>
            <w:tcW w:w="11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Equity</w:t>
            </w:r>
          </w:p>
        </w:tc>
      </w:tr>
      <w:tr>
        <w:trPr>
          <w:trHeight w:val="206"/>
        </w:trPr>
        <w:tc>
          <w:tcPr>
            <w:tcW w:w="60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Thousands</w:t>
            </w: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Millions</w:t>
            </w:r>
          </w:p>
        </w:tc>
      </w:tr>
      <w:tr>
        <w:trPr>
          <w:trHeight w:val="201"/>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2007</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30,827</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$461.2</w:t>
            </w:r>
          </w:p>
        </w:tc>
      </w:tr>
      <w:tr>
        <w:trPr>
          <w:trHeight w:val="201"/>
        </w:trPr>
        <w:tc>
          <w:tcPr>
            <w:tcW w:w="6680" w:type="dxa"/>
            <w:vAlign w:val="bottom"/>
            <w:gridSpan w:val="2"/>
          </w:tcPr>
          <w:p>
            <w:pPr>
              <w:spacing w:after="0"/>
              <w:rPr>
                <w:sz w:val="20"/>
                <w:szCs w:val="20"/>
                <w:color w:val="auto"/>
              </w:rPr>
            </w:pPr>
            <w:r>
              <w:rPr>
                <w:rFonts w:ascii="Arial" w:cs="Arial" w:eastAsia="Arial" w:hAnsi="Arial"/>
                <w:sz w:val="17"/>
                <w:szCs w:val="17"/>
                <w:color w:val="auto"/>
              </w:rPr>
              <w:t>2008  Employee Stock Purchase Plan</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17</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0.6</w:t>
            </w:r>
          </w:p>
        </w:tc>
      </w:tr>
      <w:tr>
        <w:trPr>
          <w:trHeight w:val="201"/>
        </w:trPr>
        <w:tc>
          <w:tcPr>
            <w:tcW w:w="60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Invest Direct</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161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6.9</w:t>
            </w:r>
          </w:p>
        </w:tc>
      </w:tr>
      <w:tr>
        <w:trPr>
          <w:trHeight w:val="201"/>
        </w:trPr>
        <w:tc>
          <w:tcPr>
            <w:tcW w:w="6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Options and Stock Awards</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24</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4.6</w:t>
            </w:r>
          </w:p>
        </w:tc>
      </w:tr>
      <w:tr>
        <w:trPr>
          <w:trHeight w:val="206"/>
        </w:trPr>
        <w:tc>
          <w:tcPr>
            <w:tcW w:w="600" w:type="dxa"/>
            <w:vAlign w:val="bottom"/>
            <w:tcBorders>
              <w:bottom w:val="single" w:sz="8" w:color="auto"/>
            </w:tcBorders>
            <w:shd w:val="clear" w:color="auto" w:fill="CCEEFF"/>
          </w:tcPr>
          <w:p>
            <w:pPr>
              <w:spacing w:after="0"/>
              <w:rPr>
                <w:sz w:val="17"/>
                <w:szCs w:val="17"/>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Equity Issuance Program</w:t>
            </w:r>
          </w:p>
        </w:tc>
        <w:tc>
          <w:tcPr>
            <w:tcW w:w="36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1,556</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60.8</w:t>
            </w:r>
          </w:p>
        </w:tc>
      </w:tr>
      <w:tr>
        <w:trPr>
          <w:trHeight w:val="201"/>
        </w:trPr>
        <w:tc>
          <w:tcPr>
            <w:tcW w:w="6680" w:type="dxa"/>
            <w:vAlign w:val="bottom"/>
            <w:gridSpan w:val="2"/>
          </w:tcPr>
          <w:p>
            <w:pPr>
              <w:spacing w:after="0"/>
              <w:rPr>
                <w:sz w:val="20"/>
                <w:szCs w:val="20"/>
                <w:color w:val="auto"/>
              </w:rPr>
            </w:pPr>
            <w:r>
              <w:rPr>
                <w:rFonts w:ascii="Arial" w:cs="Arial" w:eastAsia="Arial" w:hAnsi="Arial"/>
                <w:sz w:val="17"/>
                <w:szCs w:val="17"/>
                <w:color w:val="auto"/>
              </w:rPr>
              <w:t>Balance as of December 31, 2008</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32,585</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$534.1</w:t>
            </w:r>
          </w:p>
        </w:tc>
      </w:tr>
      <w:tr>
        <w:trPr>
          <w:trHeight w:val="201"/>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  Employee Stock Purchase Plan</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24</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0.7</w:t>
            </w:r>
          </w:p>
        </w:tc>
      </w:tr>
      <w:tr>
        <w:trPr>
          <w:trHeight w:val="201"/>
        </w:trPr>
        <w:tc>
          <w:tcPr>
            <w:tcW w:w="6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Invest Direct</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456</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13.6</w:t>
            </w:r>
          </w:p>
        </w:tc>
      </w:tr>
      <w:tr>
        <w:trPr>
          <w:trHeight w:val="201"/>
        </w:trPr>
        <w:tc>
          <w:tcPr>
            <w:tcW w:w="60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Options and Stock Awards</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1.1</w:t>
            </w:r>
          </w:p>
        </w:tc>
      </w:tr>
      <w:tr>
        <w:trPr>
          <w:trHeight w:val="201"/>
        </w:trPr>
        <w:tc>
          <w:tcPr>
            <w:tcW w:w="6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Equity Issuance Program</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1,685</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51.9</w:t>
            </w:r>
          </w:p>
        </w:tc>
      </w:tr>
      <w:tr>
        <w:trPr>
          <w:trHeight w:val="206"/>
        </w:trPr>
        <w:tc>
          <w:tcPr>
            <w:tcW w:w="600" w:type="dxa"/>
            <w:vAlign w:val="bottom"/>
            <w:tcBorders>
              <w:bottom w:val="single" w:sz="8" w:color="auto"/>
            </w:tcBorders>
            <w:shd w:val="clear" w:color="auto" w:fill="CCEEFF"/>
          </w:tcPr>
          <w:p>
            <w:pPr>
              <w:spacing w:after="0"/>
              <w:rPr>
                <w:sz w:val="17"/>
                <w:szCs w:val="17"/>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Contributions to Pension</w:t>
            </w:r>
          </w:p>
        </w:tc>
        <w:tc>
          <w:tcPr>
            <w:tcW w:w="36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463</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12.0</w:t>
            </w:r>
          </w:p>
        </w:tc>
      </w:tr>
      <w:tr>
        <w:trPr>
          <w:trHeight w:val="201"/>
        </w:trPr>
        <w:tc>
          <w:tcPr>
            <w:tcW w:w="6680" w:type="dxa"/>
            <w:vAlign w:val="bottom"/>
            <w:gridSpan w:val="2"/>
          </w:tcPr>
          <w:p>
            <w:pPr>
              <w:spacing w:after="0"/>
              <w:rPr>
                <w:sz w:val="20"/>
                <w:szCs w:val="20"/>
                <w:color w:val="auto"/>
              </w:rPr>
            </w:pPr>
            <w:r>
              <w:rPr>
                <w:rFonts w:ascii="Arial" w:cs="Arial" w:eastAsia="Arial" w:hAnsi="Arial"/>
                <w:sz w:val="17"/>
                <w:szCs w:val="17"/>
                <w:color w:val="auto"/>
              </w:rPr>
              <w:t>Balance as of December 31, 2009</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35,221</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$613.4</w:t>
            </w:r>
          </w:p>
        </w:tc>
      </w:tr>
      <w:tr>
        <w:trPr>
          <w:trHeight w:val="201"/>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  Employee Stock Purchase Plan</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19</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0.6</w:t>
            </w:r>
          </w:p>
        </w:tc>
      </w:tr>
      <w:tr>
        <w:trPr>
          <w:trHeight w:val="201"/>
        </w:trPr>
        <w:tc>
          <w:tcPr>
            <w:tcW w:w="6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Invest Direct</w:t>
            </w:r>
          </w:p>
        </w:tc>
        <w:tc>
          <w:tcPr>
            <w:tcW w:w="3640" w:type="dxa"/>
            <w:vAlign w:val="bottom"/>
          </w:tcPr>
          <w:p>
            <w:pPr>
              <w:jc w:val="right"/>
              <w:ind w:right="296"/>
              <w:spacing w:after="0"/>
              <w:rPr>
                <w:sz w:val="20"/>
                <w:szCs w:val="20"/>
                <w:color w:val="auto"/>
              </w:rPr>
            </w:pPr>
            <w:r>
              <w:rPr>
                <w:rFonts w:ascii="Arial" w:cs="Arial" w:eastAsia="Arial" w:hAnsi="Arial"/>
                <w:sz w:val="17"/>
                <w:szCs w:val="17"/>
                <w:color w:val="auto"/>
              </w:rPr>
              <w:t>346</w:t>
            </w:r>
          </w:p>
        </w:tc>
        <w:tc>
          <w:tcPr>
            <w:tcW w:w="1100" w:type="dxa"/>
            <w:vAlign w:val="bottom"/>
          </w:tcPr>
          <w:p>
            <w:pPr>
              <w:jc w:val="right"/>
              <w:ind w:right="196"/>
              <w:spacing w:after="0"/>
              <w:rPr>
                <w:sz w:val="20"/>
                <w:szCs w:val="20"/>
                <w:color w:val="auto"/>
              </w:rPr>
            </w:pPr>
            <w:r>
              <w:rPr>
                <w:rFonts w:ascii="Arial" w:cs="Arial" w:eastAsia="Arial" w:hAnsi="Arial"/>
                <w:sz w:val="17"/>
                <w:szCs w:val="17"/>
                <w:color w:val="auto"/>
              </w:rPr>
              <w:t>11.7</w:t>
            </w:r>
          </w:p>
        </w:tc>
      </w:tr>
      <w:tr>
        <w:trPr>
          <w:trHeight w:val="201"/>
        </w:trPr>
        <w:tc>
          <w:tcPr>
            <w:tcW w:w="60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Options and Stock Awards</w:t>
            </w:r>
          </w:p>
        </w:tc>
        <w:tc>
          <w:tcPr>
            <w:tcW w:w="36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4.4</w:t>
            </w:r>
          </w:p>
        </w:tc>
      </w:tr>
      <w:tr>
        <w:trPr>
          <w:trHeight w:val="206"/>
        </w:trPr>
        <w:tc>
          <w:tcPr>
            <w:tcW w:w="60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Equity Issuance Program</w:t>
            </w:r>
          </w:p>
        </w:tc>
        <w:tc>
          <w:tcPr>
            <w:tcW w:w="36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180</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6.0</w:t>
            </w:r>
          </w:p>
        </w:tc>
      </w:tr>
      <w:tr>
        <w:trPr>
          <w:trHeight w:val="206"/>
        </w:trPr>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2010</w:t>
            </w:r>
          </w:p>
        </w:tc>
        <w:tc>
          <w:tcPr>
            <w:tcW w:w="36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35,817</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$636.1</w:t>
            </w:r>
          </w:p>
        </w:tc>
      </w:tr>
    </w:tbl>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Equity Issuance Program. </w:t>
      </w:r>
      <w:r>
        <w:rPr>
          <w:rFonts w:ascii="Arial" w:cs="Arial" w:eastAsia="Arial" w:hAnsi="Arial"/>
          <w:sz w:val="17"/>
          <w:szCs w:val="17"/>
          <w:color w:val="auto"/>
        </w:rPr>
        <w:t>We entered into a distribution agreement with KCCI, Inc., in February 2008, as amended, with respect to the issuance and sale of up to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of 6.6 million shares of our common stock, without par value. For the year ended December 31, 2010, 0.2 million shares of common stock were issued under this agreement resulting in net proceeds of $6.0 million. During 2009, 1.7 million shares of common stock were issued for net proceeds of $51.9 million. As of December 31, 2010, approximately 3.1 million shares of common stock remain available for issuance pursuant to the amended distribution agreement. The shares issued in 2010 and 2009 were offered for sale, from time to time, in accordance with the terms of the amended distribution agreem ent pursuant to Registration Statement No. 333-147965. The remaining shares may be offered for sale, from time to time, in accordance with the terms of the amended distribution agreement pursuant to Registration Statement No. 333-170289.</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Authorized Common Stock. </w:t>
      </w:r>
      <w:r>
        <w:rPr>
          <w:rFonts w:ascii="Arial" w:cs="Arial" w:eastAsia="Arial" w:hAnsi="Arial"/>
          <w:sz w:val="17"/>
          <w:szCs w:val="17"/>
          <w:color w:val="auto"/>
        </w:rPr>
        <w:t>On May 12, 2009, shareholders approved an amendment to the Company’s Amended and Restated Articles of Incorporation to increase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authorized shares of common stock from 43.3 million to 80.0 million.</w:t>
      </w:r>
    </w:p>
    <w:p>
      <w:pPr>
        <w:spacing w:after="0" w:line="15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 xml:space="preserve">Earnings Per Share. </w:t>
      </w:r>
      <w:r>
        <w:rPr>
          <w:rFonts w:ascii="Arial" w:cs="Arial" w:eastAsia="Arial" w:hAnsi="Arial"/>
          <w:sz w:val="15"/>
          <w:szCs w:val="15"/>
          <w:color w:val="auto"/>
        </w:rPr>
        <w:t>The difference between basic and diluted earnings per share arises, if any, from outstanding stock options, non-vested restricted stock, and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share awards granted under our Executive and Director Long-Term Incentive Compensation Plans. In accordance with accounting standards for earnings per share, for 2010, 0.5 million options to purchase shares of common stock were excluded from the computation of diluted earnings per share because the option exercise prices were greater than the average market prices, and therefore, their effect would be anti-dilutive (0.6 million shares were excluded for 2009 and 0.6 million in 2008).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7"/>
                <w:szCs w:val="17"/>
                <w:b w:val="1"/>
                <w:bCs w:val="1"/>
                <w:color w:val="auto"/>
              </w:rPr>
              <w:t>Note 11.</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Common Stock and Earnings Per Share (Continued)</w:t>
            </w:r>
          </w:p>
        </w:tc>
        <w:tc>
          <w:tcPr>
            <w:tcW w:w="2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658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Reconciliation of Basic and Diluted</w:t>
            </w:r>
          </w:p>
        </w:tc>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6580" w:type="dxa"/>
            <w:vAlign w:val="bottom"/>
            <w:gridSpan w:val="2"/>
          </w:tcPr>
          <w:p>
            <w:pPr>
              <w:spacing w:after="0"/>
              <w:rPr>
                <w:sz w:val="20"/>
                <w:szCs w:val="20"/>
                <w:color w:val="auto"/>
              </w:rPr>
            </w:pPr>
            <w:r>
              <w:rPr>
                <w:rFonts w:ascii="Arial" w:cs="Arial" w:eastAsia="Arial" w:hAnsi="Arial"/>
                <w:sz w:val="17"/>
                <w:szCs w:val="17"/>
                <w:b w:val="1"/>
                <w:bCs w:val="1"/>
                <w:color w:val="auto"/>
              </w:rPr>
              <w:t>Earnings Per Share</w:t>
            </w:r>
          </w:p>
        </w:tc>
        <w:tc>
          <w:tcPr>
            <w:tcW w:w="25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Dilutive</w:t>
            </w:r>
          </w:p>
        </w:tc>
        <w:tc>
          <w:tcPr>
            <w:tcW w:w="1120" w:type="dxa"/>
            <w:vAlign w:val="bottom"/>
          </w:tcPr>
          <w:p>
            <w:pPr>
              <w:spacing w:after="0"/>
              <w:rPr>
                <w:sz w:val="17"/>
                <w:szCs w:val="17"/>
                <w:color w:val="auto"/>
              </w:rPr>
            </w:pPr>
          </w:p>
        </w:tc>
      </w:tr>
      <w:tr>
        <w:trPr>
          <w:trHeight w:val="206"/>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25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b w:val="1"/>
                <w:bCs w:val="1"/>
                <w:color w:val="auto"/>
              </w:rPr>
              <w:t>Basic</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Diluted</w:t>
            </w:r>
          </w:p>
        </w:tc>
      </w:tr>
      <w:tr>
        <w:trPr>
          <w:trHeight w:val="201"/>
        </w:trPr>
        <w:tc>
          <w:tcPr>
            <w:tcW w:w="6580" w:type="dxa"/>
            <w:vAlign w:val="bottom"/>
            <w:gridSpan w:val="2"/>
          </w:tcPr>
          <w:p>
            <w:pPr>
              <w:spacing w:after="0"/>
              <w:rPr>
                <w:sz w:val="20"/>
                <w:szCs w:val="20"/>
                <w:color w:val="auto"/>
              </w:rPr>
            </w:pPr>
            <w:r>
              <w:rPr>
                <w:rFonts w:ascii="Arial" w:cs="Arial" w:eastAsia="Arial" w:hAnsi="Arial"/>
                <w:sz w:val="17"/>
                <w:szCs w:val="17"/>
                <w:b w:val="1"/>
                <w:bCs w:val="1"/>
                <w:color w:val="auto"/>
              </w:rPr>
              <w:t>Millions Except Per Share Amounts</w:t>
            </w: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5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ALLETE</w:t>
            </w:r>
          </w:p>
        </w:tc>
        <w:tc>
          <w:tcPr>
            <w:tcW w:w="25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$75.3</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$75.3</w:t>
            </w:r>
          </w:p>
        </w:tc>
      </w:tr>
      <w:tr>
        <w:trPr>
          <w:trHeight w:val="201"/>
        </w:trPr>
        <w:tc>
          <w:tcPr>
            <w:tcW w:w="1180" w:type="dxa"/>
            <w:vAlign w:val="bottom"/>
          </w:tcPr>
          <w:p>
            <w:pPr>
              <w:spacing w:after="0"/>
              <w:rPr>
                <w:sz w:val="20"/>
                <w:szCs w:val="20"/>
                <w:color w:val="auto"/>
              </w:rPr>
            </w:pPr>
            <w:r>
              <w:rPr>
                <w:rFonts w:ascii="Arial" w:cs="Arial" w:eastAsia="Arial" w:hAnsi="Arial"/>
                <w:sz w:val="17"/>
                <w:szCs w:val="17"/>
                <w:color w:val="auto"/>
                <w:w w:val="90"/>
              </w:rPr>
              <w:t>Common Shares</w:t>
            </w:r>
          </w:p>
        </w:tc>
        <w:tc>
          <w:tcPr>
            <w:tcW w:w="5400" w:type="dxa"/>
            <w:vAlign w:val="bottom"/>
          </w:tcPr>
          <w:p>
            <w:pPr>
              <w:spacing w:after="0"/>
              <w:rPr>
                <w:sz w:val="17"/>
                <w:szCs w:val="17"/>
                <w:color w:val="auto"/>
              </w:rPr>
            </w:pPr>
          </w:p>
        </w:tc>
        <w:tc>
          <w:tcPr>
            <w:tcW w:w="2520" w:type="dxa"/>
            <w:vAlign w:val="bottom"/>
          </w:tcPr>
          <w:p>
            <w:pPr>
              <w:jc w:val="right"/>
              <w:ind w:right="156"/>
              <w:spacing w:after="0"/>
              <w:rPr>
                <w:sz w:val="20"/>
                <w:szCs w:val="20"/>
                <w:color w:val="auto"/>
              </w:rPr>
            </w:pPr>
            <w:r>
              <w:rPr>
                <w:rFonts w:ascii="Arial" w:cs="Arial" w:eastAsia="Arial" w:hAnsi="Arial"/>
                <w:sz w:val="17"/>
                <w:szCs w:val="17"/>
                <w:color w:val="auto"/>
              </w:rPr>
              <w:t>34.2</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0.1</w:t>
            </w: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34.3</w:t>
            </w:r>
          </w:p>
        </w:tc>
      </w:tr>
      <w:tr>
        <w:trPr>
          <w:trHeight w:val="201"/>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 Share of Common Stock</w:t>
            </w:r>
          </w:p>
        </w:tc>
        <w:tc>
          <w:tcPr>
            <w:tcW w:w="25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$2.20</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$2.19</w:t>
            </w:r>
          </w:p>
        </w:tc>
      </w:tr>
      <w:tr>
        <w:trPr>
          <w:trHeight w:val="201"/>
        </w:trPr>
        <w:tc>
          <w:tcPr>
            <w:tcW w:w="1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2009</w:t>
            </w:r>
          </w:p>
        </w:tc>
        <w:tc>
          <w:tcPr>
            <w:tcW w:w="54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6580" w:type="dxa"/>
            <w:vAlign w:val="bottom"/>
            <w:gridSpan w:val="2"/>
          </w:tcPr>
          <w:p>
            <w:pPr>
              <w:spacing w:after="0"/>
              <w:rPr>
                <w:sz w:val="20"/>
                <w:szCs w:val="20"/>
                <w:color w:val="auto"/>
              </w:rPr>
            </w:pPr>
            <w:r>
              <w:rPr>
                <w:rFonts w:ascii="Arial" w:cs="Arial" w:eastAsia="Arial" w:hAnsi="Arial"/>
                <w:sz w:val="17"/>
                <w:szCs w:val="17"/>
                <w:color w:val="auto"/>
              </w:rPr>
              <w:t>Net Income Attributable to ALLETE</w:t>
            </w:r>
          </w:p>
        </w:tc>
        <w:tc>
          <w:tcPr>
            <w:tcW w:w="2520" w:type="dxa"/>
            <w:vAlign w:val="bottom"/>
          </w:tcPr>
          <w:p>
            <w:pPr>
              <w:jc w:val="right"/>
              <w:ind w:right="156"/>
              <w:spacing w:after="0"/>
              <w:rPr>
                <w:sz w:val="20"/>
                <w:szCs w:val="20"/>
                <w:color w:val="auto"/>
              </w:rPr>
            </w:pPr>
            <w:r>
              <w:rPr>
                <w:rFonts w:ascii="Arial" w:cs="Arial" w:eastAsia="Arial" w:hAnsi="Arial"/>
                <w:sz w:val="17"/>
                <w:szCs w:val="17"/>
                <w:color w:val="auto"/>
              </w:rPr>
              <w:t>$61.0</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$61.0</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w w:val="90"/>
              </w:rPr>
              <w:t>Common Shares</w:t>
            </w:r>
          </w:p>
        </w:tc>
        <w:tc>
          <w:tcPr>
            <w:tcW w:w="5400" w:type="dxa"/>
            <w:vAlign w:val="bottom"/>
            <w:shd w:val="clear" w:color="auto" w:fill="CCEEFF"/>
          </w:tcPr>
          <w:p>
            <w:pPr>
              <w:spacing w:after="0"/>
              <w:rPr>
                <w:sz w:val="17"/>
                <w:szCs w:val="17"/>
                <w:color w:val="auto"/>
              </w:rPr>
            </w:pPr>
          </w:p>
        </w:tc>
        <w:tc>
          <w:tcPr>
            <w:tcW w:w="25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32.2</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32.2</w:t>
            </w:r>
          </w:p>
        </w:tc>
      </w:tr>
      <w:tr>
        <w:trPr>
          <w:trHeight w:val="201"/>
        </w:trPr>
        <w:tc>
          <w:tcPr>
            <w:tcW w:w="6580" w:type="dxa"/>
            <w:vAlign w:val="bottom"/>
            <w:gridSpan w:val="2"/>
          </w:tcPr>
          <w:p>
            <w:pPr>
              <w:spacing w:after="0"/>
              <w:rPr>
                <w:sz w:val="20"/>
                <w:szCs w:val="20"/>
                <w:color w:val="auto"/>
              </w:rPr>
            </w:pPr>
            <w:r>
              <w:rPr>
                <w:rFonts w:ascii="Arial" w:cs="Arial" w:eastAsia="Arial" w:hAnsi="Arial"/>
                <w:sz w:val="17"/>
                <w:szCs w:val="17"/>
                <w:color w:val="auto"/>
              </w:rPr>
              <w:t>Per Share of Common Stock</w:t>
            </w:r>
          </w:p>
        </w:tc>
        <w:tc>
          <w:tcPr>
            <w:tcW w:w="2520" w:type="dxa"/>
            <w:vAlign w:val="bottom"/>
          </w:tcPr>
          <w:p>
            <w:pPr>
              <w:jc w:val="right"/>
              <w:ind w:right="156"/>
              <w:spacing w:after="0"/>
              <w:rPr>
                <w:sz w:val="20"/>
                <w:szCs w:val="20"/>
                <w:color w:val="auto"/>
              </w:rPr>
            </w:pPr>
            <w:r>
              <w:rPr>
                <w:rFonts w:ascii="Arial" w:cs="Arial" w:eastAsia="Arial" w:hAnsi="Arial"/>
                <w:sz w:val="17"/>
                <w:szCs w:val="17"/>
                <w:color w:val="auto"/>
              </w:rPr>
              <w:t>$1.89</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$1.89</w:t>
            </w:r>
          </w:p>
        </w:tc>
      </w:tr>
      <w:tr>
        <w:trPr>
          <w:trHeight w:val="201"/>
        </w:trPr>
        <w:tc>
          <w:tcPr>
            <w:tcW w:w="11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5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ALLETE</w:t>
            </w:r>
          </w:p>
        </w:tc>
        <w:tc>
          <w:tcPr>
            <w:tcW w:w="25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$82.5</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$82.5</w:t>
            </w:r>
          </w:p>
        </w:tc>
      </w:tr>
      <w:tr>
        <w:trPr>
          <w:trHeight w:val="201"/>
        </w:trPr>
        <w:tc>
          <w:tcPr>
            <w:tcW w:w="1180" w:type="dxa"/>
            <w:vAlign w:val="bottom"/>
          </w:tcPr>
          <w:p>
            <w:pPr>
              <w:spacing w:after="0"/>
              <w:rPr>
                <w:sz w:val="20"/>
                <w:szCs w:val="20"/>
                <w:color w:val="auto"/>
              </w:rPr>
            </w:pPr>
            <w:r>
              <w:rPr>
                <w:rFonts w:ascii="Arial" w:cs="Arial" w:eastAsia="Arial" w:hAnsi="Arial"/>
                <w:sz w:val="17"/>
                <w:szCs w:val="17"/>
                <w:color w:val="auto"/>
                <w:w w:val="90"/>
              </w:rPr>
              <w:t>Common Shares</w:t>
            </w:r>
          </w:p>
        </w:tc>
        <w:tc>
          <w:tcPr>
            <w:tcW w:w="5400" w:type="dxa"/>
            <w:vAlign w:val="bottom"/>
          </w:tcPr>
          <w:p>
            <w:pPr>
              <w:spacing w:after="0"/>
              <w:rPr>
                <w:sz w:val="17"/>
                <w:szCs w:val="17"/>
                <w:color w:val="auto"/>
              </w:rPr>
            </w:pPr>
          </w:p>
        </w:tc>
        <w:tc>
          <w:tcPr>
            <w:tcW w:w="2520" w:type="dxa"/>
            <w:vAlign w:val="bottom"/>
          </w:tcPr>
          <w:p>
            <w:pPr>
              <w:jc w:val="right"/>
              <w:ind w:right="156"/>
              <w:spacing w:after="0"/>
              <w:rPr>
                <w:sz w:val="20"/>
                <w:szCs w:val="20"/>
                <w:color w:val="auto"/>
              </w:rPr>
            </w:pPr>
            <w:r>
              <w:rPr>
                <w:rFonts w:ascii="Arial" w:cs="Arial" w:eastAsia="Arial" w:hAnsi="Arial"/>
                <w:sz w:val="17"/>
                <w:szCs w:val="17"/>
                <w:color w:val="auto"/>
              </w:rPr>
              <w:t>29.2</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0.1</w:t>
            </w: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29.3</w:t>
            </w:r>
          </w:p>
        </w:tc>
      </w:tr>
      <w:tr>
        <w:trPr>
          <w:trHeight w:val="206"/>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Per Share of Common Stock</w:t>
            </w:r>
          </w:p>
        </w:tc>
        <w:tc>
          <w:tcPr>
            <w:tcW w:w="25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$2.82</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$2.82</w:t>
            </w:r>
          </w:p>
        </w:tc>
      </w:tr>
      <w:tr>
        <w:trPr>
          <w:trHeight w:val="603"/>
        </w:trPr>
        <w:tc>
          <w:tcPr>
            <w:tcW w:w="1180" w:type="dxa"/>
            <w:vAlign w:val="bottom"/>
          </w:tcPr>
          <w:p>
            <w:pPr>
              <w:spacing w:after="0"/>
              <w:rPr>
                <w:sz w:val="20"/>
                <w:szCs w:val="20"/>
                <w:color w:val="auto"/>
              </w:rPr>
            </w:pPr>
            <w:r>
              <w:rPr>
                <w:rFonts w:ascii="Arial" w:cs="Arial" w:eastAsia="Arial" w:hAnsi="Arial"/>
                <w:sz w:val="17"/>
                <w:szCs w:val="17"/>
                <w:b w:val="1"/>
                <w:bCs w:val="1"/>
                <w:color w:val="auto"/>
              </w:rPr>
              <w:t>Note 12.</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1"/>
        </w:trPr>
        <w:tc>
          <w:tcPr>
            <w:tcW w:w="658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25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b w:val="1"/>
                <w:bCs w:val="1"/>
                <w:color w:val="auto"/>
              </w:rPr>
              <w:t>2010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2009</w:t>
            </w:r>
          </w:p>
        </w:tc>
        <w:tc>
          <w:tcPr>
            <w:tcW w:w="11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2008</w:t>
            </w: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5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w w:val="95"/>
              </w:rPr>
              <w:t>AFUDC - Equity</w:t>
            </w:r>
          </w:p>
        </w:tc>
        <w:tc>
          <w:tcPr>
            <w:tcW w:w="5400" w:type="dxa"/>
            <w:vAlign w:val="bottom"/>
            <w:shd w:val="clear" w:color="auto" w:fill="CCEEFF"/>
          </w:tcPr>
          <w:p>
            <w:pPr>
              <w:spacing w:after="0"/>
              <w:rPr>
                <w:sz w:val="17"/>
                <w:szCs w:val="17"/>
                <w:color w:val="auto"/>
              </w:rPr>
            </w:pPr>
          </w:p>
        </w:tc>
        <w:tc>
          <w:tcPr>
            <w:tcW w:w="25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$4.2</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$5.8</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$3.3</w:t>
            </w:r>
          </w:p>
        </w:tc>
      </w:tr>
      <w:tr>
        <w:trPr>
          <w:trHeight w:val="206"/>
        </w:trPr>
        <w:tc>
          <w:tcPr>
            <w:tcW w:w="6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Investments and Other Income (a)</w:t>
            </w:r>
          </w:p>
        </w:tc>
        <w:tc>
          <w:tcPr>
            <w:tcW w:w="2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0.4</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(4.0)</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12.3</w:t>
            </w:r>
          </w:p>
        </w:tc>
      </w:tr>
      <w:tr>
        <w:trPr>
          <w:trHeight w:val="206"/>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Total Other Income</w:t>
            </w:r>
          </w:p>
        </w:tc>
        <w:tc>
          <w:tcPr>
            <w:tcW w:w="2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$4.6</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$1.8</w:t>
            </w:r>
          </w:p>
        </w:tc>
        <w:tc>
          <w:tcPr>
            <w:tcW w:w="11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$15.6</w:t>
            </w:r>
          </w:p>
        </w:tc>
      </w:tr>
    </w:tbl>
    <w:p>
      <w:pPr>
        <w:spacing w:after="0" w:line="189" w:lineRule="exact"/>
        <w:rPr>
          <w:sz w:val="20"/>
          <w:szCs w:val="20"/>
          <w:color w:val="auto"/>
        </w:rPr>
      </w:pPr>
    </w:p>
    <w:p>
      <w:pPr>
        <w:ind w:left="300" w:hanging="299"/>
        <w:spacing w:after="0" w:line="268" w:lineRule="auto"/>
        <w:tabs>
          <w:tab w:leader="none" w:pos="30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In 2008, Investment and Other Income included a gain from the sale of certain available-for-sale securities. The gain was triggered when securities were sold to reallocate investments to meet defined investment allocations based upon an approved investment strategy.</w:t>
      </w:r>
    </w:p>
    <w:p>
      <w:pPr>
        <w:spacing w:after="0" w:line="36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4"/>
          <w:szCs w:val="14"/>
          <w:b w:val="1"/>
          <w:bCs w:val="1"/>
          <w:color w:val="auto"/>
        </w:rPr>
        <w:t>Income Tax Expense</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March 23, 2010, the Patient Protection and Affordable Care Act, which was subsequently amended on March 30, 2010, was signed into law by the President. The law includes provisions to generate tax revenue to help offset the cost of the new legislation. One of the provisions changes the tax 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in the period of enactment. Consequently, the elimination of the previously recorded tax benefit resulted in a non-recurring charge to net income of $4.0 million in 2010. On October 8, 2010, we submitted a filing with the MPUC to request deferral o f the retail portion of Medicare Part D of this legislation. As we are unable to predict the outcome at this time, we have not deferred any portion of this amount as a regulatory asset.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7"/>
                <w:szCs w:val="17"/>
                <w:b w:val="1"/>
                <w:bCs w:val="1"/>
                <w:color w:val="auto"/>
              </w:rPr>
              <w:t>Note 13.</w:t>
            </w:r>
          </w:p>
        </w:tc>
        <w:tc>
          <w:tcPr>
            <w:tcW w:w="4780" w:type="dxa"/>
            <w:vAlign w:val="bottom"/>
          </w:tcPr>
          <w:p>
            <w:pPr>
              <w:ind w:left="160"/>
              <w:spacing w:after="0"/>
              <w:rPr>
                <w:sz w:val="20"/>
                <w:szCs w:val="20"/>
                <w:color w:val="auto"/>
              </w:rPr>
            </w:pPr>
            <w:r>
              <w:rPr>
                <w:rFonts w:ascii="Arial" w:cs="Arial" w:eastAsia="Arial" w:hAnsi="Arial"/>
                <w:sz w:val="17"/>
                <w:szCs w:val="17"/>
                <w:b w:val="1"/>
                <w:bCs w:val="1"/>
                <w:color w:val="auto"/>
              </w:rPr>
              <w:t>Income Tax Expense (Continued)</w:t>
            </w:r>
          </w:p>
        </w:tc>
        <w:tc>
          <w:tcPr>
            <w:tcW w:w="3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1"/>
        </w:trPr>
        <w:tc>
          <w:tcPr>
            <w:tcW w:w="5820" w:type="dxa"/>
            <w:vAlign w:val="bottom"/>
            <w:gridSpan w:val="2"/>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3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31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2010</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r>
      <w:tr>
        <w:trPr>
          <w:trHeight w:val="201"/>
        </w:trPr>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7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5820" w:type="dxa"/>
            <w:vAlign w:val="bottom"/>
            <w:gridSpan w:val="2"/>
          </w:tcPr>
          <w:p>
            <w:pPr>
              <w:spacing w:after="0"/>
              <w:rPr>
                <w:sz w:val="20"/>
                <w:szCs w:val="20"/>
                <w:color w:val="auto"/>
              </w:rPr>
            </w:pPr>
            <w:r>
              <w:rPr>
                <w:rFonts w:ascii="Arial" w:cs="Arial" w:eastAsia="Arial" w:hAnsi="Arial"/>
                <w:sz w:val="17"/>
                <w:szCs w:val="17"/>
                <w:color w:val="auto"/>
              </w:rPr>
              <w:t>Current Tax Expense (Benefit)</w:t>
            </w: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1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4780" w:type="dxa"/>
            <w:vAlign w:val="bottom"/>
            <w:shd w:val="clear" w:color="auto" w:fill="CCEEFF"/>
          </w:tcPr>
          <w:p>
            <w:pPr>
              <w:spacing w:after="0"/>
              <w:rPr>
                <w:sz w:val="17"/>
                <w:szCs w:val="17"/>
                <w:color w:val="auto"/>
              </w:rPr>
            </w:pPr>
          </w:p>
        </w:tc>
        <w:tc>
          <w:tcPr>
            <w:tcW w:w="31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$(23.0)</w:t>
            </w:r>
          </w:p>
        </w:tc>
        <w:tc>
          <w:tcPr>
            <w:tcW w:w="14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$(42.6)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06"/>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State</w:t>
            </w:r>
          </w:p>
        </w:tc>
        <w:tc>
          <w:tcPr>
            <w:tcW w:w="47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1.3</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06"/>
        </w:trPr>
        <w:tc>
          <w:tcPr>
            <w:tcW w:w="582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Total Current Tax Expense (Benefit)</w:t>
            </w:r>
          </w:p>
        </w:tc>
        <w:tc>
          <w:tcPr>
            <w:tcW w:w="31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(21.7)</w:t>
            </w:r>
          </w:p>
        </w:tc>
        <w:tc>
          <w:tcPr>
            <w:tcW w:w="14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(44.4)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01"/>
        </w:trPr>
        <w:tc>
          <w:tcPr>
            <w:tcW w:w="5820" w:type="dxa"/>
            <w:vAlign w:val="bottom"/>
            <w:gridSpan w:val="2"/>
          </w:tcPr>
          <w:p>
            <w:pPr>
              <w:spacing w:after="0"/>
              <w:rPr>
                <w:sz w:val="20"/>
                <w:szCs w:val="20"/>
                <w:color w:val="auto"/>
              </w:rPr>
            </w:pPr>
            <w:r>
              <w:rPr>
                <w:rFonts w:ascii="Arial" w:cs="Arial" w:eastAsia="Arial" w:hAnsi="Arial"/>
                <w:sz w:val="17"/>
                <w:szCs w:val="17"/>
                <w:color w:val="auto"/>
              </w:rPr>
              <w:t>Deferred Tax Expense</w:t>
            </w: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1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(b)</w:t>
            </w:r>
          </w:p>
        </w:tc>
        <w:tc>
          <w:tcPr>
            <w:tcW w:w="4780" w:type="dxa"/>
            <w:vAlign w:val="bottom"/>
            <w:shd w:val="clear" w:color="auto" w:fill="CCEEFF"/>
          </w:tcPr>
          <w:p>
            <w:pPr>
              <w:spacing w:after="0"/>
              <w:rPr>
                <w:sz w:val="17"/>
                <w:szCs w:val="17"/>
                <w:color w:val="auto"/>
              </w:rPr>
            </w:pPr>
          </w:p>
        </w:tc>
        <w:tc>
          <w:tcPr>
            <w:tcW w:w="31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61.4</w:t>
            </w:r>
          </w:p>
        </w:tc>
        <w:tc>
          <w:tcPr>
            <w:tcW w:w="14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66.0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01"/>
        </w:trPr>
        <w:tc>
          <w:tcPr>
            <w:tcW w:w="1040" w:type="dxa"/>
            <w:vAlign w:val="bottom"/>
          </w:tcPr>
          <w:p>
            <w:pPr>
              <w:ind w:left="160"/>
              <w:spacing w:after="0"/>
              <w:rPr>
                <w:sz w:val="20"/>
                <w:szCs w:val="20"/>
                <w:color w:val="auto"/>
              </w:rPr>
            </w:pPr>
            <w:r>
              <w:rPr>
                <w:rFonts w:ascii="Arial" w:cs="Arial" w:eastAsia="Arial" w:hAnsi="Arial"/>
                <w:sz w:val="17"/>
                <w:szCs w:val="17"/>
                <w:color w:val="auto"/>
              </w:rPr>
              <w:t>State</w:t>
            </w:r>
          </w:p>
        </w:tc>
        <w:tc>
          <w:tcPr>
            <w:tcW w:w="4780" w:type="dxa"/>
            <w:vAlign w:val="bottom"/>
          </w:tcPr>
          <w:p>
            <w:pPr>
              <w:spacing w:after="0"/>
              <w:rPr>
                <w:sz w:val="17"/>
                <w:szCs w:val="17"/>
                <w:color w:val="auto"/>
              </w:rPr>
            </w:pPr>
          </w:p>
        </w:tc>
        <w:tc>
          <w:tcPr>
            <w:tcW w:w="3180" w:type="dxa"/>
            <w:vAlign w:val="bottom"/>
          </w:tcPr>
          <w:p>
            <w:pPr>
              <w:jc w:val="right"/>
              <w:ind w:right="356"/>
              <w:spacing w:after="0"/>
              <w:rPr>
                <w:sz w:val="20"/>
                <w:szCs w:val="20"/>
                <w:color w:val="auto"/>
              </w:rPr>
            </w:pPr>
            <w:r>
              <w:rPr>
                <w:rFonts w:ascii="Arial" w:cs="Arial" w:eastAsia="Arial" w:hAnsi="Arial"/>
                <w:sz w:val="17"/>
                <w:szCs w:val="17"/>
                <w:color w:val="auto"/>
              </w:rPr>
              <w:t>5.3</w:t>
            </w:r>
          </w:p>
        </w:tc>
        <w:tc>
          <w:tcPr>
            <w:tcW w:w="1460" w:type="dxa"/>
            <w:vAlign w:val="bottom"/>
          </w:tcPr>
          <w:p>
            <w:pPr>
              <w:jc w:val="right"/>
              <w:ind w:right="416"/>
              <w:spacing w:after="0"/>
              <w:rPr>
                <w:sz w:val="20"/>
                <w:szCs w:val="20"/>
                <w:color w:val="auto"/>
              </w:rPr>
            </w:pPr>
            <w:r>
              <w:rPr>
                <w:rFonts w:ascii="Arial" w:cs="Arial" w:eastAsia="Arial" w:hAnsi="Arial"/>
                <w:sz w:val="17"/>
                <w:szCs w:val="17"/>
                <w:color w:val="auto"/>
              </w:rPr>
              <w:t>10.3</w:t>
            </w:r>
          </w:p>
        </w:tc>
        <w:tc>
          <w:tcPr>
            <w:tcW w:w="9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1"/>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Change in Valuation Allowance</w:t>
            </w:r>
          </w:p>
        </w:tc>
        <w:tc>
          <w:tcPr>
            <w:tcW w:w="31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0.2</w:t>
            </w:r>
          </w:p>
        </w:tc>
        <w:tc>
          <w:tcPr>
            <w:tcW w:w="14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(0.1)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06"/>
        </w:trPr>
        <w:tc>
          <w:tcPr>
            <w:tcW w:w="58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Investment Tax Credit Amortization</w:t>
            </w:r>
          </w:p>
        </w:tc>
        <w:tc>
          <w:tcPr>
            <w:tcW w:w="31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(0.9)</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582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Total Deferred Tax Expense</w:t>
            </w:r>
          </w:p>
        </w:tc>
        <w:tc>
          <w:tcPr>
            <w:tcW w:w="31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66.0</w:t>
            </w:r>
          </w:p>
        </w:tc>
        <w:tc>
          <w:tcPr>
            <w:tcW w:w="14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75.2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06"/>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Income Tax Expense</w:t>
            </w:r>
          </w:p>
        </w:tc>
        <w:tc>
          <w:tcPr>
            <w:tcW w:w="31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$44.3</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$30.8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r>
    </w:tbl>
    <w:p>
      <w:pPr>
        <w:spacing w:after="0" w:line="189" w:lineRule="exact"/>
        <w:rPr>
          <w:sz w:val="20"/>
          <w:szCs w:val="20"/>
          <w:color w:val="auto"/>
        </w:rPr>
      </w:pPr>
    </w:p>
    <w:p>
      <w:pPr>
        <w:jc w:val="both"/>
        <w:ind w:left="300" w:hanging="299"/>
        <w:spacing w:after="0" w:line="251" w:lineRule="auto"/>
        <w:tabs>
          <w:tab w:leader="none" w:pos="30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The 2010 federal current tax benefit is primarily due to the implementation of tax planning initiatives and bonus depreciation provisions in the Tax Relief, Unemployment Insurance Reauthorization and Job Creation Act of 2010 and the Small Business Jobs Act of 2010. The 2009 federal current tax benefit is primarily due to bonus depreciation provisions of the American Recovery and Reinvestment Act of 2009.</w:t>
      </w:r>
    </w:p>
    <w:p>
      <w:pPr>
        <w:spacing w:after="0" w:line="2" w:lineRule="exact"/>
        <w:rPr>
          <w:rFonts w:ascii="Arial" w:cs="Arial" w:eastAsia="Arial" w:hAnsi="Arial"/>
          <w:sz w:val="17"/>
          <w:szCs w:val="17"/>
          <w:i w:val="1"/>
          <w:iCs w:val="1"/>
          <w:color w:val="auto"/>
        </w:rPr>
      </w:pPr>
    </w:p>
    <w:p>
      <w:pPr>
        <w:jc w:val="both"/>
        <w:ind w:left="300" w:hanging="299"/>
        <w:spacing w:after="0" w:line="249" w:lineRule="auto"/>
        <w:tabs>
          <w:tab w:leader="none" w:pos="30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The 2010 federal deferred tax expense is primarily due to tax planning initiatives and bonus depreciation provisions of the Small Business Jobs Act of 2010 and the Tax Relief, Unemployment Insurance Reauthorization and Job Creation Act of 2010. Also included in 2010 is a one-time charge of $4.0 million as a result of the Patient Protection and Affordable Care Act. The 2009 federal deferred tax expense is primarily due to bonus depreciation provisions of the American Recovery and Reinvestment Act of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Taxes from Federal Statutory</w:t>
            </w: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b w:val="1"/>
                <w:bCs w:val="1"/>
                <w:color w:val="auto"/>
              </w:rPr>
              <w:t>Rate to Total Income Tax Expense</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2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2010</w:t>
            </w:r>
          </w:p>
        </w:tc>
        <w:tc>
          <w:tcPr>
            <w:tcW w:w="13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2009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r>
      <w:tr>
        <w:trPr>
          <w:trHeight w:val="201"/>
        </w:trPr>
        <w:tc>
          <w:tcPr>
            <w:tcW w:w="61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Non-Controlling Interest and Income Taxes</w:t>
            </w:r>
          </w:p>
        </w:tc>
        <w:tc>
          <w:tcPr>
            <w:tcW w:w="29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$119.1</w:t>
            </w:r>
          </w:p>
        </w:tc>
        <w:tc>
          <w:tcPr>
            <w:tcW w:w="13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$91.5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r>
      <w:tr>
        <w:trPr>
          <w:trHeight w:val="206"/>
        </w:trPr>
        <w:tc>
          <w:tcPr>
            <w:tcW w:w="6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Statutory Federal Income Tax Rate</w:t>
            </w:r>
          </w:p>
        </w:tc>
        <w:tc>
          <w:tcPr>
            <w:tcW w:w="29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35%</w:t>
            </w: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35%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Income Taxes Computed at 35 percent Statutory Federal Rate</w:t>
            </w:r>
          </w:p>
        </w:tc>
        <w:tc>
          <w:tcPr>
            <w:tcW w:w="29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$41.7</w:t>
            </w:r>
          </w:p>
        </w:tc>
        <w:tc>
          <w:tcPr>
            <w:tcW w:w="13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$32.0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Increase (Decrease) in Tax Due to:</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6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 Income Taxes – Net of Federal Income Tax Benefit</w:t>
            </w:r>
          </w:p>
        </w:tc>
        <w:tc>
          <w:tcPr>
            <w:tcW w:w="29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4.5</w:t>
            </w:r>
          </w:p>
        </w:tc>
        <w:tc>
          <w:tcPr>
            <w:tcW w:w="13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5.4</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1"/>
        </w:trPr>
        <w:tc>
          <w:tcPr>
            <w:tcW w:w="6140" w:type="dxa"/>
            <w:vAlign w:val="bottom"/>
          </w:tcPr>
          <w:p>
            <w:pPr>
              <w:ind w:left="160"/>
              <w:spacing w:after="0"/>
              <w:rPr>
                <w:sz w:val="20"/>
                <w:szCs w:val="20"/>
                <w:color w:val="auto"/>
              </w:rPr>
            </w:pPr>
            <w:r>
              <w:rPr>
                <w:rFonts w:ascii="Arial" w:cs="Arial" w:eastAsia="Arial" w:hAnsi="Arial"/>
                <w:sz w:val="17"/>
                <w:szCs w:val="17"/>
                <w:color w:val="auto"/>
              </w:rPr>
              <w:t>Impact of Patient Protection and Affordable Care Act</w:t>
            </w:r>
          </w:p>
        </w:tc>
        <w:tc>
          <w:tcPr>
            <w:tcW w:w="2960" w:type="dxa"/>
            <w:vAlign w:val="bottom"/>
          </w:tcPr>
          <w:p>
            <w:pPr>
              <w:jc w:val="right"/>
              <w:ind w:right="416"/>
              <w:spacing w:after="0"/>
              <w:rPr>
                <w:sz w:val="20"/>
                <w:szCs w:val="20"/>
                <w:color w:val="auto"/>
              </w:rPr>
            </w:pPr>
            <w:r>
              <w:rPr>
                <w:rFonts w:ascii="Arial" w:cs="Arial" w:eastAsia="Arial" w:hAnsi="Arial"/>
                <w:sz w:val="17"/>
                <w:szCs w:val="17"/>
                <w:color w:val="auto"/>
              </w:rPr>
              <w:t>4.0</w:t>
            </w:r>
          </w:p>
        </w:tc>
        <w:tc>
          <w:tcPr>
            <w:tcW w:w="132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1"/>
        </w:trPr>
        <w:tc>
          <w:tcPr>
            <w:tcW w:w="6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Regulatory Differences for Utility Plant</w:t>
            </w:r>
          </w:p>
        </w:tc>
        <w:tc>
          <w:tcPr>
            <w:tcW w:w="29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(2.0)</w:t>
            </w:r>
          </w:p>
        </w:tc>
        <w:tc>
          <w:tcPr>
            <w:tcW w:w="13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(2.5)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1"/>
        </w:trPr>
        <w:tc>
          <w:tcPr>
            <w:tcW w:w="6140" w:type="dxa"/>
            <w:vAlign w:val="bottom"/>
          </w:tcPr>
          <w:p>
            <w:pPr>
              <w:ind w:left="160"/>
              <w:spacing w:after="0"/>
              <w:rPr>
                <w:sz w:val="20"/>
                <w:szCs w:val="20"/>
                <w:color w:val="auto"/>
              </w:rPr>
            </w:pPr>
            <w:r>
              <w:rPr>
                <w:rFonts w:ascii="Arial" w:cs="Arial" w:eastAsia="Arial" w:hAnsi="Arial"/>
                <w:sz w:val="17"/>
                <w:szCs w:val="17"/>
                <w:color w:val="auto"/>
              </w:rPr>
              <w:t>Production Tax Credit</w:t>
            </w:r>
          </w:p>
        </w:tc>
        <w:tc>
          <w:tcPr>
            <w:tcW w:w="2960" w:type="dxa"/>
            <w:vAlign w:val="bottom"/>
          </w:tcPr>
          <w:p>
            <w:pPr>
              <w:jc w:val="right"/>
              <w:ind w:right="416"/>
              <w:spacing w:after="0"/>
              <w:rPr>
                <w:sz w:val="20"/>
                <w:szCs w:val="20"/>
                <w:color w:val="auto"/>
              </w:rPr>
            </w:pPr>
            <w:r>
              <w:rPr>
                <w:rFonts w:ascii="Arial" w:cs="Arial" w:eastAsia="Arial" w:hAnsi="Arial"/>
                <w:sz w:val="17"/>
                <w:szCs w:val="17"/>
                <w:color w:val="auto"/>
              </w:rPr>
              <w:t>(1.6)</w:t>
            </w:r>
          </w:p>
        </w:tc>
        <w:tc>
          <w:tcPr>
            <w:tcW w:w="1320" w:type="dxa"/>
            <w:vAlign w:val="bottom"/>
          </w:tcPr>
          <w:p>
            <w:pPr>
              <w:jc w:val="right"/>
              <w:ind w:right="376"/>
              <w:spacing w:after="0"/>
              <w:rPr>
                <w:sz w:val="20"/>
                <w:szCs w:val="20"/>
                <w:color w:val="auto"/>
              </w:rPr>
            </w:pPr>
            <w:r>
              <w:rPr>
                <w:rFonts w:ascii="Arial" w:cs="Arial" w:eastAsia="Arial" w:hAnsi="Arial"/>
                <w:sz w:val="17"/>
                <w:szCs w:val="17"/>
                <w:color w:val="auto"/>
              </w:rPr>
              <w:t>(1.2)</w:t>
            </w: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06"/>
        </w:trPr>
        <w:tc>
          <w:tcPr>
            <w:tcW w:w="6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(2.3)</w:t>
            </w:r>
          </w:p>
        </w:tc>
        <w:tc>
          <w:tcPr>
            <w:tcW w:w="13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(2.9)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06"/>
        </w:trPr>
        <w:tc>
          <w:tcPr>
            <w:tcW w:w="6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Income Tax Expense</w:t>
            </w:r>
          </w:p>
        </w:tc>
        <w:tc>
          <w:tcPr>
            <w:tcW w:w="29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$44.3</w:t>
            </w: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$30.8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tax rate on income was 37.2 percent for 2010 (33.7 percent for 2009; 34.3 percent for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7"/>
        </w:trPr>
        <w:tc>
          <w:tcPr>
            <w:tcW w:w="1040" w:type="dxa"/>
            <w:vAlign w:val="bottom"/>
            <w:gridSpan w:val="2"/>
          </w:tcPr>
          <w:p>
            <w:pPr>
              <w:spacing w:after="0"/>
              <w:rPr>
                <w:sz w:val="20"/>
                <w:szCs w:val="20"/>
                <w:color w:val="auto"/>
              </w:rPr>
            </w:pPr>
            <w:r>
              <w:rPr>
                <w:rFonts w:ascii="Arial" w:cs="Arial" w:eastAsia="Arial" w:hAnsi="Arial"/>
                <w:sz w:val="17"/>
                <w:szCs w:val="17"/>
                <w:b w:val="1"/>
                <w:bCs w:val="1"/>
                <w:color w:val="auto"/>
              </w:rPr>
              <w:t>Note 13.</w:t>
            </w:r>
          </w:p>
        </w:tc>
        <w:tc>
          <w:tcPr>
            <w:tcW w:w="5520" w:type="dxa"/>
            <w:vAlign w:val="bottom"/>
          </w:tcPr>
          <w:p>
            <w:pPr>
              <w:ind w:left="160"/>
              <w:spacing w:after="0"/>
              <w:rPr>
                <w:sz w:val="20"/>
                <w:szCs w:val="20"/>
                <w:color w:val="auto"/>
              </w:rPr>
            </w:pPr>
            <w:r>
              <w:rPr>
                <w:rFonts w:ascii="Arial" w:cs="Arial" w:eastAsia="Arial" w:hAnsi="Arial"/>
                <w:sz w:val="17"/>
                <w:szCs w:val="17"/>
                <w:b w:val="1"/>
                <w:bCs w:val="1"/>
                <w:color w:val="auto"/>
              </w:rPr>
              <w:t>Income Tax Expense (Continued)</w:t>
            </w:r>
          </w:p>
        </w:tc>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6560" w:type="dxa"/>
            <w:vAlign w:val="bottom"/>
            <w:gridSpan w:val="3"/>
          </w:tcPr>
          <w:p>
            <w:pPr>
              <w:spacing w:after="0"/>
              <w:rPr>
                <w:sz w:val="17"/>
                <w:szCs w:val="17"/>
                <w:color w:val="auto"/>
              </w:rPr>
            </w:pPr>
          </w:p>
        </w:tc>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Deferred Tax Assets and Liabilities</w:t>
            </w: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6"/>
        </w:trPr>
        <w:tc>
          <w:tcPr>
            <w:tcW w:w="6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As of December 31</w:t>
            </w: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2010</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2009</w:t>
            </w:r>
          </w:p>
        </w:tc>
      </w:tr>
      <w:tr>
        <w:trPr>
          <w:trHeight w:val="201"/>
        </w:trPr>
        <w:tc>
          <w:tcPr>
            <w:tcW w:w="1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5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6560" w:type="dxa"/>
            <w:vAlign w:val="bottom"/>
            <w:gridSpan w:val="3"/>
          </w:tcPr>
          <w:p>
            <w:pPr>
              <w:spacing w:after="0"/>
              <w:rPr>
                <w:sz w:val="20"/>
                <w:szCs w:val="20"/>
                <w:color w:val="auto"/>
              </w:rPr>
            </w:pPr>
            <w:r>
              <w:rPr>
                <w:rFonts w:ascii="Arial" w:cs="Arial" w:eastAsia="Arial" w:hAnsi="Arial"/>
                <w:sz w:val="17"/>
                <w:szCs w:val="17"/>
                <w:color w:val="auto"/>
              </w:rPr>
              <w:t>Deferred Tax Assets</w:t>
            </w:r>
          </w:p>
        </w:tc>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6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 xml:space="preserve">Employee Benefits and Compensation </w:t>
            </w:r>
            <w:r>
              <w:rPr>
                <w:rFonts w:ascii="Arial" w:cs="Arial" w:eastAsia="Arial" w:hAnsi="Arial"/>
                <w:sz w:val="17"/>
                <w:szCs w:val="17"/>
                <w:i w:val="1"/>
                <w:iCs w:val="1"/>
                <w:color w:val="auto"/>
              </w:rPr>
              <w:t>(a)</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$121.8</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$118.2</w:t>
            </w:r>
          </w:p>
        </w:tc>
      </w:tr>
      <w:tr>
        <w:trPr>
          <w:trHeight w:val="201"/>
        </w:trPr>
        <w:tc>
          <w:tcPr>
            <w:tcW w:w="6560" w:type="dxa"/>
            <w:vAlign w:val="bottom"/>
            <w:gridSpan w:val="3"/>
          </w:tcPr>
          <w:p>
            <w:pPr>
              <w:ind w:left="160"/>
              <w:spacing w:after="0"/>
              <w:rPr>
                <w:sz w:val="20"/>
                <w:szCs w:val="20"/>
                <w:color w:val="auto"/>
              </w:rPr>
            </w:pPr>
            <w:r>
              <w:rPr>
                <w:rFonts w:ascii="Arial" w:cs="Arial" w:eastAsia="Arial" w:hAnsi="Arial"/>
                <w:sz w:val="17"/>
                <w:szCs w:val="17"/>
                <w:color w:val="auto"/>
              </w:rPr>
              <w:t>Property Related</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51.1</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46.5</w:t>
            </w:r>
          </w:p>
        </w:tc>
      </w:tr>
      <w:tr>
        <w:trPr>
          <w:trHeight w:val="201"/>
        </w:trPr>
        <w:tc>
          <w:tcPr>
            <w:tcW w:w="6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NOL and Tax Credit Carryforward</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28.2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01"/>
        </w:trPr>
        <w:tc>
          <w:tcPr>
            <w:tcW w:w="6560" w:type="dxa"/>
            <w:vAlign w:val="bottom"/>
            <w:gridSpan w:val="3"/>
          </w:tcPr>
          <w:p>
            <w:pPr>
              <w:ind w:left="160"/>
              <w:spacing w:after="0"/>
              <w:rPr>
                <w:sz w:val="20"/>
                <w:szCs w:val="20"/>
                <w:color w:val="auto"/>
              </w:rPr>
            </w:pPr>
            <w:r>
              <w:rPr>
                <w:rFonts w:ascii="Arial" w:cs="Arial" w:eastAsia="Arial" w:hAnsi="Arial"/>
                <w:sz w:val="17"/>
                <w:szCs w:val="17"/>
                <w:color w:val="auto"/>
              </w:rPr>
              <w:t>Investment Tax Credits</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9.7</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10.0</w:t>
            </w:r>
          </w:p>
        </w:tc>
      </w:tr>
      <w:tr>
        <w:trPr>
          <w:trHeight w:val="206"/>
        </w:trPr>
        <w:tc>
          <w:tcPr>
            <w:tcW w:w="10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5520" w:type="dxa"/>
            <w:vAlign w:val="bottom"/>
            <w:tcBorders>
              <w:bottom w:val="single" w:sz="8" w:color="auto"/>
            </w:tcBorders>
            <w:shd w:val="clear" w:color="auto" w:fill="CCEEFF"/>
          </w:tcPr>
          <w:p>
            <w:pPr>
              <w:spacing w:after="0"/>
              <w:rPr>
                <w:sz w:val="17"/>
                <w:szCs w:val="17"/>
                <w:color w:val="auto"/>
              </w:rPr>
            </w:pPr>
          </w:p>
        </w:tc>
        <w:tc>
          <w:tcPr>
            <w:tcW w:w="3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12.7</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14.4</w:t>
            </w:r>
          </w:p>
        </w:tc>
      </w:tr>
      <w:tr>
        <w:trPr>
          <w:trHeight w:val="201"/>
        </w:trPr>
        <w:tc>
          <w:tcPr>
            <w:tcW w:w="260" w:type="dxa"/>
            <w:vAlign w:val="bottom"/>
          </w:tcPr>
          <w:p>
            <w:pPr>
              <w:spacing w:after="0"/>
              <w:rPr>
                <w:sz w:val="17"/>
                <w:szCs w:val="17"/>
                <w:color w:val="auto"/>
              </w:rPr>
            </w:pPr>
          </w:p>
        </w:tc>
        <w:tc>
          <w:tcPr>
            <w:tcW w:w="6300" w:type="dxa"/>
            <w:vAlign w:val="bottom"/>
            <w:gridSpan w:val="2"/>
          </w:tcPr>
          <w:p>
            <w:pPr>
              <w:ind w:left="40"/>
              <w:spacing w:after="0"/>
              <w:rPr>
                <w:sz w:val="20"/>
                <w:szCs w:val="20"/>
                <w:color w:val="auto"/>
              </w:rPr>
            </w:pPr>
            <w:r>
              <w:rPr>
                <w:rFonts w:ascii="Arial" w:cs="Arial" w:eastAsia="Arial" w:hAnsi="Arial"/>
                <w:sz w:val="17"/>
                <w:szCs w:val="17"/>
                <w:color w:val="auto"/>
              </w:rPr>
              <w:t>Gross Deferred Tax Assets</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223.5</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189.1</w:t>
            </w:r>
          </w:p>
        </w:tc>
      </w:tr>
      <w:tr>
        <w:trPr>
          <w:trHeight w:val="206"/>
        </w:trPr>
        <w:tc>
          <w:tcPr>
            <w:tcW w:w="6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Deferred Tax Asset Valuation Allowance</w:t>
            </w:r>
          </w:p>
        </w:tc>
        <w:tc>
          <w:tcPr>
            <w:tcW w:w="3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(0.5)</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r>
      <w:tr>
        <w:trPr>
          <w:trHeight w:val="206"/>
        </w:trPr>
        <w:tc>
          <w:tcPr>
            <w:tcW w:w="6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Total Deferred Tax Assets</w:t>
            </w: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$223.0</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$188.8</w:t>
            </w:r>
          </w:p>
        </w:tc>
      </w:tr>
      <w:tr>
        <w:trPr>
          <w:trHeight w:val="201"/>
        </w:trPr>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6560" w:type="dxa"/>
            <w:vAlign w:val="bottom"/>
            <w:gridSpan w:val="3"/>
          </w:tcPr>
          <w:p>
            <w:pPr>
              <w:ind w:left="160"/>
              <w:spacing w:after="0"/>
              <w:rPr>
                <w:sz w:val="20"/>
                <w:szCs w:val="20"/>
                <w:color w:val="auto"/>
              </w:rPr>
            </w:pPr>
            <w:r>
              <w:rPr>
                <w:rFonts w:ascii="Arial" w:cs="Arial" w:eastAsia="Arial" w:hAnsi="Arial"/>
                <w:sz w:val="17"/>
                <w:szCs w:val="17"/>
                <w:color w:val="auto"/>
              </w:rPr>
              <w:t>Property Related</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$387.2</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$294.1</w:t>
            </w:r>
          </w:p>
        </w:tc>
      </w:tr>
      <w:tr>
        <w:trPr>
          <w:trHeight w:val="201"/>
        </w:trPr>
        <w:tc>
          <w:tcPr>
            <w:tcW w:w="6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Regulatory Asset for Benefit Obligations</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105.8</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96.5</w:t>
            </w:r>
          </w:p>
        </w:tc>
      </w:tr>
      <w:tr>
        <w:trPr>
          <w:trHeight w:val="201"/>
        </w:trPr>
        <w:tc>
          <w:tcPr>
            <w:tcW w:w="6560" w:type="dxa"/>
            <w:vAlign w:val="bottom"/>
            <w:gridSpan w:val="3"/>
          </w:tcPr>
          <w:p>
            <w:pPr>
              <w:ind w:left="160"/>
              <w:spacing w:after="0"/>
              <w:rPr>
                <w:sz w:val="20"/>
                <w:szCs w:val="20"/>
                <w:color w:val="auto"/>
              </w:rPr>
            </w:pPr>
            <w:r>
              <w:rPr>
                <w:rFonts w:ascii="Arial" w:cs="Arial" w:eastAsia="Arial" w:hAnsi="Arial"/>
                <w:sz w:val="17"/>
                <w:szCs w:val="17"/>
                <w:color w:val="auto"/>
              </w:rPr>
              <w:t>Unamortized Investment Tax Credits</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13.7</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14.1</w:t>
            </w:r>
          </w:p>
        </w:tc>
      </w:tr>
      <w:tr>
        <w:trPr>
          <w:trHeight w:val="201"/>
        </w:trPr>
        <w:tc>
          <w:tcPr>
            <w:tcW w:w="6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Partnership Basis Differences</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19.4</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14.6</w:t>
            </w:r>
          </w:p>
        </w:tc>
      </w:tr>
      <w:tr>
        <w:trPr>
          <w:trHeight w:val="206"/>
        </w:trPr>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Other</w:t>
            </w:r>
          </w:p>
        </w:tc>
        <w:tc>
          <w:tcPr>
            <w:tcW w:w="55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27.3</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28.2</w:t>
            </w:r>
          </w:p>
        </w:tc>
      </w:tr>
      <w:tr>
        <w:trPr>
          <w:trHeight w:val="206"/>
        </w:trPr>
        <w:tc>
          <w:tcPr>
            <w:tcW w:w="6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Deferred Tax Liabilities</w:t>
            </w:r>
          </w:p>
        </w:tc>
        <w:tc>
          <w:tcPr>
            <w:tcW w:w="3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$553.4</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$447.5</w:t>
            </w:r>
          </w:p>
        </w:tc>
      </w:tr>
      <w:tr>
        <w:trPr>
          <w:trHeight w:val="206"/>
        </w:trPr>
        <w:tc>
          <w:tcPr>
            <w:tcW w:w="6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Net Deferred Income Taxes</w:t>
            </w: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$330.4</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$258.7</w:t>
            </w:r>
          </w:p>
        </w:tc>
      </w:tr>
      <w:tr>
        <w:trPr>
          <w:trHeight w:val="201"/>
        </w:trPr>
        <w:tc>
          <w:tcPr>
            <w:tcW w:w="1040" w:type="dxa"/>
            <w:vAlign w:val="bottom"/>
            <w:gridSpan w:val="2"/>
            <w:shd w:val="clear" w:color="auto" w:fill="CCEEFF"/>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7"/>
                <w:szCs w:val="17"/>
                <w:color w:val="auto"/>
              </w:rPr>
              <w:t>Recorded as:</w:t>
            </w:r>
          </w:p>
        </w:tc>
        <w:tc>
          <w:tcPr>
            <w:tcW w:w="55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6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 xml:space="preserve">Net Current Deferred Tax Liabilities </w:t>
            </w:r>
            <w:r>
              <w:rPr>
                <w:rFonts w:ascii="Arial" w:cs="Arial" w:eastAsia="Arial" w:hAnsi="Arial"/>
                <w:sz w:val="17"/>
                <w:szCs w:val="17"/>
                <w:i w:val="1"/>
                <w:iCs w:val="1"/>
                <w:color w:val="auto"/>
              </w:rPr>
              <w:t>(b)</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$5.2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$5.6</w:t>
            </w:r>
          </w:p>
        </w:tc>
      </w:tr>
      <w:tr>
        <w:trPr>
          <w:trHeight w:val="206"/>
        </w:trPr>
        <w:tc>
          <w:tcPr>
            <w:tcW w:w="656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color w:val="auto"/>
              </w:rPr>
              <w:t>Net Long-Term Deferred Tax Liabilities</w:t>
            </w: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325.2</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253.1</w:t>
            </w:r>
          </w:p>
        </w:tc>
      </w:tr>
      <w:tr>
        <w:trPr>
          <w:trHeight w:val="206"/>
        </w:trPr>
        <w:tc>
          <w:tcPr>
            <w:tcW w:w="6560" w:type="dxa"/>
            <w:vAlign w:val="bottom"/>
            <w:tcBorders>
              <w:bottom w:val="single" w:sz="8" w:color="auto"/>
            </w:tcBorders>
            <w:gridSpan w:val="3"/>
            <w:shd w:val="clear" w:color="auto" w:fill="CCEEFF"/>
          </w:tcPr>
          <w:p>
            <w:pPr>
              <w:ind w:left="160"/>
              <w:spacing w:after="0"/>
              <w:rPr>
                <w:sz w:val="20"/>
                <w:szCs w:val="20"/>
                <w:color w:val="auto"/>
              </w:rPr>
            </w:pPr>
            <w:r>
              <w:rPr>
                <w:rFonts w:ascii="Arial" w:cs="Arial" w:eastAsia="Arial" w:hAnsi="Arial"/>
                <w:sz w:val="17"/>
                <w:szCs w:val="17"/>
                <w:color w:val="auto"/>
              </w:rPr>
              <w:t>Net Deferred Income Taxes</w:t>
            </w:r>
          </w:p>
        </w:tc>
        <w:tc>
          <w:tcPr>
            <w:tcW w:w="3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$330.4</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$258.7</w:t>
            </w:r>
          </w:p>
        </w:tc>
      </w:tr>
      <w:tr>
        <w:trPr>
          <w:trHeight w:val="390"/>
        </w:trPr>
        <w:tc>
          <w:tcPr>
            <w:tcW w:w="260" w:type="dxa"/>
            <w:vAlign w:val="bottom"/>
          </w:tcPr>
          <w:p>
            <w:pPr>
              <w:ind w:left="20"/>
              <w:spacing w:after="0"/>
              <w:rPr>
                <w:sz w:val="20"/>
                <w:szCs w:val="20"/>
                <w:color w:val="auto"/>
              </w:rPr>
            </w:pPr>
            <w:r>
              <w:rPr>
                <w:rFonts w:ascii="Arial" w:cs="Arial" w:eastAsia="Arial" w:hAnsi="Arial"/>
                <w:sz w:val="17"/>
                <w:szCs w:val="17"/>
                <w:i w:val="1"/>
                <w:iCs w:val="1"/>
                <w:color w:val="auto"/>
              </w:rPr>
              <w:t>(a)</w:t>
            </w:r>
          </w:p>
        </w:tc>
        <w:tc>
          <w:tcPr>
            <w:tcW w:w="6300" w:type="dxa"/>
            <w:vAlign w:val="bottom"/>
            <w:gridSpan w:val="2"/>
          </w:tcPr>
          <w:p>
            <w:pPr>
              <w:ind w:left="40"/>
              <w:spacing w:after="0"/>
              <w:rPr>
                <w:sz w:val="20"/>
                <w:szCs w:val="20"/>
                <w:color w:val="auto"/>
              </w:rPr>
            </w:pPr>
            <w:r>
              <w:rPr>
                <w:rFonts w:ascii="Arial" w:cs="Arial" w:eastAsia="Arial" w:hAnsi="Arial"/>
                <w:sz w:val="17"/>
                <w:szCs w:val="17"/>
                <w:i w:val="1"/>
                <w:iCs w:val="1"/>
                <w:color w:val="auto"/>
              </w:rPr>
              <w:t>Includes unfunded employee benefits</w:t>
            </w:r>
          </w:p>
        </w:tc>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260" w:type="dxa"/>
            <w:vAlign w:val="bottom"/>
          </w:tcPr>
          <w:p>
            <w:pPr>
              <w:ind w:left="20"/>
              <w:spacing w:after="0"/>
              <w:rPr>
                <w:sz w:val="20"/>
                <w:szCs w:val="20"/>
                <w:color w:val="auto"/>
              </w:rPr>
            </w:pPr>
            <w:r>
              <w:rPr>
                <w:rFonts w:ascii="Arial" w:cs="Arial" w:eastAsia="Arial" w:hAnsi="Arial"/>
                <w:sz w:val="17"/>
                <w:szCs w:val="17"/>
                <w:i w:val="1"/>
                <w:iCs w:val="1"/>
                <w:color w:val="auto"/>
              </w:rPr>
              <w:t>(b)</w:t>
            </w:r>
          </w:p>
        </w:tc>
        <w:tc>
          <w:tcPr>
            <w:tcW w:w="6300" w:type="dxa"/>
            <w:vAlign w:val="bottom"/>
            <w:gridSpan w:val="2"/>
          </w:tcPr>
          <w:p>
            <w:pPr>
              <w:ind w:left="40"/>
              <w:spacing w:after="0"/>
              <w:rPr>
                <w:sz w:val="20"/>
                <w:szCs w:val="20"/>
                <w:color w:val="auto"/>
              </w:rPr>
            </w:pPr>
            <w:r>
              <w:rPr>
                <w:rFonts w:ascii="Arial" w:cs="Arial" w:eastAsia="Arial" w:hAnsi="Arial"/>
                <w:sz w:val="17"/>
                <w:szCs w:val="17"/>
                <w:i w:val="1"/>
                <w:iCs w:val="1"/>
                <w:color w:val="auto"/>
              </w:rPr>
              <w:t>Included in Other Current Liabilities.</w:t>
            </w:r>
          </w:p>
        </w:tc>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6560" w:type="dxa"/>
            <w:vAlign w:val="bottom"/>
            <w:gridSpan w:val="3"/>
          </w:tcPr>
          <w:p>
            <w:pPr>
              <w:spacing w:after="0"/>
              <w:rPr>
                <w:sz w:val="17"/>
                <w:szCs w:val="17"/>
                <w:color w:val="auto"/>
              </w:rPr>
            </w:pPr>
          </w:p>
        </w:tc>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NOL and Tax Credit Carryforwards</w:t>
            </w: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6"/>
        </w:trPr>
        <w:tc>
          <w:tcPr>
            <w:tcW w:w="6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Year Ended December 31</w:t>
            </w:r>
          </w:p>
        </w:tc>
        <w:tc>
          <w:tcPr>
            <w:tcW w:w="3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2010</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2009</w:t>
            </w:r>
          </w:p>
        </w:tc>
      </w:tr>
      <w:tr>
        <w:trPr>
          <w:trHeight w:val="201"/>
        </w:trPr>
        <w:tc>
          <w:tcPr>
            <w:tcW w:w="1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5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6560" w:type="dxa"/>
            <w:vAlign w:val="bottom"/>
            <w:gridSpan w:val="3"/>
          </w:tcPr>
          <w:p>
            <w:pPr>
              <w:spacing w:after="0"/>
              <w:rPr>
                <w:sz w:val="20"/>
                <w:szCs w:val="20"/>
                <w:color w:val="auto"/>
              </w:rPr>
            </w:pPr>
            <w:r>
              <w:rPr>
                <w:rFonts w:ascii="Arial" w:cs="Arial" w:eastAsia="Arial" w:hAnsi="Arial"/>
                <w:sz w:val="17"/>
                <w:szCs w:val="17"/>
                <w:color w:val="auto"/>
              </w:rPr>
              <w:t xml:space="preserve">Federal NOL carryforward </w:t>
            </w:r>
            <w:r>
              <w:rPr>
                <w:rFonts w:ascii="Arial" w:cs="Arial" w:eastAsia="Arial" w:hAnsi="Arial"/>
                <w:sz w:val="17"/>
                <w:szCs w:val="17"/>
                <w:i w:val="1"/>
                <w:iCs w:val="1"/>
                <w:color w:val="auto"/>
              </w:rPr>
              <w:t>(a)</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$62.0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$7.3</w:t>
            </w:r>
          </w:p>
        </w:tc>
      </w:tr>
      <w:tr>
        <w:trPr>
          <w:trHeight w:val="201"/>
        </w:trPr>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Federal tax credit carryforwards</w:t>
            </w:r>
          </w:p>
        </w:tc>
        <w:tc>
          <w:tcPr>
            <w:tcW w:w="38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3.7</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r>
      <w:tr>
        <w:trPr>
          <w:trHeight w:val="201"/>
        </w:trPr>
        <w:tc>
          <w:tcPr>
            <w:tcW w:w="6560" w:type="dxa"/>
            <w:vAlign w:val="bottom"/>
            <w:gridSpan w:val="3"/>
          </w:tcPr>
          <w:p>
            <w:pPr>
              <w:spacing w:after="0"/>
              <w:rPr>
                <w:sz w:val="20"/>
                <w:szCs w:val="20"/>
                <w:color w:val="auto"/>
              </w:rPr>
            </w:pPr>
            <w:r>
              <w:rPr>
                <w:rFonts w:ascii="Arial" w:cs="Arial" w:eastAsia="Arial" w:hAnsi="Arial"/>
                <w:sz w:val="17"/>
                <w:szCs w:val="17"/>
                <w:color w:val="auto"/>
              </w:rPr>
              <w:t xml:space="preserve">State NOL carryforward </w:t>
            </w:r>
            <w:r>
              <w:rPr>
                <w:rFonts w:ascii="Arial" w:cs="Arial" w:eastAsia="Arial" w:hAnsi="Arial"/>
                <w:sz w:val="17"/>
                <w:szCs w:val="17"/>
                <w:i w:val="1"/>
                <w:iCs w:val="1"/>
                <w:color w:val="auto"/>
              </w:rPr>
              <w:t>(a)</w:t>
            </w:r>
          </w:p>
        </w:tc>
        <w:tc>
          <w:tcPr>
            <w:tcW w:w="3820" w:type="dxa"/>
            <w:vAlign w:val="bottom"/>
          </w:tcPr>
          <w:p>
            <w:pPr>
              <w:jc w:val="right"/>
              <w:ind w:right="356"/>
              <w:spacing w:after="0"/>
              <w:rPr>
                <w:sz w:val="20"/>
                <w:szCs w:val="20"/>
                <w:color w:val="auto"/>
              </w:rPr>
            </w:pPr>
            <w:r>
              <w:rPr>
                <w:rFonts w:ascii="Arial" w:cs="Arial" w:eastAsia="Arial" w:hAnsi="Arial"/>
                <w:sz w:val="17"/>
                <w:szCs w:val="17"/>
                <w:color w:val="auto"/>
              </w:rPr>
              <w:t>71.7</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59.6</w:t>
            </w:r>
          </w:p>
        </w:tc>
      </w:tr>
      <w:tr>
        <w:trPr>
          <w:trHeight w:val="206"/>
        </w:trPr>
        <w:tc>
          <w:tcPr>
            <w:tcW w:w="6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State tax credit carryforwards, net of federal detriment</w:t>
            </w:r>
          </w:p>
        </w:tc>
        <w:tc>
          <w:tcPr>
            <w:tcW w:w="38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1.7</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r>
      <w:tr>
        <w:trPr>
          <w:trHeight w:val="402"/>
        </w:trPr>
        <w:tc>
          <w:tcPr>
            <w:tcW w:w="260" w:type="dxa"/>
            <w:vAlign w:val="bottom"/>
          </w:tcPr>
          <w:p>
            <w:pPr>
              <w:spacing w:after="0"/>
              <w:rPr>
                <w:sz w:val="20"/>
                <w:szCs w:val="20"/>
                <w:color w:val="auto"/>
              </w:rPr>
            </w:pPr>
            <w:r>
              <w:rPr>
                <w:rFonts w:ascii="Arial" w:cs="Arial" w:eastAsia="Arial" w:hAnsi="Arial"/>
                <w:sz w:val="17"/>
                <w:szCs w:val="17"/>
                <w:i w:val="1"/>
                <w:iCs w:val="1"/>
                <w:color w:val="auto"/>
              </w:rPr>
              <w:t>(a)</w:t>
            </w:r>
          </w:p>
        </w:tc>
        <w:tc>
          <w:tcPr>
            <w:tcW w:w="6300" w:type="dxa"/>
            <w:vAlign w:val="bottom"/>
            <w:gridSpan w:val="2"/>
          </w:tcPr>
          <w:p>
            <w:pPr>
              <w:ind w:left="40"/>
              <w:spacing w:after="0"/>
              <w:rPr>
                <w:sz w:val="20"/>
                <w:szCs w:val="20"/>
                <w:color w:val="auto"/>
              </w:rPr>
            </w:pPr>
            <w:r>
              <w:rPr>
                <w:rFonts w:ascii="Arial" w:cs="Arial" w:eastAsia="Arial" w:hAnsi="Arial"/>
                <w:sz w:val="17"/>
                <w:szCs w:val="17"/>
                <w:i w:val="1"/>
                <w:iCs w:val="1"/>
                <w:color w:val="auto"/>
              </w:rPr>
              <w:t>Pretax amounts</w:t>
            </w:r>
          </w:p>
        </w:tc>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2010 we had federal and state NOLs and tax credit carryforwards primarily due to bonus depreciation provisions in the Tax Relief, Unemployment Insurance Reauthorization and Job Creation Act of 2010 and the Small Business Jobs Act of 2010. The 2010 federal NOL will be partially utilized by carrying it back against prior years’ income with the remainder carried forward to offset future years’ income. We expect to fully utilize the federal NOL and tax credit carryforwards; therefore a deferred tax asset has been recorded to recognize the resulting tax benefit. The state NOL and tax credits will be carried forward to future tax years. We have established a valuation allowance against certain state NOL and tax credits that we do not expect to utilize before their expiration. The 2009 federal and state NOL were primarily due t o bonus depreciation provisions in the American Recovery and Reinvestment Act of 2009. The federal and state carryforward periods expire between 2014 and 2030.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Gross Unrecognized Income Tax Benefits</w:t>
            </w:r>
          </w:p>
        </w:tc>
        <w:tc>
          <w:tcPr>
            <w:tcW w:w="29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2010</w:t>
            </w:r>
          </w:p>
        </w:tc>
        <w:tc>
          <w:tcPr>
            <w:tcW w:w="13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2009</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b w:val="1"/>
                <w:bCs w:val="1"/>
                <w:color w:val="auto"/>
              </w:rPr>
              <w:t>2008</w:t>
            </w:r>
          </w:p>
        </w:tc>
      </w:tr>
      <w:tr>
        <w:trPr>
          <w:trHeight w:val="201"/>
        </w:trPr>
        <w:tc>
          <w:tcPr>
            <w:tcW w:w="58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29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$9.5</w:t>
            </w:r>
          </w:p>
        </w:tc>
        <w:tc>
          <w:tcPr>
            <w:tcW w:w="138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$8.0</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$5.3</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Additions for Tax Positions Related to the Current Year</w:t>
            </w:r>
          </w:p>
        </w:tc>
        <w:tc>
          <w:tcPr>
            <w:tcW w:w="296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436"/>
              <w:spacing w:after="0"/>
              <w:rPr>
                <w:sz w:val="20"/>
                <w:szCs w:val="20"/>
                <w:color w:val="auto"/>
              </w:rPr>
            </w:pPr>
            <w:r>
              <w:rPr>
                <w:rFonts w:ascii="Arial" w:cs="Arial" w:eastAsia="Arial" w:hAnsi="Arial"/>
                <w:sz w:val="17"/>
                <w:szCs w:val="17"/>
                <w:color w:val="auto"/>
              </w:rPr>
              <w:t>0.5</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0.7</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Reductions for Tax Positions Related to the Current Year</w:t>
            </w:r>
          </w:p>
        </w:tc>
        <w:tc>
          <w:tcPr>
            <w:tcW w:w="29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(0.2)</w:t>
            </w:r>
          </w:p>
        </w:tc>
        <w:tc>
          <w:tcPr>
            <w:tcW w:w="138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Additions for Tax Positions Related to Prior Years</w:t>
            </w:r>
          </w:p>
        </w:tc>
        <w:tc>
          <w:tcPr>
            <w:tcW w:w="2960" w:type="dxa"/>
            <w:vAlign w:val="bottom"/>
          </w:tcPr>
          <w:p>
            <w:pPr>
              <w:jc w:val="right"/>
              <w:ind w:right="436"/>
              <w:spacing w:after="0"/>
              <w:rPr>
                <w:sz w:val="20"/>
                <w:szCs w:val="20"/>
                <w:color w:val="auto"/>
              </w:rPr>
            </w:pPr>
            <w:r>
              <w:rPr>
                <w:rFonts w:ascii="Arial" w:cs="Arial" w:eastAsia="Arial" w:hAnsi="Arial"/>
                <w:sz w:val="17"/>
                <w:szCs w:val="17"/>
                <w:color w:val="auto"/>
              </w:rPr>
              <w:t>4.4</w:t>
            </w:r>
          </w:p>
        </w:tc>
        <w:tc>
          <w:tcPr>
            <w:tcW w:w="1380" w:type="dxa"/>
            <w:vAlign w:val="bottom"/>
          </w:tcPr>
          <w:p>
            <w:pPr>
              <w:jc w:val="right"/>
              <w:ind w:right="436"/>
              <w:spacing w:after="0"/>
              <w:rPr>
                <w:sz w:val="20"/>
                <w:szCs w:val="20"/>
                <w:color w:val="auto"/>
              </w:rPr>
            </w:pPr>
            <w:r>
              <w:rPr>
                <w:rFonts w:ascii="Arial" w:cs="Arial" w:eastAsia="Arial" w:hAnsi="Arial"/>
                <w:sz w:val="17"/>
                <w:szCs w:val="17"/>
                <w:color w:val="auto"/>
              </w:rPr>
              <w:t>1.0</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4.5</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Reduction for Tax Positions Related to Prior Years</w:t>
            </w:r>
          </w:p>
        </w:tc>
        <w:tc>
          <w:tcPr>
            <w:tcW w:w="29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(2.5)</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Settlements</w:t>
            </w:r>
          </w:p>
        </w:tc>
        <w:tc>
          <w:tcPr>
            <w:tcW w:w="2960" w:type="dxa"/>
            <w:vAlign w:val="bottom"/>
          </w:tcPr>
          <w:p>
            <w:pPr>
              <w:jc w:val="right"/>
              <w:ind w:right="436"/>
              <w:spacing w:after="0"/>
              <w:rPr>
                <w:sz w:val="20"/>
                <w:szCs w:val="20"/>
                <w:color w:val="auto"/>
              </w:rPr>
            </w:pPr>
            <w:r>
              <w:rPr>
                <w:rFonts w:ascii="Arial" w:cs="Arial" w:eastAsia="Arial" w:hAnsi="Arial"/>
                <w:sz w:val="17"/>
                <w:szCs w:val="17"/>
                <w:color w:val="auto"/>
              </w:rPr>
              <w:t>(0.3)</w:t>
            </w:r>
          </w:p>
        </w:tc>
        <w:tc>
          <w:tcPr>
            <w:tcW w:w="138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76"/>
              <w:spacing w:after="0"/>
              <w:rPr>
                <w:sz w:val="20"/>
                <w:szCs w:val="20"/>
                <w:color w:val="auto"/>
              </w:rPr>
            </w:pPr>
            <w:r>
              <w:rPr>
                <w:rFonts w:ascii="Arial" w:cs="Arial" w:eastAsia="Arial" w:hAnsi="Arial"/>
                <w:sz w:val="17"/>
                <w:szCs w:val="17"/>
                <w:color w:val="auto"/>
              </w:rPr>
              <w:t>–</w:t>
            </w:r>
          </w:p>
        </w:tc>
      </w:tr>
      <w:tr>
        <w:trPr>
          <w:trHeight w:val="206"/>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Lapse of Statute</w:t>
            </w:r>
          </w:p>
        </w:tc>
        <w:tc>
          <w:tcPr>
            <w:tcW w:w="29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(1.1)</w:t>
            </w:r>
          </w:p>
        </w:tc>
        <w:tc>
          <w:tcPr>
            <w:tcW w:w="13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r>
      <w:tr>
        <w:trPr>
          <w:trHeight w:val="206"/>
        </w:trPr>
        <w:tc>
          <w:tcPr>
            <w:tcW w:w="5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as of December 31</w:t>
            </w:r>
          </w:p>
        </w:tc>
        <w:tc>
          <w:tcPr>
            <w:tcW w:w="29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$12.3</w:t>
            </w: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$9.5</w:t>
            </w:r>
          </w:p>
        </w:tc>
        <w:tc>
          <w:tcPr>
            <w:tcW w:w="12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$8.0</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0" w:name="page81"/>
    <w:bookmarkEnd w:id="80"/>
    <w:p>
      <w:pPr>
        <w:spacing w:after="0"/>
        <w:tabs>
          <w:tab w:leader="none" w:pos="118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Income Tax Expense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gross unrecognized tax benefits as of December 31, 2010, includes $0.6 million of net unrecognized tax benefits that, if recognized, would affect the annual effective income tax rate.</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December 31, 2010, we had $0.7 million ($0.9 million for 2009 and $0.6 million for 2008) of accrued interest related to unrecognized tax benefits included in the consolidated balance sheet. We classify interest related to unrecognized tax benefits as interest expense and tax-related penalties in operating expenses in the consolidated statement of income. In 2010, we recognized a $0.2 million reduction of interest expense (interest expense of $0.4 million for 2009 and $0.4 million for 2008). There were no penalties recognized for 2010, 2009 or 2008.</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file a consolidated federal income tax return in the United States and state income tax returns in various jurisdictions. ALLETE is currently under examination by the IRS for the tax years 2005 through 2009. ALLETE is no longer subject to federal or state examination for years before 2005.</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next 12 months it is reasonably possible the amount of unrecognized tax benefits could be reduced by $4.0 million due to statute expirations and anticipated audit settlements. This amount is primarily due to timing issues.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7"/>
                <w:szCs w:val="17"/>
                <w:b w:val="1"/>
                <w:bCs w:val="1"/>
                <w:color w:val="auto"/>
              </w:rPr>
              <w:t>Note 14.</w:t>
            </w:r>
          </w:p>
        </w:tc>
        <w:tc>
          <w:tcPr>
            <w:tcW w:w="5000" w:type="dxa"/>
            <w:vAlign w:val="bottom"/>
          </w:tcPr>
          <w:p>
            <w:pPr>
              <w:ind w:left="200"/>
              <w:spacing w:after="0"/>
              <w:rPr>
                <w:sz w:val="20"/>
                <w:szCs w:val="20"/>
                <w:color w:val="auto"/>
              </w:rPr>
            </w:pPr>
            <w:r>
              <w:rPr>
                <w:rFonts w:ascii="Arial" w:cs="Arial" w:eastAsia="Arial" w:hAnsi="Arial"/>
                <w:sz w:val="17"/>
                <w:szCs w:val="17"/>
                <w:b w:val="1"/>
                <w:bCs w:val="1"/>
                <w:color w:val="auto"/>
              </w:rPr>
              <w:t>Other Comprehensive Income (Loss)</w:t>
            </w:r>
          </w:p>
        </w:tc>
        <w:tc>
          <w:tcPr>
            <w:tcW w:w="2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1"/>
        </w:trPr>
        <w:tc>
          <w:tcPr>
            <w:tcW w:w="6000" w:type="dxa"/>
            <w:vAlign w:val="bottom"/>
            <w:gridSpan w:val="2"/>
          </w:tcPr>
          <w:p>
            <w:pPr>
              <w:spacing w:after="0"/>
              <w:rPr>
                <w:sz w:val="17"/>
                <w:szCs w:val="17"/>
                <w:color w:val="auto"/>
              </w:rPr>
            </w:pPr>
          </w:p>
        </w:tc>
        <w:tc>
          <w:tcPr>
            <w:tcW w:w="2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w:t>
            </w:r>
          </w:p>
        </w:tc>
        <w:tc>
          <w:tcPr>
            <w:tcW w:w="2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27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2010</w:t>
            </w: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2008</w:t>
            </w:r>
          </w:p>
        </w:tc>
      </w:tr>
      <w:tr>
        <w:trPr>
          <w:trHeight w:val="201"/>
        </w:trPr>
        <w:tc>
          <w:tcPr>
            <w:tcW w:w="1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0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w:t>
            </w:r>
          </w:p>
        </w:tc>
        <w:tc>
          <w:tcPr>
            <w:tcW w:w="50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$74.8</w:t>
            </w: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$60.7</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$83.0</w:t>
            </w: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2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9"/>
        </w:trPr>
        <w:tc>
          <w:tcPr>
            <w:tcW w:w="600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Unrealized Gain on Securities</w:t>
            </w: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3"/>
        </w:trPr>
        <w:tc>
          <w:tcPr>
            <w:tcW w:w="6000" w:type="dxa"/>
            <w:vAlign w:val="bottom"/>
            <w:gridSpan w:val="2"/>
          </w:tcPr>
          <w:p>
            <w:pPr>
              <w:ind w:left="280"/>
              <w:spacing w:after="0"/>
              <w:rPr>
                <w:sz w:val="20"/>
                <w:szCs w:val="20"/>
                <w:color w:val="auto"/>
              </w:rPr>
            </w:pPr>
            <w:r>
              <w:rPr>
                <w:rFonts w:ascii="Arial" w:cs="Arial" w:eastAsia="Arial" w:hAnsi="Arial"/>
                <w:sz w:val="17"/>
                <w:szCs w:val="17"/>
                <w:color w:val="auto"/>
              </w:rPr>
              <w:t>Net of income taxes of $0.6, $1.7, and $(3.7)</w:t>
            </w:r>
          </w:p>
        </w:tc>
        <w:tc>
          <w:tcPr>
            <w:tcW w:w="2720" w:type="dxa"/>
            <w:vAlign w:val="bottom"/>
          </w:tcPr>
          <w:p>
            <w:pPr>
              <w:jc w:val="right"/>
              <w:ind w:right="396"/>
              <w:spacing w:after="0"/>
              <w:rPr>
                <w:sz w:val="20"/>
                <w:szCs w:val="20"/>
                <w:color w:val="auto"/>
              </w:rPr>
            </w:pPr>
            <w:r>
              <w:rPr>
                <w:rFonts w:ascii="Arial" w:cs="Arial" w:eastAsia="Arial" w:hAnsi="Arial"/>
                <w:sz w:val="17"/>
                <w:szCs w:val="17"/>
                <w:color w:val="auto"/>
              </w:rPr>
              <w:t>0.8</w:t>
            </w:r>
          </w:p>
        </w:tc>
        <w:tc>
          <w:tcPr>
            <w:tcW w:w="1420" w:type="dxa"/>
            <w:vAlign w:val="bottom"/>
          </w:tcPr>
          <w:p>
            <w:pPr>
              <w:jc w:val="right"/>
              <w:ind w:right="436"/>
              <w:spacing w:after="0"/>
              <w:rPr>
                <w:sz w:val="20"/>
                <w:szCs w:val="20"/>
                <w:color w:val="auto"/>
              </w:rPr>
            </w:pPr>
            <w:r>
              <w:rPr>
                <w:rFonts w:ascii="Arial" w:cs="Arial" w:eastAsia="Arial" w:hAnsi="Arial"/>
                <w:sz w:val="17"/>
                <w:szCs w:val="17"/>
                <w:color w:val="auto"/>
              </w:rPr>
              <w:t>2.8</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(6.0)</w:t>
            </w:r>
          </w:p>
        </w:tc>
      </w:tr>
      <w:tr>
        <w:trPr>
          <w:trHeight w:val="189"/>
        </w:trPr>
        <w:tc>
          <w:tcPr>
            <w:tcW w:w="60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Reclassification Adjustment for Losses Included in Income</w:t>
            </w:r>
          </w:p>
        </w:tc>
        <w:tc>
          <w:tcPr>
            <w:tcW w:w="2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4"/>
        </w:trPr>
        <w:tc>
          <w:tcPr>
            <w:tcW w:w="60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Net of income taxes of $–, $–, and $(2.7)</w:t>
            </w:r>
          </w:p>
        </w:tc>
        <w:tc>
          <w:tcPr>
            <w:tcW w:w="272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(3.7)</w:t>
            </w:r>
          </w:p>
        </w:tc>
      </w:tr>
      <w:tr>
        <w:trPr>
          <w:trHeight w:val="189"/>
        </w:trPr>
        <w:tc>
          <w:tcPr>
            <w:tcW w:w="600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Defined Benefit Pension and Other Postretirement Plans</w:t>
            </w: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600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Net of income taxes of $–, $4.1, and $(13.3)</w:t>
            </w:r>
          </w:p>
        </w:tc>
        <w:tc>
          <w:tcPr>
            <w:tcW w:w="27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6.2</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(18.8)</w:t>
            </w:r>
          </w:p>
        </w:tc>
      </w:tr>
      <w:tr>
        <w:trPr>
          <w:trHeight w:val="206"/>
        </w:trPr>
        <w:tc>
          <w:tcPr>
            <w:tcW w:w="60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Other Comprehensive Income (Loss)</w:t>
            </w:r>
          </w:p>
        </w:tc>
        <w:tc>
          <w:tcPr>
            <w:tcW w:w="2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color w:val="auto"/>
              </w:rPr>
              <w:t>0.8</w:t>
            </w:r>
          </w:p>
        </w:tc>
        <w:tc>
          <w:tcPr>
            <w:tcW w:w="14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9.0</w:t>
            </w:r>
          </w:p>
        </w:tc>
        <w:tc>
          <w:tcPr>
            <w:tcW w:w="1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(28.5)</w:t>
            </w:r>
          </w:p>
        </w:tc>
      </w:tr>
      <w:tr>
        <w:trPr>
          <w:trHeight w:val="201"/>
        </w:trPr>
        <w:tc>
          <w:tcPr>
            <w:tcW w:w="6000" w:type="dxa"/>
            <w:vAlign w:val="bottom"/>
            <w:gridSpan w:val="2"/>
          </w:tcPr>
          <w:p>
            <w:pPr>
              <w:spacing w:after="0"/>
              <w:rPr>
                <w:sz w:val="20"/>
                <w:szCs w:val="20"/>
                <w:color w:val="auto"/>
              </w:rPr>
            </w:pPr>
            <w:r>
              <w:rPr>
                <w:rFonts w:ascii="Arial" w:cs="Arial" w:eastAsia="Arial" w:hAnsi="Arial"/>
                <w:sz w:val="17"/>
                <w:szCs w:val="17"/>
                <w:color w:val="auto"/>
              </w:rPr>
              <w:t>Total Comprehensive Income</w:t>
            </w:r>
          </w:p>
        </w:tc>
        <w:tc>
          <w:tcPr>
            <w:tcW w:w="2720" w:type="dxa"/>
            <w:vAlign w:val="bottom"/>
          </w:tcPr>
          <w:p>
            <w:pPr>
              <w:jc w:val="right"/>
              <w:ind w:right="396"/>
              <w:spacing w:after="0"/>
              <w:rPr>
                <w:sz w:val="20"/>
                <w:szCs w:val="20"/>
                <w:color w:val="auto"/>
              </w:rPr>
            </w:pPr>
            <w:r>
              <w:rPr>
                <w:rFonts w:ascii="Arial" w:cs="Arial" w:eastAsia="Arial" w:hAnsi="Arial"/>
                <w:sz w:val="17"/>
                <w:szCs w:val="17"/>
                <w:color w:val="auto"/>
              </w:rPr>
              <w:t>$75.6</w:t>
            </w:r>
          </w:p>
        </w:tc>
        <w:tc>
          <w:tcPr>
            <w:tcW w:w="1420" w:type="dxa"/>
            <w:vAlign w:val="bottom"/>
          </w:tcPr>
          <w:p>
            <w:pPr>
              <w:jc w:val="right"/>
              <w:ind w:right="436"/>
              <w:spacing w:after="0"/>
              <w:rPr>
                <w:sz w:val="20"/>
                <w:szCs w:val="20"/>
                <w:color w:val="auto"/>
              </w:rPr>
            </w:pPr>
            <w:r>
              <w:rPr>
                <w:rFonts w:ascii="Arial" w:cs="Arial" w:eastAsia="Arial" w:hAnsi="Arial"/>
                <w:sz w:val="17"/>
                <w:szCs w:val="17"/>
                <w:color w:val="auto"/>
              </w:rPr>
              <w:t>$69.7</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$54.5</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Less: Non-Controlling Interest in Subsidiaries</w:t>
            </w:r>
          </w:p>
        </w:tc>
        <w:tc>
          <w:tcPr>
            <w:tcW w:w="2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color w:val="auto"/>
              </w:rPr>
              <w:t>(0.5)</w:t>
            </w:r>
          </w:p>
        </w:tc>
        <w:tc>
          <w:tcPr>
            <w:tcW w:w="14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(0.3)</w:t>
            </w:r>
          </w:p>
        </w:tc>
        <w:tc>
          <w:tcPr>
            <w:tcW w:w="1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0.5</w:t>
            </w: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Comprehensive Income Attributable to ALLETE</w:t>
            </w:r>
          </w:p>
        </w:tc>
        <w:tc>
          <w:tcPr>
            <w:tcW w:w="27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$76.1</w:t>
            </w: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$70.0</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$54.0</w:t>
            </w:r>
          </w:p>
        </w:tc>
      </w:tr>
      <w:tr>
        <w:trPr>
          <w:trHeight w:val="402"/>
        </w:trPr>
        <w:tc>
          <w:tcPr>
            <w:tcW w:w="6000" w:type="dxa"/>
            <w:vAlign w:val="bottom"/>
            <w:gridSpan w:val="2"/>
          </w:tcPr>
          <w:p>
            <w:pPr>
              <w:spacing w:after="0"/>
              <w:rPr>
                <w:sz w:val="24"/>
                <w:szCs w:val="24"/>
                <w:color w:val="auto"/>
              </w:rPr>
            </w:pPr>
          </w:p>
        </w:tc>
        <w:tc>
          <w:tcPr>
            <w:tcW w:w="2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Accumulated Other Comprehensive Income (Loss)</w:t>
            </w:r>
          </w:p>
        </w:tc>
        <w:tc>
          <w:tcPr>
            <w:tcW w:w="2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of December 31</w:t>
            </w:r>
          </w:p>
        </w:tc>
        <w:tc>
          <w:tcPr>
            <w:tcW w:w="2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2010</w:t>
            </w: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1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50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6000" w:type="dxa"/>
            <w:vAlign w:val="bottom"/>
            <w:gridSpan w:val="2"/>
          </w:tcPr>
          <w:p>
            <w:pPr>
              <w:spacing w:after="0"/>
              <w:rPr>
                <w:sz w:val="20"/>
                <w:szCs w:val="20"/>
                <w:color w:val="auto"/>
              </w:rPr>
            </w:pPr>
            <w:r>
              <w:rPr>
                <w:rFonts w:ascii="Arial" w:cs="Arial" w:eastAsia="Arial" w:hAnsi="Arial"/>
                <w:sz w:val="17"/>
                <w:szCs w:val="17"/>
                <w:color w:val="auto"/>
              </w:rPr>
              <w:t>Unrealized Loss on Securities</w:t>
            </w:r>
          </w:p>
        </w:tc>
        <w:tc>
          <w:tcPr>
            <w:tcW w:w="2720" w:type="dxa"/>
            <w:vAlign w:val="bottom"/>
          </w:tcPr>
          <w:p>
            <w:pPr>
              <w:spacing w:after="0"/>
              <w:rPr>
                <w:sz w:val="17"/>
                <w:szCs w:val="17"/>
                <w:color w:val="auto"/>
              </w:rPr>
            </w:pPr>
          </w:p>
        </w:tc>
        <w:tc>
          <w:tcPr>
            <w:tcW w:w="1420" w:type="dxa"/>
            <w:vAlign w:val="bottom"/>
          </w:tcPr>
          <w:p>
            <w:pPr>
              <w:jc w:val="right"/>
              <w:ind w:right="356"/>
              <w:spacing w:after="0"/>
              <w:rPr>
                <w:sz w:val="20"/>
                <w:szCs w:val="20"/>
                <w:color w:val="auto"/>
              </w:rPr>
            </w:pPr>
            <w:r>
              <w:rPr>
                <w:rFonts w:ascii="Arial" w:cs="Arial" w:eastAsia="Arial" w:hAnsi="Arial"/>
                <w:sz w:val="17"/>
                <w:szCs w:val="17"/>
                <w:color w:val="auto"/>
              </w:rPr>
              <w:t>$(1.0)</w:t>
            </w:r>
          </w:p>
        </w:tc>
        <w:tc>
          <w:tcPr>
            <w:tcW w:w="1280" w:type="dxa"/>
            <w:vAlign w:val="bottom"/>
          </w:tcPr>
          <w:p>
            <w:pPr>
              <w:jc w:val="right"/>
              <w:ind w:right="276"/>
              <w:spacing w:after="0"/>
              <w:rPr>
                <w:sz w:val="20"/>
                <w:szCs w:val="20"/>
                <w:color w:val="auto"/>
              </w:rPr>
            </w:pPr>
            <w:r>
              <w:rPr>
                <w:rFonts w:ascii="Arial" w:cs="Arial" w:eastAsia="Arial" w:hAnsi="Arial"/>
                <w:sz w:val="17"/>
                <w:szCs w:val="17"/>
                <w:color w:val="auto"/>
              </w:rPr>
              <w:t>$(1.8)</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Defined Benefit Pension and Other Postretirement Plans</w:t>
            </w:r>
          </w:p>
        </w:tc>
        <w:tc>
          <w:tcPr>
            <w:tcW w:w="27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(22.2)</w:t>
            </w:r>
          </w:p>
        </w:tc>
        <w:tc>
          <w:tcPr>
            <w:tcW w:w="1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(22.2)</w:t>
            </w: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Accumulated Other Comprehensive Loss</w:t>
            </w:r>
          </w:p>
        </w:tc>
        <w:tc>
          <w:tcPr>
            <w:tcW w:w="2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$(23.2)</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$(24.0)</w:t>
            </w:r>
          </w:p>
        </w:tc>
      </w:tr>
    </w:tbl>
    <w:p>
      <w:pPr>
        <w:spacing w:after="0" w:line="386"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noncontributory union and non-union defined benefit pension plans covering eligible employees. The plans provide defined benefits based on years of service and final average pay. In 2010, we made total contributions of $26.5 million ($32.9 million in 2009 of which $12.0 million was contributed in shares of ALLETE common stock). We also have defined contribution pension plans covering substantially all employees. The 2010 plan year employer contributions, which are made through our employee stock ownership plan, totaled $7.2 million ($7.1 million for the 2009 plan year.) (See Note 11. Common Stock and Earnings Per Share and Note 16. Employee Stock and Incentive Plans)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2006, amendments were made to the non-union defined benefit pension plan and the RSOP. The non-union defined benefit pension plan was amended to suspend further crediting of service to the plan and closed the plan to new participants. In conjunction with the change, contributions were increased to the RSOP. In 2010, the Minnesota Power unions defined benefit pension plan was amended to close the plan to new participants.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1" w:name="page82"/>
    <w:bookmarkEnd w:id="81"/>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age 55 with 10 years of service.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2010 $12.8 million was contributed to the VEBAs. In 2009 we contributed $9.3 million to the VEBAs and $0.3 million to the grantor trust.</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Management considers various factors when making funding decisions such as regulatory requirements, actuarially determined minimum contribution requirements, and contributions required to avoid benefit restrictions for the pension plans. Estimated defined benefit pension and postretirement health and life contributions for 2011 are expected to be $7.8 million and $12.9 million, respectively. Contributions are based on estimates and assumptions that are subject to change.</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Accounting for Defined Benefit Pension and Postretirement Benefit Plans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defined benefit pension and postretirement health and life benefit costs recognized annually by our regulated companies are expected to be recovered through rates filed with our regulatory jurisdictions. As a result, these amounts that are required to otherwise be recognized in accumulated other comprehensive income have been recognized as a long-term regulatory asset on our consolidated balance sheet, in accordance with the accounting standards for Regulated Operations. The defined benefit pension and postretirement health and life benefit costs associated with our other non-rate base operations are recognized in accumulated other comprehensive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Pension Obligation and Funded Status</w:t>
            </w:r>
          </w:p>
        </w:tc>
        <w:tc>
          <w:tcPr>
            <w:tcW w:w="2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8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2010</w:t>
            </w: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Accumulated Benefit Obligation</w:t>
            </w:r>
          </w:p>
        </w:tc>
        <w:tc>
          <w:tcPr>
            <w:tcW w:w="2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$485.6</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$435.9</w:t>
            </w:r>
          </w:p>
        </w:tc>
      </w:tr>
      <w:tr>
        <w:trPr>
          <w:trHeight w:val="201"/>
        </w:trPr>
        <w:tc>
          <w:tcPr>
            <w:tcW w:w="73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Change in Benefit Obligation</w:t>
            </w:r>
          </w:p>
        </w:tc>
        <w:tc>
          <w:tcPr>
            <w:tcW w:w="28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Obligation, Beginning of Year</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$465.2</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$440.4</w:t>
            </w:r>
          </w:p>
        </w:tc>
      </w:tr>
      <w:tr>
        <w:trPr>
          <w:trHeight w:val="201"/>
        </w:trPr>
        <w:tc>
          <w:tcPr>
            <w:tcW w:w="7300" w:type="dxa"/>
            <w:vAlign w:val="bottom"/>
          </w:tcPr>
          <w:p>
            <w:pPr>
              <w:ind w:left="160"/>
              <w:spacing w:after="0"/>
              <w:rPr>
                <w:sz w:val="20"/>
                <w:szCs w:val="20"/>
                <w:color w:val="auto"/>
              </w:rPr>
            </w:pPr>
            <w:r>
              <w:rPr>
                <w:rFonts w:ascii="Arial" w:cs="Arial" w:eastAsia="Arial" w:hAnsi="Arial"/>
                <w:sz w:val="17"/>
                <w:szCs w:val="17"/>
                <w:color w:val="auto"/>
              </w:rPr>
              <w:t>Service Cost</w:t>
            </w:r>
          </w:p>
        </w:tc>
        <w:tc>
          <w:tcPr>
            <w:tcW w:w="2820" w:type="dxa"/>
            <w:vAlign w:val="bottom"/>
          </w:tcPr>
          <w:p>
            <w:pPr>
              <w:jc w:val="right"/>
              <w:ind w:right="276"/>
              <w:spacing w:after="0"/>
              <w:rPr>
                <w:sz w:val="20"/>
                <w:szCs w:val="20"/>
                <w:color w:val="auto"/>
              </w:rPr>
            </w:pPr>
            <w:r>
              <w:rPr>
                <w:rFonts w:ascii="Arial" w:cs="Arial" w:eastAsia="Arial" w:hAnsi="Arial"/>
                <w:sz w:val="17"/>
                <w:szCs w:val="17"/>
                <w:color w:val="auto"/>
              </w:rPr>
              <w:t>6.2</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5.7</w:t>
            </w: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Cost</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26.2</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26.2</w:t>
            </w:r>
          </w:p>
        </w:tc>
      </w:tr>
      <w:tr>
        <w:trPr>
          <w:trHeight w:val="201"/>
        </w:trPr>
        <w:tc>
          <w:tcPr>
            <w:tcW w:w="7300" w:type="dxa"/>
            <w:vAlign w:val="bottom"/>
          </w:tcPr>
          <w:p>
            <w:pPr>
              <w:ind w:left="160"/>
              <w:spacing w:after="0"/>
              <w:rPr>
                <w:sz w:val="20"/>
                <w:szCs w:val="20"/>
                <w:color w:val="auto"/>
              </w:rPr>
            </w:pPr>
            <w:r>
              <w:rPr>
                <w:rFonts w:ascii="Arial" w:cs="Arial" w:eastAsia="Arial" w:hAnsi="Arial"/>
                <w:sz w:val="17"/>
                <w:szCs w:val="17"/>
                <w:color w:val="auto"/>
              </w:rPr>
              <w:t>Actuarial Loss</w:t>
            </w:r>
          </w:p>
        </w:tc>
        <w:tc>
          <w:tcPr>
            <w:tcW w:w="2820" w:type="dxa"/>
            <w:vAlign w:val="bottom"/>
          </w:tcPr>
          <w:p>
            <w:pPr>
              <w:jc w:val="right"/>
              <w:ind w:right="276"/>
              <w:spacing w:after="0"/>
              <w:rPr>
                <w:sz w:val="20"/>
                <w:szCs w:val="20"/>
                <w:color w:val="auto"/>
              </w:rPr>
            </w:pPr>
            <w:r>
              <w:rPr>
                <w:rFonts w:ascii="Arial" w:cs="Arial" w:eastAsia="Arial" w:hAnsi="Arial"/>
                <w:sz w:val="17"/>
                <w:szCs w:val="17"/>
                <w:color w:val="auto"/>
              </w:rPr>
              <w:t>47.1</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14.6</w:t>
            </w: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Benefits Paid</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(27.2)</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(25.5)</w:t>
            </w:r>
          </w:p>
        </w:tc>
      </w:tr>
      <w:tr>
        <w:trPr>
          <w:trHeight w:val="206"/>
        </w:trPr>
        <w:tc>
          <w:tcPr>
            <w:tcW w:w="73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Participant Contributions</w:t>
            </w:r>
          </w:p>
        </w:tc>
        <w:tc>
          <w:tcPr>
            <w:tcW w:w="2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8.1</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3.9</w:t>
            </w:r>
          </w:p>
        </w:tc>
      </w:tr>
      <w:tr>
        <w:trPr>
          <w:trHeight w:val="206"/>
        </w:trPr>
        <w:tc>
          <w:tcPr>
            <w:tcW w:w="7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Obligation, End of Year</w:t>
            </w:r>
          </w:p>
        </w:tc>
        <w:tc>
          <w:tcPr>
            <w:tcW w:w="28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$525.6</w:t>
            </w:r>
          </w:p>
        </w:tc>
        <w:tc>
          <w:tcPr>
            <w:tcW w:w="13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$465.3</w:t>
            </w: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Change in Plan Assets</w:t>
            </w:r>
          </w:p>
        </w:tc>
        <w:tc>
          <w:tcPr>
            <w:tcW w:w="28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Fair Value, Beginning of Year</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$327.6</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$273.7</w:t>
            </w:r>
          </w:p>
        </w:tc>
      </w:tr>
      <w:tr>
        <w:trPr>
          <w:trHeight w:val="201"/>
        </w:trPr>
        <w:tc>
          <w:tcPr>
            <w:tcW w:w="7300" w:type="dxa"/>
            <w:vAlign w:val="bottom"/>
          </w:tcPr>
          <w:p>
            <w:pPr>
              <w:ind w:left="160"/>
              <w:spacing w:after="0"/>
              <w:rPr>
                <w:sz w:val="20"/>
                <w:szCs w:val="20"/>
                <w:color w:val="auto"/>
              </w:rPr>
            </w:pPr>
            <w:r>
              <w:rPr>
                <w:rFonts w:ascii="Arial" w:cs="Arial" w:eastAsia="Arial" w:hAnsi="Arial"/>
                <w:sz w:val="17"/>
                <w:szCs w:val="17"/>
                <w:color w:val="auto"/>
              </w:rPr>
              <w:t>Actual Return on Plan Assets</w:t>
            </w:r>
          </w:p>
        </w:tc>
        <w:tc>
          <w:tcPr>
            <w:tcW w:w="2820" w:type="dxa"/>
            <w:vAlign w:val="bottom"/>
          </w:tcPr>
          <w:p>
            <w:pPr>
              <w:jc w:val="right"/>
              <w:ind w:right="276"/>
              <w:spacing w:after="0"/>
              <w:rPr>
                <w:sz w:val="20"/>
                <w:szCs w:val="20"/>
                <w:color w:val="auto"/>
              </w:rPr>
            </w:pPr>
            <w:r>
              <w:rPr>
                <w:rFonts w:ascii="Arial" w:cs="Arial" w:eastAsia="Arial" w:hAnsi="Arial"/>
                <w:sz w:val="17"/>
                <w:szCs w:val="17"/>
                <w:color w:val="auto"/>
              </w:rPr>
              <w:t>45.6</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41.6</w:t>
            </w: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Employer Contribution</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36.0</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37.8</w:t>
            </w:r>
          </w:p>
        </w:tc>
      </w:tr>
      <w:tr>
        <w:trPr>
          <w:trHeight w:val="206"/>
        </w:trPr>
        <w:tc>
          <w:tcPr>
            <w:tcW w:w="73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Benefits Paid</w:t>
            </w:r>
          </w:p>
        </w:tc>
        <w:tc>
          <w:tcPr>
            <w:tcW w:w="2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(27.2)</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(25.5)</w:t>
            </w:r>
          </w:p>
        </w:tc>
      </w:tr>
      <w:tr>
        <w:trPr>
          <w:trHeight w:val="206"/>
        </w:trPr>
        <w:tc>
          <w:tcPr>
            <w:tcW w:w="7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Fair Value, End of Year</w:t>
            </w:r>
          </w:p>
        </w:tc>
        <w:tc>
          <w:tcPr>
            <w:tcW w:w="28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$382.0</w:t>
            </w:r>
          </w:p>
        </w:tc>
        <w:tc>
          <w:tcPr>
            <w:tcW w:w="13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$327.6</w:t>
            </w: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Funded Status, End of Year</w:t>
            </w:r>
          </w:p>
        </w:tc>
        <w:tc>
          <w:tcPr>
            <w:tcW w:w="2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$(143.6)</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$(137.7)</w:t>
            </w:r>
          </w:p>
        </w:tc>
      </w:tr>
      <w:tr>
        <w:trPr>
          <w:trHeight w:val="201"/>
        </w:trPr>
        <w:tc>
          <w:tcPr>
            <w:tcW w:w="73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Pension Amounts Recognized in Consolidated Balance Sheet Consist of:</w:t>
            </w:r>
          </w:p>
        </w:tc>
        <w:tc>
          <w:tcPr>
            <w:tcW w:w="2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Liabilities</w:t>
            </w:r>
          </w:p>
        </w:tc>
        <w:tc>
          <w:tcPr>
            <w:tcW w:w="2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$(0.9)</w:t>
            </w: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$(0.9)</w:t>
            </w:r>
          </w:p>
        </w:tc>
      </w:tr>
      <w:tr>
        <w:trPr>
          <w:trHeight w:val="206"/>
        </w:trPr>
        <w:tc>
          <w:tcPr>
            <w:tcW w:w="73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Noncurrent Liabilities</w:t>
            </w:r>
          </w:p>
        </w:tc>
        <w:tc>
          <w:tcPr>
            <w:tcW w:w="2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$(142.8)</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$(136.8)</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2" w:name="page83"/>
    <w:bookmarkEnd w:id="82"/>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pension costs that are reported as a component within our consolidated balance sheet, reflected in regulatory long-term assets and accumulated other comprehensive income,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Unrecognized Pension Costs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Net Loss</w:t>
            </w:r>
          </w:p>
        </w:tc>
        <w:tc>
          <w:tcPr>
            <w:tcW w:w="1460" w:type="dxa"/>
            <w:vAlign w:val="bottom"/>
          </w:tcPr>
          <w:p>
            <w:pPr>
              <w:spacing w:after="0"/>
              <w:rPr>
                <w:sz w:val="17"/>
                <w:szCs w:val="17"/>
                <w:color w:val="auto"/>
              </w:rPr>
            </w:pP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$225.1</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$196.5</w:t>
            </w:r>
          </w:p>
        </w:tc>
      </w:tr>
      <w:tr>
        <w:trPr>
          <w:trHeight w:val="206"/>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1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1.4</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1.8</w:t>
            </w: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Unrecognized Pension Costs</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$226.5</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$198.3</w:t>
            </w:r>
          </w:p>
        </w:tc>
      </w:tr>
      <w:tr>
        <w:trPr>
          <w:trHeight w:val="402"/>
        </w:trPr>
        <w:tc>
          <w:tcPr>
            <w:tcW w:w="7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Pension Expense</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14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2009</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2008</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Service Cost</w:t>
            </w:r>
          </w:p>
        </w:tc>
        <w:tc>
          <w:tcPr>
            <w:tcW w:w="1460" w:type="dxa"/>
            <w:vAlign w:val="bottom"/>
          </w:tcPr>
          <w:p>
            <w:pPr>
              <w:jc w:val="right"/>
              <w:ind w:right="356"/>
              <w:spacing w:after="0"/>
              <w:rPr>
                <w:sz w:val="20"/>
                <w:szCs w:val="20"/>
                <w:color w:val="auto"/>
              </w:rPr>
            </w:pPr>
            <w:r>
              <w:rPr>
                <w:rFonts w:ascii="Arial" w:cs="Arial" w:eastAsia="Arial" w:hAnsi="Arial"/>
                <w:sz w:val="17"/>
                <w:szCs w:val="17"/>
                <w:color w:val="auto"/>
              </w:rPr>
              <w:t>$6.2</w:t>
            </w: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$5.7</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$5.8</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4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26.2</w:t>
            </w: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26.2</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25.4</w:t>
            </w: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1460" w:type="dxa"/>
            <w:vAlign w:val="bottom"/>
          </w:tcPr>
          <w:p>
            <w:pPr>
              <w:jc w:val="right"/>
              <w:ind w:right="356"/>
              <w:spacing w:after="0"/>
              <w:rPr>
                <w:sz w:val="20"/>
                <w:szCs w:val="20"/>
                <w:color w:val="auto"/>
              </w:rPr>
            </w:pPr>
            <w:r>
              <w:rPr>
                <w:rFonts w:ascii="Arial" w:cs="Arial" w:eastAsia="Arial" w:hAnsi="Arial"/>
                <w:sz w:val="17"/>
                <w:szCs w:val="17"/>
                <w:color w:val="auto"/>
              </w:rPr>
              <w:t>(33.7)</w:t>
            </w: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(33.8)</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(32.5)</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Loss</w:t>
            </w:r>
          </w:p>
        </w:tc>
        <w:tc>
          <w:tcPr>
            <w:tcW w:w="14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6.6</w:t>
            </w: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3.4</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1.6</w:t>
            </w: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Prior Service Costs</w:t>
            </w: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0.5</w:t>
            </w: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0.6</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0.6</w:t>
            </w:r>
          </w:p>
        </w:tc>
      </w:tr>
      <w:tr>
        <w:trPr>
          <w:trHeight w:val="206"/>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Pension Expense</w:t>
            </w:r>
          </w:p>
        </w:tc>
        <w:tc>
          <w:tcPr>
            <w:tcW w:w="14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$5.8</w:t>
            </w: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$2.1</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$0.9</w:t>
            </w:r>
          </w:p>
        </w:tc>
      </w:tr>
      <w:tr>
        <w:trPr>
          <w:trHeight w:val="402"/>
        </w:trPr>
        <w:tc>
          <w:tcPr>
            <w:tcW w:w="7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730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Other Changes in Pension Plan Assets and Benefit Obligations Recognized in</w:t>
            </w:r>
          </w:p>
        </w:tc>
        <w:tc>
          <w:tcPr>
            <w:tcW w:w="14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8"/>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and Regulatory Assets</w:t>
            </w: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Net Loss</w:t>
            </w:r>
          </w:p>
        </w:tc>
        <w:tc>
          <w:tcPr>
            <w:tcW w:w="1460" w:type="dxa"/>
            <w:vAlign w:val="bottom"/>
          </w:tcPr>
          <w:p>
            <w:pPr>
              <w:spacing w:after="0"/>
              <w:rPr>
                <w:sz w:val="17"/>
                <w:szCs w:val="17"/>
                <w:color w:val="auto"/>
              </w:rPr>
            </w:pP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$35.2</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$6.8</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Prior Service Costs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(0.5)</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(0.6)</w:t>
            </w: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Gain</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(6.6)</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(3.4)</w:t>
            </w:r>
          </w:p>
        </w:tc>
      </w:tr>
      <w:tr>
        <w:trPr>
          <w:trHeight w:val="206"/>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Recognized in Other Comprehensive Income and Regulatory Assets</w:t>
            </w:r>
          </w:p>
        </w:tc>
        <w:tc>
          <w:tcPr>
            <w:tcW w:w="1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$28.1</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$2.8</w:t>
            </w:r>
          </w:p>
        </w:tc>
      </w:tr>
      <w:tr>
        <w:trPr>
          <w:trHeight w:val="402"/>
        </w:trPr>
        <w:tc>
          <w:tcPr>
            <w:tcW w:w="7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Information for Pension Plans with an Accumulated Benefit Obligation in Excess of Plan Assets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300" w:type="dxa"/>
            <w:vAlign w:val="bottom"/>
          </w:tcPr>
          <w:p>
            <w:pPr>
              <w:spacing w:after="0"/>
              <w:rPr>
                <w:sz w:val="20"/>
                <w:szCs w:val="20"/>
                <w:color w:val="auto"/>
              </w:rPr>
            </w:pPr>
            <w:r>
              <w:rPr>
                <w:rFonts w:ascii="Arial" w:cs="Arial" w:eastAsia="Arial" w:hAnsi="Arial"/>
                <w:sz w:val="17"/>
                <w:szCs w:val="17"/>
                <w:color w:val="auto"/>
              </w:rPr>
              <w:t>Projected Benefit Obligation</w:t>
            </w:r>
          </w:p>
        </w:tc>
        <w:tc>
          <w:tcPr>
            <w:tcW w:w="1460" w:type="dxa"/>
            <w:vAlign w:val="bottom"/>
          </w:tcPr>
          <w:p>
            <w:pPr>
              <w:spacing w:after="0"/>
              <w:rPr>
                <w:sz w:val="17"/>
                <w:szCs w:val="17"/>
                <w:color w:val="auto"/>
              </w:rPr>
            </w:pP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$525.6</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$465.3</w:t>
            </w:r>
          </w:p>
        </w:tc>
      </w:tr>
      <w:tr>
        <w:trPr>
          <w:trHeight w:val="201"/>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Accumulated Benefit Obligation</w:t>
            </w: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$485.6</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$435.9</w:t>
            </w:r>
          </w:p>
        </w:tc>
      </w:tr>
      <w:tr>
        <w:trPr>
          <w:trHeight w:val="206"/>
        </w:trPr>
        <w:tc>
          <w:tcPr>
            <w:tcW w:w="7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Fair Value of Plan Assets</w:t>
            </w:r>
          </w:p>
        </w:tc>
        <w:tc>
          <w:tcPr>
            <w:tcW w:w="1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$382.0</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$327.6</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7"/>
                <w:szCs w:val="17"/>
                <w:b w:val="1"/>
                <w:bCs w:val="1"/>
                <w:color w:val="auto"/>
              </w:rPr>
              <w:t>Note 15.</w:t>
            </w:r>
          </w:p>
        </w:tc>
        <w:tc>
          <w:tcPr>
            <w:tcW w:w="6980" w:type="dxa"/>
            <w:vAlign w:val="bottom"/>
          </w:tcPr>
          <w:p>
            <w:pPr>
              <w:ind w:left="20"/>
              <w:spacing w:after="0"/>
              <w:rPr>
                <w:sz w:val="20"/>
                <w:szCs w:val="20"/>
                <w:color w:val="auto"/>
              </w:rPr>
            </w:pPr>
            <w:r>
              <w:rPr>
                <w:rFonts w:ascii="Arial" w:cs="Arial" w:eastAsia="Arial" w:hAnsi="Arial"/>
                <w:sz w:val="17"/>
                <w:szCs w:val="17"/>
                <w:b w:val="1"/>
                <w:bCs w:val="1"/>
                <w:color w:val="auto"/>
              </w:rPr>
              <w:t>Pension and Other Postretirement Benefit Plans (Continued)</w:t>
            </w: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3"/>
        </w:trPr>
        <w:tc>
          <w:tcPr>
            <w:tcW w:w="8160" w:type="dxa"/>
            <w:vAlign w:val="bottom"/>
            <w:gridSpan w:val="2"/>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Postretirement Health and Life Obligation and Funded Status</w:t>
            </w:r>
          </w:p>
        </w:tc>
        <w:tc>
          <w:tcPr>
            <w:tcW w:w="2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20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2009</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69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8160" w:type="dxa"/>
            <w:vAlign w:val="bottom"/>
            <w:gridSpan w:val="2"/>
          </w:tcPr>
          <w:p>
            <w:pPr>
              <w:spacing w:after="0"/>
              <w:rPr>
                <w:sz w:val="20"/>
                <w:szCs w:val="20"/>
                <w:color w:val="auto"/>
              </w:rPr>
            </w:pPr>
            <w:r>
              <w:rPr>
                <w:rFonts w:ascii="Arial" w:cs="Arial" w:eastAsia="Arial" w:hAnsi="Arial"/>
                <w:sz w:val="17"/>
                <w:szCs w:val="17"/>
                <w:color w:val="auto"/>
              </w:rPr>
              <w:t>Change in Benefit Obligation</w:t>
            </w:r>
          </w:p>
        </w:tc>
        <w:tc>
          <w:tcPr>
            <w:tcW w:w="2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Obligation, Beginning of Year</w:t>
            </w: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$192.1</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$166.9</w:t>
            </w:r>
          </w:p>
        </w:tc>
      </w:tr>
      <w:tr>
        <w:trPr>
          <w:trHeight w:val="201"/>
        </w:trPr>
        <w:tc>
          <w:tcPr>
            <w:tcW w:w="1180" w:type="dxa"/>
            <w:vAlign w:val="bottom"/>
          </w:tcPr>
          <w:p>
            <w:pPr>
              <w:ind w:left="160"/>
              <w:spacing w:after="0"/>
              <w:rPr>
                <w:sz w:val="20"/>
                <w:szCs w:val="20"/>
                <w:color w:val="auto"/>
              </w:rPr>
            </w:pPr>
            <w:r>
              <w:rPr>
                <w:rFonts w:ascii="Arial" w:cs="Arial" w:eastAsia="Arial" w:hAnsi="Arial"/>
                <w:sz w:val="17"/>
                <w:szCs w:val="17"/>
                <w:color w:val="auto"/>
              </w:rPr>
              <w:t>Service Cost</w:t>
            </w:r>
          </w:p>
        </w:tc>
        <w:tc>
          <w:tcPr>
            <w:tcW w:w="6980" w:type="dxa"/>
            <w:vAlign w:val="bottom"/>
          </w:tcPr>
          <w:p>
            <w:pPr>
              <w:spacing w:after="0"/>
              <w:rPr>
                <w:sz w:val="17"/>
                <w:szCs w:val="17"/>
                <w:color w:val="auto"/>
              </w:rPr>
            </w:pPr>
          </w:p>
        </w:tc>
        <w:tc>
          <w:tcPr>
            <w:tcW w:w="2020" w:type="dxa"/>
            <w:vAlign w:val="bottom"/>
          </w:tcPr>
          <w:p>
            <w:pPr>
              <w:jc w:val="right"/>
              <w:ind w:right="316"/>
              <w:spacing w:after="0"/>
              <w:rPr>
                <w:sz w:val="20"/>
                <w:szCs w:val="20"/>
                <w:color w:val="auto"/>
              </w:rPr>
            </w:pPr>
            <w:r>
              <w:rPr>
                <w:rFonts w:ascii="Arial" w:cs="Arial" w:eastAsia="Arial" w:hAnsi="Arial"/>
                <w:sz w:val="17"/>
                <w:szCs w:val="17"/>
                <w:color w:val="auto"/>
              </w:rPr>
              <w:t>4.8</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4.1</w:t>
            </w:r>
          </w:p>
        </w:tc>
      </w:tr>
      <w:tr>
        <w:trPr>
          <w:trHeight w:val="201"/>
        </w:trPr>
        <w:tc>
          <w:tcPr>
            <w:tcW w:w="1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Cost</w:t>
            </w:r>
          </w:p>
        </w:tc>
        <w:tc>
          <w:tcPr>
            <w:tcW w:w="698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10.9</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10.0</w:t>
            </w:r>
          </w:p>
        </w:tc>
      </w:tr>
      <w:tr>
        <w:trPr>
          <w:trHeight w:val="201"/>
        </w:trPr>
        <w:tc>
          <w:tcPr>
            <w:tcW w:w="1180" w:type="dxa"/>
            <w:vAlign w:val="bottom"/>
          </w:tcPr>
          <w:p>
            <w:pPr>
              <w:ind w:left="160"/>
              <w:spacing w:after="0"/>
              <w:rPr>
                <w:sz w:val="20"/>
                <w:szCs w:val="20"/>
                <w:color w:val="auto"/>
              </w:rPr>
            </w:pPr>
            <w:r>
              <w:rPr>
                <w:rFonts w:ascii="Arial" w:cs="Arial" w:eastAsia="Arial" w:hAnsi="Arial"/>
                <w:sz w:val="17"/>
                <w:szCs w:val="17"/>
                <w:color w:val="auto"/>
                <w:w w:val="93"/>
              </w:rPr>
              <w:t>Actuarial Loss</w:t>
            </w:r>
          </w:p>
        </w:tc>
        <w:tc>
          <w:tcPr>
            <w:tcW w:w="6980" w:type="dxa"/>
            <w:vAlign w:val="bottom"/>
          </w:tcPr>
          <w:p>
            <w:pPr>
              <w:spacing w:after="0"/>
              <w:rPr>
                <w:sz w:val="17"/>
                <w:szCs w:val="17"/>
                <w:color w:val="auto"/>
              </w:rPr>
            </w:pPr>
          </w:p>
        </w:tc>
        <w:tc>
          <w:tcPr>
            <w:tcW w:w="2020" w:type="dxa"/>
            <w:vAlign w:val="bottom"/>
          </w:tcPr>
          <w:p>
            <w:pPr>
              <w:jc w:val="right"/>
              <w:ind w:right="316"/>
              <w:spacing w:after="0"/>
              <w:rPr>
                <w:sz w:val="20"/>
                <w:szCs w:val="20"/>
                <w:color w:val="auto"/>
              </w:rPr>
            </w:pPr>
            <w:r>
              <w:rPr>
                <w:rFonts w:ascii="Arial" w:cs="Arial" w:eastAsia="Arial" w:hAnsi="Arial"/>
                <w:sz w:val="17"/>
                <w:szCs w:val="17"/>
                <w:color w:val="auto"/>
              </w:rPr>
              <w:t>17.6</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18.4</w:t>
            </w:r>
          </w:p>
        </w:tc>
      </w:tr>
      <w:tr>
        <w:trPr>
          <w:trHeight w:val="201"/>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Participant Contributions</w:t>
            </w: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2.1</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1.7</w:t>
            </w:r>
          </w:p>
        </w:tc>
      </w:tr>
      <w:tr>
        <w:trPr>
          <w:trHeight w:val="201"/>
        </w:trPr>
        <w:tc>
          <w:tcPr>
            <w:tcW w:w="8160" w:type="dxa"/>
            <w:vAlign w:val="bottom"/>
            <w:gridSpan w:val="2"/>
          </w:tcPr>
          <w:p>
            <w:pPr>
              <w:ind w:left="160"/>
              <w:spacing w:after="0"/>
              <w:rPr>
                <w:sz w:val="20"/>
                <w:szCs w:val="20"/>
                <w:color w:val="auto"/>
              </w:rPr>
            </w:pPr>
            <w:r>
              <w:rPr>
                <w:rFonts w:ascii="Arial" w:cs="Arial" w:eastAsia="Arial" w:hAnsi="Arial"/>
                <w:sz w:val="17"/>
                <w:szCs w:val="17"/>
                <w:color w:val="auto"/>
              </w:rPr>
              <w:t>Plan Amendments</w:t>
            </w:r>
          </w:p>
        </w:tc>
        <w:tc>
          <w:tcPr>
            <w:tcW w:w="2020" w:type="dxa"/>
            <w:vAlign w:val="bottom"/>
          </w:tcPr>
          <w:p>
            <w:pPr>
              <w:jc w:val="right"/>
              <w:ind w:right="316"/>
              <w:spacing w:after="0"/>
              <w:rPr>
                <w:sz w:val="20"/>
                <w:szCs w:val="20"/>
                <w:color w:val="auto"/>
              </w:rPr>
            </w:pPr>
            <w:r>
              <w:rPr>
                <w:rFonts w:ascii="Arial" w:cs="Arial" w:eastAsia="Arial" w:hAnsi="Arial"/>
                <w:sz w:val="17"/>
                <w:szCs w:val="17"/>
                <w:color w:val="auto"/>
              </w:rPr>
              <w:t>(14.2)</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(1.3)</w:t>
            </w:r>
          </w:p>
        </w:tc>
      </w:tr>
      <w:tr>
        <w:trPr>
          <w:trHeight w:val="206"/>
        </w:trPr>
        <w:tc>
          <w:tcPr>
            <w:tcW w:w="11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99"/>
              </w:rPr>
              <w:t>Benefits Paid</w:t>
            </w:r>
          </w:p>
        </w:tc>
        <w:tc>
          <w:tcPr>
            <w:tcW w:w="698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(9.2)</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(7.7)</w:t>
            </w:r>
          </w:p>
        </w:tc>
      </w:tr>
      <w:tr>
        <w:trPr>
          <w:trHeight w:val="206"/>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Obligation, End of Year</w:t>
            </w:r>
          </w:p>
        </w:tc>
        <w:tc>
          <w:tcPr>
            <w:tcW w:w="2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$204.1</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$192.1</w:t>
            </w:r>
          </w:p>
        </w:tc>
      </w:tr>
      <w:tr>
        <w:trPr>
          <w:trHeight w:val="201"/>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Plan Assets</w:t>
            </w:r>
          </w:p>
        </w:tc>
        <w:tc>
          <w:tcPr>
            <w:tcW w:w="2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8160" w:type="dxa"/>
            <w:vAlign w:val="bottom"/>
            <w:gridSpan w:val="2"/>
          </w:tcPr>
          <w:p>
            <w:pPr>
              <w:ind w:left="160"/>
              <w:spacing w:after="0"/>
              <w:rPr>
                <w:sz w:val="20"/>
                <w:szCs w:val="20"/>
                <w:color w:val="auto"/>
              </w:rPr>
            </w:pPr>
            <w:r>
              <w:rPr>
                <w:rFonts w:ascii="Arial" w:cs="Arial" w:eastAsia="Arial" w:hAnsi="Arial"/>
                <w:sz w:val="17"/>
                <w:szCs w:val="17"/>
                <w:color w:val="auto"/>
              </w:rPr>
              <w:t>Fair Value, Beginning of Year</w:t>
            </w:r>
          </w:p>
        </w:tc>
        <w:tc>
          <w:tcPr>
            <w:tcW w:w="2020" w:type="dxa"/>
            <w:vAlign w:val="bottom"/>
          </w:tcPr>
          <w:p>
            <w:pPr>
              <w:jc w:val="right"/>
              <w:ind w:right="316"/>
              <w:spacing w:after="0"/>
              <w:rPr>
                <w:sz w:val="20"/>
                <w:szCs w:val="20"/>
                <w:color w:val="auto"/>
              </w:rPr>
            </w:pPr>
            <w:r>
              <w:rPr>
                <w:rFonts w:ascii="Arial" w:cs="Arial" w:eastAsia="Arial" w:hAnsi="Arial"/>
                <w:sz w:val="17"/>
                <w:szCs w:val="17"/>
                <w:color w:val="auto"/>
              </w:rPr>
              <w:t>$96.4</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$78.6</w:t>
            </w:r>
          </w:p>
        </w:tc>
      </w:tr>
      <w:tr>
        <w:trPr>
          <w:trHeight w:val="201"/>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Actual Return on Plan Assets</w:t>
            </w: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12.0</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13.9</w:t>
            </w:r>
          </w:p>
        </w:tc>
      </w:tr>
      <w:tr>
        <w:trPr>
          <w:trHeight w:val="201"/>
        </w:trPr>
        <w:tc>
          <w:tcPr>
            <w:tcW w:w="8160" w:type="dxa"/>
            <w:vAlign w:val="bottom"/>
            <w:gridSpan w:val="2"/>
          </w:tcPr>
          <w:p>
            <w:pPr>
              <w:ind w:left="160"/>
              <w:spacing w:after="0"/>
              <w:rPr>
                <w:sz w:val="20"/>
                <w:szCs w:val="20"/>
                <w:color w:val="auto"/>
              </w:rPr>
            </w:pPr>
            <w:r>
              <w:rPr>
                <w:rFonts w:ascii="Arial" w:cs="Arial" w:eastAsia="Arial" w:hAnsi="Arial"/>
                <w:sz w:val="17"/>
                <w:szCs w:val="17"/>
                <w:color w:val="auto"/>
              </w:rPr>
              <w:t>Employer Contribution</w:t>
            </w:r>
          </w:p>
        </w:tc>
        <w:tc>
          <w:tcPr>
            <w:tcW w:w="2020" w:type="dxa"/>
            <w:vAlign w:val="bottom"/>
          </w:tcPr>
          <w:p>
            <w:pPr>
              <w:jc w:val="right"/>
              <w:ind w:right="316"/>
              <w:spacing w:after="0"/>
              <w:rPr>
                <w:sz w:val="20"/>
                <w:szCs w:val="20"/>
                <w:color w:val="auto"/>
              </w:rPr>
            </w:pPr>
            <w:r>
              <w:rPr>
                <w:rFonts w:ascii="Arial" w:cs="Arial" w:eastAsia="Arial" w:hAnsi="Arial"/>
                <w:sz w:val="17"/>
                <w:szCs w:val="17"/>
                <w:color w:val="auto"/>
              </w:rPr>
              <w:t>13.4</w:t>
            </w:r>
          </w:p>
        </w:tc>
        <w:tc>
          <w:tcPr>
            <w:tcW w:w="1240" w:type="dxa"/>
            <w:vAlign w:val="bottom"/>
          </w:tcPr>
          <w:p>
            <w:pPr>
              <w:jc w:val="right"/>
              <w:ind w:right="276"/>
              <w:spacing w:after="0"/>
              <w:rPr>
                <w:sz w:val="20"/>
                <w:szCs w:val="20"/>
                <w:color w:val="auto"/>
              </w:rPr>
            </w:pPr>
            <w:r>
              <w:rPr>
                <w:rFonts w:ascii="Arial" w:cs="Arial" w:eastAsia="Arial" w:hAnsi="Arial"/>
                <w:sz w:val="17"/>
                <w:szCs w:val="17"/>
                <w:color w:val="auto"/>
              </w:rPr>
              <w:t>9.9</w:t>
            </w:r>
          </w:p>
        </w:tc>
      </w:tr>
      <w:tr>
        <w:trPr>
          <w:trHeight w:val="201"/>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Participant Contributions</w:t>
            </w: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2.0</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1.6</w:t>
            </w:r>
          </w:p>
        </w:tc>
      </w:tr>
      <w:tr>
        <w:trPr>
          <w:trHeight w:val="206"/>
        </w:trPr>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99"/>
              </w:rPr>
              <w:t>Benefits Paid</w:t>
            </w:r>
          </w:p>
        </w:tc>
        <w:tc>
          <w:tcPr>
            <w:tcW w:w="6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(9.1)</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(7.6)</w:t>
            </w:r>
          </w:p>
        </w:tc>
      </w:tr>
      <w:tr>
        <w:trPr>
          <w:trHeight w:val="206"/>
        </w:trPr>
        <w:tc>
          <w:tcPr>
            <w:tcW w:w="81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Fair Value, End of Year</w:t>
            </w:r>
          </w:p>
        </w:tc>
        <w:tc>
          <w:tcPr>
            <w:tcW w:w="2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$114.7</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$96.4</w:t>
            </w:r>
          </w:p>
        </w:tc>
      </w:tr>
      <w:tr>
        <w:trPr>
          <w:trHeight w:val="206"/>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Funded Status, End of Year</w:t>
            </w:r>
          </w:p>
        </w:tc>
        <w:tc>
          <w:tcPr>
            <w:tcW w:w="2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$(89.4)</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$(95.7)</w:t>
            </w:r>
          </w:p>
        </w:tc>
      </w:tr>
      <w:tr>
        <w:trPr>
          <w:trHeight w:val="201"/>
        </w:trPr>
        <w:tc>
          <w:tcPr>
            <w:tcW w:w="8160" w:type="dxa"/>
            <w:vAlign w:val="bottom"/>
            <w:gridSpan w:val="2"/>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Net Postretirement Health and Life Amounts Recognized in Consolidated Balance Sheet Consist of:</w:t>
            </w:r>
          </w:p>
        </w:tc>
        <w:tc>
          <w:tcPr>
            <w:tcW w:w="2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1"/>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Current Liabilities</w:t>
            </w:r>
          </w:p>
        </w:tc>
        <w:tc>
          <w:tcPr>
            <w:tcW w:w="20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$(0.8)</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$(0.8)</w:t>
            </w:r>
          </w:p>
        </w:tc>
      </w:tr>
      <w:tr>
        <w:trPr>
          <w:trHeight w:val="206"/>
        </w:trPr>
        <w:tc>
          <w:tcPr>
            <w:tcW w:w="81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Noncurrent Liabilities</w:t>
            </w:r>
          </w:p>
        </w:tc>
        <w:tc>
          <w:tcPr>
            <w:tcW w:w="2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$(88.6)</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$(94.8)</w:t>
            </w:r>
          </w:p>
        </w:tc>
      </w:tr>
    </w:tbl>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$19.8 million in irrevocable grantor trusts included in Other Investments on our consolidated balance sheet at December 31, 2010 ($18.2 million at December 31, 2009).</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postretirement health and life costs that are reported as a component within our consolidated balance sheet, reflected in regulatory long-term assets and accumulated other comprehensive income,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Unrecognized Postretirement Health and Life Costs</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2010</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2009</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1"/>
        </w:trPr>
        <w:tc>
          <w:tcPr>
            <w:tcW w:w="6400" w:type="dxa"/>
            <w:vAlign w:val="bottom"/>
          </w:tcPr>
          <w:p>
            <w:pPr>
              <w:spacing w:after="0"/>
              <w:rPr>
                <w:sz w:val="20"/>
                <w:szCs w:val="20"/>
                <w:color w:val="auto"/>
              </w:rPr>
            </w:pPr>
            <w:r>
              <w:rPr>
                <w:rFonts w:ascii="Arial" w:cs="Arial" w:eastAsia="Arial" w:hAnsi="Arial"/>
                <w:sz w:val="17"/>
                <w:szCs w:val="17"/>
                <w:color w:val="auto"/>
              </w:rPr>
              <w:t>Net Loss</w:t>
            </w:r>
          </w:p>
        </w:tc>
        <w:tc>
          <w:tcPr>
            <w:tcW w:w="2380" w:type="dxa"/>
            <w:vAlign w:val="bottom"/>
          </w:tcPr>
          <w:p>
            <w:pPr>
              <w:spacing w:after="0"/>
              <w:rPr>
                <w:sz w:val="17"/>
                <w:szCs w:val="17"/>
                <w:color w:val="auto"/>
              </w:rPr>
            </w:pP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$80.1</w:t>
            </w:r>
          </w:p>
        </w:tc>
        <w:tc>
          <w:tcPr>
            <w:tcW w:w="1220" w:type="dxa"/>
            <w:vAlign w:val="bottom"/>
          </w:tcPr>
          <w:p>
            <w:pPr>
              <w:jc w:val="right"/>
              <w:ind w:right="276"/>
              <w:spacing w:after="0"/>
              <w:rPr>
                <w:sz w:val="20"/>
                <w:szCs w:val="20"/>
                <w:color w:val="auto"/>
              </w:rPr>
            </w:pPr>
            <w:r>
              <w:rPr>
                <w:rFonts w:ascii="Arial" w:cs="Arial" w:eastAsia="Arial" w:hAnsi="Arial"/>
                <w:sz w:val="17"/>
                <w:szCs w:val="17"/>
                <w:color w:val="auto"/>
              </w:rPr>
              <w:t>$69.6</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(11.2)</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(1.3)</w:t>
            </w:r>
          </w:p>
        </w:tc>
      </w:tr>
      <w:tr>
        <w:trPr>
          <w:trHeight w:val="206"/>
        </w:trPr>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Transition Obligation</w:t>
            </w:r>
          </w:p>
        </w:tc>
        <w:tc>
          <w:tcPr>
            <w:tcW w:w="2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0.2</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6.9</w:t>
            </w:r>
          </w:p>
        </w:tc>
      </w:tr>
      <w:tr>
        <w:trPr>
          <w:trHeight w:val="206"/>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Unrecognized Postretirement Health and Life Costs</w:t>
            </w:r>
          </w:p>
        </w:tc>
        <w:tc>
          <w:tcPr>
            <w:tcW w:w="2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$69.1</w:t>
            </w:r>
          </w:p>
        </w:tc>
        <w:tc>
          <w:tcPr>
            <w:tcW w:w="12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$75.2</w:t>
            </w:r>
          </w:p>
        </w:tc>
      </w:tr>
      <w:tr>
        <w:trPr>
          <w:trHeight w:val="402"/>
        </w:trPr>
        <w:tc>
          <w:tcPr>
            <w:tcW w:w="6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Postretirement Health and Life Expense</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3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2010</w:t>
            </w: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2009</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2008</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1"/>
        </w:trPr>
        <w:tc>
          <w:tcPr>
            <w:tcW w:w="6400" w:type="dxa"/>
            <w:vAlign w:val="bottom"/>
          </w:tcPr>
          <w:p>
            <w:pPr>
              <w:spacing w:after="0"/>
              <w:rPr>
                <w:sz w:val="20"/>
                <w:szCs w:val="20"/>
                <w:color w:val="auto"/>
              </w:rPr>
            </w:pPr>
            <w:r>
              <w:rPr>
                <w:rFonts w:ascii="Arial" w:cs="Arial" w:eastAsia="Arial" w:hAnsi="Arial"/>
                <w:sz w:val="17"/>
                <w:szCs w:val="17"/>
                <w:color w:val="auto"/>
              </w:rPr>
              <w:t>Service Cost</w:t>
            </w:r>
          </w:p>
        </w:tc>
        <w:tc>
          <w:tcPr>
            <w:tcW w:w="2380" w:type="dxa"/>
            <w:vAlign w:val="bottom"/>
          </w:tcPr>
          <w:p>
            <w:pPr>
              <w:jc w:val="right"/>
              <w:ind w:right="376"/>
              <w:spacing w:after="0"/>
              <w:rPr>
                <w:sz w:val="20"/>
                <w:szCs w:val="20"/>
                <w:color w:val="auto"/>
              </w:rPr>
            </w:pPr>
            <w:r>
              <w:rPr>
                <w:rFonts w:ascii="Arial" w:cs="Arial" w:eastAsia="Arial" w:hAnsi="Arial"/>
                <w:sz w:val="17"/>
                <w:szCs w:val="17"/>
                <w:color w:val="auto"/>
              </w:rPr>
              <w:t>$4.8</w:t>
            </w: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$4.1</w:t>
            </w:r>
          </w:p>
        </w:tc>
        <w:tc>
          <w:tcPr>
            <w:tcW w:w="1220" w:type="dxa"/>
            <w:vAlign w:val="bottom"/>
          </w:tcPr>
          <w:p>
            <w:pPr>
              <w:jc w:val="right"/>
              <w:ind w:right="276"/>
              <w:spacing w:after="0"/>
              <w:rPr>
                <w:sz w:val="20"/>
                <w:szCs w:val="20"/>
                <w:color w:val="auto"/>
              </w:rPr>
            </w:pPr>
            <w:r>
              <w:rPr>
                <w:rFonts w:ascii="Arial" w:cs="Arial" w:eastAsia="Arial" w:hAnsi="Arial"/>
                <w:sz w:val="17"/>
                <w:szCs w:val="17"/>
                <w:color w:val="auto"/>
              </w:rPr>
              <w:t>$4.0</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238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10.9</w:t>
            </w:r>
          </w:p>
        </w:tc>
        <w:tc>
          <w:tcPr>
            <w:tcW w:w="14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10.0</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9.4</w:t>
            </w:r>
          </w:p>
        </w:tc>
      </w:tr>
      <w:tr>
        <w:trPr>
          <w:trHeight w:val="201"/>
        </w:trPr>
        <w:tc>
          <w:tcPr>
            <w:tcW w:w="640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2380" w:type="dxa"/>
            <w:vAlign w:val="bottom"/>
          </w:tcPr>
          <w:p>
            <w:pPr>
              <w:jc w:val="right"/>
              <w:ind w:right="376"/>
              <w:spacing w:after="0"/>
              <w:rPr>
                <w:sz w:val="20"/>
                <w:szCs w:val="20"/>
                <w:color w:val="auto"/>
              </w:rPr>
            </w:pPr>
            <w:r>
              <w:rPr>
                <w:rFonts w:ascii="Arial" w:cs="Arial" w:eastAsia="Arial" w:hAnsi="Arial"/>
                <w:sz w:val="17"/>
                <w:szCs w:val="17"/>
                <w:color w:val="auto"/>
              </w:rPr>
              <w:t>(9.5)</w:t>
            </w: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(8.3)</w:t>
            </w:r>
          </w:p>
        </w:tc>
        <w:tc>
          <w:tcPr>
            <w:tcW w:w="1220" w:type="dxa"/>
            <w:vAlign w:val="bottom"/>
          </w:tcPr>
          <w:p>
            <w:pPr>
              <w:jc w:val="right"/>
              <w:ind w:right="276"/>
              <w:spacing w:after="0"/>
              <w:rPr>
                <w:sz w:val="20"/>
                <w:szCs w:val="20"/>
                <w:color w:val="auto"/>
              </w:rPr>
            </w:pPr>
            <w:r>
              <w:rPr>
                <w:rFonts w:ascii="Arial" w:cs="Arial" w:eastAsia="Arial" w:hAnsi="Arial"/>
                <w:sz w:val="17"/>
                <w:szCs w:val="17"/>
                <w:color w:val="auto"/>
              </w:rPr>
              <w:t>(7.2)</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Prior Service Cost</w:t>
            </w:r>
          </w:p>
        </w:tc>
        <w:tc>
          <w:tcPr>
            <w:tcW w:w="238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(0.1)</w:t>
            </w:r>
          </w:p>
        </w:tc>
        <w:tc>
          <w:tcPr>
            <w:tcW w:w="14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r>
      <w:tr>
        <w:trPr>
          <w:trHeight w:val="201"/>
        </w:trPr>
        <w:tc>
          <w:tcPr>
            <w:tcW w:w="6400" w:type="dxa"/>
            <w:vAlign w:val="bottom"/>
          </w:tcPr>
          <w:p>
            <w:pPr>
              <w:spacing w:after="0"/>
              <w:rPr>
                <w:sz w:val="20"/>
                <w:szCs w:val="20"/>
                <w:color w:val="auto"/>
              </w:rPr>
            </w:pPr>
            <w:r>
              <w:rPr>
                <w:rFonts w:ascii="Arial" w:cs="Arial" w:eastAsia="Arial" w:hAnsi="Arial"/>
                <w:sz w:val="17"/>
                <w:szCs w:val="17"/>
                <w:color w:val="auto"/>
              </w:rPr>
              <w:t>Amortization of Loss</w:t>
            </w:r>
          </w:p>
        </w:tc>
        <w:tc>
          <w:tcPr>
            <w:tcW w:w="2380" w:type="dxa"/>
            <w:vAlign w:val="bottom"/>
          </w:tcPr>
          <w:p>
            <w:pPr>
              <w:jc w:val="right"/>
              <w:ind w:right="376"/>
              <w:spacing w:after="0"/>
              <w:rPr>
                <w:sz w:val="20"/>
                <w:szCs w:val="20"/>
                <w:color w:val="auto"/>
              </w:rPr>
            </w:pPr>
            <w:r>
              <w:rPr>
                <w:rFonts w:ascii="Arial" w:cs="Arial" w:eastAsia="Arial" w:hAnsi="Arial"/>
                <w:sz w:val="17"/>
                <w:szCs w:val="17"/>
                <w:color w:val="auto"/>
              </w:rPr>
              <w:t>4.8</w:t>
            </w: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2.5</w:t>
            </w:r>
          </w:p>
        </w:tc>
        <w:tc>
          <w:tcPr>
            <w:tcW w:w="1220" w:type="dxa"/>
            <w:vAlign w:val="bottom"/>
          </w:tcPr>
          <w:p>
            <w:pPr>
              <w:jc w:val="right"/>
              <w:ind w:right="276"/>
              <w:spacing w:after="0"/>
              <w:rPr>
                <w:sz w:val="20"/>
                <w:szCs w:val="20"/>
                <w:color w:val="auto"/>
              </w:rPr>
            </w:pPr>
            <w:r>
              <w:rPr>
                <w:rFonts w:ascii="Arial" w:cs="Arial" w:eastAsia="Arial" w:hAnsi="Arial"/>
                <w:sz w:val="17"/>
                <w:szCs w:val="17"/>
                <w:color w:val="auto"/>
              </w:rPr>
              <w:t>1.4</w:t>
            </w:r>
          </w:p>
        </w:tc>
      </w:tr>
      <w:tr>
        <w:trPr>
          <w:trHeight w:val="206"/>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Amortization of Transition Obligation</w:t>
            </w:r>
          </w:p>
        </w:tc>
        <w:tc>
          <w:tcPr>
            <w:tcW w:w="23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color w:val="auto"/>
              </w:rPr>
              <w:t>2.5</w:t>
            </w:r>
          </w:p>
        </w:tc>
        <w:tc>
          <w:tcPr>
            <w:tcW w:w="1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2.5</w:t>
            </w:r>
          </w:p>
        </w:tc>
        <w:tc>
          <w:tcPr>
            <w:tcW w:w="12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2.5</w:t>
            </w:r>
          </w:p>
        </w:tc>
      </w:tr>
      <w:tr>
        <w:trPr>
          <w:trHeight w:val="206"/>
        </w:trPr>
        <w:tc>
          <w:tcPr>
            <w:tcW w:w="6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Postretirement Health and Life Expense</w:t>
            </w:r>
          </w:p>
        </w:tc>
        <w:tc>
          <w:tcPr>
            <w:tcW w:w="23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$13.4</w:t>
            </w:r>
          </w:p>
        </w:tc>
        <w:tc>
          <w:tcPr>
            <w:tcW w:w="14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$10.8</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$10.1</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7"/>
                <w:szCs w:val="17"/>
                <w:b w:val="1"/>
                <w:bCs w:val="1"/>
                <w:color w:val="auto"/>
              </w:rPr>
              <w:t>Note 15.</w:t>
            </w:r>
          </w:p>
        </w:tc>
        <w:tc>
          <w:tcPr>
            <w:tcW w:w="6420" w:type="dxa"/>
            <w:vAlign w:val="bottom"/>
          </w:tcPr>
          <w:p>
            <w:pPr>
              <w:ind w:left="300"/>
              <w:spacing w:after="0"/>
              <w:rPr>
                <w:sz w:val="20"/>
                <w:szCs w:val="20"/>
                <w:color w:val="auto"/>
              </w:rPr>
            </w:pPr>
            <w:r>
              <w:rPr>
                <w:rFonts w:ascii="Arial" w:cs="Arial" w:eastAsia="Arial" w:hAnsi="Arial"/>
                <w:sz w:val="17"/>
                <w:szCs w:val="17"/>
                <w:b w:val="1"/>
                <w:bCs w:val="1"/>
                <w:color w:val="auto"/>
              </w:rPr>
              <w:t>Pension and Other Postretirement Benefit Plans (Continued)</w:t>
            </w:r>
          </w:p>
        </w:tc>
        <w:tc>
          <w:tcPr>
            <w:tcW w:w="2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1"/>
        </w:trPr>
        <w:tc>
          <w:tcPr>
            <w:tcW w:w="732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5"/>
        </w:trPr>
        <w:tc>
          <w:tcPr>
            <w:tcW w:w="73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Other Changes in Postretirement Benefit Plan Assets and Benefit Obligations</w:t>
            </w:r>
          </w:p>
        </w:tc>
        <w:tc>
          <w:tcPr>
            <w:tcW w:w="26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8"/>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Recognized in Other Comprehensive Income and Regulatory Assets</w:t>
            </w:r>
          </w:p>
        </w:tc>
        <w:tc>
          <w:tcPr>
            <w:tcW w:w="2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6"/>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26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2009</w:t>
            </w: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64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900" w:type="dxa"/>
            <w:vAlign w:val="bottom"/>
          </w:tcPr>
          <w:p>
            <w:pPr>
              <w:spacing w:after="0"/>
              <w:rPr>
                <w:sz w:val="20"/>
                <w:szCs w:val="20"/>
                <w:color w:val="auto"/>
              </w:rPr>
            </w:pPr>
            <w:r>
              <w:rPr>
                <w:rFonts w:ascii="Arial" w:cs="Arial" w:eastAsia="Arial" w:hAnsi="Arial"/>
                <w:sz w:val="17"/>
                <w:szCs w:val="17"/>
                <w:color w:val="auto"/>
              </w:rPr>
              <w:t>Net Loss</w:t>
            </w:r>
          </w:p>
        </w:tc>
        <w:tc>
          <w:tcPr>
            <w:tcW w:w="6420" w:type="dxa"/>
            <w:vAlign w:val="bottom"/>
          </w:tcPr>
          <w:p>
            <w:pPr>
              <w:spacing w:after="0"/>
              <w:rPr>
                <w:sz w:val="17"/>
                <w:szCs w:val="17"/>
                <w:color w:val="auto"/>
              </w:rPr>
            </w:pPr>
          </w:p>
        </w:tc>
        <w:tc>
          <w:tcPr>
            <w:tcW w:w="2660" w:type="dxa"/>
            <w:vAlign w:val="bottom"/>
          </w:tcPr>
          <w:p>
            <w:pPr>
              <w:jc w:val="right"/>
              <w:ind w:right="116"/>
              <w:spacing w:after="0"/>
              <w:rPr>
                <w:sz w:val="20"/>
                <w:szCs w:val="20"/>
                <w:color w:val="auto"/>
              </w:rPr>
            </w:pPr>
            <w:r>
              <w:rPr>
                <w:rFonts w:ascii="Arial" w:cs="Arial" w:eastAsia="Arial" w:hAnsi="Arial"/>
                <w:sz w:val="17"/>
                <w:szCs w:val="17"/>
                <w:color w:val="auto"/>
              </w:rPr>
              <w:t>$15.3</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$12.9</w:t>
            </w:r>
          </w:p>
        </w:tc>
      </w:tr>
      <w:tr>
        <w:trPr>
          <w:trHeight w:val="201"/>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Service Cost (Credit) Arising During the Period</w:t>
            </w:r>
          </w:p>
        </w:tc>
        <w:tc>
          <w:tcPr>
            <w:tcW w:w="2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(14.2)</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(1.3)</w:t>
            </w:r>
          </w:p>
        </w:tc>
      </w:tr>
      <w:tr>
        <w:trPr>
          <w:trHeight w:val="201"/>
        </w:trPr>
        <w:tc>
          <w:tcPr>
            <w:tcW w:w="7320" w:type="dxa"/>
            <w:vAlign w:val="bottom"/>
            <w:gridSpan w:val="2"/>
          </w:tcPr>
          <w:p>
            <w:pPr>
              <w:spacing w:after="0"/>
              <w:rPr>
                <w:sz w:val="20"/>
                <w:szCs w:val="20"/>
                <w:color w:val="auto"/>
              </w:rPr>
            </w:pPr>
            <w:r>
              <w:rPr>
                <w:rFonts w:ascii="Arial" w:cs="Arial" w:eastAsia="Arial" w:hAnsi="Arial"/>
                <w:sz w:val="17"/>
                <w:szCs w:val="17"/>
                <w:color w:val="auto"/>
              </w:rPr>
              <w:t>Amortization of Prior Service Cost</w:t>
            </w:r>
          </w:p>
        </w:tc>
        <w:tc>
          <w:tcPr>
            <w:tcW w:w="2660" w:type="dxa"/>
            <w:vAlign w:val="bottom"/>
          </w:tcPr>
          <w:p>
            <w:pPr>
              <w:jc w:val="right"/>
              <w:ind w:right="116"/>
              <w:spacing w:after="0"/>
              <w:rPr>
                <w:sz w:val="20"/>
                <w:szCs w:val="20"/>
                <w:color w:val="auto"/>
              </w:rPr>
            </w:pPr>
            <w:r>
              <w:rPr>
                <w:rFonts w:ascii="Arial" w:cs="Arial" w:eastAsia="Arial" w:hAnsi="Arial"/>
                <w:sz w:val="17"/>
                <w:szCs w:val="17"/>
                <w:color w:val="auto"/>
              </w:rPr>
              <w:t>0.1</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w:t>
            </w:r>
          </w:p>
        </w:tc>
      </w:tr>
      <w:tr>
        <w:trPr>
          <w:trHeight w:val="201"/>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Transition Obligation</w:t>
            </w:r>
          </w:p>
        </w:tc>
        <w:tc>
          <w:tcPr>
            <w:tcW w:w="2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(2.5)</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(2.5)</w:t>
            </w:r>
          </w:p>
        </w:tc>
      </w:tr>
      <w:tr>
        <w:trPr>
          <w:trHeight w:val="206"/>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Amortization of Loss</w:t>
            </w:r>
          </w:p>
        </w:tc>
        <w:tc>
          <w:tcPr>
            <w:tcW w:w="26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(4.8)</w:t>
            </w: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(2.5)</w:t>
            </w:r>
          </w:p>
        </w:tc>
      </w:tr>
      <w:tr>
        <w:trPr>
          <w:trHeight w:val="206"/>
        </w:trPr>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Total Recognized in Other Comprehensive Income and Regulatory Assets</w:t>
            </w:r>
          </w:p>
        </w:tc>
        <w:tc>
          <w:tcPr>
            <w:tcW w:w="26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$(6.1)</w:t>
            </w:r>
          </w:p>
        </w:tc>
        <w:tc>
          <w:tcPr>
            <w:tcW w:w="1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$6.6</w:t>
            </w:r>
          </w:p>
        </w:tc>
      </w:tr>
      <w:tr>
        <w:trPr>
          <w:trHeight w:val="402"/>
        </w:trPr>
        <w:tc>
          <w:tcPr>
            <w:tcW w:w="7320" w:type="dxa"/>
            <w:vAlign w:val="bottom"/>
            <w:gridSpan w:val="2"/>
          </w:tcPr>
          <w:p>
            <w:pPr>
              <w:spacing w:after="0"/>
              <w:rPr>
                <w:sz w:val="24"/>
                <w:szCs w:val="24"/>
                <w:color w:val="auto"/>
              </w:rPr>
            </w:pPr>
          </w:p>
        </w:tc>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1"/>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Estimated Future Benefit Payments</w:t>
            </w:r>
          </w:p>
        </w:tc>
        <w:tc>
          <w:tcPr>
            <w:tcW w:w="2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40" w:type="dxa"/>
            <w:vAlign w:val="bottom"/>
          </w:tcPr>
          <w:p>
            <w:pPr>
              <w:jc w:val="right"/>
              <w:ind w:right="56"/>
              <w:spacing w:after="0"/>
              <w:rPr>
                <w:sz w:val="20"/>
                <w:szCs w:val="20"/>
                <w:color w:val="auto"/>
              </w:rPr>
            </w:pPr>
            <w:r>
              <w:rPr>
                <w:rFonts w:ascii="Arial" w:cs="Arial" w:eastAsia="Arial" w:hAnsi="Arial"/>
                <w:sz w:val="17"/>
                <w:szCs w:val="17"/>
                <w:b w:val="1"/>
                <w:bCs w:val="1"/>
                <w:color w:val="auto"/>
              </w:rPr>
              <w:t>Postretirement</w:t>
            </w:r>
          </w:p>
        </w:tc>
      </w:tr>
      <w:tr>
        <w:trPr>
          <w:trHeight w:val="206"/>
        </w:trPr>
        <w:tc>
          <w:tcPr>
            <w:tcW w:w="900" w:type="dxa"/>
            <w:vAlign w:val="bottom"/>
            <w:tcBorders>
              <w:bottom w:val="single" w:sz="8" w:color="auto"/>
            </w:tcBorders>
            <w:shd w:val="clear" w:color="auto" w:fill="CCEEFF"/>
          </w:tcPr>
          <w:p>
            <w:pPr>
              <w:spacing w:after="0"/>
              <w:rPr>
                <w:sz w:val="17"/>
                <w:szCs w:val="17"/>
                <w:color w:val="auto"/>
              </w:rPr>
            </w:pPr>
          </w:p>
        </w:tc>
        <w:tc>
          <w:tcPr>
            <w:tcW w:w="642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Pension</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Health and Life</w:t>
            </w:r>
          </w:p>
        </w:tc>
      </w:tr>
      <w:tr>
        <w:trPr>
          <w:trHeight w:val="201"/>
        </w:trPr>
        <w:tc>
          <w:tcPr>
            <w:tcW w:w="9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6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64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$27.5</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$8.5</w:t>
            </w:r>
          </w:p>
        </w:tc>
      </w:tr>
      <w:tr>
        <w:trPr>
          <w:trHeight w:val="201"/>
        </w:trPr>
        <w:tc>
          <w:tcPr>
            <w:tcW w:w="900" w:type="dxa"/>
            <w:vAlign w:val="bottom"/>
          </w:tcPr>
          <w:p>
            <w:pPr>
              <w:spacing w:after="0"/>
              <w:rPr>
                <w:sz w:val="20"/>
                <w:szCs w:val="20"/>
                <w:color w:val="auto"/>
              </w:rPr>
            </w:pPr>
            <w:r>
              <w:rPr>
                <w:rFonts w:ascii="Arial" w:cs="Arial" w:eastAsia="Arial" w:hAnsi="Arial"/>
                <w:sz w:val="17"/>
                <w:szCs w:val="17"/>
                <w:color w:val="auto"/>
              </w:rPr>
              <w:t>2012</w:t>
            </w:r>
          </w:p>
        </w:tc>
        <w:tc>
          <w:tcPr>
            <w:tcW w:w="6420" w:type="dxa"/>
            <w:vAlign w:val="bottom"/>
          </w:tcPr>
          <w:p>
            <w:pPr>
              <w:spacing w:after="0"/>
              <w:rPr>
                <w:sz w:val="17"/>
                <w:szCs w:val="17"/>
                <w:color w:val="auto"/>
              </w:rPr>
            </w:pPr>
          </w:p>
        </w:tc>
        <w:tc>
          <w:tcPr>
            <w:tcW w:w="2660" w:type="dxa"/>
            <w:vAlign w:val="bottom"/>
          </w:tcPr>
          <w:p>
            <w:pPr>
              <w:jc w:val="right"/>
              <w:ind w:right="116"/>
              <w:spacing w:after="0"/>
              <w:rPr>
                <w:sz w:val="20"/>
                <w:szCs w:val="20"/>
                <w:color w:val="auto"/>
              </w:rPr>
            </w:pPr>
            <w:r>
              <w:rPr>
                <w:rFonts w:ascii="Arial" w:cs="Arial" w:eastAsia="Arial" w:hAnsi="Arial"/>
                <w:sz w:val="17"/>
                <w:szCs w:val="17"/>
                <w:color w:val="auto"/>
              </w:rPr>
              <w:t>$28.4</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$9.5</w:t>
            </w: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4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$29.4</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$10.5</w:t>
            </w:r>
          </w:p>
        </w:tc>
      </w:tr>
      <w:tr>
        <w:trPr>
          <w:trHeight w:val="201"/>
        </w:trPr>
        <w:tc>
          <w:tcPr>
            <w:tcW w:w="900" w:type="dxa"/>
            <w:vAlign w:val="bottom"/>
          </w:tcPr>
          <w:p>
            <w:pPr>
              <w:spacing w:after="0"/>
              <w:rPr>
                <w:sz w:val="20"/>
                <w:szCs w:val="20"/>
                <w:color w:val="auto"/>
              </w:rPr>
            </w:pPr>
            <w:r>
              <w:rPr>
                <w:rFonts w:ascii="Arial" w:cs="Arial" w:eastAsia="Arial" w:hAnsi="Arial"/>
                <w:sz w:val="17"/>
                <w:szCs w:val="17"/>
                <w:color w:val="auto"/>
              </w:rPr>
              <w:t>2014</w:t>
            </w:r>
          </w:p>
        </w:tc>
        <w:tc>
          <w:tcPr>
            <w:tcW w:w="6420" w:type="dxa"/>
            <w:vAlign w:val="bottom"/>
          </w:tcPr>
          <w:p>
            <w:pPr>
              <w:spacing w:after="0"/>
              <w:rPr>
                <w:sz w:val="17"/>
                <w:szCs w:val="17"/>
                <w:color w:val="auto"/>
              </w:rPr>
            </w:pPr>
          </w:p>
        </w:tc>
        <w:tc>
          <w:tcPr>
            <w:tcW w:w="2660" w:type="dxa"/>
            <w:vAlign w:val="bottom"/>
          </w:tcPr>
          <w:p>
            <w:pPr>
              <w:jc w:val="right"/>
              <w:ind w:right="116"/>
              <w:spacing w:after="0"/>
              <w:rPr>
                <w:sz w:val="20"/>
                <w:szCs w:val="20"/>
                <w:color w:val="auto"/>
              </w:rPr>
            </w:pPr>
            <w:r>
              <w:rPr>
                <w:rFonts w:ascii="Arial" w:cs="Arial" w:eastAsia="Arial" w:hAnsi="Arial"/>
                <w:sz w:val="17"/>
                <w:szCs w:val="17"/>
                <w:color w:val="auto"/>
              </w:rPr>
              <w:t>$30.6</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$11.6</w:t>
            </w:r>
          </w:p>
        </w:tc>
      </w:tr>
      <w:tr>
        <w:trPr>
          <w:trHeight w:val="201"/>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64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$31.8</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$12.7</w:t>
            </w:r>
          </w:p>
        </w:tc>
      </w:tr>
      <w:tr>
        <w:trPr>
          <w:trHeight w:val="206"/>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Years 2016 – 2020</w:t>
            </w:r>
          </w:p>
        </w:tc>
        <w:tc>
          <w:tcPr>
            <w:tcW w:w="26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$174.6</w:t>
            </w: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$73.3</w:t>
            </w:r>
          </w:p>
        </w:tc>
      </w:tr>
    </w:tbl>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pension and postretirement health and life costs recorded in other long-term assets and accumulated other comprehensive income expected to be recognized as a component of net pension and postretirement benefit costs for the year ending December 31, 2011,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Postretirement</w:t>
            </w:r>
          </w:p>
        </w:tc>
      </w:tr>
      <w:tr>
        <w:trPr>
          <w:trHeight w:val="206"/>
        </w:trPr>
        <w:tc>
          <w:tcPr>
            <w:tcW w:w="6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Pension</w:t>
            </w: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Health and Life</w:t>
            </w: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6580" w:type="dxa"/>
            <w:vAlign w:val="bottom"/>
          </w:tcPr>
          <w:p>
            <w:pPr>
              <w:spacing w:after="0"/>
              <w:rPr>
                <w:sz w:val="20"/>
                <w:szCs w:val="20"/>
                <w:color w:val="auto"/>
              </w:rPr>
            </w:pPr>
            <w:r>
              <w:rPr>
                <w:rFonts w:ascii="Arial" w:cs="Arial" w:eastAsia="Arial" w:hAnsi="Arial"/>
                <w:sz w:val="17"/>
                <w:szCs w:val="17"/>
                <w:color w:val="auto"/>
              </w:rPr>
              <w:t>Net Loss</w:t>
            </w:r>
          </w:p>
        </w:tc>
        <w:tc>
          <w:tcPr>
            <w:tcW w:w="2100" w:type="dxa"/>
            <w:vAlign w:val="bottom"/>
          </w:tcPr>
          <w:p>
            <w:pPr>
              <w:spacing w:after="0"/>
              <w:rPr>
                <w:sz w:val="17"/>
                <w:szCs w:val="17"/>
                <w:color w:val="auto"/>
              </w:rPr>
            </w:pP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$0.3</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$8.5</w:t>
            </w: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Costs</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$12.1</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$(1.7)</w:t>
            </w:r>
          </w:p>
        </w:tc>
      </w:tr>
      <w:tr>
        <w:trPr>
          <w:trHeight w:val="206"/>
        </w:trPr>
        <w:tc>
          <w:tcPr>
            <w:tcW w:w="6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Transition Obligations</w:t>
            </w:r>
          </w:p>
        </w:tc>
        <w:tc>
          <w:tcPr>
            <w:tcW w:w="2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$0.1</w:t>
            </w:r>
          </w:p>
        </w:tc>
      </w:tr>
      <w:tr>
        <w:trPr>
          <w:trHeight w:val="206"/>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Pension and Postretirement Health and Life Costs</w:t>
            </w:r>
          </w:p>
        </w:tc>
        <w:tc>
          <w:tcPr>
            <w:tcW w:w="2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$12.4</w:t>
            </w:r>
          </w:p>
        </w:tc>
        <w:tc>
          <w:tcPr>
            <w:tcW w:w="1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$6.9</w:t>
            </w:r>
          </w:p>
        </w:tc>
      </w:tr>
      <w:tr>
        <w:trPr>
          <w:trHeight w:val="402"/>
        </w:trPr>
        <w:tc>
          <w:tcPr>
            <w:tcW w:w="6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Assumptions Used to Determine Benefit Obligation</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6"/>
        </w:trPr>
        <w:tc>
          <w:tcPr>
            <w:tcW w:w="6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2010</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2009</w:t>
            </w: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6580" w:type="dxa"/>
            <w:vAlign w:val="bottom"/>
          </w:tcPr>
          <w:p>
            <w:pPr>
              <w:ind w:left="160"/>
              <w:spacing w:after="0"/>
              <w:rPr>
                <w:sz w:val="20"/>
                <w:szCs w:val="20"/>
                <w:color w:val="auto"/>
              </w:rPr>
            </w:pPr>
            <w:r>
              <w:rPr>
                <w:rFonts w:ascii="Arial" w:cs="Arial" w:eastAsia="Arial" w:hAnsi="Arial"/>
                <w:sz w:val="17"/>
                <w:szCs w:val="17"/>
                <w:color w:val="auto"/>
              </w:rPr>
              <w:t>Pension</w:t>
            </w:r>
          </w:p>
        </w:tc>
        <w:tc>
          <w:tcPr>
            <w:tcW w:w="210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5.36%</w:t>
            </w:r>
          </w:p>
        </w:tc>
        <w:tc>
          <w:tcPr>
            <w:tcW w:w="1440" w:type="dxa"/>
            <w:vAlign w:val="bottom"/>
          </w:tcPr>
          <w:p>
            <w:pPr>
              <w:jc w:val="right"/>
              <w:ind w:right="296"/>
              <w:spacing w:after="0"/>
              <w:rPr>
                <w:sz w:val="20"/>
                <w:szCs w:val="20"/>
                <w:color w:val="auto"/>
              </w:rPr>
            </w:pPr>
            <w:r>
              <w:rPr>
                <w:rFonts w:ascii="Arial" w:cs="Arial" w:eastAsia="Arial" w:hAnsi="Arial"/>
                <w:sz w:val="17"/>
                <w:szCs w:val="17"/>
                <w:color w:val="auto"/>
              </w:rPr>
              <w:t>5.81%</w:t>
            </w:r>
          </w:p>
        </w:tc>
      </w:tr>
      <w:tr>
        <w:trPr>
          <w:trHeight w:val="201"/>
        </w:trPr>
        <w:tc>
          <w:tcPr>
            <w:tcW w:w="6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Postretirement Health and Life</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5.40%</w:t>
            </w:r>
          </w:p>
        </w:tc>
        <w:tc>
          <w:tcPr>
            <w:tcW w:w="14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5.81%</w:t>
            </w:r>
          </w:p>
        </w:tc>
      </w:tr>
      <w:tr>
        <w:trPr>
          <w:trHeight w:val="201"/>
        </w:trPr>
        <w:tc>
          <w:tcPr>
            <w:tcW w:w="6580" w:type="dxa"/>
            <w:vAlign w:val="bottom"/>
          </w:tcPr>
          <w:p>
            <w:pPr>
              <w:spacing w:after="0"/>
              <w:rPr>
                <w:sz w:val="20"/>
                <w:szCs w:val="20"/>
                <w:color w:val="auto"/>
              </w:rPr>
            </w:pPr>
            <w:r>
              <w:rPr>
                <w:rFonts w:ascii="Arial" w:cs="Arial" w:eastAsia="Arial" w:hAnsi="Arial"/>
                <w:sz w:val="17"/>
                <w:szCs w:val="17"/>
                <w:color w:val="auto"/>
              </w:rPr>
              <w:t>Rate of Compensation Increase</w:t>
            </w:r>
          </w:p>
        </w:tc>
        <w:tc>
          <w:tcPr>
            <w:tcW w:w="210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4.3 – 4.6%</w:t>
            </w:r>
          </w:p>
        </w:tc>
        <w:tc>
          <w:tcPr>
            <w:tcW w:w="1440" w:type="dxa"/>
            <w:vAlign w:val="bottom"/>
          </w:tcPr>
          <w:p>
            <w:pPr>
              <w:jc w:val="right"/>
              <w:ind w:right="296"/>
              <w:spacing w:after="0"/>
              <w:rPr>
                <w:sz w:val="20"/>
                <w:szCs w:val="20"/>
                <w:color w:val="auto"/>
              </w:rPr>
            </w:pPr>
            <w:r>
              <w:rPr>
                <w:rFonts w:ascii="Arial" w:cs="Arial" w:eastAsia="Arial" w:hAnsi="Arial"/>
                <w:sz w:val="17"/>
                <w:szCs w:val="17"/>
                <w:color w:val="auto"/>
              </w:rPr>
              <w:t>4.3 – 4.6%</w:t>
            </w: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Health Care Trend Rates</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6580" w:type="dxa"/>
            <w:vAlign w:val="bottom"/>
          </w:tcPr>
          <w:p>
            <w:pPr>
              <w:ind w:left="160"/>
              <w:spacing w:after="0"/>
              <w:rPr>
                <w:sz w:val="20"/>
                <w:szCs w:val="20"/>
                <w:color w:val="auto"/>
              </w:rPr>
            </w:pPr>
            <w:r>
              <w:rPr>
                <w:rFonts w:ascii="Arial" w:cs="Arial" w:eastAsia="Arial" w:hAnsi="Arial"/>
                <w:sz w:val="17"/>
                <w:szCs w:val="17"/>
                <w:color w:val="auto"/>
              </w:rPr>
              <w:t>Trend Rate</w:t>
            </w:r>
          </w:p>
        </w:tc>
        <w:tc>
          <w:tcPr>
            <w:tcW w:w="210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10%</w:t>
            </w:r>
          </w:p>
        </w:tc>
        <w:tc>
          <w:tcPr>
            <w:tcW w:w="1440" w:type="dxa"/>
            <w:vAlign w:val="bottom"/>
          </w:tcPr>
          <w:p>
            <w:pPr>
              <w:jc w:val="right"/>
              <w:ind w:right="296"/>
              <w:spacing w:after="0"/>
              <w:rPr>
                <w:sz w:val="20"/>
                <w:szCs w:val="20"/>
                <w:color w:val="auto"/>
              </w:rPr>
            </w:pPr>
            <w:r>
              <w:rPr>
                <w:rFonts w:ascii="Arial" w:cs="Arial" w:eastAsia="Arial" w:hAnsi="Arial"/>
                <w:sz w:val="17"/>
                <w:szCs w:val="17"/>
                <w:color w:val="auto"/>
              </w:rPr>
              <w:t>8.5%</w:t>
            </w:r>
          </w:p>
        </w:tc>
      </w:tr>
      <w:tr>
        <w:trPr>
          <w:trHeight w:val="201"/>
        </w:trPr>
        <w:tc>
          <w:tcPr>
            <w:tcW w:w="6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Ultimate Trend Rate</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w:t>
            </w:r>
          </w:p>
        </w:tc>
        <w:tc>
          <w:tcPr>
            <w:tcW w:w="14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w:t>
            </w:r>
          </w:p>
        </w:tc>
      </w:tr>
      <w:tr>
        <w:trPr>
          <w:trHeight w:val="206"/>
        </w:trPr>
        <w:tc>
          <w:tcPr>
            <w:tcW w:w="65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Year Ultimate Trend Rate Effective</w:t>
            </w:r>
          </w:p>
        </w:tc>
        <w:tc>
          <w:tcPr>
            <w:tcW w:w="2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2018</w:t>
            </w:r>
          </w:p>
        </w:tc>
        <w:tc>
          <w:tcPr>
            <w:tcW w:w="14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2017</w:t>
            </w:r>
          </w:p>
        </w:tc>
      </w:tr>
      <w:tr>
        <w:trPr>
          <w:trHeight w:val="402"/>
        </w:trPr>
        <w:tc>
          <w:tcPr>
            <w:tcW w:w="6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Assumptions Used to Determine Net Periodic Benefit Costs</w:t>
            </w:r>
          </w:p>
        </w:tc>
        <w:tc>
          <w:tcPr>
            <w:tcW w:w="2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6"/>
        </w:trPr>
        <w:tc>
          <w:tcPr>
            <w:tcW w:w="6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2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2010</w:t>
            </w: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2008</w:t>
            </w:r>
          </w:p>
        </w:tc>
      </w:tr>
      <w:tr>
        <w:trPr>
          <w:trHeight w:val="20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21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5.81%</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6.12%</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6.25%</w:t>
            </w:r>
          </w:p>
        </w:tc>
      </w:tr>
      <w:tr>
        <w:trPr>
          <w:trHeight w:val="201"/>
        </w:trPr>
        <w:tc>
          <w:tcPr>
            <w:tcW w:w="6580" w:type="dxa"/>
            <w:vAlign w:val="bottom"/>
          </w:tcPr>
          <w:p>
            <w:pPr>
              <w:spacing w:after="0"/>
              <w:rPr>
                <w:sz w:val="20"/>
                <w:szCs w:val="20"/>
                <w:color w:val="auto"/>
              </w:rPr>
            </w:pPr>
            <w:r>
              <w:rPr>
                <w:rFonts w:ascii="Arial" w:cs="Arial" w:eastAsia="Arial" w:hAnsi="Arial"/>
                <w:sz w:val="17"/>
                <w:szCs w:val="17"/>
                <w:color w:val="auto"/>
              </w:rPr>
              <w:t>Expected Long-Term Return on Plan Assets</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1"/>
        </w:trPr>
        <w:tc>
          <w:tcPr>
            <w:tcW w:w="6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w:t>
            </w:r>
          </w:p>
        </w:tc>
        <w:tc>
          <w:tcPr>
            <w:tcW w:w="21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8.5%</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8.5%</w:t>
            </w:r>
          </w:p>
        </w:tc>
        <w:tc>
          <w:tcPr>
            <w:tcW w:w="14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9.0%</w:t>
            </w:r>
          </w:p>
        </w:tc>
      </w:tr>
      <w:tr>
        <w:trPr>
          <w:trHeight w:val="201"/>
        </w:trPr>
        <w:tc>
          <w:tcPr>
            <w:tcW w:w="6580" w:type="dxa"/>
            <w:vAlign w:val="bottom"/>
          </w:tcPr>
          <w:p>
            <w:pPr>
              <w:ind w:left="160"/>
              <w:spacing w:after="0"/>
              <w:rPr>
                <w:sz w:val="20"/>
                <w:szCs w:val="20"/>
                <w:color w:val="auto"/>
              </w:rPr>
            </w:pPr>
            <w:r>
              <w:rPr>
                <w:rFonts w:ascii="Arial" w:cs="Arial" w:eastAsia="Arial" w:hAnsi="Arial"/>
                <w:sz w:val="17"/>
                <w:szCs w:val="17"/>
                <w:color w:val="auto"/>
              </w:rPr>
              <w:t>Postretirement Health and Life</w:t>
            </w:r>
          </w:p>
        </w:tc>
        <w:tc>
          <w:tcPr>
            <w:tcW w:w="2100" w:type="dxa"/>
            <w:vAlign w:val="bottom"/>
          </w:tcPr>
          <w:p>
            <w:pPr>
              <w:jc w:val="right"/>
              <w:ind w:right="276"/>
              <w:spacing w:after="0"/>
              <w:rPr>
                <w:sz w:val="20"/>
                <w:szCs w:val="20"/>
                <w:color w:val="auto"/>
              </w:rPr>
            </w:pPr>
            <w:r>
              <w:rPr>
                <w:rFonts w:ascii="Arial" w:cs="Arial" w:eastAsia="Arial" w:hAnsi="Arial"/>
                <w:sz w:val="17"/>
                <w:szCs w:val="17"/>
                <w:color w:val="auto"/>
              </w:rPr>
              <w:t>6.8 – 8.5%</w:t>
            </w: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6.8 – 8.5%</w:t>
            </w:r>
          </w:p>
        </w:tc>
        <w:tc>
          <w:tcPr>
            <w:tcW w:w="1440" w:type="dxa"/>
            <w:vAlign w:val="bottom"/>
          </w:tcPr>
          <w:p>
            <w:pPr>
              <w:jc w:val="right"/>
              <w:ind w:right="276"/>
              <w:spacing w:after="0"/>
              <w:rPr>
                <w:sz w:val="20"/>
                <w:szCs w:val="20"/>
                <w:color w:val="auto"/>
              </w:rPr>
            </w:pPr>
            <w:r>
              <w:rPr>
                <w:rFonts w:ascii="Arial" w:cs="Arial" w:eastAsia="Arial" w:hAnsi="Arial"/>
                <w:sz w:val="17"/>
                <w:szCs w:val="17"/>
                <w:color w:val="auto"/>
              </w:rPr>
              <w:t>7.2 – 9.0%</w:t>
            </w:r>
          </w:p>
        </w:tc>
      </w:tr>
      <w:tr>
        <w:trPr>
          <w:trHeight w:val="206"/>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2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4.3 – 4.6%</w:t>
            </w: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4.3 – 4.6%</w:t>
            </w:r>
          </w:p>
        </w:tc>
        <w:tc>
          <w:tcPr>
            <w:tcW w:w="1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4.3 – 4.6%</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5" w:name="page86"/>
    <w:bookmarkEnd w:id="85"/>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obligation.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Sensitivity of a One-Percentage-Point Change in Health Care Trend Rates</w:t>
            </w:r>
          </w:p>
        </w:tc>
        <w:tc>
          <w:tcPr>
            <w:tcW w:w="1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1"/>
        </w:trPr>
        <w:tc>
          <w:tcPr>
            <w:tcW w:w="5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89"/>
              </w:rPr>
              <w:t>One Percent</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7"/>
              </w:rPr>
              <w:t>One Percent</w:t>
            </w:r>
          </w:p>
        </w:tc>
      </w:tr>
      <w:tr>
        <w:trPr>
          <w:trHeight w:val="206"/>
        </w:trPr>
        <w:tc>
          <w:tcPr>
            <w:tcW w:w="588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Increase</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Decrease</w:t>
            </w:r>
          </w:p>
        </w:tc>
      </w:tr>
      <w:tr>
        <w:trPr>
          <w:trHeight w:val="201"/>
        </w:trPr>
        <w:tc>
          <w:tcPr>
            <w:tcW w:w="58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Effect on Total of Postretirement Health and Life Service and Interest Cost</w:t>
            </w:r>
          </w:p>
        </w:tc>
        <w:tc>
          <w:tcPr>
            <w:tcW w:w="1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$2.5</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$(2.0)</w:t>
            </w:r>
          </w:p>
        </w:tc>
      </w:tr>
      <w:tr>
        <w:trPr>
          <w:trHeight w:val="206"/>
        </w:trPr>
        <w:tc>
          <w:tcPr>
            <w:tcW w:w="5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 on Postretirement Health and Life Obligation</w:t>
            </w:r>
          </w:p>
        </w:tc>
        <w:tc>
          <w:tcPr>
            <w:tcW w:w="1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$23.1</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$(19.2)</w:t>
            </w:r>
          </w:p>
        </w:tc>
      </w:tr>
      <w:tr>
        <w:trPr>
          <w:trHeight w:val="402"/>
        </w:trPr>
        <w:tc>
          <w:tcPr>
            <w:tcW w:w="5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Actual Plan Asset Allocations</w:t>
            </w:r>
          </w:p>
        </w:tc>
        <w:tc>
          <w:tcPr>
            <w:tcW w:w="1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85"/>
        </w:trPr>
        <w:tc>
          <w:tcPr>
            <w:tcW w:w="5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60" w:type="dxa"/>
            <w:vAlign w:val="bottom"/>
            <w:gridSpan w:val="2"/>
          </w:tcPr>
          <w:p>
            <w:pPr>
              <w:jc w:val="right"/>
              <w:ind w:right="756"/>
              <w:spacing w:after="0" w:line="185" w:lineRule="exact"/>
              <w:rPr>
                <w:sz w:val="20"/>
                <w:szCs w:val="20"/>
                <w:color w:val="auto"/>
              </w:rPr>
            </w:pPr>
            <w:r>
              <w:rPr>
                <w:rFonts w:ascii="Arial" w:cs="Arial" w:eastAsia="Arial" w:hAnsi="Arial"/>
                <w:sz w:val="17"/>
                <w:szCs w:val="17"/>
                <w:b w:val="1"/>
                <w:bCs w:val="1"/>
                <w:color w:val="auto"/>
              </w:rPr>
              <w:t>Postretirement</w:t>
            </w:r>
          </w:p>
        </w:tc>
      </w:tr>
      <w:tr>
        <w:trPr>
          <w:trHeight w:val="217"/>
        </w:trPr>
        <w:tc>
          <w:tcPr>
            <w:tcW w:w="5880" w:type="dxa"/>
            <w:vAlign w:val="bottom"/>
          </w:tcPr>
          <w:p>
            <w:pPr>
              <w:spacing w:after="0"/>
              <w:rPr>
                <w:sz w:val="18"/>
                <w:szCs w:val="18"/>
                <w:color w:val="auto"/>
              </w:rPr>
            </w:pPr>
          </w:p>
        </w:tc>
        <w:tc>
          <w:tcPr>
            <w:tcW w:w="1840" w:type="dxa"/>
            <w:vAlign w:val="bottom"/>
          </w:tcPr>
          <w:p>
            <w:pPr>
              <w:jc w:val="right"/>
              <w:ind w:right="36"/>
              <w:spacing w:after="0"/>
              <w:rPr>
                <w:sz w:val="20"/>
                <w:szCs w:val="20"/>
                <w:color w:val="auto"/>
              </w:rPr>
            </w:pPr>
            <w:r>
              <w:rPr>
                <w:rFonts w:ascii="Arial" w:cs="Arial" w:eastAsia="Arial" w:hAnsi="Arial"/>
                <w:sz w:val="17"/>
                <w:szCs w:val="17"/>
                <w:b w:val="1"/>
                <w:bCs w:val="1"/>
                <w:color w:val="auto"/>
              </w:rPr>
              <w:t>Pension</w:t>
            </w:r>
          </w:p>
        </w:tc>
        <w:tc>
          <w:tcPr>
            <w:tcW w:w="940" w:type="dxa"/>
            <w:vAlign w:val="bottom"/>
          </w:tcPr>
          <w:p>
            <w:pPr>
              <w:spacing w:after="0"/>
              <w:rPr>
                <w:sz w:val="18"/>
                <w:szCs w:val="18"/>
                <w:color w:val="auto"/>
              </w:rPr>
            </w:pPr>
          </w:p>
        </w:tc>
        <w:tc>
          <w:tcPr>
            <w:tcW w:w="2760" w:type="dxa"/>
            <w:vAlign w:val="bottom"/>
            <w:gridSpan w:val="2"/>
          </w:tcPr>
          <w:p>
            <w:pPr>
              <w:jc w:val="right"/>
              <w:ind w:right="596"/>
              <w:spacing w:after="0"/>
              <w:rPr>
                <w:sz w:val="20"/>
                <w:szCs w:val="20"/>
                <w:color w:val="auto"/>
              </w:rPr>
            </w:pPr>
            <w:r>
              <w:rPr>
                <w:rFonts w:ascii="Arial" w:cs="Arial" w:eastAsia="Arial" w:hAnsi="Arial"/>
                <w:sz w:val="17"/>
                <w:szCs w:val="17"/>
                <w:b w:val="1"/>
                <w:bCs w:val="1"/>
                <w:color w:val="auto"/>
              </w:rPr>
              <w:t xml:space="preserve">Health and Life </w:t>
            </w:r>
            <w:r>
              <w:rPr>
                <w:rFonts w:ascii="Arial" w:cs="Arial" w:eastAsia="Arial" w:hAnsi="Arial"/>
                <w:sz w:val="17"/>
                <w:szCs w:val="17"/>
                <w:b w:val="1"/>
                <w:bCs w:val="1"/>
                <w:i w:val="1"/>
                <w:iCs w:val="1"/>
                <w:color w:val="auto"/>
              </w:rPr>
              <w:t>(a)</w:t>
            </w:r>
          </w:p>
        </w:tc>
      </w:tr>
      <w:tr>
        <w:trPr>
          <w:trHeight w:val="206"/>
        </w:trPr>
        <w:tc>
          <w:tcPr>
            <w:tcW w:w="588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b w:val="1"/>
                <w:bCs w:val="1"/>
                <w:color w:val="auto"/>
              </w:rPr>
              <w:t>2010</w:t>
            </w:r>
          </w:p>
        </w:tc>
        <w:tc>
          <w:tcPr>
            <w:tcW w:w="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2010</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2009</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Equity Securities</w:t>
            </w:r>
          </w:p>
        </w:tc>
        <w:tc>
          <w:tcPr>
            <w:tcW w:w="1840" w:type="dxa"/>
            <w:vAlign w:val="bottom"/>
          </w:tcPr>
          <w:p>
            <w:pPr>
              <w:jc w:val="right"/>
              <w:ind w:right="536"/>
              <w:spacing w:after="0"/>
              <w:rPr>
                <w:sz w:val="20"/>
                <w:szCs w:val="20"/>
                <w:color w:val="auto"/>
              </w:rPr>
            </w:pPr>
            <w:r>
              <w:rPr>
                <w:rFonts w:ascii="Arial" w:cs="Arial" w:eastAsia="Arial" w:hAnsi="Arial"/>
                <w:sz w:val="17"/>
                <w:szCs w:val="17"/>
                <w:color w:val="auto"/>
              </w:rPr>
              <w:t>52%</w:t>
            </w:r>
          </w:p>
        </w:tc>
        <w:tc>
          <w:tcPr>
            <w:tcW w:w="940" w:type="dxa"/>
            <w:vAlign w:val="bottom"/>
          </w:tcPr>
          <w:p>
            <w:pPr>
              <w:jc w:val="right"/>
              <w:ind w:right="176"/>
              <w:spacing w:after="0"/>
              <w:rPr>
                <w:sz w:val="20"/>
                <w:szCs w:val="20"/>
                <w:color w:val="auto"/>
              </w:rPr>
            </w:pPr>
            <w:r>
              <w:rPr>
                <w:rFonts w:ascii="Arial" w:cs="Arial" w:eastAsia="Arial" w:hAnsi="Arial"/>
                <w:sz w:val="17"/>
                <w:szCs w:val="17"/>
                <w:color w:val="auto"/>
              </w:rPr>
              <w:t>53%</w:t>
            </w: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58%</w:t>
            </w:r>
          </w:p>
        </w:tc>
        <w:tc>
          <w:tcPr>
            <w:tcW w:w="1360" w:type="dxa"/>
            <w:vAlign w:val="bottom"/>
          </w:tcPr>
          <w:p>
            <w:pPr>
              <w:jc w:val="right"/>
              <w:ind w:right="96"/>
              <w:spacing w:after="0"/>
              <w:rPr>
                <w:sz w:val="20"/>
                <w:szCs w:val="20"/>
                <w:color w:val="auto"/>
              </w:rPr>
            </w:pPr>
            <w:r>
              <w:rPr>
                <w:rFonts w:ascii="Arial" w:cs="Arial" w:eastAsia="Arial" w:hAnsi="Arial"/>
                <w:sz w:val="17"/>
                <w:szCs w:val="17"/>
                <w:color w:val="auto"/>
              </w:rPr>
              <w:t>54%</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8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29%</w:t>
            </w: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28%</w:t>
            </w: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33%</w:t>
            </w: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38%</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Real Estate</w:t>
            </w:r>
          </w:p>
        </w:tc>
        <w:tc>
          <w:tcPr>
            <w:tcW w:w="1840" w:type="dxa"/>
            <w:vAlign w:val="bottom"/>
          </w:tcPr>
          <w:p>
            <w:pPr>
              <w:jc w:val="right"/>
              <w:ind w:right="536"/>
              <w:spacing w:after="0"/>
              <w:rPr>
                <w:sz w:val="20"/>
                <w:szCs w:val="20"/>
                <w:color w:val="auto"/>
              </w:rPr>
            </w:pPr>
            <w:r>
              <w:rPr>
                <w:rFonts w:ascii="Arial" w:cs="Arial" w:eastAsia="Arial" w:hAnsi="Arial"/>
                <w:sz w:val="17"/>
                <w:szCs w:val="17"/>
                <w:color w:val="auto"/>
              </w:rPr>
              <w:t>5%</w:t>
            </w:r>
          </w:p>
        </w:tc>
        <w:tc>
          <w:tcPr>
            <w:tcW w:w="940" w:type="dxa"/>
            <w:vAlign w:val="bottom"/>
          </w:tcPr>
          <w:p>
            <w:pPr>
              <w:jc w:val="right"/>
              <w:ind w:right="176"/>
              <w:spacing w:after="0"/>
              <w:rPr>
                <w:sz w:val="20"/>
                <w:szCs w:val="20"/>
                <w:color w:val="auto"/>
              </w:rPr>
            </w:pPr>
            <w:r>
              <w:rPr>
                <w:rFonts w:ascii="Arial" w:cs="Arial" w:eastAsia="Arial" w:hAnsi="Arial"/>
                <w:sz w:val="17"/>
                <w:szCs w:val="17"/>
                <w:color w:val="auto"/>
              </w:rPr>
              <w:t>5%</w:t>
            </w: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96"/>
              <w:spacing w:after="0"/>
              <w:rPr>
                <w:sz w:val="20"/>
                <w:szCs w:val="20"/>
                <w:color w:val="auto"/>
              </w:rPr>
            </w:pPr>
            <w:r>
              <w:rPr>
                <w:rFonts w:ascii="Arial" w:cs="Arial" w:eastAsia="Arial" w:hAnsi="Arial"/>
                <w:sz w:val="17"/>
                <w:szCs w:val="17"/>
                <w:color w:val="auto"/>
              </w:rPr>
              <w:t>–</w:t>
            </w:r>
          </w:p>
        </w:tc>
      </w:tr>
      <w:tr>
        <w:trPr>
          <w:trHeight w:val="206"/>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18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color w:val="auto"/>
              </w:rPr>
              <w:t>14%</w:t>
            </w:r>
          </w:p>
        </w:tc>
        <w:tc>
          <w:tcPr>
            <w:tcW w:w="9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14%</w:t>
            </w:r>
          </w:p>
        </w:tc>
        <w:tc>
          <w:tcPr>
            <w:tcW w:w="1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9%</w:t>
            </w:r>
          </w:p>
        </w:tc>
        <w:tc>
          <w:tcPr>
            <w:tcW w:w="1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w:t>
            </w:r>
          </w:p>
        </w:tc>
      </w:tr>
      <w:tr>
        <w:trPr>
          <w:trHeight w:val="206"/>
        </w:trPr>
        <w:tc>
          <w:tcPr>
            <w:tcW w:w="5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100%</w:t>
            </w: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100%</w:t>
            </w: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100%</w:t>
            </w: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Includes VEBAs and irrevocable grantor trusts.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Pension plan equity securities did not include any ALLETE common stock at December 31, 2010. At December 31, 2009, $9.9 million, or 3.0 percent, of ALLETE common stock was included.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The majority of debt securities are made up of investment grade bonds.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Plan Asset Target Allocations</w:t>
            </w:r>
          </w:p>
        </w:tc>
        <w:tc>
          <w:tcPr>
            <w:tcW w:w="4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1"/>
        </w:trPr>
        <w:tc>
          <w:tcPr>
            <w:tcW w:w="56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00" w:type="dxa"/>
            <w:vAlign w:val="bottom"/>
          </w:tcPr>
          <w:p>
            <w:pPr>
              <w:jc w:val="right"/>
              <w:ind w:right="56"/>
              <w:spacing w:after="0"/>
              <w:rPr>
                <w:sz w:val="20"/>
                <w:szCs w:val="20"/>
                <w:color w:val="auto"/>
              </w:rPr>
            </w:pPr>
            <w:r>
              <w:rPr>
                <w:rFonts w:ascii="Arial" w:cs="Arial" w:eastAsia="Arial" w:hAnsi="Arial"/>
                <w:sz w:val="17"/>
                <w:szCs w:val="17"/>
                <w:b w:val="1"/>
                <w:bCs w:val="1"/>
                <w:color w:val="auto"/>
              </w:rPr>
              <w:t>Postretirement</w:t>
            </w:r>
          </w:p>
        </w:tc>
      </w:tr>
      <w:tr>
        <w:trPr>
          <w:trHeight w:val="206"/>
        </w:trPr>
        <w:tc>
          <w:tcPr>
            <w:tcW w:w="5620" w:type="dxa"/>
            <w:vAlign w:val="bottom"/>
            <w:tcBorders>
              <w:bottom w:val="single" w:sz="8" w:color="auto"/>
            </w:tcBorders>
            <w:shd w:val="clear" w:color="auto" w:fill="CCEEFF"/>
          </w:tcPr>
          <w:p>
            <w:pPr>
              <w:spacing w:after="0"/>
              <w:rPr>
                <w:sz w:val="17"/>
                <w:szCs w:val="17"/>
                <w:color w:val="auto"/>
              </w:rPr>
            </w:pPr>
          </w:p>
        </w:tc>
        <w:tc>
          <w:tcPr>
            <w:tcW w:w="4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Pension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Health and Life </w:t>
            </w:r>
            <w:r>
              <w:rPr>
                <w:rFonts w:ascii="Arial" w:cs="Arial" w:eastAsia="Arial" w:hAnsi="Arial"/>
                <w:sz w:val="17"/>
                <w:szCs w:val="17"/>
                <w:b w:val="1"/>
                <w:bCs w:val="1"/>
                <w:i w:val="1"/>
                <w:iCs w:val="1"/>
                <w:color w:val="auto"/>
              </w:rPr>
              <w:t>(a)</w:t>
            </w:r>
          </w:p>
        </w:tc>
      </w:tr>
      <w:tr>
        <w:trPr>
          <w:trHeight w:val="201"/>
        </w:trPr>
        <w:tc>
          <w:tcPr>
            <w:tcW w:w="5620" w:type="dxa"/>
            <w:vAlign w:val="bottom"/>
          </w:tcPr>
          <w:p>
            <w:pPr>
              <w:spacing w:after="0"/>
              <w:rPr>
                <w:sz w:val="20"/>
                <w:szCs w:val="20"/>
                <w:color w:val="auto"/>
              </w:rPr>
            </w:pPr>
            <w:r>
              <w:rPr>
                <w:rFonts w:ascii="Arial" w:cs="Arial" w:eastAsia="Arial" w:hAnsi="Arial"/>
                <w:sz w:val="17"/>
                <w:szCs w:val="17"/>
                <w:color w:val="auto"/>
              </w:rPr>
              <w:t>Equity Securities</w:t>
            </w:r>
          </w:p>
        </w:tc>
        <w:tc>
          <w:tcPr>
            <w:tcW w:w="4300" w:type="dxa"/>
            <w:vAlign w:val="bottom"/>
          </w:tcPr>
          <w:p>
            <w:pPr>
              <w:jc w:val="right"/>
              <w:ind w:right="56"/>
              <w:spacing w:after="0"/>
              <w:rPr>
                <w:sz w:val="20"/>
                <w:szCs w:val="20"/>
                <w:color w:val="auto"/>
              </w:rPr>
            </w:pPr>
            <w:r>
              <w:rPr>
                <w:rFonts w:ascii="Arial" w:cs="Arial" w:eastAsia="Arial" w:hAnsi="Arial"/>
                <w:sz w:val="17"/>
                <w:szCs w:val="17"/>
                <w:color w:val="auto"/>
              </w:rPr>
              <w:t>50%</w:t>
            </w:r>
          </w:p>
        </w:tc>
        <w:tc>
          <w:tcPr>
            <w:tcW w:w="1500" w:type="dxa"/>
            <w:vAlign w:val="bottom"/>
          </w:tcPr>
          <w:p>
            <w:pPr>
              <w:jc w:val="right"/>
              <w:ind w:right="276"/>
              <w:spacing w:after="0"/>
              <w:rPr>
                <w:sz w:val="20"/>
                <w:szCs w:val="20"/>
                <w:color w:val="auto"/>
              </w:rPr>
            </w:pPr>
            <w:r>
              <w:rPr>
                <w:rFonts w:ascii="Arial" w:cs="Arial" w:eastAsia="Arial" w:hAnsi="Arial"/>
                <w:sz w:val="17"/>
                <w:szCs w:val="17"/>
                <w:color w:val="auto"/>
              </w:rPr>
              <w:t>48%</w:t>
            </w:r>
          </w:p>
        </w:tc>
      </w:tr>
      <w:tr>
        <w:trPr>
          <w:trHeight w:val="201"/>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43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w:t>
            </w:r>
          </w:p>
        </w:tc>
        <w:tc>
          <w:tcPr>
            <w:tcW w:w="15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34%</w:t>
            </w:r>
          </w:p>
        </w:tc>
      </w:tr>
      <w:tr>
        <w:trPr>
          <w:trHeight w:val="201"/>
        </w:trPr>
        <w:tc>
          <w:tcPr>
            <w:tcW w:w="5620" w:type="dxa"/>
            <w:vAlign w:val="bottom"/>
          </w:tcPr>
          <w:p>
            <w:pPr>
              <w:spacing w:after="0"/>
              <w:rPr>
                <w:sz w:val="20"/>
                <w:szCs w:val="20"/>
                <w:color w:val="auto"/>
              </w:rPr>
            </w:pPr>
            <w:r>
              <w:rPr>
                <w:rFonts w:ascii="Arial" w:cs="Arial" w:eastAsia="Arial" w:hAnsi="Arial"/>
                <w:sz w:val="17"/>
                <w:szCs w:val="17"/>
                <w:color w:val="auto"/>
              </w:rPr>
              <w:t>Real Estate</w:t>
            </w:r>
          </w:p>
        </w:tc>
        <w:tc>
          <w:tcPr>
            <w:tcW w:w="4300" w:type="dxa"/>
            <w:vAlign w:val="bottom"/>
          </w:tcPr>
          <w:p>
            <w:pPr>
              <w:jc w:val="right"/>
              <w:ind w:right="56"/>
              <w:spacing w:after="0"/>
              <w:rPr>
                <w:sz w:val="20"/>
                <w:szCs w:val="20"/>
                <w:color w:val="auto"/>
              </w:rPr>
            </w:pPr>
            <w:r>
              <w:rPr>
                <w:rFonts w:ascii="Arial" w:cs="Arial" w:eastAsia="Arial" w:hAnsi="Arial"/>
                <w:sz w:val="17"/>
                <w:szCs w:val="17"/>
                <w:color w:val="auto"/>
              </w:rPr>
              <w:t>10%</w:t>
            </w:r>
          </w:p>
        </w:tc>
        <w:tc>
          <w:tcPr>
            <w:tcW w:w="1500" w:type="dxa"/>
            <w:vAlign w:val="bottom"/>
          </w:tcPr>
          <w:p>
            <w:pPr>
              <w:jc w:val="right"/>
              <w:ind w:right="276"/>
              <w:spacing w:after="0"/>
              <w:rPr>
                <w:sz w:val="20"/>
                <w:szCs w:val="20"/>
                <w:color w:val="auto"/>
              </w:rPr>
            </w:pPr>
            <w:r>
              <w:rPr>
                <w:rFonts w:ascii="Arial" w:cs="Arial" w:eastAsia="Arial" w:hAnsi="Arial"/>
                <w:sz w:val="17"/>
                <w:szCs w:val="17"/>
                <w:color w:val="auto"/>
              </w:rPr>
              <w:t>9%</w:t>
            </w:r>
          </w:p>
        </w:tc>
      </w:tr>
      <w:tr>
        <w:trPr>
          <w:trHeight w:val="206"/>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4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w:t>
            </w:r>
          </w:p>
        </w:tc>
        <w:tc>
          <w:tcPr>
            <w:tcW w:w="15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9%</w:t>
            </w:r>
          </w:p>
        </w:tc>
      </w:tr>
      <w:tr>
        <w:trPr>
          <w:trHeight w:val="206"/>
        </w:trPr>
        <w:tc>
          <w:tcPr>
            <w:tcW w:w="56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100%</w:t>
            </w: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Includes VEBAs and irrevocable grantor trusts.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 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Level 1 — Quoted prices are available in active markets for identical assets as of the reported date. Active markets are those in which transactions for the asset occur in sufficient frequency and volume to provide pricing information on an ongoing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6" w:name="page87"/>
    <w:bookmarkEnd w:id="86"/>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00" w:lineRule="exact"/>
        <w:rPr>
          <w:sz w:val="20"/>
          <w:szCs w:val="20"/>
          <w:color w:val="auto"/>
        </w:rPr>
      </w:pP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Level 2 — Pricing inputs are other than quoted prices in active markets, but are either directly or indirectly observable as of the reported date. The types of assets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included in Level 3 are those with inputs requiring significant management judgment or estimation, such as the complex and subjective models and forecasts used to determine the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7"/>
                <w:szCs w:val="17"/>
                <w:b w:val="1"/>
                <w:bCs w:val="1"/>
                <w:color w:val="auto"/>
              </w:rPr>
              <w:t>Pension Fair Value</w:t>
            </w: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1"/>
        </w:trPr>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4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60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94"/>
              </w:rPr>
              <w:t>At Fair Value as of December 31, 2010</w:t>
            </w:r>
          </w:p>
        </w:tc>
        <w:tc>
          <w:tcPr>
            <w:tcW w:w="1080" w:type="dxa"/>
            <w:vAlign w:val="bottom"/>
            <w:tcBorders>
              <w:bottom w:val="single" w:sz="8" w:color="auto"/>
            </w:tcBorders>
            <w:shd w:val="clear" w:color="auto" w:fill="CCEEFF"/>
          </w:tcPr>
          <w:p>
            <w:pPr>
              <w:spacing w:after="0"/>
              <w:rPr>
                <w:sz w:val="17"/>
                <w:szCs w:val="17"/>
                <w:color w:val="auto"/>
              </w:rPr>
            </w:pPr>
          </w:p>
        </w:tc>
      </w:tr>
      <w:tr>
        <w:trPr>
          <w:trHeight w:val="206"/>
        </w:trPr>
        <w:tc>
          <w:tcPr>
            <w:tcW w:w="6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Level 1</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Level 2</w:t>
            </w:r>
          </w:p>
        </w:tc>
        <w:tc>
          <w:tcPr>
            <w:tcW w:w="158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Level 3</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Total</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 xml:space="preserve">U.S. Large-cap </w:t>
            </w:r>
            <w:r>
              <w:rPr>
                <w:rFonts w:ascii="Arial" w:cs="Arial" w:eastAsia="Arial" w:hAnsi="Arial"/>
                <w:sz w:val="17"/>
                <w:szCs w:val="17"/>
                <w:i w:val="1"/>
                <w:iCs w:val="1"/>
                <w:color w:val="auto"/>
              </w:rPr>
              <w:t>(a)</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$30.4</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$29.9</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$3.5</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$63.8</w:t>
            </w: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U.S. Mid-cap Growth </w:t>
            </w:r>
            <w:r>
              <w:rPr>
                <w:rFonts w:ascii="Arial" w:cs="Arial" w:eastAsia="Arial" w:hAnsi="Arial"/>
                <w:sz w:val="17"/>
                <w:szCs w:val="17"/>
                <w:i w:val="1"/>
                <w:iCs w:val="1"/>
                <w:color w:val="auto"/>
              </w:rPr>
              <w:t>(a)</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14.0</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13.7</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1.6</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29.3</w:t>
            </w: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 xml:space="preserve">U.S. Small-cap </w:t>
            </w:r>
            <w:r>
              <w:rPr>
                <w:rFonts w:ascii="Arial" w:cs="Arial" w:eastAsia="Arial" w:hAnsi="Arial"/>
                <w:sz w:val="17"/>
                <w:szCs w:val="17"/>
                <w:i w:val="1"/>
                <w:iCs w:val="1"/>
                <w:color w:val="auto"/>
              </w:rPr>
              <w:t>(a)</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13.7</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13.5</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1.6</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28.8</w:t>
            </w: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77.1</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77.1</w:t>
            </w: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Debt Securities:</w:t>
            </w: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Mutual Funds</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46.5</w:t>
            </w: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46.5</w:t>
            </w: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65.7</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65.7</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Types of Investments: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Private Equity Funds</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50.7</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50.7</w:t>
            </w:r>
          </w:p>
        </w:tc>
      </w:tr>
      <w:tr>
        <w:trPr>
          <w:trHeight w:val="206"/>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Real Estate</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color w:val="auto"/>
              </w:rPr>
              <w:t>20.1</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20.1</w:t>
            </w:r>
          </w:p>
        </w:tc>
      </w:tr>
      <w:tr>
        <w:trPr>
          <w:trHeight w:val="206"/>
        </w:trPr>
        <w:tc>
          <w:tcPr>
            <w:tcW w:w="6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Fair Value of Assets</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$104.6</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$199.9</w:t>
            </w: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$77.5</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$382.0</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shd w:val="clear" w:color="auto" w:fill="CCEEFF"/>
          </w:tcPr>
          <w:p>
            <w:pPr>
              <w:spacing w:after="0"/>
              <w:rPr>
                <w:sz w:val="17"/>
                <w:szCs w:val="17"/>
                <w:color w:val="auto"/>
              </w:rPr>
            </w:pPr>
          </w:p>
        </w:tc>
        <w:tc>
          <w:tcPr>
            <w:tcW w:w="36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Equity Securities</w:t>
            </w: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6"/>
        </w:trPr>
        <w:tc>
          <w:tcPr>
            <w:tcW w:w="4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Activity in Level 3</w:t>
            </w: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(Auction Rate Securities)</w:t>
            </w:r>
          </w:p>
        </w:tc>
        <w:tc>
          <w:tcPr>
            <w:tcW w:w="19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w w:val="93"/>
              </w:rPr>
              <w:t>Private Equity Funds</w:t>
            </w: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Real Estate</w:t>
            </w:r>
          </w:p>
        </w:tc>
      </w:tr>
      <w:tr>
        <w:trPr>
          <w:trHeight w:val="201"/>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6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7"/>
                <w:szCs w:val="17"/>
                <w:color w:val="auto"/>
              </w:rPr>
              <w:t>Balance as of December 31, 2009</w:t>
            </w:r>
          </w:p>
        </w:tc>
        <w:tc>
          <w:tcPr>
            <w:tcW w:w="3640" w:type="dxa"/>
            <w:vAlign w:val="bottom"/>
          </w:tcPr>
          <w:p>
            <w:pPr>
              <w:jc w:val="right"/>
              <w:ind w:right="456"/>
              <w:spacing w:after="0"/>
              <w:rPr>
                <w:sz w:val="20"/>
                <w:szCs w:val="20"/>
                <w:color w:val="auto"/>
              </w:rPr>
            </w:pPr>
            <w:r>
              <w:rPr>
                <w:rFonts w:ascii="Arial" w:cs="Arial" w:eastAsia="Arial" w:hAnsi="Arial"/>
                <w:sz w:val="17"/>
                <w:szCs w:val="17"/>
                <w:color w:val="auto"/>
              </w:rPr>
              <w:t>$9.1</w:t>
            </w:r>
          </w:p>
        </w:tc>
        <w:tc>
          <w:tcPr>
            <w:tcW w:w="1900" w:type="dxa"/>
            <w:vAlign w:val="bottom"/>
          </w:tcPr>
          <w:p>
            <w:pPr>
              <w:jc w:val="right"/>
              <w:ind w:right="576"/>
              <w:spacing w:after="0"/>
              <w:rPr>
                <w:sz w:val="20"/>
                <w:szCs w:val="20"/>
                <w:color w:val="auto"/>
              </w:rPr>
            </w:pPr>
            <w:r>
              <w:rPr>
                <w:rFonts w:ascii="Arial" w:cs="Arial" w:eastAsia="Arial" w:hAnsi="Arial"/>
                <w:sz w:val="17"/>
                <w:szCs w:val="17"/>
                <w:color w:val="auto"/>
              </w:rPr>
              <w:t>$44.7</w:t>
            </w:r>
          </w:p>
        </w:tc>
        <w:tc>
          <w:tcPr>
            <w:tcW w:w="1600" w:type="dxa"/>
            <w:vAlign w:val="bottom"/>
          </w:tcPr>
          <w:p>
            <w:pPr>
              <w:jc w:val="right"/>
              <w:ind w:right="416"/>
              <w:spacing w:after="0"/>
              <w:rPr>
                <w:sz w:val="20"/>
                <w:szCs w:val="20"/>
                <w:color w:val="auto"/>
              </w:rPr>
            </w:pPr>
            <w:r>
              <w:rPr>
                <w:rFonts w:ascii="Arial" w:cs="Arial" w:eastAsia="Arial" w:hAnsi="Arial"/>
                <w:sz w:val="17"/>
                <w:szCs w:val="17"/>
                <w:color w:val="auto"/>
              </w:rPr>
              <w:t>$17.3</w:t>
            </w:r>
          </w:p>
        </w:tc>
      </w:tr>
      <w:tr>
        <w:trPr>
          <w:trHeight w:val="201"/>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w:t>
            </w:r>
          </w:p>
        </w:tc>
        <w:tc>
          <w:tcPr>
            <w:tcW w:w="3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(4.1)</w:t>
            </w:r>
          </w:p>
        </w:tc>
        <w:tc>
          <w:tcPr>
            <w:tcW w:w="160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(6.1)</w:t>
            </w:r>
          </w:p>
        </w:tc>
      </w:tr>
      <w:tr>
        <w:trPr>
          <w:trHeight w:val="206"/>
        </w:trPr>
        <w:tc>
          <w:tcPr>
            <w:tcW w:w="4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Purchases, sales, and settlements, net</w:t>
            </w:r>
          </w:p>
        </w:tc>
        <w:tc>
          <w:tcPr>
            <w:tcW w:w="36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(2.4)</w:t>
            </w:r>
          </w:p>
        </w:tc>
        <w:tc>
          <w:tcPr>
            <w:tcW w:w="19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color w:val="auto"/>
              </w:rPr>
              <w:t>10.1</w:t>
            </w: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8.9</w:t>
            </w:r>
          </w:p>
        </w:tc>
      </w:tr>
      <w:tr>
        <w:trPr>
          <w:trHeight w:val="206"/>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December 31, 2010</w:t>
            </w:r>
          </w:p>
        </w:tc>
        <w:tc>
          <w:tcPr>
            <w:tcW w:w="3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$6.7</w:t>
            </w:r>
          </w:p>
        </w:tc>
        <w:tc>
          <w:tcPr>
            <w:tcW w:w="19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rPr>
              <w:t>$50.7</w:t>
            </w:r>
          </w:p>
        </w:tc>
        <w:tc>
          <w:tcPr>
            <w:tcW w:w="1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$20.1</w:t>
            </w:r>
          </w:p>
        </w:tc>
      </w:tr>
    </w:tbl>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94"/>
              </w:rPr>
              <w:t>At Fair Value as of December 31, 2009</w:t>
            </w:r>
          </w:p>
        </w:tc>
        <w:tc>
          <w:tcPr>
            <w:tcW w:w="1080" w:type="dxa"/>
            <w:vAlign w:val="bottom"/>
            <w:tcBorders>
              <w:bottom w:val="single" w:sz="8" w:color="auto"/>
            </w:tcBorders>
            <w:shd w:val="clear" w:color="auto" w:fill="CCEEFF"/>
          </w:tcPr>
          <w:p>
            <w:pPr>
              <w:spacing w:after="0"/>
              <w:rPr>
                <w:sz w:val="17"/>
                <w:szCs w:val="17"/>
                <w:color w:val="auto"/>
              </w:rPr>
            </w:pPr>
          </w:p>
        </w:tc>
      </w:tr>
      <w:tr>
        <w:trPr>
          <w:trHeight w:val="206"/>
        </w:trPr>
        <w:tc>
          <w:tcPr>
            <w:tcW w:w="6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Level 1</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Level 2</w:t>
            </w:r>
          </w:p>
        </w:tc>
        <w:tc>
          <w:tcPr>
            <w:tcW w:w="158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Level 3</w:t>
            </w: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Total</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 xml:space="preserve">U.S. Large-cap </w:t>
            </w:r>
            <w:r>
              <w:rPr>
                <w:rFonts w:ascii="Arial" w:cs="Arial" w:eastAsia="Arial" w:hAnsi="Arial"/>
                <w:sz w:val="17"/>
                <w:szCs w:val="17"/>
                <w:i w:val="1"/>
                <w:iCs w:val="1"/>
                <w:color w:val="auto"/>
              </w:rPr>
              <w:t>(a)</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$23.2</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$27.5</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$5.2</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$55.9</w:t>
            </w: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U.S. Mid-cap Growth </w:t>
            </w:r>
            <w:r>
              <w:rPr>
                <w:rFonts w:ascii="Arial" w:cs="Arial" w:eastAsia="Arial" w:hAnsi="Arial"/>
                <w:sz w:val="17"/>
                <w:szCs w:val="17"/>
                <w:i w:val="1"/>
                <w:iCs w:val="1"/>
                <w:color w:val="auto"/>
              </w:rPr>
              <w:t>(a)</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8.9</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10.6</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2.0</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21.5</w:t>
            </w: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 xml:space="preserve">U.S. Small-cap </w:t>
            </w:r>
            <w:r>
              <w:rPr>
                <w:rFonts w:ascii="Arial" w:cs="Arial" w:eastAsia="Arial" w:hAnsi="Arial"/>
                <w:sz w:val="17"/>
                <w:szCs w:val="17"/>
                <w:i w:val="1"/>
                <w:iCs w:val="1"/>
                <w:color w:val="auto"/>
              </w:rPr>
              <w:t>(a)</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8.6</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10.1</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1.9</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20.6</w:t>
            </w: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66.4</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66.4</w:t>
            </w:r>
          </w:p>
        </w:tc>
      </w:tr>
      <w:tr>
        <w:trPr>
          <w:trHeight w:val="201"/>
        </w:trPr>
        <w:tc>
          <w:tcPr>
            <w:tcW w:w="6060" w:type="dxa"/>
            <w:vAlign w:val="bottom"/>
          </w:tcPr>
          <w:p>
            <w:pPr>
              <w:ind w:left="200"/>
              <w:spacing w:after="0"/>
              <w:rPr>
                <w:sz w:val="20"/>
                <w:szCs w:val="20"/>
                <w:color w:val="auto"/>
              </w:rPr>
            </w:pPr>
            <w:r>
              <w:rPr>
                <w:rFonts w:ascii="Arial" w:cs="Arial" w:eastAsia="Arial" w:hAnsi="Arial"/>
                <w:sz w:val="17"/>
                <w:szCs w:val="17"/>
                <w:color w:val="auto"/>
              </w:rPr>
              <w:t>ALLETE</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9.9</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9.9</w:t>
            </w:r>
          </w:p>
        </w:tc>
      </w:tr>
      <w:tr>
        <w:trPr>
          <w:trHeight w:val="201"/>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060" w:type="dxa"/>
            <w:vAlign w:val="bottom"/>
          </w:tcPr>
          <w:p>
            <w:pPr>
              <w:ind w:left="220"/>
              <w:spacing w:after="0"/>
              <w:rPr>
                <w:sz w:val="20"/>
                <w:szCs w:val="20"/>
                <w:color w:val="auto"/>
              </w:rPr>
            </w:pPr>
            <w:r>
              <w:rPr>
                <w:rFonts w:ascii="Arial" w:cs="Arial" w:eastAsia="Arial" w:hAnsi="Arial"/>
                <w:sz w:val="17"/>
                <w:szCs w:val="17"/>
                <w:color w:val="auto"/>
              </w:rPr>
              <w:t>Mutual Funds</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32.0</w:t>
            </w:r>
          </w:p>
        </w:tc>
        <w:tc>
          <w:tcPr>
            <w:tcW w:w="156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32.0</w:t>
            </w: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Income</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59.3</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59.3</w:t>
            </w:r>
          </w:p>
        </w:tc>
      </w:tr>
      <w:tr>
        <w:trPr>
          <w:trHeight w:val="201"/>
        </w:trPr>
        <w:tc>
          <w:tcPr>
            <w:tcW w:w="6060" w:type="dxa"/>
            <w:vAlign w:val="bottom"/>
          </w:tcPr>
          <w:p>
            <w:pPr>
              <w:spacing w:after="0"/>
              <w:rPr>
                <w:sz w:val="20"/>
                <w:szCs w:val="20"/>
                <w:color w:val="auto"/>
              </w:rPr>
            </w:pPr>
            <w:r>
              <w:rPr>
                <w:rFonts w:ascii="Arial" w:cs="Arial" w:eastAsia="Arial" w:hAnsi="Arial"/>
                <w:sz w:val="17"/>
                <w:szCs w:val="17"/>
                <w:color w:val="auto"/>
              </w:rPr>
              <w:t>Other Types of Investments:</w:t>
            </w: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Private Equity Funds</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44.7</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44.7</w:t>
            </w:r>
          </w:p>
        </w:tc>
      </w:tr>
      <w:tr>
        <w:trPr>
          <w:trHeight w:val="206"/>
        </w:trPr>
        <w:tc>
          <w:tcPr>
            <w:tcW w:w="6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Real Estate</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17.3</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17.3</w:t>
            </w:r>
          </w:p>
        </w:tc>
      </w:tr>
      <w:tr>
        <w:trPr>
          <w:trHeight w:val="206"/>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Fair Value of Assets</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$82.6</w:t>
            </w:r>
          </w:p>
        </w:tc>
        <w:tc>
          <w:tcPr>
            <w:tcW w:w="15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$173.9</w:t>
            </w:r>
          </w:p>
        </w:tc>
        <w:tc>
          <w:tcPr>
            <w:tcW w:w="15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color w:val="auto"/>
              </w:rPr>
              <w:t>$71.1</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$327.6</w:t>
            </w:r>
          </w:p>
        </w:tc>
      </w:tr>
    </w:tbl>
    <w:p>
      <w:pPr>
        <w:spacing w:after="0" w:line="189" w:lineRule="exact"/>
        <w:rPr>
          <w:sz w:val="20"/>
          <w:szCs w:val="20"/>
          <w:color w:val="auto"/>
        </w:rPr>
      </w:pPr>
    </w:p>
    <w:p>
      <w:pPr>
        <w:ind w:left="300" w:right="220" w:hanging="299"/>
        <w:spacing w:after="0" w:line="254" w:lineRule="auto"/>
        <w:tabs>
          <w:tab w:leader="none" w:pos="30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The underlying investments classified under U.S. Equity Securities consist of Money Market Funds and U.S. Government Bonds (Level 1), Hedge Funds (Level 2), and Auction Rate Securities (Level 3), which are combined with futures, which settle daily, in a portable alpha program to achieve the returns of the U.S. Equity Securities Large-cap, Mid-cap Growth, and Small-cap funds. Our exposure with respect to these investments includes both the futures and the underlying investments.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7"/>
                <w:szCs w:val="17"/>
                <w:b w:val="1"/>
                <w:bCs w:val="1"/>
                <w:color w:val="auto"/>
              </w:rPr>
              <w:t>Note 15.</w:t>
            </w:r>
          </w:p>
        </w:tc>
        <w:tc>
          <w:tcPr>
            <w:tcW w:w="4820" w:type="dxa"/>
            <w:vAlign w:val="bottom"/>
          </w:tcPr>
          <w:p>
            <w:pPr>
              <w:ind w:left="20"/>
              <w:spacing w:after="0"/>
              <w:rPr>
                <w:sz w:val="20"/>
                <w:szCs w:val="20"/>
                <w:color w:val="auto"/>
              </w:rPr>
            </w:pPr>
            <w:r>
              <w:rPr>
                <w:rFonts w:ascii="Arial" w:cs="Arial" w:eastAsia="Arial" w:hAnsi="Arial"/>
                <w:sz w:val="17"/>
                <w:szCs w:val="17"/>
                <w:b w:val="1"/>
                <w:bCs w:val="1"/>
                <w:color w:val="auto"/>
                <w:w w:val="97"/>
              </w:rPr>
              <w:t>Pension and Other Postretirement Benefit Plans (Continued)</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1"/>
        </w:trPr>
        <w:tc>
          <w:tcPr>
            <w:tcW w:w="6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Equity Securities</w:t>
            </w: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5"/>
        </w:trPr>
        <w:tc>
          <w:tcPr>
            <w:tcW w:w="11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0"/>
              </w:rPr>
              <w:t>(Auction Rate</w:t>
            </w:r>
          </w:p>
        </w:tc>
        <w:tc>
          <w:tcPr>
            <w:tcW w:w="14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93"/>
              </w:rPr>
              <w:t>Private Equity</w:t>
            </w:r>
          </w:p>
        </w:tc>
        <w:tc>
          <w:tcPr>
            <w:tcW w:w="1280" w:type="dxa"/>
            <w:vAlign w:val="bottom"/>
          </w:tcPr>
          <w:p>
            <w:pPr>
              <w:spacing w:after="0"/>
              <w:rPr>
                <w:sz w:val="16"/>
                <w:szCs w:val="16"/>
                <w:color w:val="auto"/>
              </w:rPr>
            </w:pPr>
          </w:p>
        </w:tc>
      </w:tr>
      <w:tr>
        <w:trPr>
          <w:trHeight w:val="223"/>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Activity in Level 3</w:t>
            </w: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Securities)</w:t>
            </w:r>
          </w:p>
        </w:tc>
        <w:tc>
          <w:tcPr>
            <w:tcW w:w="14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90"/>
              </w:rPr>
              <w:t>Funds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Real Estate</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6000" w:type="dxa"/>
            <w:vAlign w:val="bottom"/>
            <w:gridSpan w:val="2"/>
          </w:tcPr>
          <w:p>
            <w:pPr>
              <w:spacing w:after="0"/>
              <w:rPr>
                <w:sz w:val="20"/>
                <w:szCs w:val="20"/>
                <w:color w:val="auto"/>
              </w:rPr>
            </w:pPr>
            <w:r>
              <w:rPr>
                <w:rFonts w:ascii="Arial" w:cs="Arial" w:eastAsia="Arial" w:hAnsi="Arial"/>
                <w:sz w:val="17"/>
                <w:szCs w:val="17"/>
                <w:color w:val="auto"/>
              </w:rPr>
              <w:t>Balance as of December 31, 2008</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ind w:right="476"/>
              <w:spacing w:after="0"/>
              <w:rPr>
                <w:sz w:val="20"/>
                <w:szCs w:val="20"/>
                <w:color w:val="auto"/>
              </w:rPr>
            </w:pPr>
            <w:r>
              <w:rPr>
                <w:rFonts w:ascii="Arial" w:cs="Arial" w:eastAsia="Arial" w:hAnsi="Arial"/>
                <w:sz w:val="17"/>
                <w:szCs w:val="17"/>
                <w:color w:val="auto"/>
              </w:rPr>
              <w:t>$10.2</w:t>
            </w:r>
          </w:p>
        </w:tc>
        <w:tc>
          <w:tcPr>
            <w:tcW w:w="1400" w:type="dxa"/>
            <w:vAlign w:val="bottom"/>
          </w:tcPr>
          <w:p>
            <w:pPr>
              <w:jc w:val="right"/>
              <w:ind w:right="436"/>
              <w:spacing w:after="0"/>
              <w:rPr>
                <w:sz w:val="20"/>
                <w:szCs w:val="20"/>
                <w:color w:val="auto"/>
              </w:rPr>
            </w:pPr>
            <w:r>
              <w:rPr>
                <w:rFonts w:ascii="Arial" w:cs="Arial" w:eastAsia="Arial" w:hAnsi="Arial"/>
                <w:sz w:val="17"/>
                <w:szCs w:val="17"/>
                <w:color w:val="auto"/>
              </w:rPr>
              <w:t>$43.2</w:t>
            </w:r>
          </w:p>
        </w:tc>
        <w:tc>
          <w:tcPr>
            <w:tcW w:w="1280" w:type="dxa"/>
            <w:vAlign w:val="bottom"/>
          </w:tcPr>
          <w:p>
            <w:pPr>
              <w:jc w:val="right"/>
              <w:ind w:right="416"/>
              <w:spacing w:after="0"/>
              <w:rPr>
                <w:sz w:val="20"/>
                <w:szCs w:val="20"/>
                <w:color w:val="auto"/>
              </w:rPr>
            </w:pPr>
            <w:r>
              <w:rPr>
                <w:rFonts w:ascii="Arial" w:cs="Arial" w:eastAsia="Arial" w:hAnsi="Arial"/>
                <w:sz w:val="17"/>
                <w:szCs w:val="17"/>
                <w:color w:val="auto"/>
              </w:rPr>
              <w:t>$17.0</w:t>
            </w: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Actual Return on Plan Assets</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0.1</w:t>
            </w:r>
          </w:p>
        </w:tc>
        <w:tc>
          <w:tcPr>
            <w:tcW w:w="140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(8.7)</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(8.6)</w:t>
            </w: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Purchases, sales, and settlements, net</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(1.1)</w:t>
            </w:r>
          </w:p>
        </w:tc>
        <w:tc>
          <w:tcPr>
            <w:tcW w:w="140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10.2</w:t>
            </w: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8.9</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2009</w:t>
            </w: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color w:val="auto"/>
              </w:rPr>
              <w:t>$9.1</w:t>
            </w:r>
          </w:p>
        </w:tc>
        <w:tc>
          <w:tcPr>
            <w:tcW w:w="14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$44.7</w:t>
            </w:r>
          </w:p>
        </w:tc>
        <w:tc>
          <w:tcPr>
            <w:tcW w:w="1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rPr>
              <w:t>$17.3</w:t>
            </w:r>
          </w:p>
        </w:tc>
      </w:tr>
      <w:tr>
        <w:trPr>
          <w:trHeight w:val="603"/>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Postretirement Health and Life Fair Value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1"/>
        </w:trPr>
        <w:tc>
          <w:tcPr>
            <w:tcW w:w="11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118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At Fair Value as of December 31, 2010</w:t>
            </w:r>
          </w:p>
        </w:tc>
        <w:tc>
          <w:tcPr>
            <w:tcW w:w="1280" w:type="dxa"/>
            <w:vAlign w:val="bottom"/>
            <w:tcBorders>
              <w:bottom w:val="single" w:sz="8" w:color="auto"/>
            </w:tcBorders>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Recurring Fair Value Measures</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Level 2</w:t>
            </w:r>
          </w:p>
        </w:tc>
        <w:tc>
          <w:tcPr>
            <w:tcW w:w="140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Level 3</w:t>
            </w: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93"/>
              </w:rPr>
              <w:t>Total</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w w:val="91"/>
              </w:rPr>
              <w:t>Equity Securities</w:t>
            </w:r>
          </w:p>
        </w:tc>
        <w:tc>
          <w:tcPr>
            <w:tcW w:w="4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6000" w:type="dxa"/>
            <w:vAlign w:val="bottom"/>
            <w:gridSpan w:val="2"/>
          </w:tcPr>
          <w:p>
            <w:pPr>
              <w:ind w:left="220"/>
              <w:spacing w:after="0"/>
              <w:rPr>
                <w:sz w:val="20"/>
                <w:szCs w:val="20"/>
                <w:color w:val="auto"/>
              </w:rPr>
            </w:pPr>
            <w:r>
              <w:rPr>
                <w:rFonts w:ascii="Arial" w:cs="Arial" w:eastAsia="Arial" w:hAnsi="Arial"/>
                <w:sz w:val="17"/>
                <w:szCs w:val="17"/>
                <w:color w:val="auto"/>
              </w:rPr>
              <w:t>U.S. Large-cap</w:t>
            </w:r>
          </w:p>
        </w:tc>
        <w:tc>
          <w:tcPr>
            <w:tcW w:w="1180" w:type="dxa"/>
            <w:vAlign w:val="bottom"/>
            <w:gridSpan w:val="2"/>
          </w:tcPr>
          <w:p>
            <w:pPr>
              <w:jc w:val="right"/>
              <w:ind w:right="136"/>
              <w:spacing w:after="0"/>
              <w:rPr>
                <w:sz w:val="20"/>
                <w:szCs w:val="20"/>
                <w:color w:val="auto"/>
              </w:rPr>
            </w:pPr>
            <w:r>
              <w:rPr>
                <w:rFonts w:ascii="Arial" w:cs="Arial" w:eastAsia="Arial" w:hAnsi="Arial"/>
                <w:sz w:val="17"/>
                <w:szCs w:val="17"/>
                <w:color w:val="auto"/>
              </w:rPr>
              <w:t>$15.7</w:t>
            </w:r>
          </w:p>
        </w:tc>
        <w:tc>
          <w:tcPr>
            <w:tcW w:w="15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$15.7</w:t>
            </w:r>
          </w:p>
        </w:tc>
      </w:tr>
      <w:tr>
        <w:trPr>
          <w:trHeight w:val="201"/>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Mid-cap Growth</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11.4</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11.4</w:t>
            </w:r>
          </w:p>
        </w:tc>
      </w:tr>
      <w:tr>
        <w:trPr>
          <w:trHeight w:val="201"/>
        </w:trPr>
        <w:tc>
          <w:tcPr>
            <w:tcW w:w="6000" w:type="dxa"/>
            <w:vAlign w:val="bottom"/>
            <w:gridSpan w:val="2"/>
          </w:tcPr>
          <w:p>
            <w:pPr>
              <w:ind w:left="220"/>
              <w:spacing w:after="0"/>
              <w:rPr>
                <w:sz w:val="20"/>
                <w:szCs w:val="20"/>
                <w:color w:val="auto"/>
              </w:rPr>
            </w:pPr>
            <w:r>
              <w:rPr>
                <w:rFonts w:ascii="Arial" w:cs="Arial" w:eastAsia="Arial" w:hAnsi="Arial"/>
                <w:sz w:val="17"/>
                <w:szCs w:val="17"/>
                <w:color w:val="auto"/>
              </w:rPr>
              <w:t>U.S. Small-cap</w:t>
            </w:r>
          </w:p>
        </w:tc>
        <w:tc>
          <w:tcPr>
            <w:tcW w:w="1180" w:type="dxa"/>
            <w:vAlign w:val="bottom"/>
            <w:gridSpan w:val="2"/>
          </w:tcPr>
          <w:p>
            <w:pPr>
              <w:jc w:val="right"/>
              <w:ind w:right="136"/>
              <w:spacing w:after="0"/>
              <w:rPr>
                <w:sz w:val="20"/>
                <w:szCs w:val="20"/>
                <w:color w:val="auto"/>
              </w:rPr>
            </w:pPr>
            <w:r>
              <w:rPr>
                <w:rFonts w:ascii="Arial" w:cs="Arial" w:eastAsia="Arial" w:hAnsi="Arial"/>
                <w:sz w:val="17"/>
                <w:szCs w:val="17"/>
                <w:color w:val="auto"/>
              </w:rPr>
              <w:t>11.5</w:t>
            </w:r>
          </w:p>
        </w:tc>
        <w:tc>
          <w:tcPr>
            <w:tcW w:w="15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11.5</w:t>
            </w:r>
          </w:p>
        </w:tc>
      </w:tr>
      <w:tr>
        <w:trPr>
          <w:trHeight w:val="201"/>
        </w:trPr>
        <w:tc>
          <w:tcPr>
            <w:tcW w:w="1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w:t>
            </w:r>
          </w:p>
        </w:tc>
        <w:tc>
          <w:tcPr>
            <w:tcW w:w="48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26.8</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26.8</w:t>
            </w:r>
          </w:p>
        </w:tc>
      </w:tr>
      <w:tr>
        <w:trPr>
          <w:trHeight w:val="201"/>
        </w:trPr>
        <w:tc>
          <w:tcPr>
            <w:tcW w:w="1180" w:type="dxa"/>
            <w:vAlign w:val="bottom"/>
          </w:tcPr>
          <w:p>
            <w:pPr>
              <w:spacing w:after="0"/>
              <w:rPr>
                <w:sz w:val="20"/>
                <w:szCs w:val="20"/>
                <w:color w:val="auto"/>
              </w:rPr>
            </w:pPr>
            <w:r>
              <w:rPr>
                <w:rFonts w:ascii="Arial" w:cs="Arial" w:eastAsia="Arial" w:hAnsi="Arial"/>
                <w:sz w:val="17"/>
                <w:szCs w:val="17"/>
                <w:color w:val="auto"/>
                <w:w w:val="96"/>
              </w:rPr>
              <w:t>Debt Securities: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1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Mutual Funds</w:t>
            </w:r>
          </w:p>
        </w:tc>
        <w:tc>
          <w:tcPr>
            <w:tcW w:w="48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9.0</w:t>
            </w:r>
          </w:p>
        </w:tc>
        <w:tc>
          <w:tcPr>
            <w:tcW w:w="15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9.0</w:t>
            </w:r>
          </w:p>
        </w:tc>
      </w:tr>
      <w:tr>
        <w:trPr>
          <w:trHeight w:val="201"/>
        </w:trPr>
        <w:tc>
          <w:tcPr>
            <w:tcW w:w="1180" w:type="dxa"/>
            <w:vAlign w:val="bottom"/>
          </w:tcPr>
          <w:p>
            <w:pPr>
              <w:ind w:left="220"/>
              <w:spacing w:after="0"/>
              <w:rPr>
                <w:sz w:val="20"/>
                <w:szCs w:val="20"/>
                <w:color w:val="auto"/>
              </w:rPr>
            </w:pPr>
            <w:r>
              <w:rPr>
                <w:rFonts w:ascii="Arial" w:cs="Arial" w:eastAsia="Arial" w:hAnsi="Arial"/>
                <w:sz w:val="17"/>
                <w:szCs w:val="17"/>
                <w:color w:val="auto"/>
                <w:w w:val="92"/>
              </w:rPr>
              <w:t>Fixed Income</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296"/>
              <w:spacing w:after="0"/>
              <w:rPr>
                <w:sz w:val="20"/>
                <w:szCs w:val="20"/>
                <w:color w:val="auto"/>
              </w:rPr>
            </w:pPr>
            <w:r>
              <w:rPr>
                <w:rFonts w:ascii="Arial" w:cs="Arial" w:eastAsia="Arial" w:hAnsi="Arial"/>
                <w:sz w:val="17"/>
                <w:szCs w:val="17"/>
                <w:color w:val="auto"/>
              </w:rPr>
              <w:t>$27.9</w:t>
            </w:r>
          </w:p>
        </w:tc>
        <w:tc>
          <w:tcPr>
            <w:tcW w:w="14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27.9</w:t>
            </w: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Types of Investments:</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Private Equity Funds</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$12.4</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12.4</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Fair Value of Assets</w:t>
            </w:r>
          </w:p>
        </w:tc>
        <w:tc>
          <w:tcPr>
            <w:tcW w:w="118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$74.4</w:t>
            </w:r>
          </w:p>
        </w:tc>
        <w:tc>
          <w:tcPr>
            <w:tcW w:w="1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$27.9</w:t>
            </w:r>
          </w:p>
        </w:tc>
        <w:tc>
          <w:tcPr>
            <w:tcW w:w="14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$12.4</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$114.7</w:t>
            </w:r>
          </w:p>
        </w:tc>
      </w:tr>
      <w:tr>
        <w:trPr>
          <w:trHeight w:val="201"/>
        </w:trPr>
        <w:tc>
          <w:tcPr>
            <w:tcW w:w="6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Activity in Level 3</w:t>
            </w: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2"/>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Private Equity Funds</w:t>
            </w: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2009</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96"/>
              <w:spacing w:after="0"/>
              <w:rPr>
                <w:sz w:val="20"/>
                <w:szCs w:val="20"/>
                <w:color w:val="auto"/>
              </w:rPr>
            </w:pPr>
            <w:r>
              <w:rPr>
                <w:rFonts w:ascii="Arial" w:cs="Arial" w:eastAsia="Arial" w:hAnsi="Arial"/>
                <w:sz w:val="17"/>
                <w:szCs w:val="17"/>
                <w:color w:val="auto"/>
              </w:rPr>
              <w:t>$9.4</w:t>
            </w:r>
          </w:p>
        </w:tc>
      </w:tr>
      <w:tr>
        <w:trPr>
          <w:trHeight w:val="201"/>
        </w:trPr>
        <w:tc>
          <w:tcPr>
            <w:tcW w:w="6000" w:type="dxa"/>
            <w:vAlign w:val="bottom"/>
            <w:gridSpan w:val="2"/>
          </w:tcPr>
          <w:p>
            <w:pPr>
              <w:spacing w:after="0"/>
              <w:rPr>
                <w:sz w:val="20"/>
                <w:szCs w:val="20"/>
                <w:color w:val="auto"/>
              </w:rPr>
            </w:pPr>
            <w:r>
              <w:rPr>
                <w:rFonts w:ascii="Arial" w:cs="Arial" w:eastAsia="Arial" w:hAnsi="Arial"/>
                <w:sz w:val="17"/>
                <w:szCs w:val="17"/>
                <w:color w:val="auto"/>
              </w:rPr>
              <w:t>Actual Return on Plan Assets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jc w:val="right"/>
              <w:ind w:right="796"/>
              <w:spacing w:after="0"/>
              <w:rPr>
                <w:sz w:val="20"/>
                <w:szCs w:val="20"/>
                <w:color w:val="auto"/>
              </w:rPr>
            </w:pPr>
            <w:r>
              <w:rPr>
                <w:rFonts w:ascii="Arial" w:cs="Arial" w:eastAsia="Arial" w:hAnsi="Arial"/>
                <w:sz w:val="17"/>
                <w:szCs w:val="17"/>
                <w:color w:val="auto"/>
              </w:rPr>
              <w:t>1.4</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Purchases, sales, and settlements, net</w:t>
            </w: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rPr>
              <w:t>1.6</w:t>
            </w: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Balance as of December 31, 2010</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color w:val="auto"/>
                <w:w w:val="89"/>
              </w:rPr>
              <w:t>$12.4</w:t>
            </w:r>
          </w:p>
        </w:tc>
      </w:tr>
      <w:tr>
        <w:trPr>
          <w:trHeight w:val="402"/>
        </w:trPr>
        <w:tc>
          <w:tcPr>
            <w:tcW w:w="1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6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r>
      <w:tr>
        <w:trPr>
          <w:trHeight w:val="206"/>
        </w:trPr>
        <w:tc>
          <w:tcPr>
            <w:tcW w:w="118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At Fair Value as of December 31, 2009</w:t>
            </w:r>
          </w:p>
        </w:tc>
        <w:tc>
          <w:tcPr>
            <w:tcW w:w="1280" w:type="dxa"/>
            <w:vAlign w:val="bottom"/>
            <w:tcBorders>
              <w:bottom w:val="single" w:sz="8" w:color="auto"/>
            </w:tcBorders>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Recurring Fair Value Measures</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Level 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Level 2</w:t>
            </w:r>
          </w:p>
        </w:tc>
        <w:tc>
          <w:tcPr>
            <w:tcW w:w="140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0"/>
              </w:rPr>
              <w:t>Level 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Total</w:t>
            </w: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w w:val="91"/>
              </w:rPr>
              <w:t>Equity Securities</w:t>
            </w:r>
          </w:p>
        </w:tc>
        <w:tc>
          <w:tcPr>
            <w:tcW w:w="4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1"/>
        </w:trPr>
        <w:tc>
          <w:tcPr>
            <w:tcW w:w="6000" w:type="dxa"/>
            <w:vAlign w:val="bottom"/>
            <w:gridSpan w:val="2"/>
          </w:tcPr>
          <w:p>
            <w:pPr>
              <w:ind w:left="220"/>
              <w:spacing w:after="0"/>
              <w:rPr>
                <w:sz w:val="20"/>
                <w:szCs w:val="20"/>
                <w:color w:val="auto"/>
              </w:rPr>
            </w:pPr>
            <w:r>
              <w:rPr>
                <w:rFonts w:ascii="Arial" w:cs="Arial" w:eastAsia="Arial" w:hAnsi="Arial"/>
                <w:sz w:val="17"/>
                <w:szCs w:val="17"/>
                <w:color w:val="auto"/>
              </w:rPr>
              <w:t>U.S. Large-cap</w:t>
            </w:r>
          </w:p>
        </w:tc>
        <w:tc>
          <w:tcPr>
            <w:tcW w:w="1180" w:type="dxa"/>
            <w:vAlign w:val="bottom"/>
            <w:gridSpan w:val="2"/>
          </w:tcPr>
          <w:p>
            <w:pPr>
              <w:jc w:val="right"/>
              <w:ind w:right="56"/>
              <w:spacing w:after="0"/>
              <w:rPr>
                <w:sz w:val="20"/>
                <w:szCs w:val="20"/>
                <w:color w:val="auto"/>
              </w:rPr>
            </w:pPr>
            <w:r>
              <w:rPr>
                <w:rFonts w:ascii="Arial" w:cs="Arial" w:eastAsia="Arial" w:hAnsi="Arial"/>
                <w:sz w:val="17"/>
                <w:szCs w:val="17"/>
                <w:color w:val="auto"/>
              </w:rPr>
              <w:t>$13.4</w:t>
            </w:r>
          </w:p>
        </w:tc>
        <w:tc>
          <w:tcPr>
            <w:tcW w:w="15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$13.4</w:t>
            </w:r>
          </w:p>
        </w:tc>
      </w:tr>
      <w:tr>
        <w:trPr>
          <w:trHeight w:val="201"/>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Mid-cap Growth</w:t>
            </w:r>
          </w:p>
        </w:tc>
        <w:tc>
          <w:tcPr>
            <w:tcW w:w="11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9.0</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9.0</w:t>
            </w:r>
          </w:p>
        </w:tc>
      </w:tr>
      <w:tr>
        <w:trPr>
          <w:trHeight w:val="201"/>
        </w:trPr>
        <w:tc>
          <w:tcPr>
            <w:tcW w:w="6000" w:type="dxa"/>
            <w:vAlign w:val="bottom"/>
            <w:gridSpan w:val="2"/>
          </w:tcPr>
          <w:p>
            <w:pPr>
              <w:ind w:left="220"/>
              <w:spacing w:after="0"/>
              <w:rPr>
                <w:sz w:val="20"/>
                <w:szCs w:val="20"/>
                <w:color w:val="auto"/>
              </w:rPr>
            </w:pPr>
            <w:r>
              <w:rPr>
                <w:rFonts w:ascii="Arial" w:cs="Arial" w:eastAsia="Arial" w:hAnsi="Arial"/>
                <w:sz w:val="17"/>
                <w:szCs w:val="17"/>
                <w:color w:val="auto"/>
              </w:rPr>
              <w:t>U.S. Small-cap</w:t>
            </w:r>
          </w:p>
        </w:tc>
        <w:tc>
          <w:tcPr>
            <w:tcW w:w="1180" w:type="dxa"/>
            <w:vAlign w:val="bottom"/>
            <w:gridSpan w:val="2"/>
          </w:tcPr>
          <w:p>
            <w:pPr>
              <w:jc w:val="right"/>
              <w:ind w:right="56"/>
              <w:spacing w:after="0"/>
              <w:rPr>
                <w:sz w:val="20"/>
                <w:szCs w:val="20"/>
                <w:color w:val="auto"/>
              </w:rPr>
            </w:pPr>
            <w:r>
              <w:rPr>
                <w:rFonts w:ascii="Arial" w:cs="Arial" w:eastAsia="Arial" w:hAnsi="Arial"/>
                <w:sz w:val="17"/>
                <w:szCs w:val="17"/>
                <w:color w:val="auto"/>
              </w:rPr>
              <w:t>6.3</w:t>
            </w:r>
          </w:p>
        </w:tc>
        <w:tc>
          <w:tcPr>
            <w:tcW w:w="15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6.3</w:t>
            </w:r>
          </w:p>
        </w:tc>
      </w:tr>
      <w:tr>
        <w:trPr>
          <w:trHeight w:val="201"/>
        </w:trPr>
        <w:tc>
          <w:tcPr>
            <w:tcW w:w="1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w:t>
            </w:r>
          </w:p>
        </w:tc>
        <w:tc>
          <w:tcPr>
            <w:tcW w:w="48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21.4</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21.4</w:t>
            </w:r>
          </w:p>
        </w:tc>
      </w:tr>
      <w:tr>
        <w:trPr>
          <w:trHeight w:val="201"/>
        </w:trPr>
        <w:tc>
          <w:tcPr>
            <w:tcW w:w="1180" w:type="dxa"/>
            <w:vAlign w:val="bottom"/>
          </w:tcPr>
          <w:p>
            <w:pPr>
              <w:spacing w:after="0"/>
              <w:rPr>
                <w:sz w:val="20"/>
                <w:szCs w:val="20"/>
                <w:color w:val="auto"/>
              </w:rPr>
            </w:pPr>
            <w:r>
              <w:rPr>
                <w:rFonts w:ascii="Arial" w:cs="Arial" w:eastAsia="Arial" w:hAnsi="Arial"/>
                <w:sz w:val="17"/>
                <w:szCs w:val="17"/>
                <w:color w:val="auto"/>
                <w:w w:val="96"/>
              </w:rPr>
              <w:t>Debt Securities: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11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Mutual Funds</w:t>
            </w:r>
          </w:p>
        </w:tc>
        <w:tc>
          <w:tcPr>
            <w:tcW w:w="48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5.5</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5.5</w:t>
            </w:r>
          </w:p>
        </w:tc>
      </w:tr>
      <w:tr>
        <w:trPr>
          <w:trHeight w:val="201"/>
        </w:trPr>
        <w:tc>
          <w:tcPr>
            <w:tcW w:w="1180" w:type="dxa"/>
            <w:vAlign w:val="bottom"/>
          </w:tcPr>
          <w:p>
            <w:pPr>
              <w:ind w:left="220"/>
              <w:spacing w:after="0"/>
              <w:rPr>
                <w:sz w:val="20"/>
                <w:szCs w:val="20"/>
                <w:color w:val="auto"/>
              </w:rPr>
            </w:pPr>
            <w:r>
              <w:rPr>
                <w:rFonts w:ascii="Arial" w:cs="Arial" w:eastAsia="Arial" w:hAnsi="Arial"/>
                <w:sz w:val="17"/>
                <w:szCs w:val="17"/>
                <w:color w:val="auto"/>
                <w:w w:val="92"/>
              </w:rPr>
              <w:t>Fixed Income</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256"/>
              <w:spacing w:after="0"/>
              <w:rPr>
                <w:sz w:val="20"/>
                <w:szCs w:val="20"/>
                <w:color w:val="auto"/>
              </w:rPr>
            </w:pPr>
            <w:r>
              <w:rPr>
                <w:rFonts w:ascii="Arial" w:cs="Arial" w:eastAsia="Arial" w:hAnsi="Arial"/>
                <w:sz w:val="17"/>
                <w:szCs w:val="17"/>
                <w:color w:val="auto"/>
              </w:rPr>
              <w:t>$31.4</w:t>
            </w:r>
          </w:p>
        </w:tc>
        <w:tc>
          <w:tcPr>
            <w:tcW w:w="140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31.4</w:t>
            </w: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Types of Investments:</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600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Private Equity Funds</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$9.4</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9.4</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Fair Value of Assets</w:t>
            </w:r>
          </w:p>
        </w:tc>
        <w:tc>
          <w:tcPr>
            <w:tcW w:w="118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$55.6</w:t>
            </w:r>
          </w:p>
        </w:tc>
        <w:tc>
          <w:tcPr>
            <w:tcW w:w="1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$31.4</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$9.4</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$96.4</w:t>
            </w:r>
          </w:p>
        </w:tc>
      </w:tr>
      <w:tr>
        <w:trPr>
          <w:trHeight w:val="201"/>
        </w:trPr>
        <w:tc>
          <w:tcPr>
            <w:tcW w:w="6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Activity in Level 3</w:t>
            </w: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2"/>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Private Equity Funds</w:t>
            </w:r>
          </w:p>
        </w:tc>
      </w:tr>
      <w:tr>
        <w:trPr>
          <w:trHeight w:val="201"/>
        </w:trPr>
        <w:tc>
          <w:tcPr>
            <w:tcW w:w="11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1"/>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2008</w:t>
            </w: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96"/>
              <w:spacing w:after="0"/>
              <w:rPr>
                <w:sz w:val="20"/>
                <w:szCs w:val="20"/>
                <w:color w:val="auto"/>
              </w:rPr>
            </w:pPr>
            <w:r>
              <w:rPr>
                <w:rFonts w:ascii="Arial" w:cs="Arial" w:eastAsia="Arial" w:hAnsi="Arial"/>
                <w:sz w:val="17"/>
                <w:szCs w:val="17"/>
                <w:color w:val="auto"/>
              </w:rPr>
              <w:t>$7.9</w:t>
            </w:r>
          </w:p>
        </w:tc>
      </w:tr>
      <w:tr>
        <w:trPr>
          <w:trHeight w:val="201"/>
        </w:trPr>
        <w:tc>
          <w:tcPr>
            <w:tcW w:w="6000" w:type="dxa"/>
            <w:vAlign w:val="bottom"/>
            <w:gridSpan w:val="2"/>
          </w:tcPr>
          <w:p>
            <w:pPr>
              <w:spacing w:after="0"/>
              <w:rPr>
                <w:sz w:val="20"/>
                <w:szCs w:val="20"/>
                <w:color w:val="auto"/>
              </w:rPr>
            </w:pPr>
            <w:r>
              <w:rPr>
                <w:rFonts w:ascii="Arial" w:cs="Arial" w:eastAsia="Arial" w:hAnsi="Arial"/>
                <w:sz w:val="17"/>
                <w:szCs w:val="17"/>
                <w:color w:val="auto"/>
              </w:rPr>
              <w:t>Actual Return on Plan Assets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jc w:val="right"/>
              <w:ind w:right="796"/>
              <w:spacing w:after="0"/>
              <w:rPr>
                <w:sz w:val="20"/>
                <w:szCs w:val="20"/>
                <w:color w:val="auto"/>
              </w:rPr>
            </w:pPr>
            <w:r>
              <w:rPr>
                <w:rFonts w:ascii="Arial" w:cs="Arial" w:eastAsia="Arial" w:hAnsi="Arial"/>
                <w:sz w:val="17"/>
                <w:szCs w:val="17"/>
                <w:color w:val="auto"/>
              </w:rPr>
              <w:t>(1.1)</w:t>
            </w:r>
          </w:p>
        </w:tc>
      </w:tr>
      <w:tr>
        <w:trPr>
          <w:trHeight w:val="206"/>
        </w:trPr>
        <w:tc>
          <w:tcPr>
            <w:tcW w:w="6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Purchases, sales, and settlements, net</w:t>
            </w:r>
          </w:p>
        </w:tc>
        <w:tc>
          <w:tcPr>
            <w:tcW w:w="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rPr>
              <w:t>2.6</w:t>
            </w:r>
          </w:p>
        </w:tc>
      </w:tr>
      <w:tr>
        <w:trPr>
          <w:trHeight w:val="206"/>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Balance as of December 31, 2009</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color w:val="auto"/>
              </w:rPr>
              <w:t>$9.4</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8" w:name="page89"/>
    <w:bookmarkEnd w:id="88"/>
    <w:p>
      <w:pPr>
        <w:spacing w:after="0"/>
        <w:tabs>
          <w:tab w:leader="none" w:pos="11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Pension and Other Postretirement Benefit Plans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us for the federal subsidy under the Act.</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4"/>
          <w:szCs w:val="14"/>
          <w:b w:val="1"/>
          <w:bCs w:val="1"/>
          <w:color w:val="auto"/>
        </w:rPr>
        <w:t>Employee Stock and Incentive Plans</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 xml:space="preserve">Employee Stock Ownership Plan. </w:t>
      </w:r>
      <w:r>
        <w:rPr>
          <w:rFonts w:ascii="Arial" w:cs="Arial" w:eastAsia="Arial" w:hAnsi="Arial"/>
          <w:sz w:val="15"/>
          <w:szCs w:val="15"/>
          <w:color w:val="auto"/>
        </w:rPr>
        <w:t>We sponsor a leveraged ESOP within the RSOP. As of their date of hire, eligible employees may to contribute to the RSOP plan. In</w:t>
      </w:r>
      <w:r>
        <w:rPr>
          <w:rFonts w:ascii="Arial" w:cs="Arial" w:eastAsia="Arial" w:hAnsi="Arial"/>
          <w:sz w:val="15"/>
          <w:szCs w:val="15"/>
          <w:b w:val="1"/>
          <w:bCs w:val="1"/>
          <w:color w:val="auto"/>
        </w:rPr>
        <w:t xml:space="preserve"> </w:t>
      </w:r>
      <w:r>
        <w:rPr>
          <w:rFonts w:ascii="Arial" w:cs="Arial" w:eastAsia="Arial" w:hAnsi="Arial"/>
          <w:sz w:val="15"/>
          <w:szCs w:val="15"/>
          <w:color w:val="auto"/>
        </w:rPr>
        <w:t>1990, the ESOP issued a $75 million note (term not to exceed 25 years at 10.25 percent) to us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 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$7.1 million in 2010 ($6.5 million in 2009; $10.1 million in 2008).</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According to the accounting standards for stock compensation,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374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2010</w:t>
            </w:r>
          </w:p>
        </w:tc>
        <w:tc>
          <w:tcPr>
            <w:tcW w:w="14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2009</w:t>
            </w:r>
          </w:p>
        </w:tc>
        <w:tc>
          <w:tcPr>
            <w:tcW w:w="12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2008</w:t>
            </w:r>
          </w:p>
        </w:tc>
      </w:tr>
      <w:tr>
        <w:trPr>
          <w:trHeight w:val="201"/>
        </w:trPr>
        <w:tc>
          <w:tcPr>
            <w:tcW w:w="50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ESOP Shares</w:t>
            </w:r>
          </w:p>
        </w:tc>
        <w:tc>
          <w:tcPr>
            <w:tcW w:w="37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5020" w:type="dxa"/>
            <w:vAlign w:val="bottom"/>
          </w:tcPr>
          <w:p>
            <w:pPr>
              <w:ind w:left="160"/>
              <w:spacing w:after="0"/>
              <w:rPr>
                <w:sz w:val="20"/>
                <w:szCs w:val="20"/>
                <w:color w:val="auto"/>
              </w:rPr>
            </w:pPr>
            <w:r>
              <w:rPr>
                <w:rFonts w:ascii="Arial" w:cs="Arial" w:eastAsia="Arial" w:hAnsi="Arial"/>
                <w:sz w:val="17"/>
                <w:szCs w:val="17"/>
                <w:color w:val="auto"/>
              </w:rPr>
              <w:t>Allocated</w:t>
            </w:r>
          </w:p>
        </w:tc>
        <w:tc>
          <w:tcPr>
            <w:tcW w:w="3740" w:type="dxa"/>
            <w:vAlign w:val="bottom"/>
          </w:tcPr>
          <w:p>
            <w:pPr>
              <w:jc w:val="right"/>
              <w:ind w:right="356"/>
              <w:spacing w:after="0"/>
              <w:rPr>
                <w:sz w:val="20"/>
                <w:szCs w:val="20"/>
                <w:color w:val="auto"/>
              </w:rPr>
            </w:pPr>
            <w:r>
              <w:rPr>
                <w:rFonts w:ascii="Arial" w:cs="Arial" w:eastAsia="Arial" w:hAnsi="Arial"/>
                <w:sz w:val="17"/>
                <w:szCs w:val="17"/>
                <w:color w:val="auto"/>
              </w:rPr>
              <w:t>2.2</w:t>
            </w: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2.2</w:t>
            </w:r>
          </w:p>
        </w:tc>
        <w:tc>
          <w:tcPr>
            <w:tcW w:w="1240" w:type="dxa"/>
            <w:vAlign w:val="bottom"/>
          </w:tcPr>
          <w:p>
            <w:pPr>
              <w:jc w:val="right"/>
              <w:ind w:right="256"/>
              <w:spacing w:after="0"/>
              <w:rPr>
                <w:sz w:val="20"/>
                <w:szCs w:val="20"/>
                <w:color w:val="auto"/>
              </w:rPr>
            </w:pPr>
            <w:r>
              <w:rPr>
                <w:rFonts w:ascii="Arial" w:cs="Arial" w:eastAsia="Arial" w:hAnsi="Arial"/>
                <w:sz w:val="17"/>
                <w:szCs w:val="17"/>
                <w:color w:val="auto"/>
              </w:rPr>
              <w:t>2.0</w:t>
            </w:r>
          </w:p>
        </w:tc>
      </w:tr>
      <w:tr>
        <w:trPr>
          <w:trHeight w:val="206"/>
        </w:trPr>
        <w:tc>
          <w:tcPr>
            <w:tcW w:w="5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Unallocated</w:t>
            </w:r>
          </w:p>
        </w:tc>
        <w:tc>
          <w:tcPr>
            <w:tcW w:w="3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1.3</w:t>
            </w: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1.5</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1.9</w:t>
            </w:r>
          </w:p>
        </w:tc>
      </w:tr>
      <w:tr>
        <w:trPr>
          <w:trHeight w:val="206"/>
        </w:trPr>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37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3.5</w:t>
            </w: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3.7</w:t>
            </w: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3.9</w:t>
            </w:r>
          </w:p>
        </w:tc>
      </w:tr>
      <w:tr>
        <w:trPr>
          <w:trHeight w:val="206"/>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Fair Value of Unallocated Shares</w:t>
            </w:r>
          </w:p>
        </w:tc>
        <w:tc>
          <w:tcPr>
            <w:tcW w:w="3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$48.4</w:t>
            </w: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$49.0</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$61.3</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i w:val="1"/>
          <w:iCs w:val="1"/>
          <w:color w:val="auto"/>
        </w:rPr>
        <w:t>Stock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our Executive Long-Term Incentive Compensation Plan (Executive Plan), share-based awards may be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to key employees through a broad range of methods, including non-qualified and incentive stock options, performance shares, performance units, restricted stock, stock appreciation rights and other awards. There are 1.4 million shares of common stock reserved for issuance under the Executive Plan, with 0.7 million of these shares available for issuance as of December 31, 2010.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We had a Director Long-Term Stock Incentive Plan (Director Plan) which expired on January 1, 2006. No grants have been made since 2003 under the Director Plan.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2,586 options were outstanding under the Director Plan at December 31, 2010.</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the following types of share-based awards outstanding:</w:t>
      </w:r>
    </w:p>
    <w:p>
      <w:pPr>
        <w:spacing w:after="0" w:line="207" w:lineRule="exact"/>
        <w:rPr>
          <w:sz w:val="20"/>
          <w:szCs w:val="20"/>
          <w:color w:val="auto"/>
        </w:rPr>
      </w:pPr>
    </w:p>
    <w:p>
      <w:pPr>
        <w:jc w:val="both"/>
        <w:ind w:left="300"/>
        <w:spacing w:after="0" w:line="25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 options allow for the purchase of shares of common stock at a price equal to the market value of our common stock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cancelled upon termination for cause. All options vest immediately upon retirement, death, disability or a change of control, as de 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w:t>
      </w:r>
    </w:p>
    <w:p>
      <w:pPr>
        <w:spacing w:after="0" w:line="181"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No stock options were granted under our Executive Long-Term Incentive Compensation Plan in 2009 or 2010. The following assumptions were used in determining the fair value of stock options granted during 2008, under the Black-Scholes option-pricing model: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7"/>
                <w:szCs w:val="17"/>
                <w:b w:val="1"/>
                <w:bCs w:val="1"/>
                <w:color w:val="auto"/>
              </w:rPr>
              <w:t>Note 16.</w:t>
            </w:r>
          </w:p>
        </w:tc>
        <w:tc>
          <w:tcPr>
            <w:tcW w:w="6400" w:type="dxa"/>
            <w:vAlign w:val="bottom"/>
          </w:tcPr>
          <w:p>
            <w:pPr>
              <w:ind w:left="120"/>
              <w:spacing w:after="0"/>
              <w:rPr>
                <w:sz w:val="20"/>
                <w:szCs w:val="20"/>
                <w:color w:val="auto"/>
              </w:rPr>
            </w:pPr>
            <w:r>
              <w:rPr>
                <w:rFonts w:ascii="Arial" w:cs="Arial" w:eastAsia="Arial" w:hAnsi="Arial"/>
                <w:sz w:val="17"/>
                <w:szCs w:val="17"/>
                <w:b w:val="1"/>
                <w:bCs w:val="1"/>
                <w:color w:val="auto"/>
              </w:rPr>
              <w:t>Employee Stock and Incentive Plans (Continued)</w:t>
            </w:r>
          </w:p>
        </w:tc>
        <w:tc>
          <w:tcPr>
            <w:tcW w:w="3940" w:type="dxa"/>
            <w:vAlign w:val="bottom"/>
          </w:tcPr>
          <w:p>
            <w:pPr>
              <w:spacing w:after="0"/>
              <w:rPr>
                <w:sz w:val="18"/>
                <w:szCs w:val="18"/>
                <w:color w:val="auto"/>
              </w:rPr>
            </w:pPr>
          </w:p>
        </w:tc>
      </w:tr>
      <w:tr>
        <w:trPr>
          <w:trHeight w:val="201"/>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6"/>
        </w:trPr>
        <w:tc>
          <w:tcPr>
            <w:tcW w:w="1080" w:type="dxa"/>
            <w:vAlign w:val="bottom"/>
            <w:tcBorders>
              <w:bottom w:val="single" w:sz="8" w:color="auto"/>
            </w:tcBorders>
            <w:shd w:val="clear" w:color="auto" w:fill="CCEEFF"/>
          </w:tcPr>
          <w:p>
            <w:pPr>
              <w:spacing w:after="0"/>
              <w:rPr>
                <w:sz w:val="17"/>
                <w:szCs w:val="17"/>
                <w:color w:val="auto"/>
              </w:rPr>
            </w:pPr>
          </w:p>
        </w:tc>
        <w:tc>
          <w:tcPr>
            <w:tcW w:w="640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7"/>
                <w:szCs w:val="17"/>
                <w:b w:val="1"/>
                <w:bCs w:val="1"/>
                <w:color w:val="auto"/>
              </w:rPr>
              <w:t>2008</w:t>
            </w:r>
          </w:p>
        </w:tc>
      </w:tr>
      <w:tr>
        <w:trPr>
          <w:trHeight w:val="201"/>
        </w:trPr>
        <w:tc>
          <w:tcPr>
            <w:tcW w:w="7480" w:type="dxa"/>
            <w:vAlign w:val="bottom"/>
            <w:gridSpan w:val="2"/>
          </w:tcPr>
          <w:p>
            <w:pPr>
              <w:spacing w:after="0"/>
              <w:rPr>
                <w:sz w:val="20"/>
                <w:szCs w:val="20"/>
                <w:color w:val="auto"/>
              </w:rPr>
            </w:pPr>
            <w:r>
              <w:rPr>
                <w:rFonts w:ascii="Arial" w:cs="Arial" w:eastAsia="Arial" w:hAnsi="Arial"/>
                <w:sz w:val="17"/>
                <w:szCs w:val="17"/>
                <w:color w:val="auto"/>
              </w:rPr>
              <w:t>Risk-Free Interest Rate</w:t>
            </w:r>
          </w:p>
        </w:tc>
        <w:tc>
          <w:tcPr>
            <w:tcW w:w="3940" w:type="dxa"/>
            <w:vAlign w:val="bottom"/>
          </w:tcPr>
          <w:p>
            <w:pPr>
              <w:jc w:val="right"/>
              <w:ind w:right="576"/>
              <w:spacing w:after="0"/>
              <w:rPr>
                <w:sz w:val="20"/>
                <w:szCs w:val="20"/>
                <w:color w:val="auto"/>
              </w:rPr>
            </w:pPr>
            <w:r>
              <w:rPr>
                <w:rFonts w:ascii="Arial" w:cs="Arial" w:eastAsia="Arial" w:hAnsi="Arial"/>
                <w:sz w:val="17"/>
                <w:szCs w:val="17"/>
                <w:color w:val="auto"/>
              </w:rPr>
              <w:t>2.8%</w:t>
            </w:r>
          </w:p>
        </w:tc>
      </w:tr>
      <w:tr>
        <w:trPr>
          <w:trHeight w:val="201"/>
        </w:trPr>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Expected Life</w:t>
            </w:r>
          </w:p>
        </w:tc>
        <w:tc>
          <w:tcPr>
            <w:tcW w:w="6400" w:type="dxa"/>
            <w:vAlign w:val="bottom"/>
            <w:shd w:val="clear" w:color="auto" w:fill="CCEEFF"/>
          </w:tcPr>
          <w:p>
            <w:pPr>
              <w:spacing w:after="0"/>
              <w:rPr>
                <w:sz w:val="17"/>
                <w:szCs w:val="17"/>
                <w:color w:val="auto"/>
              </w:rPr>
            </w:pPr>
          </w:p>
        </w:tc>
        <w:tc>
          <w:tcPr>
            <w:tcW w:w="394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5 Years</w:t>
            </w:r>
          </w:p>
        </w:tc>
      </w:tr>
      <w:tr>
        <w:trPr>
          <w:trHeight w:val="201"/>
        </w:trPr>
        <w:tc>
          <w:tcPr>
            <w:tcW w:w="748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3940" w:type="dxa"/>
            <w:vAlign w:val="bottom"/>
          </w:tcPr>
          <w:p>
            <w:pPr>
              <w:jc w:val="right"/>
              <w:ind w:right="576"/>
              <w:spacing w:after="0"/>
              <w:rPr>
                <w:sz w:val="20"/>
                <w:szCs w:val="20"/>
                <w:color w:val="auto"/>
              </w:rPr>
            </w:pPr>
            <w:r>
              <w:rPr>
                <w:rFonts w:ascii="Arial" w:cs="Arial" w:eastAsia="Arial" w:hAnsi="Arial"/>
                <w:sz w:val="17"/>
                <w:szCs w:val="17"/>
                <w:color w:val="auto"/>
              </w:rPr>
              <w:t>20%</w:t>
            </w:r>
          </w:p>
        </w:tc>
      </w:tr>
      <w:tr>
        <w:trPr>
          <w:trHeight w:val="206"/>
        </w:trPr>
        <w:tc>
          <w:tcPr>
            <w:tcW w:w="7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Dividend Growth Rate</w:t>
            </w:r>
          </w:p>
        </w:tc>
        <w:tc>
          <w:tcPr>
            <w:tcW w:w="39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rPr>
              <w:t>4.4%</w:t>
            </w:r>
          </w:p>
        </w:tc>
      </w:tr>
    </w:tbl>
    <w:p>
      <w:pPr>
        <w:spacing w:after="0" w:line="189" w:lineRule="exact"/>
        <w:rPr>
          <w:sz w:val="20"/>
          <w:szCs w:val="20"/>
          <w:color w:val="auto"/>
        </w:rPr>
      </w:pPr>
    </w:p>
    <w:p>
      <w:pPr>
        <w:jc w:val="both"/>
        <w:ind w:left="300"/>
        <w:spacing w:after="0" w:line="281" w:lineRule="auto"/>
        <w:rPr>
          <w:sz w:val="20"/>
          <w:szCs w:val="20"/>
          <w:color w:val="auto"/>
        </w:rPr>
      </w:pPr>
      <w:r>
        <w:rPr>
          <w:rFonts w:ascii="Arial" w:cs="Arial" w:eastAsia="Arial" w:hAnsi="Arial"/>
          <w:sz w:val="16"/>
          <w:szCs w:val="16"/>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58" w:lineRule="exact"/>
        <w:rPr>
          <w:sz w:val="20"/>
          <w:szCs w:val="20"/>
          <w:color w:val="auto"/>
        </w:rPr>
      </w:pPr>
    </w:p>
    <w:p>
      <w:pPr>
        <w:jc w:val="both"/>
        <w:ind w:left="300"/>
        <w:spacing w:after="0" w:line="268"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Under the performance share awards plan, the number of shares earned is contingent upon attaining specific market goals over a three-year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Market goals are measured by total shareholder return relative to a group of peer companies. In the case of qualified retirement, death or disability during a performance period, a pro-rata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71" w:lineRule="exact"/>
        <w:rPr>
          <w:sz w:val="20"/>
          <w:szCs w:val="20"/>
          <w:color w:val="auto"/>
        </w:rPr>
      </w:pPr>
    </w:p>
    <w:p>
      <w:pPr>
        <w:jc w:val="both"/>
        <w:ind w:left="300"/>
        <w:spacing w:after="0" w:line="298"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Under the restricted stock units plan, shares vest monthly over a three year period. In the case of qualified retirement, death or disability, a</w:t>
      </w:r>
      <w:r>
        <w:rPr>
          <w:rFonts w:ascii="Arial" w:cs="Arial" w:eastAsia="Arial" w:hAnsi="Arial"/>
          <w:sz w:val="15"/>
          <w:szCs w:val="15"/>
          <w:i w:val="1"/>
          <w:iCs w:val="1"/>
          <w:color w:val="auto"/>
        </w:rPr>
        <w:t xml:space="preserve"> </w:t>
      </w:r>
      <w:r>
        <w:rPr>
          <w:rFonts w:ascii="Arial" w:cs="Arial" w:eastAsia="Arial" w:hAnsi="Arial"/>
          <w:sz w:val="15"/>
          <w:szCs w:val="15"/>
          <w:color w:val="auto"/>
        </w:rPr>
        <w:t>pro-rata portion of the award will be earned. In the case of termination of employment for any other reason other than qualified retirement, death or disability, no award will be earned. If there is a change in control, a pro-rata portion of the award will be paid. The fair value of these awards is equal to the grant date fair value. Compensation cost is recognized over the three-year vesting period based on our estimate of the number of shares which will be earned by the award recipients.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 xml:space="preserve">Employee Stock Purchase Plan (ESPP). </w:t>
      </w:r>
      <w:r>
        <w:rPr>
          <w:rFonts w:ascii="Arial" w:cs="Arial" w:eastAsia="Arial" w:hAnsi="Arial"/>
          <w:sz w:val="15"/>
          <w:szCs w:val="15"/>
          <w:color w:val="auto"/>
        </w:rPr>
        <w:t>Under our ESPP, eligible employees may purchase ALLETE common stock at a 5 percent discount from the market price.</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Because the discount is not greater than 5 percent, we are not required to apply fair value accounting to these awards.</w:t>
      </w:r>
    </w:p>
    <w:p>
      <w:pPr>
        <w:spacing w:after="0" w:line="195" w:lineRule="exact"/>
        <w:rPr>
          <w:sz w:val="20"/>
          <w:szCs w:val="20"/>
          <w:color w:val="auto"/>
        </w:rPr>
      </w:pPr>
    </w:p>
    <w:p>
      <w:pPr>
        <w:jc w:val="both"/>
        <w:ind w:left="300"/>
        <w:spacing w:after="0" w:line="336" w:lineRule="auto"/>
        <w:rPr>
          <w:sz w:val="20"/>
          <w:szCs w:val="20"/>
          <w:color w:val="auto"/>
        </w:rPr>
      </w:pPr>
      <w:r>
        <w:rPr>
          <w:rFonts w:ascii="Arial" w:cs="Arial" w:eastAsia="Arial" w:hAnsi="Arial"/>
          <w:sz w:val="15"/>
          <w:szCs w:val="15"/>
          <w:i w:val="1"/>
          <w:iCs w:val="1"/>
          <w:color w:val="auto"/>
        </w:rPr>
        <w:t>RSOP</w:t>
      </w:r>
      <w:r>
        <w:rPr>
          <w:rFonts w:ascii="Arial" w:cs="Arial" w:eastAsia="Arial" w:hAnsi="Arial"/>
          <w:sz w:val="15"/>
          <w:szCs w:val="15"/>
          <w:color w:val="auto"/>
        </w:rPr>
        <w:t>. The RSOP is a contributory defined contribution plan subject to the provisions of the Employee Retirement Income Security Act of 1974, as amended, and</w:t>
      </w:r>
      <w:r>
        <w:rPr>
          <w:rFonts w:ascii="Arial" w:cs="Arial" w:eastAsia="Arial" w:hAnsi="Arial"/>
          <w:sz w:val="15"/>
          <w:szCs w:val="15"/>
          <w:i w:val="1"/>
          <w:iCs w:val="1"/>
          <w:color w:val="auto"/>
        </w:rPr>
        <w:t xml:space="preserve"> </w:t>
      </w:r>
      <w:r>
        <w:rPr>
          <w:rFonts w:ascii="Arial" w:cs="Arial" w:eastAsia="Arial" w:hAnsi="Arial"/>
          <w:sz w:val="15"/>
          <w:szCs w:val="15"/>
          <w:color w:val="auto"/>
        </w:rPr>
        <w:t>qualifies as an employee stock ownership plan and profit sharing plan. The RSOP provides eligible employees an opportunity to save for retirement.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Share-Based Compensation Expense</w:t>
            </w:r>
          </w:p>
        </w:tc>
        <w:tc>
          <w:tcPr>
            <w:tcW w:w="3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6"/>
        </w:trPr>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350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rPr>
              <w:t>2010</w:t>
            </w:r>
          </w:p>
        </w:tc>
        <w:tc>
          <w:tcPr>
            <w:tcW w:w="14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2009</w:t>
            </w: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2008</w:t>
            </w: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5260" w:type="dxa"/>
            <w:vAlign w:val="bottom"/>
          </w:tcPr>
          <w:p>
            <w:pPr>
              <w:spacing w:after="0"/>
              <w:rPr>
                <w:sz w:val="20"/>
                <w:szCs w:val="20"/>
                <w:color w:val="auto"/>
              </w:rPr>
            </w:pPr>
            <w:r>
              <w:rPr>
                <w:rFonts w:ascii="Arial" w:cs="Arial" w:eastAsia="Arial" w:hAnsi="Arial"/>
                <w:sz w:val="17"/>
                <w:szCs w:val="17"/>
                <w:color w:val="auto"/>
              </w:rPr>
              <w:t>Stock Options</w:t>
            </w:r>
          </w:p>
        </w:tc>
        <w:tc>
          <w:tcPr>
            <w:tcW w:w="3500" w:type="dxa"/>
            <w:vAlign w:val="bottom"/>
          </w:tcPr>
          <w:p>
            <w:pPr>
              <w:jc w:val="right"/>
              <w:ind w:right="296"/>
              <w:spacing w:after="0"/>
              <w:rPr>
                <w:sz w:val="20"/>
                <w:szCs w:val="20"/>
                <w:color w:val="auto"/>
              </w:rPr>
            </w:pPr>
            <w:r>
              <w:rPr>
                <w:rFonts w:ascii="Arial" w:cs="Arial" w:eastAsia="Arial" w:hAnsi="Arial"/>
                <w:sz w:val="17"/>
                <w:szCs w:val="17"/>
                <w:color w:val="auto"/>
              </w:rPr>
              <w:t>$0.1</w:t>
            </w:r>
          </w:p>
        </w:tc>
        <w:tc>
          <w:tcPr>
            <w:tcW w:w="1420" w:type="dxa"/>
            <w:vAlign w:val="bottom"/>
          </w:tcPr>
          <w:p>
            <w:pPr>
              <w:jc w:val="right"/>
              <w:ind w:right="316"/>
              <w:spacing w:after="0"/>
              <w:rPr>
                <w:sz w:val="20"/>
                <w:szCs w:val="20"/>
                <w:color w:val="auto"/>
              </w:rPr>
            </w:pPr>
            <w:r>
              <w:rPr>
                <w:rFonts w:ascii="Arial" w:cs="Arial" w:eastAsia="Arial" w:hAnsi="Arial"/>
                <w:sz w:val="17"/>
                <w:szCs w:val="17"/>
                <w:color w:val="auto"/>
              </w:rPr>
              <w:t>$0.3</w:t>
            </w:r>
          </w:p>
        </w:tc>
        <w:tc>
          <w:tcPr>
            <w:tcW w:w="1240" w:type="dxa"/>
            <w:vAlign w:val="bottom"/>
          </w:tcPr>
          <w:p>
            <w:pPr>
              <w:jc w:val="right"/>
              <w:ind w:right="196"/>
              <w:spacing w:after="0"/>
              <w:rPr>
                <w:sz w:val="20"/>
                <w:szCs w:val="20"/>
                <w:color w:val="auto"/>
              </w:rPr>
            </w:pPr>
            <w:r>
              <w:rPr>
                <w:rFonts w:ascii="Arial" w:cs="Arial" w:eastAsia="Arial" w:hAnsi="Arial"/>
                <w:sz w:val="17"/>
                <w:szCs w:val="17"/>
                <w:color w:val="auto"/>
              </w:rPr>
              <w:t>$0.7</w:t>
            </w: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Performance Shares</w:t>
            </w:r>
          </w:p>
        </w:tc>
        <w:tc>
          <w:tcPr>
            <w:tcW w:w="35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1.5</w:t>
            </w:r>
          </w:p>
        </w:tc>
        <w:tc>
          <w:tcPr>
            <w:tcW w:w="14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1.5</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1.1</w:t>
            </w:r>
          </w:p>
        </w:tc>
      </w:tr>
      <w:tr>
        <w:trPr>
          <w:trHeight w:val="206"/>
        </w:trPr>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Restricted Stock Units</w:t>
            </w:r>
          </w:p>
        </w:tc>
        <w:tc>
          <w:tcPr>
            <w:tcW w:w="3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0.6</w:t>
            </w: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0.3</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r>
      <w:tr>
        <w:trPr>
          <w:trHeight w:val="206"/>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Share-Based Compensation Expense</w:t>
            </w:r>
          </w:p>
        </w:tc>
        <w:tc>
          <w:tcPr>
            <w:tcW w:w="3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$2.2</w:t>
            </w:r>
          </w:p>
        </w:tc>
        <w:tc>
          <w:tcPr>
            <w:tcW w:w="1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$2.1</w:t>
            </w:r>
          </w:p>
        </w:tc>
        <w:tc>
          <w:tcPr>
            <w:tcW w:w="12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$1.8</w:t>
            </w:r>
          </w:p>
        </w:tc>
      </w:tr>
      <w:tr>
        <w:trPr>
          <w:trHeight w:val="206"/>
        </w:trPr>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Benefit</w:t>
            </w:r>
          </w:p>
        </w:tc>
        <w:tc>
          <w:tcPr>
            <w:tcW w:w="3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$0.9</w:t>
            </w: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$0.8</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$0.7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capitalized stock-based compensation costs at December 31, 2010, 2009, or 2008.</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2010, the total unrecognized compensation cost for the performance share awards and restricted stock units not yet recognized in our consolidated statements of income was $1.5 million and $0.7 million, respectively. These amounts are expected to be recognized over a weighted-average period of 1.6 years for both performance share awards and restricted stock units.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7"/>
                <w:szCs w:val="17"/>
                <w:b w:val="1"/>
                <w:bCs w:val="1"/>
                <w:color w:val="auto"/>
              </w:rPr>
              <w:t>Note 16.</w:t>
            </w:r>
          </w:p>
        </w:tc>
        <w:tc>
          <w:tcPr>
            <w:tcW w:w="4100" w:type="dxa"/>
            <w:vAlign w:val="bottom"/>
            <w:gridSpan w:val="2"/>
          </w:tcPr>
          <w:p>
            <w:pPr>
              <w:jc w:val="right"/>
              <w:ind w:right="356"/>
              <w:spacing w:after="0"/>
              <w:rPr>
                <w:sz w:val="20"/>
                <w:szCs w:val="20"/>
                <w:color w:val="auto"/>
              </w:rPr>
            </w:pPr>
            <w:r>
              <w:rPr>
                <w:rFonts w:ascii="Arial" w:cs="Arial" w:eastAsia="Arial" w:hAnsi="Arial"/>
                <w:sz w:val="17"/>
                <w:szCs w:val="17"/>
                <w:b w:val="1"/>
                <w:bCs w:val="1"/>
                <w:color w:val="auto"/>
                <w:w w:val="92"/>
              </w:rPr>
              <w:t>Employee Stock and Incentive Plans (Continued)</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02"/>
        </w:trPr>
        <w:tc>
          <w:tcPr>
            <w:tcW w:w="10400" w:type="dxa"/>
            <w:vAlign w:val="bottom"/>
            <w:gridSpan w:val="7"/>
          </w:tcPr>
          <w:p>
            <w:pPr>
              <w:spacing w:after="0"/>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The following table presents information regarding our outstanding stock options as of December 31, 2010.</w:t>
            </w:r>
          </w:p>
        </w:tc>
        <w:tc>
          <w:tcPr>
            <w:tcW w:w="102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0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auto"/>
            </w:tcBorders>
            <w:gridSpan w:val="2"/>
            <w:shd w:val="clear" w:color="auto" w:fill="CCEEFF"/>
          </w:tcPr>
          <w:p>
            <w:pPr>
              <w:jc w:val="right"/>
              <w:ind w:right="1136"/>
              <w:spacing w:after="0"/>
              <w:rPr>
                <w:sz w:val="20"/>
                <w:szCs w:val="20"/>
                <w:color w:val="auto"/>
              </w:rPr>
            </w:pPr>
            <w:r>
              <w:rPr>
                <w:rFonts w:ascii="Arial" w:cs="Arial" w:eastAsia="Arial" w:hAnsi="Arial"/>
                <w:sz w:val="17"/>
                <w:szCs w:val="17"/>
                <w:b w:val="1"/>
                <w:bCs w:val="1"/>
                <w:color w:val="auto"/>
              </w:rPr>
              <w:t>2010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10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1020" w:type="dxa"/>
            <w:vAlign w:val="bottom"/>
            <w:tcBorders>
              <w:bottom w:val="single" w:sz="8" w:color="auto"/>
            </w:tcBorders>
            <w:shd w:val="clear" w:color="auto" w:fill="CCEEFF"/>
          </w:tcPr>
          <w:p>
            <w:pPr>
              <w:spacing w:after="0"/>
              <w:rPr>
                <w:sz w:val="17"/>
                <w:szCs w:val="17"/>
                <w:color w:val="auto"/>
              </w:rPr>
            </w:pPr>
          </w:p>
        </w:tc>
      </w:tr>
      <w:tr>
        <w:trPr>
          <w:trHeight w:val="185"/>
        </w:trPr>
        <w:tc>
          <w:tcPr>
            <w:tcW w:w="1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jc w:val="center"/>
              <w:ind w:right="156"/>
              <w:spacing w:after="0" w:line="185" w:lineRule="exact"/>
              <w:rPr>
                <w:sz w:val="20"/>
                <w:szCs w:val="20"/>
                <w:color w:val="auto"/>
              </w:rPr>
            </w:pPr>
            <w:r>
              <w:rPr>
                <w:rFonts w:ascii="Arial" w:cs="Arial" w:eastAsia="Arial" w:hAnsi="Arial"/>
                <w:sz w:val="17"/>
                <w:szCs w:val="17"/>
                <w:b w:val="1"/>
                <w:bCs w:val="1"/>
                <w:color w:val="auto"/>
                <w:w w:val="90"/>
              </w:rPr>
              <w:t>Weighted-</w:t>
            </w:r>
          </w:p>
        </w:tc>
        <w:tc>
          <w:tcPr>
            <w:tcW w:w="1380" w:type="dxa"/>
            <w:vAlign w:val="bottom"/>
          </w:tcPr>
          <w:p>
            <w:pPr>
              <w:spacing w:after="0"/>
              <w:rPr>
                <w:sz w:val="16"/>
                <w:szCs w:val="16"/>
                <w:color w:val="auto"/>
              </w:rPr>
            </w:pPr>
          </w:p>
        </w:tc>
        <w:tc>
          <w:tcPr>
            <w:tcW w:w="1020" w:type="dxa"/>
            <w:vAlign w:val="bottom"/>
          </w:tcPr>
          <w:p>
            <w:pPr>
              <w:jc w:val="center"/>
              <w:ind w:right="116"/>
              <w:spacing w:after="0" w:line="185" w:lineRule="exact"/>
              <w:rPr>
                <w:sz w:val="20"/>
                <w:szCs w:val="20"/>
                <w:color w:val="auto"/>
              </w:rPr>
            </w:pPr>
            <w:r>
              <w:rPr>
                <w:rFonts w:ascii="Arial" w:cs="Arial" w:eastAsia="Arial" w:hAnsi="Arial"/>
                <w:sz w:val="17"/>
                <w:szCs w:val="17"/>
                <w:b w:val="1"/>
                <w:bCs w:val="1"/>
                <w:color w:val="auto"/>
                <w:w w:val="90"/>
              </w:rPr>
              <w:t>Weighted-</w:t>
            </w:r>
          </w:p>
        </w:tc>
      </w:tr>
      <w:tr>
        <w:trPr>
          <w:trHeight w:val="217"/>
        </w:trPr>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Weighted-Average</w:t>
            </w:r>
          </w:p>
        </w:tc>
        <w:tc>
          <w:tcPr>
            <w:tcW w:w="1320" w:type="dxa"/>
            <w:vAlign w:val="bottom"/>
          </w:tcPr>
          <w:p>
            <w:pPr>
              <w:spacing w:after="0"/>
              <w:rPr>
                <w:sz w:val="18"/>
                <w:szCs w:val="18"/>
                <w:color w:val="auto"/>
              </w:rPr>
            </w:pPr>
          </w:p>
        </w:tc>
        <w:tc>
          <w:tcPr>
            <w:tcW w:w="1060" w:type="dxa"/>
            <w:vAlign w:val="bottom"/>
          </w:tcPr>
          <w:p>
            <w:pPr>
              <w:jc w:val="center"/>
              <w:ind w:right="156"/>
              <w:spacing w:after="0"/>
              <w:rPr>
                <w:sz w:val="20"/>
                <w:szCs w:val="20"/>
                <w:color w:val="auto"/>
              </w:rPr>
            </w:pPr>
            <w:r>
              <w:rPr>
                <w:rFonts w:ascii="Arial" w:cs="Arial" w:eastAsia="Arial" w:hAnsi="Arial"/>
                <w:sz w:val="17"/>
                <w:szCs w:val="17"/>
                <w:b w:val="1"/>
                <w:bCs w:val="1"/>
                <w:color w:val="auto"/>
                <w:w w:val="86"/>
              </w:rPr>
              <w:t>Average</w:t>
            </w:r>
          </w:p>
        </w:tc>
        <w:tc>
          <w:tcPr>
            <w:tcW w:w="1380" w:type="dxa"/>
            <w:vAlign w:val="bottom"/>
          </w:tcPr>
          <w:p>
            <w:pPr>
              <w:spacing w:after="0"/>
              <w:rPr>
                <w:sz w:val="18"/>
                <w:szCs w:val="18"/>
                <w:color w:val="auto"/>
              </w:rPr>
            </w:pPr>
          </w:p>
        </w:tc>
        <w:tc>
          <w:tcPr>
            <w:tcW w:w="1020" w:type="dxa"/>
            <w:vAlign w:val="bottom"/>
          </w:tcPr>
          <w:p>
            <w:pPr>
              <w:jc w:val="center"/>
              <w:ind w:right="116"/>
              <w:spacing w:after="0"/>
              <w:rPr>
                <w:sz w:val="20"/>
                <w:szCs w:val="20"/>
                <w:color w:val="auto"/>
              </w:rPr>
            </w:pPr>
            <w:r>
              <w:rPr>
                <w:rFonts w:ascii="Arial" w:cs="Arial" w:eastAsia="Arial" w:hAnsi="Arial"/>
                <w:sz w:val="17"/>
                <w:szCs w:val="17"/>
                <w:b w:val="1"/>
                <w:bCs w:val="1"/>
                <w:color w:val="auto"/>
                <w:w w:val="86"/>
              </w:rPr>
              <w:t>Average</w:t>
            </w:r>
          </w:p>
        </w:tc>
      </w:tr>
      <w:tr>
        <w:trPr>
          <w:trHeight w:val="201"/>
        </w:trPr>
        <w:tc>
          <w:tcPr>
            <w:tcW w:w="10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Number of</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Number of</w:t>
            </w:r>
          </w:p>
        </w:tc>
        <w:tc>
          <w:tcPr>
            <w:tcW w:w="1060" w:type="dxa"/>
            <w:vAlign w:val="bottom"/>
            <w:shd w:val="clear" w:color="auto" w:fill="CCEEFF"/>
          </w:tcPr>
          <w:p>
            <w:pPr>
              <w:jc w:val="center"/>
              <w:ind w:right="176"/>
              <w:spacing w:after="0"/>
              <w:rPr>
                <w:sz w:val="20"/>
                <w:szCs w:val="20"/>
                <w:color w:val="auto"/>
              </w:rPr>
            </w:pPr>
            <w:r>
              <w:rPr>
                <w:rFonts w:ascii="Arial" w:cs="Arial" w:eastAsia="Arial" w:hAnsi="Arial"/>
                <w:sz w:val="17"/>
                <w:szCs w:val="17"/>
                <w:b w:val="1"/>
                <w:bCs w:val="1"/>
                <w:color w:val="auto"/>
                <w:w w:val="85"/>
              </w:rPr>
              <w:t>Exercise</w:t>
            </w:r>
          </w:p>
        </w:tc>
        <w:tc>
          <w:tcPr>
            <w:tcW w:w="1380" w:type="dxa"/>
            <w:vAlign w:val="bottom"/>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Number of</w:t>
            </w:r>
          </w:p>
        </w:tc>
        <w:tc>
          <w:tcPr>
            <w:tcW w:w="1020" w:type="dxa"/>
            <w:vAlign w:val="bottom"/>
            <w:shd w:val="clear" w:color="auto" w:fill="CCEEFF"/>
          </w:tcPr>
          <w:p>
            <w:pPr>
              <w:jc w:val="center"/>
              <w:ind w:right="96"/>
              <w:spacing w:after="0"/>
              <w:rPr>
                <w:sz w:val="20"/>
                <w:szCs w:val="20"/>
                <w:color w:val="auto"/>
              </w:rPr>
            </w:pPr>
            <w:r>
              <w:rPr>
                <w:rFonts w:ascii="Arial" w:cs="Arial" w:eastAsia="Arial" w:hAnsi="Arial"/>
                <w:sz w:val="17"/>
                <w:szCs w:val="17"/>
                <w:b w:val="1"/>
                <w:bCs w:val="1"/>
                <w:color w:val="auto"/>
                <w:w w:val="85"/>
              </w:rPr>
              <w:t>Exercise</w:t>
            </w:r>
          </w:p>
        </w:tc>
      </w:tr>
      <w:tr>
        <w:trPr>
          <w:trHeight w:val="206"/>
        </w:trPr>
        <w:tc>
          <w:tcPr>
            <w:tcW w:w="10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Options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Price</w:t>
            </w: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Options</w:t>
            </w:r>
          </w:p>
        </w:tc>
        <w:tc>
          <w:tcPr>
            <w:tcW w:w="106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91"/>
              </w:rPr>
              <w:t>Price</w:t>
            </w: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Options</w:t>
            </w:r>
          </w:p>
        </w:tc>
        <w:tc>
          <w:tcPr>
            <w:tcW w:w="102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91"/>
              </w:rPr>
              <w:t>Price</w:t>
            </w:r>
          </w:p>
        </w:tc>
      </w:tr>
      <w:tr>
        <w:trPr>
          <w:trHeight w:val="201"/>
        </w:trPr>
        <w:tc>
          <w:tcPr>
            <w:tcW w:w="3960" w:type="dxa"/>
            <w:vAlign w:val="bottom"/>
            <w:gridSpan w:val="2"/>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3960" w:type="dxa"/>
            <w:vAlign w:val="bottom"/>
            <w:gridSpan w:val="2"/>
          </w:tcPr>
          <w:p>
            <w:pPr>
              <w:spacing w:after="0"/>
              <w:rPr>
                <w:sz w:val="20"/>
                <w:szCs w:val="20"/>
                <w:color w:val="auto"/>
              </w:rPr>
            </w:pPr>
            <w:r>
              <w:rPr>
                <w:rFonts w:ascii="Arial" w:cs="Arial" w:eastAsia="Arial" w:hAnsi="Arial"/>
                <w:sz w:val="17"/>
                <w:szCs w:val="17"/>
                <w:color w:val="auto"/>
              </w:rPr>
              <w:t>Outstanding as of January 1,</w:t>
            </w:r>
          </w:p>
        </w:tc>
        <w:tc>
          <w:tcPr>
            <w:tcW w:w="1200" w:type="dxa"/>
            <w:vAlign w:val="bottom"/>
          </w:tcPr>
          <w:p>
            <w:pPr>
              <w:jc w:val="right"/>
              <w:spacing w:after="0"/>
              <w:rPr>
                <w:sz w:val="20"/>
                <w:szCs w:val="20"/>
                <w:color w:val="auto"/>
              </w:rPr>
            </w:pPr>
            <w:r>
              <w:rPr>
                <w:rFonts w:ascii="Arial" w:cs="Arial" w:eastAsia="Arial" w:hAnsi="Arial"/>
                <w:sz w:val="17"/>
                <w:szCs w:val="17"/>
                <w:color w:val="auto"/>
              </w:rPr>
              <w:t>646,235</w:t>
            </w:r>
          </w:p>
        </w:tc>
        <w:tc>
          <w:tcPr>
            <w:tcW w:w="1480" w:type="dxa"/>
            <w:vAlign w:val="bottom"/>
          </w:tcPr>
          <w:p>
            <w:pPr>
              <w:jc w:val="right"/>
              <w:ind w:right="156"/>
              <w:spacing w:after="0"/>
              <w:rPr>
                <w:sz w:val="20"/>
                <w:szCs w:val="20"/>
                <w:color w:val="auto"/>
              </w:rPr>
            </w:pPr>
            <w:r>
              <w:rPr>
                <w:rFonts w:ascii="Arial" w:cs="Arial" w:eastAsia="Arial" w:hAnsi="Arial"/>
                <w:sz w:val="17"/>
                <w:szCs w:val="17"/>
                <w:color w:val="auto"/>
              </w:rPr>
              <w:t>$40.05</w:t>
            </w:r>
          </w:p>
        </w:tc>
        <w:tc>
          <w:tcPr>
            <w:tcW w:w="1320" w:type="dxa"/>
            <w:vAlign w:val="bottom"/>
          </w:tcPr>
          <w:p>
            <w:pPr>
              <w:jc w:val="right"/>
              <w:ind w:right="196"/>
              <w:spacing w:after="0"/>
              <w:rPr>
                <w:sz w:val="20"/>
                <w:szCs w:val="20"/>
                <w:color w:val="auto"/>
              </w:rPr>
            </w:pPr>
            <w:r>
              <w:rPr>
                <w:rFonts w:ascii="Arial" w:cs="Arial" w:eastAsia="Arial" w:hAnsi="Arial"/>
                <w:sz w:val="17"/>
                <w:szCs w:val="17"/>
                <w:color w:val="auto"/>
              </w:rPr>
              <w:t>672,419</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$39.99</w:t>
            </w:r>
          </w:p>
        </w:tc>
        <w:tc>
          <w:tcPr>
            <w:tcW w:w="1380" w:type="dxa"/>
            <w:vAlign w:val="bottom"/>
          </w:tcPr>
          <w:p>
            <w:pPr>
              <w:jc w:val="right"/>
              <w:ind w:right="176"/>
              <w:spacing w:after="0"/>
              <w:rPr>
                <w:sz w:val="20"/>
                <w:szCs w:val="20"/>
                <w:color w:val="auto"/>
              </w:rPr>
            </w:pPr>
            <w:r>
              <w:rPr>
                <w:rFonts w:ascii="Arial" w:cs="Arial" w:eastAsia="Arial" w:hAnsi="Arial"/>
                <w:sz w:val="17"/>
                <w:szCs w:val="17"/>
                <w:color w:val="auto"/>
              </w:rPr>
              <w:t>510,992</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$39.83</w:t>
            </w:r>
          </w:p>
        </w:tc>
      </w:tr>
      <w:tr>
        <w:trPr>
          <w:trHeight w:val="201"/>
        </w:trPr>
        <w:tc>
          <w:tcPr>
            <w:tcW w:w="1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Granted </w:t>
            </w:r>
            <w:r>
              <w:rPr>
                <w:rFonts w:ascii="Arial" w:cs="Arial" w:eastAsia="Arial" w:hAnsi="Arial"/>
                <w:sz w:val="17"/>
                <w:szCs w:val="17"/>
                <w:i w:val="1"/>
                <w:iCs w:val="1"/>
                <w:color w:val="auto"/>
              </w:rPr>
              <w:t>(a)</w:t>
            </w:r>
          </w:p>
        </w:tc>
        <w:tc>
          <w:tcPr>
            <w:tcW w:w="29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180,815</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$39.10</w:t>
            </w:r>
          </w:p>
        </w:tc>
      </w:tr>
      <w:tr>
        <w:trPr>
          <w:trHeight w:val="201"/>
        </w:trPr>
        <w:tc>
          <w:tcPr>
            <w:tcW w:w="106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29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40,769</w:t>
            </w:r>
          </w:p>
        </w:tc>
        <w:tc>
          <w:tcPr>
            <w:tcW w:w="1480" w:type="dxa"/>
            <w:vAlign w:val="bottom"/>
          </w:tcPr>
          <w:p>
            <w:pPr>
              <w:jc w:val="right"/>
              <w:ind w:right="156"/>
              <w:spacing w:after="0"/>
              <w:rPr>
                <w:sz w:val="20"/>
                <w:szCs w:val="20"/>
                <w:color w:val="auto"/>
              </w:rPr>
            </w:pPr>
            <w:r>
              <w:rPr>
                <w:rFonts w:ascii="Arial" w:cs="Arial" w:eastAsia="Arial" w:hAnsi="Arial"/>
                <w:sz w:val="17"/>
                <w:szCs w:val="17"/>
                <w:color w:val="auto"/>
              </w:rPr>
              <w:t>$27.76</w:t>
            </w:r>
          </w:p>
        </w:tc>
        <w:tc>
          <w:tcPr>
            <w:tcW w:w="1320" w:type="dxa"/>
            <w:vAlign w:val="bottom"/>
          </w:tcPr>
          <w:p>
            <w:pPr>
              <w:jc w:val="right"/>
              <w:ind w:right="196"/>
              <w:spacing w:after="0"/>
              <w:rPr>
                <w:sz w:val="20"/>
                <w:szCs w:val="20"/>
                <w:color w:val="auto"/>
              </w:rPr>
            </w:pPr>
            <w:r>
              <w:rPr>
                <w:rFonts w:ascii="Arial" w:cs="Arial" w:eastAsia="Arial" w:hAnsi="Arial"/>
                <w:sz w:val="17"/>
                <w:szCs w:val="17"/>
                <w:color w:val="auto"/>
              </w:rPr>
              <w:t>4,508</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$18.85</w:t>
            </w:r>
          </w:p>
        </w:tc>
        <w:tc>
          <w:tcPr>
            <w:tcW w:w="1380" w:type="dxa"/>
            <w:vAlign w:val="bottom"/>
          </w:tcPr>
          <w:p>
            <w:pPr>
              <w:jc w:val="right"/>
              <w:ind w:right="176"/>
              <w:spacing w:after="0"/>
              <w:rPr>
                <w:sz w:val="20"/>
                <w:szCs w:val="20"/>
                <w:color w:val="auto"/>
              </w:rPr>
            </w:pPr>
            <w:r>
              <w:rPr>
                <w:rFonts w:ascii="Arial" w:cs="Arial" w:eastAsia="Arial" w:hAnsi="Arial"/>
                <w:sz w:val="17"/>
                <w:szCs w:val="17"/>
                <w:color w:val="auto"/>
              </w:rPr>
              <w:t>16,627</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$25.56</w:t>
            </w:r>
          </w:p>
        </w:tc>
      </w:tr>
      <w:tr>
        <w:trPr>
          <w:trHeight w:val="206"/>
        </w:trPr>
        <w:tc>
          <w:tcPr>
            <w:tcW w:w="1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Forfeited</w:t>
            </w:r>
          </w:p>
        </w:tc>
        <w:tc>
          <w:tcPr>
            <w:tcW w:w="29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44,579</w:t>
            </w:r>
          </w:p>
        </w:tc>
        <w:tc>
          <w:tcPr>
            <w:tcW w:w="14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$43.16</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21,676</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$42.62</w:t>
            </w: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2,761</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$39.39</w:t>
            </w:r>
          </w:p>
        </w:tc>
      </w:tr>
      <w:tr>
        <w:trPr>
          <w:trHeight w:val="206"/>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Outstanding as of December 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560,887</w:t>
            </w: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$40.69</w:t>
            </w: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646,235</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$40.05</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672,419</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$39.99</w:t>
            </w:r>
          </w:p>
        </w:tc>
      </w:tr>
      <w:tr>
        <w:trPr>
          <w:trHeight w:val="206"/>
        </w:trPr>
        <w:tc>
          <w:tcPr>
            <w:tcW w:w="3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Exercisable as of December 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523,491</w:t>
            </w:r>
          </w:p>
        </w:tc>
        <w:tc>
          <w:tcPr>
            <w:tcW w:w="14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$39.76</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512,743</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$37.34</w:t>
            </w: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406,894</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$34.48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Stock options have not been granted since 2008.</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Cash received from non-qualified stock options exercised was $1.1 million in 2010. The weighted-average grant-date intrinsic value of options granted in 2008 was $6.18 for 2008 (none in 2010 or 2009). The intrinsic value of a stock award is the amount by which the fair value of the underlying stock exceeds the exercise price of the award. The total intrinsic value of options exercised was $0.3 million during 2010 ($0.1 million in 2009; $0.2 million in 2008).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2"/>
            <w:shd w:val="clear" w:color="auto" w:fill="CCEEFF"/>
          </w:tcPr>
          <w:p>
            <w:pPr>
              <w:jc w:val="right"/>
              <w:ind w:right="876"/>
              <w:spacing w:after="0"/>
              <w:rPr>
                <w:sz w:val="20"/>
                <w:szCs w:val="20"/>
                <w:color w:val="auto"/>
              </w:rPr>
            </w:pPr>
            <w:r>
              <w:rPr>
                <w:rFonts w:ascii="Arial" w:cs="Arial" w:eastAsia="Arial" w:hAnsi="Arial"/>
                <w:sz w:val="17"/>
                <w:szCs w:val="17"/>
                <w:b w:val="1"/>
                <w:bCs w:val="1"/>
                <w:color w:val="auto"/>
                <w:w w:val="87"/>
              </w:rPr>
              <w:t>Range of Exercise Price</w:t>
            </w:r>
          </w:p>
        </w:tc>
      </w:tr>
      <w:tr>
        <w:trPr>
          <w:trHeight w:val="185"/>
        </w:trPr>
        <w:tc>
          <w:tcPr>
            <w:tcW w:w="7780" w:type="dxa"/>
            <w:vAlign w:val="bottom"/>
          </w:tcPr>
          <w:p>
            <w:pPr>
              <w:spacing w:after="0"/>
              <w:rPr>
                <w:sz w:val="16"/>
                <w:szCs w:val="16"/>
                <w:color w:val="auto"/>
              </w:rPr>
            </w:pPr>
          </w:p>
        </w:tc>
        <w:tc>
          <w:tcPr>
            <w:tcW w:w="96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$18.85 to</w:t>
            </w:r>
          </w:p>
        </w:tc>
        <w:tc>
          <w:tcPr>
            <w:tcW w:w="14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$37.76 to $41.35</w:t>
            </w:r>
          </w:p>
        </w:tc>
        <w:tc>
          <w:tcPr>
            <w:tcW w:w="12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w w:val="91"/>
              </w:rPr>
              <w:t>$44.15 to $48.65</w:t>
            </w:r>
          </w:p>
        </w:tc>
      </w:tr>
      <w:tr>
        <w:trPr>
          <w:trHeight w:val="223"/>
        </w:trPr>
        <w:tc>
          <w:tcPr>
            <w:tcW w:w="7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As of December 31, 2010</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$29.79</w:t>
            </w:r>
          </w:p>
        </w:tc>
        <w:tc>
          <w:tcPr>
            <w:tcW w:w="1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01"/>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and Exercisable:</w:t>
            </w: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7780" w:type="dxa"/>
            <w:vAlign w:val="bottom"/>
          </w:tcPr>
          <w:p>
            <w:pPr>
              <w:ind w:left="160"/>
              <w:spacing w:after="0"/>
              <w:rPr>
                <w:sz w:val="20"/>
                <w:szCs w:val="20"/>
                <w:color w:val="auto"/>
              </w:rPr>
            </w:pPr>
            <w:r>
              <w:rPr>
                <w:rFonts w:ascii="Arial" w:cs="Arial" w:eastAsia="Arial" w:hAnsi="Arial"/>
                <w:sz w:val="17"/>
                <w:szCs w:val="17"/>
                <w:color w:val="auto"/>
              </w:rPr>
              <w:t>Number Outstanding and Exercisable</w:t>
            </w:r>
          </w:p>
        </w:tc>
        <w:tc>
          <w:tcPr>
            <w:tcW w:w="960" w:type="dxa"/>
            <w:vAlign w:val="bottom"/>
          </w:tcPr>
          <w:p>
            <w:pPr>
              <w:jc w:val="right"/>
              <w:spacing w:after="0"/>
              <w:rPr>
                <w:sz w:val="20"/>
                <w:szCs w:val="20"/>
                <w:color w:val="auto"/>
              </w:rPr>
            </w:pPr>
            <w:r>
              <w:rPr>
                <w:rFonts w:ascii="Arial" w:cs="Arial" w:eastAsia="Arial" w:hAnsi="Arial"/>
                <w:sz w:val="17"/>
                <w:szCs w:val="17"/>
                <w:color w:val="auto"/>
              </w:rPr>
              <w:t>44,738</w:t>
            </w:r>
          </w:p>
        </w:tc>
        <w:tc>
          <w:tcPr>
            <w:tcW w:w="1440" w:type="dxa"/>
            <w:vAlign w:val="bottom"/>
          </w:tcPr>
          <w:p>
            <w:pPr>
              <w:jc w:val="right"/>
              <w:ind w:right="116"/>
              <w:spacing w:after="0"/>
              <w:rPr>
                <w:sz w:val="20"/>
                <w:szCs w:val="20"/>
                <w:color w:val="auto"/>
              </w:rPr>
            </w:pPr>
            <w:r>
              <w:rPr>
                <w:rFonts w:ascii="Arial" w:cs="Arial" w:eastAsia="Arial" w:hAnsi="Arial"/>
                <w:sz w:val="17"/>
                <w:szCs w:val="17"/>
                <w:color w:val="auto"/>
              </w:rPr>
              <w:t>296,770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181,983</w:t>
            </w:r>
          </w:p>
        </w:tc>
      </w:tr>
      <w:tr>
        <w:trPr>
          <w:trHeight w:val="201"/>
        </w:trPr>
        <w:tc>
          <w:tcPr>
            <w:tcW w:w="7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Weighted Average Remaining Contractual Life (Years)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5.5</w:t>
            </w:r>
          </w:p>
        </w:tc>
      </w:tr>
      <w:tr>
        <w:trPr>
          <w:trHeight w:val="206"/>
        </w:trPr>
        <w:tc>
          <w:tcPr>
            <w:tcW w:w="77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Weighted Average Exercise Price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4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$39.44</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$46.37</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The following table presents information regarding our non-vested performance shares as of December 31, 2010.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2010</w:t>
            </w:r>
          </w:p>
        </w:tc>
        <w:tc>
          <w:tcPr>
            <w:tcW w:w="1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7"/>
                <w:szCs w:val="17"/>
                <w:b w:val="1"/>
                <w:bCs w:val="1"/>
                <w:color w:val="auto"/>
                <w:w w:val="89"/>
              </w:rPr>
              <w:t>2009</w:t>
            </w:r>
          </w:p>
        </w:tc>
        <w:tc>
          <w:tcPr>
            <w:tcW w:w="10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b w:val="1"/>
                <w:bCs w:val="1"/>
                <w:color w:val="auto"/>
                <w:w w:val="89"/>
              </w:rPr>
              <w:t>2008</w:t>
            </w:r>
          </w:p>
        </w:tc>
      </w:tr>
      <w:tr>
        <w:trPr>
          <w:trHeight w:val="201"/>
        </w:trPr>
        <w:tc>
          <w:tcPr>
            <w:tcW w:w="3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jc w:val="center"/>
              <w:ind w:right="196"/>
              <w:spacing w:after="0"/>
              <w:rPr>
                <w:sz w:val="20"/>
                <w:szCs w:val="20"/>
                <w:color w:val="auto"/>
              </w:rPr>
            </w:pPr>
            <w:r>
              <w:rPr>
                <w:rFonts w:ascii="Arial" w:cs="Arial" w:eastAsia="Arial" w:hAnsi="Arial"/>
                <w:sz w:val="17"/>
                <w:szCs w:val="17"/>
                <w:b w:val="1"/>
                <w:bCs w:val="1"/>
                <w:color w:val="auto"/>
                <w:w w:val="90"/>
              </w:rPr>
              <w:t>Weighted-</w:t>
            </w:r>
          </w:p>
        </w:tc>
        <w:tc>
          <w:tcPr>
            <w:tcW w:w="10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c>
          <w:tcPr>
            <w:tcW w:w="1060" w:type="dxa"/>
            <w:vAlign w:val="bottom"/>
          </w:tcPr>
          <w:p>
            <w:pPr>
              <w:spacing w:after="0"/>
              <w:rPr>
                <w:sz w:val="17"/>
                <w:szCs w:val="17"/>
                <w:color w:val="auto"/>
              </w:rPr>
            </w:pPr>
          </w:p>
        </w:tc>
        <w:tc>
          <w:tcPr>
            <w:tcW w:w="1460" w:type="dxa"/>
            <w:vAlign w:val="bottom"/>
          </w:tcPr>
          <w:p>
            <w:pPr>
              <w:jc w:val="center"/>
              <w:ind w:left="36"/>
              <w:spacing w:after="0"/>
              <w:rPr>
                <w:sz w:val="20"/>
                <w:szCs w:val="20"/>
                <w:color w:val="auto"/>
              </w:rPr>
            </w:pPr>
            <w:r>
              <w:rPr>
                <w:rFonts w:ascii="Arial" w:cs="Arial" w:eastAsia="Arial" w:hAnsi="Arial"/>
                <w:sz w:val="17"/>
                <w:szCs w:val="17"/>
                <w:b w:val="1"/>
                <w:bCs w:val="1"/>
                <w:color w:val="auto"/>
                <w:w w:val="90"/>
              </w:rPr>
              <w:t>Weighted-</w:t>
            </w:r>
          </w:p>
        </w:tc>
      </w:tr>
      <w:tr>
        <w:trPr>
          <w:trHeight w:val="201"/>
        </w:trPr>
        <w:tc>
          <w:tcPr>
            <w:tcW w:w="37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96"/>
              <w:spacing w:after="0"/>
              <w:rPr>
                <w:sz w:val="20"/>
                <w:szCs w:val="20"/>
                <w:color w:val="auto"/>
              </w:rPr>
            </w:pPr>
            <w:r>
              <w:rPr>
                <w:rFonts w:ascii="Arial" w:cs="Arial" w:eastAsia="Arial" w:hAnsi="Arial"/>
                <w:sz w:val="17"/>
                <w:szCs w:val="17"/>
                <w:b w:val="1"/>
                <w:bCs w:val="1"/>
                <w:color w:val="auto"/>
                <w:w w:val="86"/>
              </w:rPr>
              <w:t>Average</w:t>
            </w:r>
          </w:p>
        </w:tc>
        <w:tc>
          <w:tcPr>
            <w:tcW w:w="10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10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36"/>
              <w:spacing w:after="0"/>
              <w:rPr>
                <w:sz w:val="20"/>
                <w:szCs w:val="20"/>
                <w:color w:val="auto"/>
              </w:rPr>
            </w:pPr>
            <w:r>
              <w:rPr>
                <w:rFonts w:ascii="Arial" w:cs="Arial" w:eastAsia="Arial" w:hAnsi="Arial"/>
                <w:sz w:val="17"/>
                <w:szCs w:val="17"/>
                <w:b w:val="1"/>
                <w:bCs w:val="1"/>
                <w:color w:val="auto"/>
                <w:w w:val="86"/>
              </w:rPr>
              <w:t>Average</w:t>
            </w:r>
          </w:p>
        </w:tc>
      </w:tr>
      <w:tr>
        <w:trPr>
          <w:trHeight w:val="201"/>
        </w:trPr>
        <w:tc>
          <w:tcPr>
            <w:tcW w:w="3780" w:type="dxa"/>
            <w:vAlign w:val="bottom"/>
          </w:tcPr>
          <w:p>
            <w:pPr>
              <w:spacing w:after="0"/>
              <w:rPr>
                <w:sz w:val="17"/>
                <w:szCs w:val="17"/>
                <w:color w:val="auto"/>
              </w:rPr>
            </w:pPr>
          </w:p>
        </w:tc>
        <w:tc>
          <w:tcPr>
            <w:tcW w:w="1440" w:type="dxa"/>
            <w:vAlign w:val="bottom"/>
          </w:tcPr>
          <w:p>
            <w:pPr>
              <w:jc w:val="right"/>
              <w:ind w:right="376"/>
              <w:spacing w:after="0"/>
              <w:rPr>
                <w:sz w:val="20"/>
                <w:szCs w:val="20"/>
                <w:color w:val="auto"/>
              </w:rPr>
            </w:pPr>
            <w:r>
              <w:rPr>
                <w:rFonts w:ascii="Arial" w:cs="Arial" w:eastAsia="Arial" w:hAnsi="Arial"/>
                <w:sz w:val="17"/>
                <w:szCs w:val="17"/>
                <w:b w:val="1"/>
                <w:bCs w:val="1"/>
                <w:color w:val="auto"/>
              </w:rPr>
              <w:t>Number of</w:t>
            </w:r>
          </w:p>
        </w:tc>
        <w:tc>
          <w:tcPr>
            <w:tcW w:w="1140" w:type="dxa"/>
            <w:vAlign w:val="bottom"/>
          </w:tcPr>
          <w:p>
            <w:pPr>
              <w:jc w:val="center"/>
              <w:ind w:right="196"/>
              <w:spacing w:after="0"/>
              <w:rPr>
                <w:sz w:val="20"/>
                <w:szCs w:val="20"/>
                <w:color w:val="auto"/>
              </w:rPr>
            </w:pPr>
            <w:r>
              <w:rPr>
                <w:rFonts w:ascii="Arial" w:cs="Arial" w:eastAsia="Arial" w:hAnsi="Arial"/>
                <w:sz w:val="17"/>
                <w:szCs w:val="17"/>
                <w:b w:val="1"/>
                <w:bCs w:val="1"/>
                <w:color w:val="auto"/>
                <w:w w:val="94"/>
              </w:rPr>
              <w:t>Grant Date</w:t>
            </w:r>
          </w:p>
        </w:tc>
        <w:tc>
          <w:tcPr>
            <w:tcW w:w="1040" w:type="dxa"/>
            <w:vAlign w:val="bottom"/>
          </w:tcPr>
          <w:p>
            <w:pPr>
              <w:jc w:val="right"/>
              <w:ind w:right="16"/>
              <w:spacing w:after="0"/>
              <w:rPr>
                <w:sz w:val="20"/>
                <w:szCs w:val="20"/>
                <w:color w:val="auto"/>
              </w:rPr>
            </w:pPr>
            <w:r>
              <w:rPr>
                <w:rFonts w:ascii="Arial" w:cs="Arial" w:eastAsia="Arial" w:hAnsi="Arial"/>
                <w:sz w:val="17"/>
                <w:szCs w:val="17"/>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4"/>
              </w:rPr>
              <w:t>Grant Date</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Number of</w:t>
            </w:r>
          </w:p>
        </w:tc>
        <w:tc>
          <w:tcPr>
            <w:tcW w:w="1460" w:type="dxa"/>
            <w:vAlign w:val="bottom"/>
          </w:tcPr>
          <w:p>
            <w:pPr>
              <w:jc w:val="center"/>
              <w:ind w:left="36"/>
              <w:spacing w:after="0"/>
              <w:rPr>
                <w:sz w:val="20"/>
                <w:szCs w:val="20"/>
                <w:color w:val="auto"/>
              </w:rPr>
            </w:pPr>
            <w:r>
              <w:rPr>
                <w:rFonts w:ascii="Arial" w:cs="Arial" w:eastAsia="Arial" w:hAnsi="Arial"/>
                <w:sz w:val="17"/>
                <w:szCs w:val="17"/>
                <w:b w:val="1"/>
                <w:bCs w:val="1"/>
                <w:color w:val="auto"/>
                <w:w w:val="94"/>
              </w:rPr>
              <w:t>Grant Date</w:t>
            </w:r>
          </w:p>
        </w:tc>
      </w:tr>
      <w:tr>
        <w:trPr>
          <w:trHeight w:val="206"/>
        </w:trPr>
        <w:tc>
          <w:tcPr>
            <w:tcW w:w="37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Shares</w:t>
            </w:r>
          </w:p>
        </w:tc>
        <w:tc>
          <w:tcPr>
            <w:tcW w:w="1140" w:type="dxa"/>
            <w:vAlign w:val="bottom"/>
            <w:tcBorders>
              <w:bottom w:val="single" w:sz="8" w:color="auto"/>
            </w:tcBorders>
            <w:shd w:val="clear" w:color="auto" w:fill="CCEEFF"/>
          </w:tcPr>
          <w:p>
            <w:pPr>
              <w:jc w:val="center"/>
              <w:ind w:right="216"/>
              <w:spacing w:after="0"/>
              <w:rPr>
                <w:sz w:val="20"/>
                <w:szCs w:val="20"/>
                <w:color w:val="auto"/>
              </w:rPr>
            </w:pPr>
            <w:r>
              <w:rPr>
                <w:rFonts w:ascii="Arial" w:cs="Arial" w:eastAsia="Arial" w:hAnsi="Arial"/>
                <w:sz w:val="17"/>
                <w:szCs w:val="17"/>
                <w:b w:val="1"/>
                <w:bCs w:val="1"/>
                <w:color w:val="auto"/>
                <w:w w:val="93"/>
              </w:rPr>
              <w:t>Fair Value</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Shares</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Fair Value</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rPr>
              <w:t>Shares</w:t>
            </w:r>
          </w:p>
        </w:tc>
        <w:tc>
          <w:tcPr>
            <w:tcW w:w="146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7"/>
                <w:szCs w:val="17"/>
                <w:b w:val="1"/>
                <w:bCs w:val="1"/>
                <w:color w:val="auto"/>
                <w:w w:val="91"/>
              </w:rPr>
              <w:t>Fair Value</w:t>
            </w:r>
          </w:p>
        </w:tc>
      </w:tr>
      <w:tr>
        <w:trPr>
          <w:trHeight w:val="201"/>
        </w:trPr>
        <w:tc>
          <w:tcPr>
            <w:tcW w:w="3780" w:type="dxa"/>
            <w:vAlign w:val="bottom"/>
          </w:tcPr>
          <w:p>
            <w:pPr>
              <w:spacing w:after="0"/>
              <w:rPr>
                <w:sz w:val="20"/>
                <w:szCs w:val="20"/>
                <w:color w:val="auto"/>
              </w:rPr>
            </w:pPr>
            <w:r>
              <w:rPr>
                <w:rFonts w:ascii="Arial" w:cs="Arial" w:eastAsia="Arial" w:hAnsi="Arial"/>
                <w:sz w:val="17"/>
                <w:szCs w:val="17"/>
                <w:color w:val="auto"/>
              </w:rPr>
              <w:t>Non-vested as of January 1,</w:t>
            </w:r>
          </w:p>
        </w:tc>
        <w:tc>
          <w:tcPr>
            <w:tcW w:w="1440" w:type="dxa"/>
            <w:vAlign w:val="bottom"/>
          </w:tcPr>
          <w:p>
            <w:pPr>
              <w:jc w:val="right"/>
              <w:ind w:right="216"/>
              <w:spacing w:after="0"/>
              <w:rPr>
                <w:sz w:val="20"/>
                <w:szCs w:val="20"/>
                <w:color w:val="auto"/>
              </w:rPr>
            </w:pPr>
            <w:r>
              <w:rPr>
                <w:rFonts w:ascii="Arial" w:cs="Arial" w:eastAsia="Arial" w:hAnsi="Arial"/>
                <w:sz w:val="17"/>
                <w:szCs w:val="17"/>
                <w:color w:val="auto"/>
              </w:rPr>
              <w:t>121,825</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$41.96</w:t>
            </w:r>
          </w:p>
        </w:tc>
        <w:tc>
          <w:tcPr>
            <w:tcW w:w="1040" w:type="dxa"/>
            <w:vAlign w:val="bottom"/>
          </w:tcPr>
          <w:p>
            <w:pPr>
              <w:jc w:val="right"/>
              <w:spacing w:after="0"/>
              <w:rPr>
                <w:sz w:val="20"/>
                <w:szCs w:val="20"/>
                <w:color w:val="auto"/>
              </w:rPr>
            </w:pPr>
            <w:r>
              <w:rPr>
                <w:rFonts w:ascii="Arial" w:cs="Arial" w:eastAsia="Arial" w:hAnsi="Arial"/>
                <w:sz w:val="17"/>
                <w:szCs w:val="17"/>
                <w:color w:val="auto"/>
              </w:rPr>
              <w:t>79,238</w:t>
            </w: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$47.94</w:t>
            </w:r>
          </w:p>
        </w:tc>
        <w:tc>
          <w:tcPr>
            <w:tcW w:w="1060" w:type="dxa"/>
            <w:vAlign w:val="bottom"/>
          </w:tcPr>
          <w:p>
            <w:pPr>
              <w:jc w:val="right"/>
              <w:spacing w:after="0"/>
              <w:rPr>
                <w:sz w:val="20"/>
                <w:szCs w:val="20"/>
                <w:color w:val="auto"/>
              </w:rPr>
            </w:pPr>
            <w:r>
              <w:rPr>
                <w:rFonts w:ascii="Arial" w:cs="Arial" w:eastAsia="Arial" w:hAnsi="Arial"/>
                <w:sz w:val="17"/>
                <w:szCs w:val="17"/>
                <w:color w:val="auto"/>
              </w:rPr>
              <w:t>68,501</w:t>
            </w: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$45.63</w:t>
            </w:r>
          </w:p>
        </w:tc>
      </w:tr>
      <w:tr>
        <w:trPr>
          <w:trHeight w:val="201"/>
        </w:trPr>
        <w:tc>
          <w:tcPr>
            <w:tcW w:w="3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14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49,302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$35.44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w:t>
            </w:r>
          </w:p>
        </w:tc>
        <w:tc>
          <w:tcPr>
            <w:tcW w:w="1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$35.06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36,684</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$54.05</w:t>
            </w:r>
          </w:p>
        </w:tc>
      </w:tr>
      <w:tr>
        <w:trPr>
          <w:trHeight w:val="201"/>
        </w:trPr>
        <w:tc>
          <w:tcPr>
            <w:tcW w:w="3780" w:type="dxa"/>
            <w:vAlign w:val="bottom"/>
          </w:tcPr>
          <w:p>
            <w:pPr>
              <w:ind w:left="160"/>
              <w:spacing w:after="0"/>
              <w:rPr>
                <w:sz w:val="20"/>
                <w:szCs w:val="20"/>
                <w:color w:val="auto"/>
              </w:rPr>
            </w:pPr>
            <w:r>
              <w:rPr>
                <w:rFonts w:ascii="Arial" w:cs="Arial" w:eastAsia="Arial" w:hAnsi="Arial"/>
                <w:sz w:val="17"/>
                <w:szCs w:val="17"/>
                <w:color w:val="auto"/>
              </w:rPr>
              <w:t>Unearned Grant Award</w:t>
            </w:r>
          </w:p>
        </w:tc>
        <w:tc>
          <w:tcPr>
            <w:tcW w:w="1440" w:type="dxa"/>
            <w:vAlign w:val="bottom"/>
          </w:tcPr>
          <w:p>
            <w:pPr>
              <w:jc w:val="right"/>
              <w:ind w:right="216"/>
              <w:spacing w:after="0"/>
              <w:rPr>
                <w:sz w:val="20"/>
                <w:szCs w:val="20"/>
                <w:color w:val="auto"/>
              </w:rPr>
            </w:pPr>
            <w:r>
              <w:rPr>
                <w:rFonts w:ascii="Arial" w:cs="Arial" w:eastAsia="Arial" w:hAnsi="Arial"/>
                <w:sz w:val="17"/>
                <w:szCs w:val="17"/>
                <w:color w:val="auto"/>
              </w:rPr>
              <w:t>(22,909)</w:t>
            </w: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$54.50</w:t>
            </w:r>
          </w:p>
        </w:tc>
        <w:tc>
          <w:tcPr>
            <w:tcW w:w="1040" w:type="dxa"/>
            <w:vAlign w:val="bottom"/>
          </w:tcPr>
          <w:p>
            <w:pPr>
              <w:jc w:val="right"/>
              <w:spacing w:after="0"/>
              <w:rPr>
                <w:sz w:val="20"/>
                <w:szCs w:val="20"/>
                <w:color w:val="auto"/>
              </w:rPr>
            </w:pPr>
            <w:r>
              <w:rPr>
                <w:rFonts w:ascii="Arial" w:cs="Arial" w:eastAsia="Arial" w:hAnsi="Arial"/>
                <w:sz w:val="17"/>
                <w:szCs w:val="17"/>
                <w:color w:val="auto"/>
              </w:rPr>
              <w:t>(24,615)</w:t>
            </w: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$41.97</w:t>
            </w:r>
          </w:p>
        </w:tc>
        <w:tc>
          <w:tcPr>
            <w:tcW w:w="1060" w:type="dxa"/>
            <w:vAlign w:val="bottom"/>
          </w:tcPr>
          <w:p>
            <w:pPr>
              <w:jc w:val="right"/>
              <w:spacing w:after="0"/>
              <w:rPr>
                <w:sz w:val="20"/>
                <w:szCs w:val="20"/>
                <w:color w:val="auto"/>
              </w:rPr>
            </w:pPr>
            <w:r>
              <w:rPr>
                <w:rFonts w:ascii="Arial" w:cs="Arial" w:eastAsia="Arial" w:hAnsi="Arial"/>
                <w:sz w:val="17"/>
                <w:szCs w:val="17"/>
                <w:color w:val="auto"/>
              </w:rPr>
              <w:t>(23,624)</w:t>
            </w: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$42.80</w:t>
            </w:r>
          </w:p>
        </w:tc>
      </w:tr>
      <w:tr>
        <w:trPr>
          <w:trHeight w:val="206"/>
        </w:trPr>
        <w:tc>
          <w:tcPr>
            <w:tcW w:w="3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Forfeited</w:t>
            </w:r>
          </w:p>
        </w:tc>
        <w:tc>
          <w:tcPr>
            <w:tcW w:w="14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(25,729)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$36.45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15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$38.78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$50.87</w:t>
            </w:r>
          </w:p>
        </w:tc>
      </w:tr>
      <w:tr>
        <w:trPr>
          <w:trHeight w:val="206"/>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Non-vested as of December 31,</w:t>
            </w: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122,489</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$38.15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121,825</w:t>
            </w:r>
          </w:p>
        </w:tc>
        <w:tc>
          <w:tcPr>
            <w:tcW w:w="15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$41.96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79,238</w:t>
            </w: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$47.94</w:t>
            </w:r>
          </w:p>
        </w:tc>
      </w:tr>
    </w:tbl>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Less than 0.1 million performance share were granted in February 2010 for the performance period ending in 2012. The ultimate issuance is contingent upon the attainment of certain future market goals of ALLETE during the performance periods. The grant date fair value of the performance share awards was $1.2 million.</w:t>
      </w:r>
    </w:p>
    <w:p>
      <w:pPr>
        <w:spacing w:after="0" w:line="14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No performance shares were awarded in February 2010 for the three year performance period ending in 2009, as performance targets were not met. However, in accordance with the accounting standards for stock compensation, no compensation expense previously recognized in connection with those grants will be reversed.</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Less than 0.1 million performance shares were awarded in February 2011 for the three year performance period ending in 2010. The grant date fair value of the shares awarded was $1.6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7"/>
                <w:szCs w:val="17"/>
                <w:b w:val="1"/>
                <w:bCs w:val="1"/>
                <w:color w:val="auto"/>
              </w:rPr>
              <w:t>Note 16.</w:t>
            </w: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Employee Stock and Incentive Plans (Continued)</w:t>
            </w: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2"/>
        </w:trPr>
        <w:tc>
          <w:tcPr>
            <w:tcW w:w="9960" w:type="dxa"/>
            <w:vAlign w:val="bottom"/>
            <w:gridSpan w:val="5"/>
          </w:tcPr>
          <w:p>
            <w:pPr>
              <w:spacing w:after="0"/>
              <w:rPr>
                <w:sz w:val="20"/>
                <w:szCs w:val="20"/>
                <w:color w:val="auto"/>
              </w:rPr>
            </w:pPr>
            <w:r>
              <w:rPr>
                <w:rFonts w:ascii="Arial" w:cs="Arial" w:eastAsia="Arial" w:hAnsi="Arial"/>
                <w:sz w:val="17"/>
                <w:szCs w:val="17"/>
                <w:i w:val="1"/>
                <w:iCs w:val="1"/>
                <w:color w:val="auto"/>
                <w:w w:val="97"/>
              </w:rPr>
              <w:t xml:space="preserve">Restricted Stock Units. </w:t>
            </w:r>
            <w:r>
              <w:rPr>
                <w:rFonts w:ascii="Arial" w:cs="Arial" w:eastAsia="Arial" w:hAnsi="Arial"/>
                <w:sz w:val="17"/>
                <w:szCs w:val="17"/>
                <w:color w:val="auto"/>
                <w:w w:val="97"/>
              </w:rPr>
              <w:t>The following table presents information regarding our available restricted stock units as of December 31, 2010.</w:t>
            </w:r>
          </w:p>
        </w:tc>
        <w:tc>
          <w:tcPr>
            <w:tcW w:w="1460" w:type="dxa"/>
            <w:vAlign w:val="bottom"/>
          </w:tcPr>
          <w:p>
            <w:pPr>
              <w:spacing w:after="0"/>
              <w:rPr>
                <w:sz w:val="24"/>
                <w:szCs w:val="24"/>
                <w:color w:val="auto"/>
              </w:rPr>
            </w:pPr>
          </w:p>
        </w:tc>
      </w:tr>
      <w:tr>
        <w:trPr>
          <w:trHeight w:val="201"/>
        </w:trPr>
        <w:tc>
          <w:tcPr>
            <w:tcW w:w="9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98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7"/>
                <w:szCs w:val="17"/>
                <w:b w:val="1"/>
                <w:bCs w:val="1"/>
                <w:color w:val="auto"/>
                <w:w w:val="89"/>
              </w:rPr>
              <w:t>2010</w:t>
            </w:r>
          </w:p>
        </w:tc>
        <w:tc>
          <w:tcPr>
            <w:tcW w:w="9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b w:val="1"/>
                <w:bCs w:val="1"/>
                <w:color w:val="auto"/>
                <w:w w:val="95"/>
              </w:rPr>
              <w:t>2009</w:t>
            </w:r>
          </w:p>
        </w:tc>
      </w:tr>
      <w:tr>
        <w:trPr>
          <w:trHeight w:val="201"/>
        </w:trPr>
        <w:tc>
          <w:tcPr>
            <w:tcW w:w="9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 Average</w:t>
            </w:r>
          </w:p>
        </w:tc>
        <w:tc>
          <w:tcPr>
            <w:tcW w:w="940" w:type="dxa"/>
            <w:vAlign w:val="bottom"/>
          </w:tcPr>
          <w:p>
            <w:pPr>
              <w:spacing w:after="0"/>
              <w:rPr>
                <w:sz w:val="17"/>
                <w:szCs w:val="17"/>
                <w:color w:val="auto"/>
              </w:rPr>
            </w:pPr>
          </w:p>
        </w:tc>
        <w:tc>
          <w:tcPr>
            <w:tcW w:w="1460" w:type="dxa"/>
            <w:vAlign w:val="bottom"/>
          </w:tcPr>
          <w:p>
            <w:pPr>
              <w:jc w:val="center"/>
              <w:ind w:left="16"/>
              <w:spacing w:after="0"/>
              <w:rPr>
                <w:sz w:val="20"/>
                <w:szCs w:val="20"/>
                <w:color w:val="auto"/>
              </w:rPr>
            </w:pPr>
            <w:r>
              <w:rPr>
                <w:rFonts w:ascii="Arial" w:cs="Arial" w:eastAsia="Arial" w:hAnsi="Arial"/>
                <w:sz w:val="17"/>
                <w:szCs w:val="17"/>
                <w:b w:val="1"/>
                <w:bCs w:val="1"/>
                <w:color w:val="auto"/>
                <w:w w:val="88"/>
              </w:rPr>
              <w:t>Weighted- Average</w:t>
            </w:r>
          </w:p>
        </w:tc>
      </w:tr>
      <w:tr>
        <w:trPr>
          <w:trHeight w:val="201"/>
        </w:trPr>
        <w:tc>
          <w:tcPr>
            <w:tcW w:w="98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Number of</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Grant Date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Number of</w:t>
            </w:r>
          </w:p>
        </w:tc>
        <w:tc>
          <w:tcPr>
            <w:tcW w:w="1460" w:type="dxa"/>
            <w:vAlign w:val="bottom"/>
            <w:shd w:val="clear" w:color="auto" w:fill="CCEEFF"/>
          </w:tcPr>
          <w:p>
            <w:pPr>
              <w:jc w:val="center"/>
              <w:ind w:left="16"/>
              <w:spacing w:after="0"/>
              <w:rPr>
                <w:sz w:val="20"/>
                <w:szCs w:val="20"/>
                <w:color w:val="auto"/>
              </w:rPr>
            </w:pPr>
            <w:r>
              <w:rPr>
                <w:rFonts w:ascii="Arial" w:cs="Arial" w:eastAsia="Arial" w:hAnsi="Arial"/>
                <w:sz w:val="17"/>
                <w:szCs w:val="17"/>
                <w:b w:val="1"/>
                <w:bCs w:val="1"/>
                <w:color w:val="auto"/>
                <w:w w:val="91"/>
              </w:rPr>
              <w:t>Grant Date</w:t>
            </w:r>
          </w:p>
        </w:tc>
      </w:tr>
      <w:tr>
        <w:trPr>
          <w:trHeight w:val="206"/>
        </w:trPr>
        <w:tc>
          <w:tcPr>
            <w:tcW w:w="9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Shares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Fair Value</w:t>
            </w: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Shares</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7"/>
                <w:szCs w:val="17"/>
                <w:b w:val="1"/>
                <w:bCs w:val="1"/>
                <w:color w:val="auto"/>
                <w:w w:val="93"/>
              </w:rPr>
              <w:t>Fair Value</w:t>
            </w:r>
          </w:p>
        </w:tc>
      </w:tr>
      <w:tr>
        <w:trPr>
          <w:trHeight w:val="201"/>
        </w:trPr>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Available as of January 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28,983</w:t>
            </w: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$29.41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1"/>
        </w:trPr>
        <w:tc>
          <w:tcPr>
            <w:tcW w:w="980" w:type="dxa"/>
            <w:vAlign w:val="bottom"/>
          </w:tcPr>
          <w:p>
            <w:pPr>
              <w:ind w:left="160"/>
              <w:spacing w:after="0"/>
              <w:rPr>
                <w:sz w:val="20"/>
                <w:szCs w:val="20"/>
                <w:color w:val="auto"/>
              </w:rPr>
            </w:pPr>
            <w:r>
              <w:rPr>
                <w:rFonts w:ascii="Arial" w:cs="Arial" w:eastAsia="Arial" w:hAnsi="Arial"/>
                <w:sz w:val="17"/>
                <w:szCs w:val="17"/>
                <w:color w:val="auto"/>
              </w:rPr>
              <w:t>Granted</w:t>
            </w:r>
          </w:p>
        </w:tc>
        <w:tc>
          <w:tcPr>
            <w:tcW w:w="5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26,589</w:t>
            </w:r>
          </w:p>
        </w:tc>
        <w:tc>
          <w:tcPr>
            <w:tcW w:w="1540" w:type="dxa"/>
            <w:vAlign w:val="bottom"/>
          </w:tcPr>
          <w:p>
            <w:pPr>
              <w:jc w:val="right"/>
              <w:ind w:right="136"/>
              <w:spacing w:after="0"/>
              <w:rPr>
                <w:sz w:val="20"/>
                <w:szCs w:val="20"/>
                <w:color w:val="auto"/>
              </w:rPr>
            </w:pPr>
            <w:r>
              <w:rPr>
                <w:rFonts w:ascii="Arial" w:cs="Arial" w:eastAsia="Arial" w:hAnsi="Arial"/>
                <w:sz w:val="17"/>
                <w:szCs w:val="17"/>
                <w:color w:val="auto"/>
              </w:rPr>
              <w:t>$31.83</w:t>
            </w:r>
          </w:p>
        </w:tc>
        <w:tc>
          <w:tcPr>
            <w:tcW w:w="940" w:type="dxa"/>
            <w:vAlign w:val="bottom"/>
          </w:tcPr>
          <w:p>
            <w:pPr>
              <w:jc w:val="right"/>
              <w:spacing w:after="0"/>
              <w:rPr>
                <w:sz w:val="20"/>
                <w:szCs w:val="20"/>
                <w:color w:val="auto"/>
              </w:rPr>
            </w:pPr>
            <w:r>
              <w:rPr>
                <w:rFonts w:ascii="Arial" w:cs="Arial" w:eastAsia="Arial" w:hAnsi="Arial"/>
                <w:sz w:val="17"/>
                <w:szCs w:val="17"/>
                <w:color w:val="auto"/>
              </w:rPr>
              <w:t>30,465</w:t>
            </w:r>
          </w:p>
        </w:tc>
        <w:tc>
          <w:tcPr>
            <w:tcW w:w="1460" w:type="dxa"/>
            <w:vAlign w:val="bottom"/>
          </w:tcPr>
          <w:p>
            <w:pPr>
              <w:jc w:val="right"/>
              <w:spacing w:after="0"/>
              <w:rPr>
                <w:sz w:val="20"/>
                <w:szCs w:val="20"/>
                <w:color w:val="auto"/>
              </w:rPr>
            </w:pPr>
            <w:r>
              <w:rPr>
                <w:rFonts w:ascii="Arial" w:cs="Arial" w:eastAsia="Arial" w:hAnsi="Arial"/>
                <w:sz w:val="17"/>
                <w:szCs w:val="17"/>
                <w:color w:val="auto"/>
              </w:rPr>
              <w:t>$29.41</w:t>
            </w:r>
          </w:p>
        </w:tc>
      </w:tr>
      <w:tr>
        <w:trPr>
          <w:trHeight w:val="201"/>
        </w:trPr>
        <w:tc>
          <w:tcPr>
            <w:tcW w:w="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Awarded</w:t>
            </w:r>
          </w:p>
        </w:tc>
        <w:tc>
          <w:tcPr>
            <w:tcW w:w="5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w:t>
            </w: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$29.75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Forfeited</w:t>
            </w:r>
          </w:p>
        </w:tc>
        <w:tc>
          <w:tcPr>
            <w:tcW w:w="5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(8,678)</w:t>
            </w:r>
          </w:p>
        </w:tc>
        <w:tc>
          <w:tcPr>
            <w:tcW w:w="15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$30.62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$29.41</w:t>
            </w:r>
          </w:p>
        </w:tc>
      </w:tr>
      <w:tr>
        <w:trPr>
          <w:trHeight w:val="206"/>
        </w:trPr>
        <w:tc>
          <w:tcPr>
            <w:tcW w:w="6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Available as of December 31,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43,803</w:t>
            </w:r>
          </w:p>
        </w:tc>
        <w:tc>
          <w:tcPr>
            <w:tcW w:w="15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$30.61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$29.41</w:t>
            </w:r>
          </w:p>
        </w:tc>
      </w:tr>
    </w:tbl>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Less than 0.1 million restricted stock units were granted in February 2010 for the vesting period ending in 2012. The grant date fair value of the restricted stock unit awards was $0.7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Less than 0.05 million restricted stock units were awarded in 2010. The grant date fair value of the shares awarded was $0.1 million.</w:t>
      </w:r>
    </w:p>
    <w:p>
      <w:pPr>
        <w:spacing w:after="0" w:line="200" w:lineRule="exact"/>
        <w:rPr>
          <w:sz w:val="20"/>
          <w:szCs w:val="20"/>
          <w:color w:val="auto"/>
        </w:rPr>
      </w:pPr>
    </w:p>
    <w:p>
      <w:pPr>
        <w:spacing w:after="0" w:line="20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Derivatives</w:t>
      </w:r>
    </w:p>
    <w:p>
      <w:pPr>
        <w:spacing w:after="0" w:line="2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Occasionally we enter into financial derivative instruments to manage price risk for certain power marketing contracts. Changes in a derivatives’ fair value are recognized currently in earnings unless specific hedge accounting criteria is met. The mark-to-market fluctuations on any cash flow hedge are recorded in other comprehensive income on the consolidated balance sheet. During 2010, we did not enter into any new derivative instruments, and have no outstanding derivative contracts at December 31, 2010. There were no changes in fair value of derivatives recognized in 2010 in earnings, and no mark-to market changes in cash flow hedges recorded in 2010.</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2009 we entered into two types of financial derivative instruments consisting of cash flow hedges for an energy sale that included pricing based on daily natural gas prices, and FTRs purchased to manage congestion risk for forward power sales contracts. As of December 31, 2009, approximately $0.7 million remained in other assets on our consolidated balance sheet for FTRs, which settled monthly throughout the first five months of 2010 at cost. During 2009, changes in the fair value of outstanding derivatives resulted in the recognition of $.04 million of revenue in the first two quarters, and a decrease in revenue of $0.4 million in the third quarter of 2009 when the energy swap contract ended. The mark-to-market fluctuations on the cash flow hedge in 2009 were recorded in other comprehensive income as a $0.1 milli on increase in fair value in the first quarter and a decrease of $0.1 million in the second quarter of 2009.</w:t>
      </w:r>
    </w:p>
    <w:p>
      <w:pPr>
        <w:spacing w:after="0" w:line="363"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Note 18.</w:t>
      </w:r>
      <w:r>
        <w:rPr>
          <w:sz w:val="20"/>
          <w:szCs w:val="20"/>
          <w:color w:val="auto"/>
        </w:rPr>
        <w:tab/>
      </w:r>
      <w:r>
        <w:rPr>
          <w:rFonts w:ascii="Arial" w:cs="Arial" w:eastAsia="Arial" w:hAnsi="Arial"/>
          <w:sz w:val="15"/>
          <w:szCs w:val="15"/>
          <w:b w:val="1"/>
          <w:bCs w:val="1"/>
          <w:color w:val="auto"/>
        </w:rPr>
        <w:t>Quarterly Financial Data (Unaudited)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Information for any one quarterly period is not necessarily indicative of the results which may be expected for the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Quarter Ended</w:t>
            </w:r>
          </w:p>
        </w:tc>
        <w:tc>
          <w:tcPr>
            <w:tcW w:w="3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Mar. 31</w:t>
            </w:r>
          </w:p>
        </w:tc>
        <w:tc>
          <w:tcPr>
            <w:tcW w:w="12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Jun. 30</w:t>
            </w:r>
          </w:p>
        </w:tc>
        <w:tc>
          <w:tcPr>
            <w:tcW w:w="12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Sept. 30</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b w:val="1"/>
                <w:bCs w:val="1"/>
                <w:color w:val="auto"/>
              </w:rPr>
              <w:t>Dec. 31</w:t>
            </w:r>
          </w:p>
        </w:tc>
      </w:tr>
      <w:tr>
        <w:trPr>
          <w:trHeight w:val="201"/>
        </w:trPr>
        <w:tc>
          <w:tcPr>
            <w:tcW w:w="4660" w:type="dxa"/>
            <w:vAlign w:val="bottom"/>
          </w:tcPr>
          <w:p>
            <w:pPr>
              <w:spacing w:after="0"/>
              <w:rPr>
                <w:sz w:val="20"/>
                <w:szCs w:val="20"/>
                <w:color w:val="auto"/>
              </w:rPr>
            </w:pPr>
            <w:r>
              <w:rPr>
                <w:rFonts w:ascii="Arial" w:cs="Arial" w:eastAsia="Arial" w:hAnsi="Arial"/>
                <w:sz w:val="17"/>
                <w:szCs w:val="17"/>
                <w:b w:val="1"/>
                <w:bCs w:val="1"/>
                <w:color w:val="auto"/>
              </w:rPr>
              <w:t>Millions Except Earnings Per Share</w:t>
            </w:r>
          </w:p>
        </w:tc>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30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4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Revenue</w:t>
            </w:r>
          </w:p>
        </w:tc>
        <w:tc>
          <w:tcPr>
            <w:tcW w:w="3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$233.6</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$211.2</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$224.1</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$238.1</w:t>
            </w:r>
          </w:p>
        </w:tc>
      </w:tr>
      <w:tr>
        <w:trPr>
          <w:trHeight w:val="20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$46.1</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$31.7</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$35.3</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$22.7</w:t>
            </w:r>
          </w:p>
        </w:tc>
      </w:tr>
      <w:tr>
        <w:trPr>
          <w:trHeight w:val="206"/>
        </w:trPr>
        <w:tc>
          <w:tcPr>
            <w:tcW w:w="4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Attributable to ALLETE</w:t>
            </w:r>
          </w:p>
        </w:tc>
        <w:tc>
          <w:tcPr>
            <w:tcW w:w="3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$23.0</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$19.4</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$19.6</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$13.3</w:t>
            </w: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 of Common Stock</w:t>
            </w:r>
          </w:p>
        </w:tc>
        <w:tc>
          <w:tcPr>
            <w:tcW w:w="30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Basic</w:t>
            </w:r>
          </w:p>
        </w:tc>
        <w:tc>
          <w:tcPr>
            <w:tcW w:w="3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$0.68</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$0.57</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$0.57</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$0.38</w:t>
            </w:r>
          </w:p>
        </w:tc>
      </w:tr>
      <w:tr>
        <w:trPr>
          <w:trHeight w:val="206"/>
        </w:trPr>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3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$0.68</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$0.57</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$0.56</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$0.38</w:t>
            </w:r>
          </w:p>
        </w:tc>
      </w:tr>
      <w:tr>
        <w:trPr>
          <w:trHeight w:val="402"/>
        </w:trPr>
        <w:tc>
          <w:tcPr>
            <w:tcW w:w="466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$199.6</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$164.7</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$178.8</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$216.0</w:t>
            </w:r>
          </w:p>
        </w:tc>
      </w:tr>
      <w:tr>
        <w:trPr>
          <w:trHeight w:val="206"/>
        </w:trPr>
        <w:tc>
          <w:tcPr>
            <w:tcW w:w="4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Income</w:t>
            </w:r>
          </w:p>
        </w:tc>
        <w:tc>
          <w:tcPr>
            <w:tcW w:w="3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$31.1</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$15.7</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$25.4</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$33.8</w:t>
            </w:r>
          </w:p>
        </w:tc>
      </w:tr>
      <w:tr>
        <w:trPr>
          <w:trHeight w:val="20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Income Attributable to ALLETE</w:t>
            </w:r>
          </w:p>
        </w:tc>
        <w:tc>
          <w:tcPr>
            <w:tcW w:w="3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$16.9</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$9.4</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$16.0</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$18.7</w:t>
            </w: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Earnings Per Share of Common Stock</w:t>
            </w:r>
          </w:p>
        </w:tc>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30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$0.55</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$0.29</w:t>
            </w:r>
          </w:p>
        </w:tc>
        <w:tc>
          <w:tcPr>
            <w:tcW w:w="12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$0.49</w:t>
            </w:r>
          </w:p>
        </w:tc>
        <w:tc>
          <w:tcPr>
            <w:tcW w:w="1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$0.56</w:t>
            </w:r>
          </w:p>
        </w:tc>
      </w:tr>
      <w:tr>
        <w:trPr>
          <w:trHeight w:val="206"/>
        </w:trPr>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Diluted</w:t>
            </w:r>
          </w:p>
        </w:tc>
        <w:tc>
          <w:tcPr>
            <w:tcW w:w="3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$0.55</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$0.29</w:t>
            </w: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$0.49</w:t>
            </w: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$0.56</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6059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Schedule 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and Qualifying Accounts and Reserves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ind w:left="596"/>
              <w:spacing w:after="0"/>
              <w:rPr>
                <w:sz w:val="20"/>
                <w:szCs w:val="20"/>
                <w:color w:val="auto"/>
              </w:rPr>
            </w:pPr>
            <w:r>
              <w:rPr>
                <w:rFonts w:ascii="Arial" w:cs="Arial" w:eastAsia="Arial" w:hAnsi="Arial"/>
                <w:sz w:val="17"/>
                <w:szCs w:val="17"/>
                <w:b w:val="1"/>
                <w:bCs w:val="1"/>
                <w:color w:val="auto"/>
                <w:w w:val="89"/>
              </w:rPr>
              <w:t>Balance at</w:t>
            </w:r>
          </w:p>
        </w:tc>
        <w:tc>
          <w:tcPr>
            <w:tcW w:w="2500" w:type="dxa"/>
            <w:vAlign w:val="bottom"/>
            <w:gridSpan w:val="2"/>
            <w:shd w:val="clear" w:color="auto" w:fill="CCEEFF"/>
          </w:tcPr>
          <w:p>
            <w:pPr>
              <w:ind w:left="880"/>
              <w:spacing w:after="0"/>
              <w:rPr>
                <w:sz w:val="20"/>
                <w:szCs w:val="20"/>
                <w:color w:val="auto"/>
              </w:rPr>
            </w:pPr>
            <w:r>
              <w:rPr>
                <w:rFonts w:ascii="Arial" w:cs="Arial" w:eastAsia="Arial" w:hAnsi="Arial"/>
                <w:sz w:val="17"/>
                <w:szCs w:val="17"/>
                <w:b w:val="1"/>
                <w:bCs w:val="1"/>
                <w:color w:val="auto"/>
              </w:rPr>
              <w:t>Additions</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Deductions</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Balance at</w:t>
            </w:r>
          </w:p>
        </w:tc>
      </w:tr>
      <w:tr>
        <w:trPr>
          <w:trHeight w:val="201"/>
        </w:trPr>
        <w:tc>
          <w:tcPr>
            <w:tcW w:w="6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20" w:type="dxa"/>
            <w:vAlign w:val="bottom"/>
          </w:tcPr>
          <w:p>
            <w:pPr>
              <w:jc w:val="center"/>
              <w:ind w:left="596"/>
              <w:spacing w:after="0"/>
              <w:rPr>
                <w:sz w:val="20"/>
                <w:szCs w:val="20"/>
                <w:color w:val="auto"/>
              </w:rPr>
            </w:pPr>
            <w:r>
              <w:rPr>
                <w:rFonts w:ascii="Arial" w:cs="Arial" w:eastAsia="Arial" w:hAnsi="Arial"/>
                <w:sz w:val="17"/>
                <w:szCs w:val="17"/>
                <w:b w:val="1"/>
                <w:bCs w:val="1"/>
                <w:color w:val="auto"/>
                <w:w w:val="86"/>
              </w:rPr>
              <w:t>Beginning</w:t>
            </w:r>
          </w:p>
        </w:tc>
        <w:tc>
          <w:tcPr>
            <w:tcW w:w="1320" w:type="dxa"/>
            <w:vAlign w:val="bottom"/>
          </w:tcPr>
          <w:p>
            <w:pPr>
              <w:jc w:val="right"/>
              <w:ind w:right="336"/>
              <w:spacing w:after="0"/>
              <w:rPr>
                <w:sz w:val="20"/>
                <w:szCs w:val="20"/>
                <w:color w:val="auto"/>
              </w:rPr>
            </w:pPr>
            <w:r>
              <w:rPr>
                <w:rFonts w:ascii="Arial" w:cs="Arial" w:eastAsia="Arial" w:hAnsi="Arial"/>
                <w:sz w:val="17"/>
                <w:szCs w:val="17"/>
                <w:b w:val="1"/>
                <w:bCs w:val="1"/>
                <w:color w:val="auto"/>
              </w:rPr>
              <w:t>Charged</w:t>
            </w:r>
          </w:p>
        </w:tc>
        <w:tc>
          <w:tcPr>
            <w:tcW w:w="1180" w:type="dxa"/>
            <w:vAlign w:val="bottom"/>
          </w:tcPr>
          <w:p>
            <w:pPr>
              <w:ind w:left="300"/>
              <w:spacing w:after="0"/>
              <w:rPr>
                <w:sz w:val="20"/>
                <w:szCs w:val="20"/>
                <w:color w:val="auto"/>
              </w:rPr>
            </w:pPr>
            <w:r>
              <w:rPr>
                <w:rFonts w:ascii="Arial" w:cs="Arial" w:eastAsia="Arial" w:hAnsi="Arial"/>
                <w:sz w:val="17"/>
                <w:szCs w:val="17"/>
                <w:b w:val="1"/>
                <w:bCs w:val="1"/>
                <w:color w:val="auto"/>
              </w:rPr>
              <w:t>Other</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5"/>
              </w:rPr>
              <w:t>from</w:t>
            </w:r>
          </w:p>
        </w:tc>
        <w:tc>
          <w:tcPr>
            <w:tcW w:w="1360" w:type="dxa"/>
            <w:vAlign w:val="bottom"/>
          </w:tcPr>
          <w:p>
            <w:pPr>
              <w:jc w:val="right"/>
              <w:ind w:right="376"/>
              <w:spacing w:after="0"/>
              <w:rPr>
                <w:sz w:val="20"/>
                <w:szCs w:val="20"/>
                <w:color w:val="auto"/>
              </w:rPr>
            </w:pPr>
            <w:r>
              <w:rPr>
                <w:rFonts w:ascii="Arial" w:cs="Arial" w:eastAsia="Arial" w:hAnsi="Arial"/>
                <w:sz w:val="17"/>
                <w:szCs w:val="17"/>
                <w:b w:val="1"/>
                <w:bCs w:val="1"/>
                <w:color w:val="auto"/>
              </w:rPr>
              <w:t>End of</w:t>
            </w:r>
          </w:p>
        </w:tc>
      </w:tr>
      <w:tr>
        <w:trPr>
          <w:trHeight w:val="206"/>
        </w:trPr>
        <w:tc>
          <w:tcPr>
            <w:tcW w:w="660" w:type="dxa"/>
            <w:vAlign w:val="bottom"/>
            <w:tcBorders>
              <w:bottom w:val="single" w:sz="8" w:color="auto"/>
            </w:tcBorders>
            <w:shd w:val="clear" w:color="auto" w:fill="CCEEFF"/>
          </w:tcPr>
          <w:p>
            <w:pPr>
              <w:spacing w:after="0"/>
              <w:rPr>
                <w:sz w:val="17"/>
                <w:szCs w:val="17"/>
                <w:color w:val="auto"/>
              </w:rPr>
            </w:pPr>
          </w:p>
        </w:tc>
        <w:tc>
          <w:tcPr>
            <w:tcW w:w="338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7"/>
                <w:szCs w:val="17"/>
                <w:b w:val="1"/>
                <w:bCs w:val="1"/>
                <w:color w:val="auto"/>
                <w:w w:val="89"/>
              </w:rPr>
              <w:t>of Period</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b w:val="1"/>
                <w:bCs w:val="1"/>
                <w:color w:val="auto"/>
              </w:rPr>
              <w:t>to Income</w:t>
            </w:r>
          </w:p>
        </w:tc>
        <w:tc>
          <w:tcPr>
            <w:tcW w:w="1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Charges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 xml:space="preserve">Reserves </w:t>
            </w:r>
            <w:r>
              <w:rPr>
                <w:rFonts w:ascii="Arial" w:cs="Arial" w:eastAsia="Arial" w:hAnsi="Arial"/>
                <w:sz w:val="17"/>
                <w:szCs w:val="17"/>
                <w:b w:val="1"/>
                <w:bCs w:val="1"/>
                <w:i w:val="1"/>
                <w:iCs w:val="1"/>
                <w:color w:val="auto"/>
                <w:w w:val="86"/>
              </w:rPr>
              <w:t>(a)</w:t>
            </w:r>
          </w:p>
        </w:tc>
        <w:tc>
          <w:tcPr>
            <w:tcW w:w="13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Period</w:t>
            </w:r>
          </w:p>
        </w:tc>
      </w:tr>
      <w:tr>
        <w:trPr>
          <w:trHeight w:val="201"/>
        </w:trPr>
        <w:tc>
          <w:tcPr>
            <w:tcW w:w="66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Reserve Deducted from Related Assets</w:t>
            </w:r>
          </w:p>
        </w:tc>
        <w:tc>
          <w:tcPr>
            <w:tcW w:w="2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1"/>
        </w:trPr>
        <w:tc>
          <w:tcPr>
            <w:tcW w:w="4040" w:type="dxa"/>
            <w:vAlign w:val="bottom"/>
            <w:gridSpan w:val="2"/>
          </w:tcPr>
          <w:p>
            <w:pPr>
              <w:ind w:left="160"/>
              <w:spacing w:after="0"/>
              <w:rPr>
                <w:sz w:val="20"/>
                <w:szCs w:val="20"/>
                <w:color w:val="auto"/>
              </w:rPr>
            </w:pPr>
            <w:r>
              <w:rPr>
                <w:rFonts w:ascii="Arial" w:cs="Arial" w:eastAsia="Arial" w:hAnsi="Arial"/>
                <w:sz w:val="17"/>
                <w:szCs w:val="17"/>
                <w:color w:val="auto"/>
              </w:rPr>
              <w:t>Reserve For Uncollectible Accounts</w:t>
            </w:r>
          </w:p>
        </w:tc>
        <w:tc>
          <w:tcPr>
            <w:tcW w:w="2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3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 Accounts Receivable</w:t>
            </w:r>
          </w:p>
        </w:tc>
        <w:tc>
          <w:tcPr>
            <w:tcW w:w="21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$1.0</w:t>
            </w:r>
          </w:p>
        </w:tc>
        <w:tc>
          <w:tcPr>
            <w:tcW w:w="1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$1.3</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$0.7</w:t>
            </w:r>
          </w:p>
        </w:tc>
      </w:tr>
      <w:tr>
        <w:trPr>
          <w:trHeight w:val="201"/>
        </w:trPr>
        <w:tc>
          <w:tcPr>
            <w:tcW w:w="660" w:type="dxa"/>
            <w:vAlign w:val="bottom"/>
          </w:tcPr>
          <w:p>
            <w:pPr>
              <w:spacing w:after="0"/>
              <w:rPr>
                <w:sz w:val="17"/>
                <w:szCs w:val="17"/>
                <w:color w:val="auto"/>
              </w:rPr>
            </w:pPr>
          </w:p>
        </w:tc>
        <w:tc>
          <w:tcPr>
            <w:tcW w:w="3380" w:type="dxa"/>
            <w:vAlign w:val="bottom"/>
          </w:tcPr>
          <w:p>
            <w:pPr>
              <w:ind w:left="20"/>
              <w:spacing w:after="0"/>
              <w:rPr>
                <w:sz w:val="20"/>
                <w:szCs w:val="20"/>
                <w:color w:val="auto"/>
              </w:rPr>
            </w:pPr>
            <w:r>
              <w:rPr>
                <w:rFonts w:ascii="Arial" w:cs="Arial" w:eastAsia="Arial" w:hAnsi="Arial"/>
                <w:sz w:val="17"/>
                <w:szCs w:val="17"/>
                <w:color w:val="auto"/>
              </w:rPr>
              <w:t>Finance Receivables – Long-Term</w:t>
            </w:r>
          </w:p>
        </w:tc>
        <w:tc>
          <w:tcPr>
            <w:tcW w:w="2120" w:type="dxa"/>
            <w:vAlign w:val="bottom"/>
          </w:tcPr>
          <w:p>
            <w:pPr>
              <w:jc w:val="right"/>
              <w:ind w:right="156"/>
              <w:spacing w:after="0"/>
              <w:rPr>
                <w:sz w:val="20"/>
                <w:szCs w:val="20"/>
                <w:color w:val="auto"/>
              </w:rPr>
            </w:pPr>
            <w:r>
              <w:rPr>
                <w:rFonts w:ascii="Arial" w:cs="Arial" w:eastAsia="Arial" w:hAnsi="Arial"/>
                <w:sz w:val="17"/>
                <w:szCs w:val="17"/>
                <w:color w:val="auto"/>
              </w:rPr>
              <w:t>$0.2</w:t>
            </w:r>
          </w:p>
        </w:tc>
        <w:tc>
          <w:tcPr>
            <w:tcW w:w="13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1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56"/>
              <w:spacing w:after="0"/>
              <w:rPr>
                <w:sz w:val="20"/>
                <w:szCs w:val="20"/>
                <w:color w:val="auto"/>
              </w:rPr>
            </w:pPr>
            <w:r>
              <w:rPr>
                <w:rFonts w:ascii="Arial" w:cs="Arial" w:eastAsia="Arial" w:hAnsi="Arial"/>
                <w:sz w:val="17"/>
                <w:szCs w:val="17"/>
                <w:color w:val="auto"/>
              </w:rPr>
              <w:t>$0.1</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$0.1</w:t>
            </w:r>
          </w:p>
        </w:tc>
      </w:tr>
      <w:tr>
        <w:trPr>
          <w:trHeight w:val="201"/>
        </w:trPr>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3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 Accounts Receivable</w:t>
            </w:r>
          </w:p>
        </w:tc>
        <w:tc>
          <w:tcPr>
            <w:tcW w:w="21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$0.7</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$1.3</w:t>
            </w:r>
          </w:p>
        </w:tc>
        <w:tc>
          <w:tcPr>
            <w:tcW w:w="1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$1.1</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$0.9</w:t>
            </w:r>
          </w:p>
        </w:tc>
      </w:tr>
      <w:tr>
        <w:trPr>
          <w:trHeight w:val="201"/>
        </w:trPr>
        <w:tc>
          <w:tcPr>
            <w:tcW w:w="660" w:type="dxa"/>
            <w:vAlign w:val="bottom"/>
          </w:tcPr>
          <w:p>
            <w:pPr>
              <w:spacing w:after="0"/>
              <w:rPr>
                <w:sz w:val="17"/>
                <w:szCs w:val="17"/>
                <w:color w:val="auto"/>
              </w:rPr>
            </w:pPr>
          </w:p>
        </w:tc>
        <w:tc>
          <w:tcPr>
            <w:tcW w:w="3380" w:type="dxa"/>
            <w:vAlign w:val="bottom"/>
          </w:tcPr>
          <w:p>
            <w:pPr>
              <w:ind w:left="20"/>
              <w:spacing w:after="0"/>
              <w:rPr>
                <w:sz w:val="20"/>
                <w:szCs w:val="20"/>
                <w:color w:val="auto"/>
              </w:rPr>
            </w:pPr>
            <w:r>
              <w:rPr>
                <w:rFonts w:ascii="Arial" w:cs="Arial" w:eastAsia="Arial" w:hAnsi="Arial"/>
                <w:sz w:val="17"/>
                <w:szCs w:val="17"/>
                <w:color w:val="auto"/>
              </w:rPr>
              <w:t>Finance Receivables – Long-Term</w:t>
            </w:r>
          </w:p>
        </w:tc>
        <w:tc>
          <w:tcPr>
            <w:tcW w:w="2120" w:type="dxa"/>
            <w:vAlign w:val="bottom"/>
          </w:tcPr>
          <w:p>
            <w:pPr>
              <w:jc w:val="right"/>
              <w:ind w:right="156"/>
              <w:spacing w:after="0"/>
              <w:rPr>
                <w:sz w:val="20"/>
                <w:szCs w:val="20"/>
                <w:color w:val="auto"/>
              </w:rPr>
            </w:pPr>
            <w:r>
              <w:rPr>
                <w:rFonts w:ascii="Arial" w:cs="Arial" w:eastAsia="Arial" w:hAnsi="Arial"/>
                <w:sz w:val="17"/>
                <w:szCs w:val="17"/>
                <w:color w:val="auto"/>
              </w:rPr>
              <w:t>$0.1</w:t>
            </w:r>
          </w:p>
        </w:tc>
        <w:tc>
          <w:tcPr>
            <w:tcW w:w="1320" w:type="dxa"/>
            <w:vAlign w:val="bottom"/>
          </w:tcPr>
          <w:p>
            <w:pPr>
              <w:jc w:val="right"/>
              <w:ind w:right="216"/>
              <w:spacing w:after="0"/>
              <w:rPr>
                <w:sz w:val="20"/>
                <w:szCs w:val="20"/>
                <w:color w:val="auto"/>
              </w:rPr>
            </w:pPr>
            <w:r>
              <w:rPr>
                <w:rFonts w:ascii="Arial" w:cs="Arial" w:eastAsia="Arial" w:hAnsi="Arial"/>
                <w:sz w:val="17"/>
                <w:szCs w:val="17"/>
                <w:color w:val="auto"/>
              </w:rPr>
              <w:t>$0.3</w:t>
            </w:r>
          </w:p>
        </w:tc>
        <w:tc>
          <w:tcPr>
            <w:tcW w:w="11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$0.4</w:t>
            </w:r>
          </w:p>
        </w:tc>
      </w:tr>
      <w:tr>
        <w:trPr>
          <w:trHeight w:val="201"/>
        </w:trPr>
        <w:tc>
          <w:tcPr>
            <w:tcW w:w="6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1"/>
        </w:trPr>
        <w:tc>
          <w:tcPr>
            <w:tcW w:w="660" w:type="dxa"/>
            <w:vAlign w:val="bottom"/>
          </w:tcPr>
          <w:p>
            <w:pPr>
              <w:jc w:val="right"/>
              <w:spacing w:after="0"/>
              <w:rPr>
                <w:sz w:val="20"/>
                <w:szCs w:val="20"/>
                <w:color w:val="auto"/>
              </w:rPr>
            </w:pPr>
            <w:r>
              <w:rPr>
                <w:rFonts w:ascii="Arial" w:cs="Arial" w:eastAsia="Arial" w:hAnsi="Arial"/>
                <w:sz w:val="17"/>
                <w:szCs w:val="17"/>
                <w:color w:val="auto"/>
              </w:rPr>
              <w:t>2010</w:t>
            </w:r>
          </w:p>
        </w:tc>
        <w:tc>
          <w:tcPr>
            <w:tcW w:w="3380" w:type="dxa"/>
            <w:vAlign w:val="bottom"/>
          </w:tcPr>
          <w:p>
            <w:pPr>
              <w:ind w:left="60"/>
              <w:spacing w:after="0"/>
              <w:rPr>
                <w:sz w:val="20"/>
                <w:szCs w:val="20"/>
                <w:color w:val="auto"/>
              </w:rPr>
            </w:pPr>
            <w:r>
              <w:rPr>
                <w:rFonts w:ascii="Arial" w:cs="Arial" w:eastAsia="Arial" w:hAnsi="Arial"/>
                <w:sz w:val="17"/>
                <w:szCs w:val="17"/>
                <w:color w:val="auto"/>
              </w:rPr>
              <w:t>Trade Accounts Receivable</w:t>
            </w:r>
          </w:p>
        </w:tc>
        <w:tc>
          <w:tcPr>
            <w:tcW w:w="2120" w:type="dxa"/>
            <w:vAlign w:val="bottom"/>
          </w:tcPr>
          <w:p>
            <w:pPr>
              <w:jc w:val="right"/>
              <w:ind w:right="156"/>
              <w:spacing w:after="0"/>
              <w:rPr>
                <w:sz w:val="20"/>
                <w:szCs w:val="20"/>
                <w:color w:val="auto"/>
              </w:rPr>
            </w:pPr>
            <w:r>
              <w:rPr>
                <w:rFonts w:ascii="Arial" w:cs="Arial" w:eastAsia="Arial" w:hAnsi="Arial"/>
                <w:sz w:val="17"/>
                <w:szCs w:val="17"/>
                <w:color w:val="auto"/>
              </w:rPr>
              <w:t>$0.9</w:t>
            </w:r>
          </w:p>
        </w:tc>
        <w:tc>
          <w:tcPr>
            <w:tcW w:w="1320" w:type="dxa"/>
            <w:vAlign w:val="bottom"/>
          </w:tcPr>
          <w:p>
            <w:pPr>
              <w:jc w:val="right"/>
              <w:ind w:right="216"/>
              <w:spacing w:after="0"/>
              <w:rPr>
                <w:sz w:val="20"/>
                <w:szCs w:val="20"/>
                <w:color w:val="auto"/>
              </w:rPr>
            </w:pPr>
            <w:r>
              <w:rPr>
                <w:rFonts w:ascii="Arial" w:cs="Arial" w:eastAsia="Arial" w:hAnsi="Arial"/>
                <w:sz w:val="17"/>
                <w:szCs w:val="17"/>
                <w:color w:val="auto"/>
              </w:rPr>
              <w:t>$1.1</w:t>
            </w:r>
          </w:p>
        </w:tc>
        <w:tc>
          <w:tcPr>
            <w:tcW w:w="11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56"/>
              <w:spacing w:after="0"/>
              <w:rPr>
                <w:sz w:val="20"/>
                <w:szCs w:val="20"/>
                <w:color w:val="auto"/>
              </w:rPr>
            </w:pPr>
            <w:r>
              <w:rPr>
                <w:rFonts w:ascii="Arial" w:cs="Arial" w:eastAsia="Arial" w:hAnsi="Arial"/>
                <w:sz w:val="17"/>
                <w:szCs w:val="17"/>
                <w:color w:val="auto"/>
              </w:rPr>
              <w:t>$1.1</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$0.9</w:t>
            </w:r>
          </w:p>
        </w:tc>
      </w:tr>
      <w:tr>
        <w:trPr>
          <w:trHeight w:val="201"/>
        </w:trPr>
        <w:tc>
          <w:tcPr>
            <w:tcW w:w="660" w:type="dxa"/>
            <w:vAlign w:val="bottom"/>
            <w:shd w:val="clear" w:color="auto" w:fill="CCEEFF"/>
          </w:tcPr>
          <w:p>
            <w:pPr>
              <w:spacing w:after="0"/>
              <w:rPr>
                <w:sz w:val="17"/>
                <w:szCs w:val="17"/>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Receivables – Long-Term</w:t>
            </w:r>
          </w:p>
        </w:tc>
        <w:tc>
          <w:tcPr>
            <w:tcW w:w="21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$0.4</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$0.8</w:t>
            </w:r>
          </w:p>
        </w:tc>
        <w:tc>
          <w:tcPr>
            <w:tcW w:w="1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$ 0.4</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$0.8</w:t>
            </w:r>
          </w:p>
        </w:tc>
      </w:tr>
      <w:tr>
        <w:trPr>
          <w:trHeight w:val="201"/>
        </w:trPr>
        <w:tc>
          <w:tcPr>
            <w:tcW w:w="4040" w:type="dxa"/>
            <w:vAlign w:val="bottom"/>
            <w:gridSpan w:val="2"/>
          </w:tcPr>
          <w:p>
            <w:pPr>
              <w:ind w:left="160"/>
              <w:spacing w:after="0"/>
              <w:rPr>
                <w:sz w:val="20"/>
                <w:szCs w:val="20"/>
                <w:color w:val="auto"/>
              </w:rPr>
            </w:pPr>
            <w:r>
              <w:rPr>
                <w:rFonts w:ascii="Arial" w:cs="Arial" w:eastAsia="Arial" w:hAnsi="Arial"/>
                <w:sz w:val="17"/>
                <w:szCs w:val="17"/>
                <w:color w:val="auto"/>
              </w:rPr>
              <w:t>Deferred Asset Valuation Allowance</w:t>
            </w:r>
          </w:p>
        </w:tc>
        <w:tc>
          <w:tcPr>
            <w:tcW w:w="2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3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Deferred Tax Assets</w:t>
            </w:r>
          </w:p>
        </w:tc>
        <w:tc>
          <w:tcPr>
            <w:tcW w:w="21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$3.3</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 (2.9)</w:t>
            </w:r>
          </w:p>
        </w:tc>
        <w:tc>
          <w:tcPr>
            <w:tcW w:w="1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$0.4</w:t>
            </w:r>
          </w:p>
        </w:tc>
      </w:tr>
      <w:tr>
        <w:trPr>
          <w:trHeight w:val="201"/>
        </w:trPr>
        <w:tc>
          <w:tcPr>
            <w:tcW w:w="660" w:type="dxa"/>
            <w:vAlign w:val="bottom"/>
          </w:tcPr>
          <w:p>
            <w:pPr>
              <w:jc w:val="right"/>
              <w:spacing w:after="0"/>
              <w:rPr>
                <w:sz w:val="20"/>
                <w:szCs w:val="20"/>
                <w:color w:val="auto"/>
              </w:rPr>
            </w:pPr>
            <w:r>
              <w:rPr>
                <w:rFonts w:ascii="Arial" w:cs="Arial" w:eastAsia="Arial" w:hAnsi="Arial"/>
                <w:sz w:val="17"/>
                <w:szCs w:val="17"/>
                <w:color w:val="auto"/>
              </w:rPr>
              <w:t>2009</w:t>
            </w:r>
          </w:p>
        </w:tc>
        <w:tc>
          <w:tcPr>
            <w:tcW w:w="3380" w:type="dxa"/>
            <w:vAlign w:val="bottom"/>
          </w:tcPr>
          <w:p>
            <w:pPr>
              <w:ind w:left="60"/>
              <w:spacing w:after="0"/>
              <w:rPr>
                <w:sz w:val="20"/>
                <w:szCs w:val="20"/>
                <w:color w:val="auto"/>
              </w:rPr>
            </w:pPr>
            <w:r>
              <w:rPr>
                <w:rFonts w:ascii="Arial" w:cs="Arial" w:eastAsia="Arial" w:hAnsi="Arial"/>
                <w:sz w:val="17"/>
                <w:szCs w:val="17"/>
                <w:color w:val="auto"/>
              </w:rPr>
              <w:t>Deferred Tax Assets</w:t>
            </w:r>
          </w:p>
        </w:tc>
        <w:tc>
          <w:tcPr>
            <w:tcW w:w="2120" w:type="dxa"/>
            <w:vAlign w:val="bottom"/>
          </w:tcPr>
          <w:p>
            <w:pPr>
              <w:jc w:val="right"/>
              <w:ind w:right="156"/>
              <w:spacing w:after="0"/>
              <w:rPr>
                <w:sz w:val="20"/>
                <w:szCs w:val="20"/>
                <w:color w:val="auto"/>
              </w:rPr>
            </w:pPr>
            <w:r>
              <w:rPr>
                <w:rFonts w:ascii="Arial" w:cs="Arial" w:eastAsia="Arial" w:hAnsi="Arial"/>
                <w:sz w:val="17"/>
                <w:szCs w:val="17"/>
                <w:color w:val="auto"/>
              </w:rPr>
              <w:t>$0.4</w:t>
            </w:r>
          </w:p>
        </w:tc>
        <w:tc>
          <w:tcPr>
            <w:tcW w:w="1320" w:type="dxa"/>
            <w:vAlign w:val="bottom"/>
          </w:tcPr>
          <w:p>
            <w:pPr>
              <w:jc w:val="right"/>
              <w:ind w:right="156"/>
              <w:spacing w:after="0"/>
              <w:rPr>
                <w:sz w:val="20"/>
                <w:szCs w:val="20"/>
                <w:color w:val="auto"/>
              </w:rPr>
            </w:pPr>
            <w:r>
              <w:rPr>
                <w:rFonts w:ascii="Arial" w:cs="Arial" w:eastAsia="Arial" w:hAnsi="Arial"/>
                <w:sz w:val="17"/>
                <w:szCs w:val="17"/>
                <w:color w:val="auto"/>
              </w:rPr>
              <w:t>$ (0.1)</w:t>
            </w:r>
          </w:p>
        </w:tc>
        <w:tc>
          <w:tcPr>
            <w:tcW w:w="11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6"/>
              <w:spacing w:after="0"/>
              <w:rPr>
                <w:sz w:val="20"/>
                <w:szCs w:val="20"/>
                <w:color w:val="auto"/>
              </w:rPr>
            </w:pPr>
            <w:r>
              <w:rPr>
                <w:rFonts w:ascii="Arial" w:cs="Arial" w:eastAsia="Arial" w:hAnsi="Arial"/>
                <w:sz w:val="17"/>
                <w:szCs w:val="17"/>
                <w:color w:val="auto"/>
              </w:rPr>
              <w:t>$0.3</w:t>
            </w:r>
          </w:p>
        </w:tc>
      </w:tr>
      <w:tr>
        <w:trPr>
          <w:trHeight w:val="206"/>
        </w:trPr>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3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Deferred Tax Assets</w:t>
            </w:r>
          </w:p>
        </w:tc>
        <w:tc>
          <w:tcPr>
            <w:tcW w:w="21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$0.3</w:t>
            </w:r>
          </w:p>
        </w:tc>
        <w:tc>
          <w:tcPr>
            <w:tcW w:w="1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$0.2</w:t>
            </w:r>
          </w:p>
        </w:tc>
        <w:tc>
          <w:tcPr>
            <w:tcW w:w="11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$0.5</w:t>
            </w:r>
          </w:p>
        </w:tc>
      </w:tr>
    </w:tbl>
    <w:p>
      <w:pPr>
        <w:spacing w:after="0" w:line="189" w:lineRule="exact"/>
        <w:rPr>
          <w:sz w:val="20"/>
          <w:szCs w:val="20"/>
          <w:color w:val="auto"/>
        </w:rPr>
      </w:pPr>
    </w:p>
    <w:p>
      <w:pPr>
        <w:ind w:left="380" w:hanging="379"/>
        <w:spacing w:after="0"/>
        <w:tabs>
          <w:tab w:leader="none" w:pos="380"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Includes uncollectible accounts written off.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2010 Form 10-K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726059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10(h)1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AMENDED AND RESTATED</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EXECUTIVE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With Amendments through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370205</wp:posOffset>
            </wp:positionV>
            <wp:extent cx="726059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ALLETE</w:t>
      </w:r>
    </w:p>
    <w:p>
      <w:pPr>
        <w:jc w:val="center"/>
        <w:spacing w:after="0"/>
        <w:rPr>
          <w:sz w:val="20"/>
          <w:szCs w:val="20"/>
          <w:color w:val="auto"/>
        </w:rPr>
      </w:pPr>
      <w:r>
        <w:rPr>
          <w:rFonts w:ascii="Arial" w:cs="Arial" w:eastAsia="Arial" w:hAnsi="Arial"/>
          <w:sz w:val="20"/>
          <w:szCs w:val="20"/>
          <w:b w:val="1"/>
          <w:bCs w:val="1"/>
          <w:color w:val="auto"/>
        </w:rPr>
        <w:t>EXECUTIVE ANNUAL INCENTIVE PLAN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Article 1.Establishment and Purpose</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Establishment of the Plan</w:t>
      </w:r>
      <w:r>
        <w:rPr>
          <w:rFonts w:ascii="Arial" w:cs="Arial" w:eastAsia="Arial" w:hAnsi="Arial"/>
          <w:sz w:val="17"/>
          <w:szCs w:val="17"/>
          <w:color w:val="auto"/>
        </w:rPr>
        <w:t>. ALLETE, Inc., a Minnesota corporation, f/k/a Minnesota Power, Inc., f/k/a Minnesota Power &amp; Light Company (hereinafter referred to as the “Company”), hereby establishes an annual incentive compensation plan (the “Plan”), as set forth in this document. The Plan allows for annual cash payments to Participants based on the Company’s annual performance relative to both financial and non-financial goals.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Purpose of the Plan</w:t>
      </w:r>
      <w:r>
        <w:rPr>
          <w:rFonts w:ascii="Arial" w:cs="Arial" w:eastAsia="Arial" w:hAnsi="Arial"/>
          <w:sz w:val="17"/>
          <w:szCs w:val="17"/>
          <w:color w:val="auto"/>
        </w:rPr>
        <w:t>. The purpose of the Plan is to motivate Participants to work toward improved annual financial and non-financial performance. The Plan is further intended to assist the Company in its ability to attract and retain the services of officers and key employees upon whom the successful conduct of its operations is largely dependent.</w:t>
      </w:r>
    </w:p>
    <w:p>
      <w:pPr>
        <w:spacing w:after="0" w:line="177"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Compensation Recovery Policy</w:t>
      </w:r>
      <w:r>
        <w:rPr>
          <w:rFonts w:ascii="Arial" w:cs="Arial" w:eastAsia="Arial" w:hAnsi="Arial"/>
          <w:sz w:val="17"/>
          <w:szCs w:val="17"/>
          <w:color w:val="auto"/>
        </w:rPr>
        <w:t>. Effective January 1, 2011, all amounts payable to Participants in accordance with the Plan are subject to the terms of any compensation recovery policy or policies established by ALLETE as such policy or policies may be amended from time to time (“Compensation Recovery Policy”). ALLETE hereby incorporates into the Plan the terms of the Compensation Recovery Policy.</w:t>
      </w:r>
    </w:p>
    <w:p>
      <w:pPr>
        <w:spacing w:after="0" w:line="37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Article 2.</w:t>
      </w:r>
      <w:r>
        <w:rPr>
          <w:sz w:val="20"/>
          <w:szCs w:val="20"/>
          <w:color w:val="auto"/>
        </w:rPr>
        <w:tab/>
      </w:r>
      <w:r>
        <w:rPr>
          <w:rFonts w:ascii="Arial" w:cs="Arial" w:eastAsia="Arial" w:hAnsi="Arial"/>
          <w:sz w:val="15"/>
          <w:szCs w:val="15"/>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Whenever used in the Plan, the following terms shall have the meanings set forth below and, when such meaning is intended, the initial letter of the word is capitalized:</w:t>
      </w:r>
    </w:p>
    <w:p>
      <w:pPr>
        <w:spacing w:after="0" w:line="23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Award</w:t>
      </w:r>
      <w:r>
        <w:rPr>
          <w:rFonts w:ascii="Arial" w:cs="Arial" w:eastAsia="Arial" w:hAnsi="Arial"/>
          <w:sz w:val="17"/>
          <w:szCs w:val="17"/>
          <w:color w:val="auto"/>
        </w:rPr>
        <w:t>” means the payment made to the Participant based on the achievement of established financial and nonfinancial performance goals as provided under the Plan.</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Business Unit</w:t>
      </w:r>
      <w:r>
        <w:rPr>
          <w:rFonts w:ascii="Arial" w:cs="Arial" w:eastAsia="Arial" w:hAnsi="Arial"/>
          <w:sz w:val="15"/>
          <w:szCs w:val="15"/>
          <w:color w:val="auto"/>
        </w:rPr>
        <w:t>” means any subsidiary or division of the Company labeled as a business unit for the purposes of the Plan.</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of the Company shall be deemed to have occurred as of the first day that any one or more of the following conditions shall have been satisfied:</w:t>
      </w:r>
    </w:p>
    <w:p>
      <w:pPr>
        <w:spacing w:after="0" w:line="207" w:lineRule="exact"/>
        <w:rPr>
          <w:sz w:val="20"/>
          <w:szCs w:val="20"/>
          <w:color w:val="auto"/>
        </w:rPr>
      </w:pPr>
    </w:p>
    <w:p>
      <w:pPr>
        <w:ind w:left="380" w:hanging="379"/>
        <w:spacing w:after="0"/>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dissolution of the Company;</w:t>
      </w:r>
    </w:p>
    <w:p>
      <w:pPr>
        <w:spacing w:after="0" w:line="206" w:lineRule="exact"/>
        <w:rPr>
          <w:rFonts w:ascii="Arial" w:cs="Arial" w:eastAsia="Arial" w:hAnsi="Arial"/>
          <w:sz w:val="17"/>
          <w:szCs w:val="17"/>
          <w:color w:val="auto"/>
        </w:rPr>
      </w:pPr>
    </w:p>
    <w:p>
      <w:pPr>
        <w:ind w:right="740" w:firstLine="1"/>
        <w:spacing w:after="0" w:line="268" w:lineRule="auto"/>
        <w:tabs>
          <w:tab w:leader="none" w:pos="3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reorganization, merger or consolidation of the Company with one or more unrelated corporations, as a result of which the Company is not the surviving corporation;</w:t>
      </w:r>
    </w:p>
    <w:p>
      <w:pPr>
        <w:spacing w:after="0" w:line="166" w:lineRule="exact"/>
        <w:rPr>
          <w:rFonts w:ascii="Arial" w:cs="Arial" w:eastAsia="Arial" w:hAnsi="Arial"/>
          <w:sz w:val="17"/>
          <w:szCs w:val="17"/>
          <w:color w:val="auto"/>
        </w:rPr>
      </w:pPr>
    </w:p>
    <w:p>
      <w:pPr>
        <w:ind w:right="40" w:firstLine="1"/>
        <w:spacing w:after="0" w:line="281" w:lineRule="auto"/>
        <w:tabs>
          <w:tab w:leader="none" w:pos="3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sale, exchange, transfer or other disposition of shares of the common stock of the Company (or shares of the stock of any person that is a shareholder of the Company) in one or more transaction, related or unrelated, to one or more persons unrelated to the Company if, as a result of such transactions, any person (or any person and its affiliates) owns more than twenty percent of the voting power of the outstanding common stock of the Company; or</w:t>
      </w:r>
    </w:p>
    <w:p>
      <w:pPr>
        <w:spacing w:after="0" w:line="158" w:lineRule="exact"/>
        <w:rPr>
          <w:rFonts w:ascii="Arial" w:cs="Arial" w:eastAsia="Arial" w:hAnsi="Arial"/>
          <w:sz w:val="16"/>
          <w:szCs w:val="16"/>
          <w:color w:val="auto"/>
        </w:rPr>
      </w:pPr>
    </w:p>
    <w:p>
      <w:pPr>
        <w:ind w:left="400" w:hanging="399"/>
        <w:spacing w:after="0"/>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sale of all or substantially all the assets of the Company.</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from time to time.</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the Executive Compensation Committee, appointed by the Board of Directors to administer the Plan.</w:t>
      </w:r>
    </w:p>
    <w:p>
      <w:pPr>
        <w:spacing w:after="0" w:line="207"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or “</w:t>
      </w:r>
      <w:r>
        <w:rPr>
          <w:rFonts w:ascii="Arial" w:cs="Arial" w:eastAsia="Arial" w:hAnsi="Arial"/>
          <w:sz w:val="15"/>
          <w:szCs w:val="15"/>
          <w:u w:val="single" w:color="auto"/>
          <w:color w:val="auto"/>
        </w:rPr>
        <w:t>Disabled</w:t>
      </w:r>
      <w:r>
        <w:rPr>
          <w:rFonts w:ascii="Arial" w:cs="Arial" w:eastAsia="Arial" w:hAnsi="Arial"/>
          <w:sz w:val="15"/>
          <w:szCs w:val="15"/>
          <w:color w:val="auto"/>
        </w:rPr>
        <w:t>” means a physical or mental condition in which the Participant is:</w:t>
      </w:r>
    </w:p>
    <w:p>
      <w:pPr>
        <w:spacing w:after="0" w:line="207" w:lineRule="exact"/>
        <w:rPr>
          <w:sz w:val="20"/>
          <w:szCs w:val="20"/>
          <w:color w:val="auto"/>
        </w:rPr>
      </w:pPr>
    </w:p>
    <w:p>
      <w:pPr>
        <w:ind w:left="600" w:right="320" w:firstLine="4"/>
        <w:spacing w:after="0" w:line="268" w:lineRule="auto"/>
        <w:tabs>
          <w:tab w:leader="none" w:pos="12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6" w:lineRule="exact"/>
        <w:rPr>
          <w:rFonts w:ascii="Arial" w:cs="Arial" w:eastAsia="Arial" w:hAnsi="Arial"/>
          <w:sz w:val="17"/>
          <w:szCs w:val="17"/>
          <w:color w:val="auto"/>
        </w:rPr>
      </w:pPr>
    </w:p>
    <w:p>
      <w:pPr>
        <w:ind w:left="600" w:firstLine="4"/>
        <w:spacing w:after="0" w:line="257" w:lineRule="auto"/>
        <w:tabs>
          <w:tab w:leader="none" w:pos="12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76" w:lineRule="exact"/>
        <w:rPr>
          <w:rFonts w:ascii="Arial" w:cs="Arial" w:eastAsia="Arial" w:hAnsi="Arial"/>
          <w:sz w:val="17"/>
          <w:szCs w:val="17"/>
          <w:color w:val="auto"/>
        </w:rPr>
      </w:pPr>
    </w:p>
    <w:p>
      <w:pPr>
        <w:ind w:left="1260" w:hanging="656"/>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determined to be totally disabled by the Social Security Administration; or</w:t>
      </w:r>
    </w:p>
    <w:p>
      <w:pPr>
        <w:spacing w:after="0" w:line="206" w:lineRule="exact"/>
        <w:rPr>
          <w:rFonts w:ascii="Arial" w:cs="Arial" w:eastAsia="Arial" w:hAnsi="Arial"/>
          <w:sz w:val="17"/>
          <w:szCs w:val="17"/>
          <w:color w:val="auto"/>
        </w:rPr>
      </w:pPr>
    </w:p>
    <w:p>
      <w:pPr>
        <w:ind w:left="600" w:right="260" w:firstLine="4"/>
        <w:spacing w:after="0" w:line="268" w:lineRule="auto"/>
        <w:tabs>
          <w:tab w:leader="none" w:pos="12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Eligible Employee</w:t>
      </w:r>
      <w:r>
        <w:rPr>
          <w:rFonts w:ascii="Arial" w:cs="Arial" w:eastAsia="Arial" w:hAnsi="Arial"/>
          <w:sz w:val="15"/>
          <w:szCs w:val="15"/>
          <w:color w:val="auto"/>
        </w:rPr>
        <w:t>” means an employee who is eligible to participate in the Plan, as approved by the Committee.</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Employee who has received an opportunity for an Award.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Performance Year</w:t>
      </w:r>
      <w:r>
        <w:rPr>
          <w:rFonts w:ascii="Arial" w:cs="Arial" w:eastAsia="Arial" w:hAnsi="Arial"/>
          <w:sz w:val="15"/>
          <w:szCs w:val="15"/>
          <w:color w:val="auto"/>
        </w:rPr>
        <w:t>” shall mean the period from January 1 through December 31 of any given year.</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Proration</w:t>
      </w:r>
      <w:r>
        <w:rPr>
          <w:rFonts w:ascii="Arial" w:cs="Arial" w:eastAsia="Arial" w:hAnsi="Arial"/>
          <w:sz w:val="17"/>
          <w:szCs w:val="17"/>
          <w:color w:val="auto"/>
        </w:rPr>
        <w:t>” or “</w:t>
      </w:r>
      <w:r>
        <w:rPr>
          <w:rFonts w:ascii="Arial" w:cs="Arial" w:eastAsia="Arial" w:hAnsi="Arial"/>
          <w:sz w:val="17"/>
          <w:szCs w:val="17"/>
          <w:u w:val="single" w:color="auto"/>
          <w:color w:val="auto"/>
        </w:rPr>
        <w:t>Prorated</w:t>
      </w:r>
      <w:r>
        <w:rPr>
          <w:rFonts w:ascii="Arial" w:cs="Arial" w:eastAsia="Arial" w:hAnsi="Arial"/>
          <w:sz w:val="17"/>
          <w:szCs w:val="17"/>
          <w:color w:val="auto"/>
        </w:rPr>
        <w:t>” means an Award calculation that accounts for a period that is less than a full Performance Year. In the case of time spent in a job position or Business Unit, Proration will be based on the number of whole months spent in the position or Business Unit and counting as a whole month any month the Participant was in the position or Business Unit on the 15th of the month. In the case of a performance period that is less than a full Performance Year, Proration will be based on the number of months elapsed since the beginning of the Performance Y ear and counting as a whole month any month during which at least 15 calendar days were included as part of the performance period.</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Related Company</w:t>
      </w:r>
      <w:r>
        <w:rPr>
          <w:rFonts w:ascii="Arial" w:cs="Arial" w:eastAsia="Arial" w:hAnsi="Arial"/>
          <w:sz w:val="17"/>
          <w:szCs w:val="17"/>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1563(a)( 1),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ectPr>
          <w:pgSz w:w="11900" w:h="16838" w:orient="portrait"/>
          <w:cols w:equalWidth="0" w:num="1">
            <w:col w:w="11420"/>
          </w:cols>
          <w:pgMar w:left="240" w:top="453" w:right="239" w:bottom="26" w:gutter="0" w:footer="0" w:header="0"/>
        </w:sectPr>
      </w:pPr>
    </w:p>
    <w:bookmarkStart w:id="96" w:name="page97"/>
    <w:bookmarkEnd w:id="96"/>
    <w:p>
      <w:pPr>
        <w:ind w:right="140" w:firstLine="603"/>
        <w:spacing w:after="0" w:line="294"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u w:val="single" w:color="auto"/>
          <w:color w:val="auto"/>
        </w:rPr>
        <w:t>Retirement</w:t>
      </w:r>
      <w:r>
        <w:rPr>
          <w:rFonts w:ascii="Arial" w:cs="Arial" w:eastAsia="Arial" w:hAnsi="Arial"/>
          <w:sz w:val="15"/>
          <w:szCs w:val="15"/>
          <w:color w:val="auto"/>
        </w:rPr>
        <w:t>” or “</w:t>
      </w:r>
      <w:r>
        <w:rPr>
          <w:rFonts w:ascii="Arial" w:cs="Arial" w:eastAsia="Arial" w:hAnsi="Arial"/>
          <w:sz w:val="15"/>
          <w:szCs w:val="15"/>
          <w:u w:val="single" w:color="auto"/>
          <w:color w:val="auto"/>
        </w:rPr>
        <w:t>Retires</w:t>
      </w:r>
      <w:r>
        <w:rPr>
          <w:rFonts w:ascii="Arial" w:cs="Arial" w:eastAsia="Arial" w:hAnsi="Arial"/>
          <w:sz w:val="15"/>
          <w:szCs w:val="15"/>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 n A, without regard to whether the Participant is a participant under the Minnesota Power and Affiliated Companies Retirement Plan A.</w:t>
      </w:r>
    </w:p>
    <w:p>
      <w:pPr>
        <w:spacing w:after="0" w:line="15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 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69" w:lineRule="exact"/>
        <w:rPr>
          <w:sz w:val="20"/>
          <w:szCs w:val="20"/>
          <w:color w:val="auto"/>
        </w:rPr>
      </w:pPr>
    </w:p>
    <w:p>
      <w:pPr>
        <w:ind w:left="600"/>
        <w:spacing w:after="0"/>
        <w:tabs>
          <w:tab w:leader="none" w:pos="108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Target Award</w:t>
      </w:r>
      <w:r>
        <w:rPr>
          <w:rFonts w:ascii="Arial" w:cs="Arial" w:eastAsia="Arial" w:hAnsi="Arial"/>
          <w:sz w:val="14"/>
          <w:szCs w:val="14"/>
          <w:color w:val="auto"/>
        </w:rPr>
        <w:t>” means the percent of base salary set out at the beginning of the Performance Year, a percentage of which is earned based on performance.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Article 3.</w:t>
      </w:r>
      <w:r>
        <w:rPr>
          <w:sz w:val="20"/>
          <w:szCs w:val="20"/>
          <w:color w:val="auto"/>
        </w:rPr>
        <w:tab/>
      </w:r>
      <w:r>
        <w:rPr>
          <w:rFonts w:ascii="Arial" w:cs="Arial" w:eastAsia="Arial" w:hAnsi="Arial"/>
          <w:sz w:val="15"/>
          <w:szCs w:val="15"/>
          <w:b w:val="1"/>
          <w:bCs w:val="1"/>
          <w:color w:val="auto"/>
        </w:rPr>
        <w:t>Administration</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The Committee</w:t>
      </w:r>
      <w:r>
        <w:rPr>
          <w:rFonts w:ascii="Arial" w:cs="Arial" w:eastAsia="Arial" w:hAnsi="Arial"/>
          <w:sz w:val="15"/>
          <w:szCs w:val="15"/>
          <w:color w:val="auto"/>
        </w:rPr>
        <w:t>. The Plan shall be administered by the Executive Compensation Committee of the Board.</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Authority of the Committee</w:t>
      </w:r>
      <w:r>
        <w:rPr>
          <w:rFonts w:ascii="Arial" w:cs="Arial" w:eastAsia="Arial" w:hAnsi="Arial"/>
          <w:sz w:val="17"/>
          <w:szCs w:val="17"/>
          <w:color w:val="auto"/>
        </w:rPr>
        <w:t>. The Committee shall have full power to administer the Plan, including, without limitation, the following: to determine the size of Awards; to determine the terms and conditions under which Awards will be made; to interpret the Plan as it deems appropriate; to establish, amend or waive rules relating to the administration of the Plan; and to delegate its authority as it deems appropriate.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u w:val="single" w:color="auto"/>
          <w:color w:val="auto"/>
        </w:rPr>
        <w:t>Costs</w:t>
      </w:r>
      <w:r>
        <w:rPr>
          <w:rFonts w:ascii="Arial" w:cs="Arial" w:eastAsia="Arial" w:hAnsi="Arial"/>
          <w:sz w:val="15"/>
          <w:szCs w:val="15"/>
          <w:color w:val="auto"/>
        </w:rPr>
        <w:t>. The Company shall pay all costs of administration of the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4.</w:t>
      </w:r>
      <w:r>
        <w:rPr>
          <w:sz w:val="20"/>
          <w:szCs w:val="20"/>
          <w:color w:val="auto"/>
        </w:rPr>
        <w:tab/>
      </w:r>
      <w:r>
        <w:rPr>
          <w:rFonts w:ascii="Arial" w:cs="Arial" w:eastAsia="Arial" w:hAnsi="Arial"/>
          <w:sz w:val="15"/>
          <w:szCs w:val="15"/>
          <w:b w:val="1"/>
          <w:bCs w:val="1"/>
          <w:color w:val="auto"/>
        </w:rPr>
        <w:t>Funding</w:t>
      </w:r>
    </w:p>
    <w:p>
      <w:pPr>
        <w:spacing w:after="0" w:line="21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Required Funding</w:t>
      </w:r>
      <w:r>
        <w:rPr>
          <w:rFonts w:ascii="Arial" w:cs="Arial" w:eastAsia="Arial" w:hAnsi="Arial"/>
          <w:sz w:val="17"/>
          <w:szCs w:val="17"/>
          <w:color w:val="auto"/>
        </w:rPr>
        <w:t>. The required funding for Awards under the Plan will be determined before the start of each Performance Year by summing the Target Awards of the Participants.</w:t>
      </w:r>
    </w:p>
    <w:p>
      <w:pPr>
        <w:spacing w:after="0" w:line="16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Adjustments</w:t>
      </w:r>
      <w:r>
        <w:rPr>
          <w:rFonts w:ascii="Arial" w:cs="Arial" w:eastAsia="Arial" w:hAnsi="Arial"/>
          <w:sz w:val="17"/>
          <w:szCs w:val="17"/>
          <w:color w:val="auto"/>
        </w:rPr>
        <w:t>. As soon as practical after the end of the Performance Year, Awards will be calculated and the funded Award pool will be adjusted accordingly. If the sum total of actual Awards is greater than the sum total of Target Awards, the difference will be paid out of the additional Company profit generated by the results causing the higher payout.</w:t>
      </w:r>
    </w:p>
    <w:p>
      <w:pPr>
        <w:spacing w:after="0" w:line="37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Article 5.</w:t>
      </w:r>
      <w:r>
        <w:rPr>
          <w:sz w:val="20"/>
          <w:szCs w:val="20"/>
          <w:color w:val="auto"/>
        </w:rPr>
        <w:tab/>
      </w:r>
      <w:r>
        <w:rPr>
          <w:rFonts w:ascii="Arial" w:cs="Arial" w:eastAsia="Arial" w:hAnsi="Arial"/>
          <w:sz w:val="15"/>
          <w:szCs w:val="15"/>
          <w:b w:val="1"/>
          <w:bCs w:val="1"/>
          <w:color w:val="auto"/>
        </w:rPr>
        <w:t>Eligibility and Participation</w:t>
      </w:r>
    </w:p>
    <w:p>
      <w:pPr>
        <w:spacing w:after="0" w:line="211"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Eligible Employees may include officers and key employees of Related Companies, including employees who serve as members of the Company’s Board of Directors, as determined by the Company Chief Executive Officer and approved by the Committee.</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6.</w:t>
      </w:r>
      <w:r>
        <w:rPr>
          <w:sz w:val="20"/>
          <w:szCs w:val="20"/>
          <w:color w:val="auto"/>
        </w:rPr>
        <w:tab/>
      </w:r>
      <w:r>
        <w:rPr>
          <w:rFonts w:ascii="Arial" w:cs="Arial" w:eastAsia="Arial" w:hAnsi="Arial"/>
          <w:sz w:val="15"/>
          <w:szCs w:val="15"/>
          <w:b w:val="1"/>
          <w:bCs w:val="1"/>
          <w:color w:val="auto"/>
        </w:rPr>
        <w:t>Performance Measurement</w:t>
      </w:r>
    </w:p>
    <w:p>
      <w:pPr>
        <w:spacing w:after="0" w:line="211" w:lineRule="exact"/>
        <w:rPr>
          <w:sz w:val="20"/>
          <w:szCs w:val="20"/>
          <w:color w:val="auto"/>
        </w:rPr>
      </w:pPr>
    </w:p>
    <w:p>
      <w:pPr>
        <w:ind w:right="160" w:firstLine="603"/>
        <w:spacing w:after="0" w:line="25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Measures</w:t>
      </w:r>
      <w:r>
        <w:rPr>
          <w:rFonts w:ascii="Arial" w:cs="Arial" w:eastAsia="Arial" w:hAnsi="Arial"/>
          <w:sz w:val="17"/>
          <w:szCs w:val="17"/>
          <w:color w:val="auto"/>
        </w:rPr>
        <w:t>. Within ninety (90) days of the start of the Performance Year, the Committee shall approve any financial performance goals using measurements such as the following: return on gross investment (ROGI), free cash flow, revenue growth, earnings before interest, taxes, depreciation, amortization and leases (EBITDAL), and/or earnings per share (EPS).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Nonfinancial Measures Employed</w:t>
      </w:r>
      <w:r>
        <w:rPr>
          <w:rFonts w:ascii="Arial" w:cs="Arial" w:eastAsia="Arial" w:hAnsi="Arial"/>
          <w:sz w:val="17"/>
          <w:szCs w:val="17"/>
          <w:color w:val="auto"/>
        </w:rPr>
        <w:t>. Within ninety (90) days of the start of the Performance Year, the Committee will approve any non-financial performance goals based on strategic objectives.</w:t>
      </w:r>
    </w:p>
    <w:p>
      <w:pPr>
        <w:spacing w:after="0" w:line="36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Article 7.</w:t>
      </w:r>
      <w:r>
        <w:rPr>
          <w:sz w:val="20"/>
          <w:szCs w:val="20"/>
          <w:color w:val="auto"/>
        </w:rPr>
        <w:tab/>
      </w:r>
      <w:r>
        <w:rPr>
          <w:rFonts w:ascii="Arial" w:cs="Arial" w:eastAsia="Arial" w:hAnsi="Arial"/>
          <w:sz w:val="15"/>
          <w:szCs w:val="15"/>
          <w:b w:val="1"/>
          <w:bCs w:val="1"/>
          <w:color w:val="auto"/>
        </w:rPr>
        <w:t>Award Determination</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 Calculation</w:t>
      </w:r>
      <w:r>
        <w:rPr>
          <w:rFonts w:ascii="Arial" w:cs="Arial" w:eastAsia="Arial" w:hAnsi="Arial"/>
          <w:sz w:val="17"/>
          <w:szCs w:val="17"/>
          <w:color w:val="auto"/>
        </w:rPr>
        <w:t>. As soon as possible after the close of the Performance Year, based on audited financial statements (for financial goals) and other records (for nonfinancial goals), each Participant’s Award shall be calculated. The Committee reserves the right to select from all Eligible Employees, an employee or employees who will not receive Awards under the Plan due to individual performance. A Participant’s Award will be reduced by, and the Participant will not receive, any amount that otherwise would be disallowed as a deduction by the Company due to the limitations under Code Section 162(m), or any subsequent or similar Cod e provision that limits the amount of compensation expense the Company may deduct.</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u w:val="single" w:color="auto"/>
          <w:color w:val="auto"/>
        </w:rPr>
        <w:t>Awards</w:t>
      </w:r>
      <w:r>
        <w:rPr>
          <w:rFonts w:ascii="Arial" w:cs="Arial" w:eastAsia="Arial" w:hAnsi="Arial"/>
          <w:sz w:val="15"/>
          <w:szCs w:val="15"/>
          <w:color w:val="auto"/>
        </w:rPr>
        <w:t>. Any Award with respect to a Performance Year shall be paid between January 1 and March 15 of the year following the close of such Performance Year.</w:t>
      </w:r>
    </w:p>
    <w:p>
      <w:pPr>
        <w:spacing w:after="0" w:line="200" w:lineRule="exact"/>
        <w:rPr>
          <w:sz w:val="20"/>
          <w:szCs w:val="20"/>
          <w:color w:val="auto"/>
        </w:rPr>
      </w:pP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Article 8.</w:t>
      </w:r>
      <w:r>
        <w:rPr>
          <w:sz w:val="20"/>
          <w:szCs w:val="20"/>
          <w:color w:val="auto"/>
        </w:rPr>
        <w:tab/>
      </w:r>
      <w:r>
        <w:rPr>
          <w:rFonts w:ascii="Arial" w:cs="Arial" w:eastAsia="Arial" w:hAnsi="Arial"/>
          <w:sz w:val="15"/>
          <w:szCs w:val="15"/>
          <w:b w:val="1"/>
          <w:bCs w:val="1"/>
          <w:color w:val="auto"/>
        </w:rPr>
        <w:t>Other Awards</w:t>
      </w:r>
    </w:p>
    <w:p>
      <w:pPr>
        <w:spacing w:after="0" w:line="211"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Committee shall have the right to make other Awards which it deems appropriate based on outstanding individual or team performance. The Committee may grant shares of the Company’s common stock in lieu of cash from time to time.</w:t>
      </w:r>
    </w:p>
    <w:p>
      <w:pPr>
        <w:spacing w:after="0" w:line="36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Article 9.</w:t>
      </w:r>
      <w:r>
        <w:rPr>
          <w:sz w:val="20"/>
          <w:szCs w:val="20"/>
          <w:color w:val="auto"/>
        </w:rPr>
        <w:tab/>
      </w:r>
      <w:r>
        <w:rPr>
          <w:rFonts w:ascii="Arial" w:cs="Arial" w:eastAsia="Arial" w:hAnsi="Arial"/>
          <w:sz w:val="14"/>
          <w:szCs w:val="14"/>
          <w:b w:val="1"/>
          <w:bCs w:val="1"/>
          <w:color w:val="auto"/>
        </w:rPr>
        <w:t>Beneficiary Designation</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Each Participant under the Plan may name any beneficiary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with the Committee during the Participant’s lifetime. In the absence of any such designation, benefits remaining unpaid at the Participant’s death shall be paid to the Participant’s estate.</w:t>
      </w:r>
    </w:p>
    <w:p>
      <w:pPr>
        <w:sectPr>
          <w:pgSz w:w="11900" w:h="16838" w:orient="portrait"/>
          <w:cols w:equalWidth="0" w:num="1">
            <w:col w:w="11420"/>
          </w:cols>
          <w:pgMar w:left="240" w:top="127" w:right="239" w:bottom="0" w:gutter="0" w:footer="0" w:header="0"/>
        </w:sectPr>
      </w:pPr>
    </w:p>
    <w:p>
      <w:pPr>
        <w:spacing w:after="0" w:line="37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Article 10.</w:t>
      </w:r>
      <w:r>
        <w:rPr>
          <w:sz w:val="20"/>
          <w:szCs w:val="20"/>
          <w:color w:val="auto"/>
        </w:rPr>
        <w:tab/>
      </w:r>
      <w:r>
        <w:rPr>
          <w:rFonts w:ascii="Arial" w:cs="Arial" w:eastAsia="Arial" w:hAnsi="Arial"/>
          <w:sz w:val="15"/>
          <w:szCs w:val="15"/>
          <w:b w:val="1"/>
          <w:bCs w:val="1"/>
          <w:color w:val="auto"/>
        </w:rPr>
        <w:t>Deferrals</w:t>
      </w:r>
    </w:p>
    <w:p>
      <w:pPr>
        <w:sectPr>
          <w:pgSz w:w="11900" w:h="16838" w:orient="portrait"/>
          <w:cols w:equalWidth="0" w:num="1">
            <w:col w:w="11420"/>
          </w:cols>
          <w:pgMar w:left="240" w:top="127" w:right="239" w:bottom="0" w:gutter="0" w:footer="0" w:header="0"/>
          <w:type w:val="continuous"/>
        </w:sectPr>
      </w:pPr>
    </w:p>
    <w:bookmarkStart w:id="97" w:name="page98"/>
    <w:bookmarkEnd w:id="97"/>
    <w:p>
      <w:pPr>
        <w:ind w:right="520"/>
        <w:spacing w:after="0" w:line="268" w:lineRule="auto"/>
        <w:rPr>
          <w:sz w:val="20"/>
          <w:szCs w:val="20"/>
          <w:color w:val="auto"/>
        </w:rPr>
      </w:pPr>
      <w:r>
        <w:rPr>
          <w:rFonts w:ascii="Arial" w:cs="Arial" w:eastAsia="Arial" w:hAnsi="Arial"/>
          <w:sz w:val="17"/>
          <w:szCs w:val="17"/>
          <w:color w:val="auto"/>
        </w:rPr>
        <w:t>The Committee may permit a Participant to defer such Participant’s receipt of an Award. If any such deferral election is permitted, the Committee shall, in its sole discretion, establish rules and procedures for such payment deferrals.</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11.</w:t>
      </w:r>
      <w:r>
        <w:rPr>
          <w:sz w:val="20"/>
          <w:szCs w:val="20"/>
          <w:color w:val="auto"/>
        </w:rPr>
        <w:tab/>
      </w:r>
      <w:r>
        <w:rPr>
          <w:rFonts w:ascii="Arial" w:cs="Arial" w:eastAsia="Arial" w:hAnsi="Arial"/>
          <w:sz w:val="15"/>
          <w:szCs w:val="15"/>
          <w:b w:val="1"/>
          <w:bCs w:val="1"/>
          <w:color w:val="auto"/>
        </w:rPr>
        <w:t>New Hires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 new employee may become a Participant in the year hired and become eligible to earn a Prorated Award for the Performance Year corresponding to the year of hire.</w:t>
      </w:r>
    </w:p>
    <w:p>
      <w:pPr>
        <w:spacing w:after="0" w:line="200" w:lineRule="exact"/>
        <w:rPr>
          <w:sz w:val="20"/>
          <w:szCs w:val="20"/>
          <w:color w:val="auto"/>
        </w:rPr>
      </w:pP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12.</w:t>
      </w:r>
      <w:r>
        <w:rPr>
          <w:sz w:val="20"/>
          <w:szCs w:val="20"/>
          <w:color w:val="auto"/>
        </w:rPr>
        <w:tab/>
      </w:r>
      <w:r>
        <w:rPr>
          <w:rFonts w:ascii="Arial" w:cs="Arial" w:eastAsia="Arial" w:hAnsi="Arial"/>
          <w:sz w:val="15"/>
          <w:szCs w:val="15"/>
          <w:b w:val="1"/>
          <w:bCs w:val="1"/>
          <w:color w:val="auto"/>
        </w:rPr>
        <w:t>Transfers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If during a Performance Year the Participant transfers to a different Business Unit and remains a Participant in the new Business Unit but with different performance goals, different opportunity level or both, the Participant will be eligible to earn a total Prorated Award equal to the sum of: (a) the Prorated Award applicable to the portion of the Performance Year spent in the Business Unit from which the Participant transferred and (b) the Prorated Award applicable to the portion of the Performance Year spent in the Business Unit to which the Participant transferred.</w:t>
      </w:r>
    </w:p>
    <w:p>
      <w:pPr>
        <w:spacing w:after="0" w:line="37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13.</w:t>
      </w:r>
      <w:r>
        <w:rPr>
          <w:sz w:val="20"/>
          <w:szCs w:val="20"/>
          <w:color w:val="auto"/>
        </w:rPr>
        <w:tab/>
      </w:r>
      <w:r>
        <w:rPr>
          <w:rFonts w:ascii="Arial" w:cs="Arial" w:eastAsia="Arial" w:hAnsi="Arial"/>
          <w:sz w:val="15"/>
          <w:szCs w:val="15"/>
          <w:b w:val="1"/>
          <w:bCs w:val="1"/>
          <w:color w:val="auto"/>
        </w:rPr>
        <w:t>Promotions</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If during a Performance Year the Participant transfers to a different position in the same Business Unit but with a different opportunity level, the Participant will be eligible to earn a total Prorated Award equal to the sum of: (a) the Prorated Award applicable to the portion of the Performance Year spent in the position from which the Participant transferred and (b) the Prorated Award applicable to the portion of the Performance Year spent in the position to which the Participant transferred.</w:t>
      </w:r>
    </w:p>
    <w:p>
      <w:pPr>
        <w:spacing w:after="0" w:line="33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14.</w:t>
      </w:r>
      <w:r>
        <w:rPr>
          <w:sz w:val="20"/>
          <w:szCs w:val="20"/>
          <w:color w:val="auto"/>
        </w:rPr>
        <w:tab/>
      </w:r>
      <w:r>
        <w:rPr>
          <w:rFonts w:ascii="Arial" w:cs="Arial" w:eastAsia="Arial" w:hAnsi="Arial"/>
          <w:sz w:val="15"/>
          <w:szCs w:val="15"/>
          <w:b w:val="1"/>
          <w:bCs w:val="1"/>
          <w:color w:val="auto"/>
        </w:rPr>
        <w:t>Retirement or Disability</w:t>
      </w:r>
    </w:p>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case of Retirement or Disability, the Participant will receive a Prorated Award based on the number of months within the Performance Year which had elapsed as of the date of Retirement or Disability.</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15.</w:t>
      </w:r>
      <w:r>
        <w:rPr>
          <w:sz w:val="20"/>
          <w:szCs w:val="20"/>
          <w:color w:val="auto"/>
        </w:rPr>
        <w:tab/>
      </w:r>
      <w:r>
        <w:rPr>
          <w:rFonts w:ascii="Arial" w:cs="Arial" w:eastAsia="Arial" w:hAnsi="Arial"/>
          <w:sz w:val="15"/>
          <w:szCs w:val="15"/>
          <w:b w:val="1"/>
          <w:bCs w:val="1"/>
          <w:color w:val="auto"/>
        </w:rPr>
        <w:t>Death</w:t>
      </w:r>
    </w:p>
    <w:p>
      <w:pPr>
        <w:spacing w:after="0" w:line="211"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Prorated Awards earned based on the number of months during the Performance Year spent in the employ of the Company until death will be paid to the Participant’s beneficiary or, if no beneficiary is named, to the Participant’s estate.</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16.</w:t>
      </w:r>
      <w:r>
        <w:rPr>
          <w:sz w:val="20"/>
          <w:szCs w:val="20"/>
          <w:color w:val="auto"/>
        </w:rPr>
        <w:tab/>
      </w:r>
      <w:r>
        <w:rPr>
          <w:rFonts w:ascii="Arial" w:cs="Arial" w:eastAsia="Arial" w:hAnsi="Arial"/>
          <w:sz w:val="15"/>
          <w:szCs w:val="15"/>
          <w:b w:val="1"/>
          <w:bCs w:val="1"/>
          <w:color w:val="auto"/>
        </w:rPr>
        <w:t>Separation from Service</w:t>
      </w:r>
    </w:p>
    <w:p>
      <w:pPr>
        <w:spacing w:after="0" w:line="21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Separation from Service other than for Retirement, Disability or death before December 31 of any Performance Year results in forfeiture of any Award unless otherwise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215265</wp:posOffset>
            </wp:positionV>
            <wp:extent cx="726059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8" w:name="page99"/>
    <w:bookmarkEnd w:id="98"/>
    <w:p>
      <w:pPr>
        <w:spacing w:after="0"/>
        <w:tabs>
          <w:tab w:leader="none" w:pos="960" w:val="left"/>
        </w:tabs>
        <w:rPr>
          <w:sz w:val="20"/>
          <w:szCs w:val="20"/>
          <w:color w:val="auto"/>
        </w:rPr>
      </w:pPr>
      <w:r>
        <w:rPr>
          <w:rFonts w:ascii="Arial" w:cs="Arial" w:eastAsia="Arial" w:hAnsi="Arial"/>
          <w:sz w:val="17"/>
          <w:szCs w:val="17"/>
          <w:b w:val="1"/>
          <w:bCs w:val="1"/>
          <w:color w:val="auto"/>
        </w:rPr>
        <w:t>Article 17.</w:t>
      </w:r>
      <w:r>
        <w:rPr>
          <w:sz w:val="20"/>
          <w:szCs w:val="20"/>
          <w:color w:val="auto"/>
        </w:rPr>
        <w:tab/>
      </w:r>
      <w:r>
        <w:rPr>
          <w:rFonts w:ascii="Arial" w:cs="Arial" w:eastAsia="Arial" w:hAnsi="Arial"/>
          <w:sz w:val="14"/>
          <w:szCs w:val="14"/>
          <w:b w:val="1"/>
          <w:bCs w:val="1"/>
          <w:color w:val="auto"/>
        </w:rPr>
        <w:t>Rights of Employees</w:t>
      </w:r>
    </w:p>
    <w:p>
      <w:pPr>
        <w:spacing w:after="0" w:line="21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Employment</w:t>
      </w:r>
      <w:r>
        <w:rPr>
          <w:rFonts w:ascii="Arial" w:cs="Arial" w:eastAsia="Arial" w:hAnsi="Arial"/>
          <w:sz w:val="16"/>
          <w:szCs w:val="16"/>
          <w:color w:val="auto"/>
        </w:rPr>
        <w:t>. Nothing in the Plan shall interfere with or limit in any way the right of the Company to terminate any Participant’s employment at any time, for any reason or for no reason in the Company’s sole discretion, nor confer upon any Participant any right to continue in the employ of the Company.</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Participation</w:t>
      </w:r>
      <w:r>
        <w:rPr>
          <w:rFonts w:ascii="Arial" w:cs="Arial" w:eastAsia="Arial" w:hAnsi="Arial"/>
          <w:sz w:val="17"/>
          <w:szCs w:val="17"/>
          <w:color w:val="auto"/>
        </w:rPr>
        <w:t>. No employee shall have the right to be selected to receive an Award under the Plan, or, having been so selected, to be selected to receive a future Award.</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18.</w:t>
      </w:r>
      <w:r>
        <w:rPr>
          <w:sz w:val="20"/>
          <w:szCs w:val="20"/>
          <w:color w:val="auto"/>
        </w:rPr>
        <w:tab/>
      </w:r>
      <w:r>
        <w:rPr>
          <w:rFonts w:ascii="Arial" w:cs="Arial" w:eastAsia="Arial" w:hAnsi="Arial"/>
          <w:sz w:val="15"/>
          <w:szCs w:val="15"/>
          <w:b w:val="1"/>
          <w:bCs w:val="1"/>
          <w:color w:val="auto"/>
        </w:rPr>
        <w:t>Change in Control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Upon the occurrence of a Change in Control, as defined herein, Awards under the Plan will be calculated as if the end of the Performance Year had occurred, based on the Company’s performance to date. If Awards are earned, Participants will receive a Prorated Award based on the number of months in the Performance Year which had elapsed as of the Change in Control.</w:t>
      </w:r>
    </w:p>
    <w:p>
      <w:pPr>
        <w:spacing w:after="0" w:line="37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19.</w:t>
      </w:r>
      <w:r>
        <w:rPr>
          <w:sz w:val="20"/>
          <w:szCs w:val="20"/>
          <w:color w:val="auto"/>
        </w:rPr>
        <w:tab/>
      </w:r>
      <w:r>
        <w:rPr>
          <w:rFonts w:ascii="Arial" w:cs="Arial" w:eastAsia="Arial" w:hAnsi="Arial"/>
          <w:sz w:val="15"/>
          <w:szCs w:val="15"/>
          <w:b w:val="1"/>
          <w:bCs w:val="1"/>
          <w:color w:val="auto"/>
        </w:rPr>
        <w:t>Withholding</w:t>
      </w:r>
    </w:p>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shall have the power and the right to deduct or withhold, or require a Participant to remit to the Company, an amount sufficient to satisfy federal, state and local taxes (including the Participants' FICA obligation) required by law to be withheld with respect to an Award made under the Plan.</w:t>
      </w:r>
    </w:p>
    <w:p>
      <w:pPr>
        <w:spacing w:after="0" w:line="36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Article 20.</w:t>
      </w:r>
      <w:r>
        <w:rPr>
          <w:sz w:val="20"/>
          <w:szCs w:val="20"/>
          <w:color w:val="auto"/>
        </w:rPr>
        <w:tab/>
      </w:r>
      <w:r>
        <w:rPr>
          <w:rFonts w:ascii="Arial" w:cs="Arial" w:eastAsia="Arial" w:hAnsi="Arial"/>
          <w:sz w:val="15"/>
          <w:szCs w:val="15"/>
          <w:b w:val="1"/>
          <w:bCs w:val="1"/>
          <w:color w:val="auto"/>
        </w:rPr>
        <w:t>Amendment</w:t>
      </w:r>
    </w:p>
    <w:p>
      <w:pPr>
        <w:spacing w:after="0" w:line="211"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The Company reserves the right to cancel, amend, terminate, suspend or otherwise change the Plan or outstanding Awards for any reason at any time before, during or after the Performance Year to which an Award relates, upon authorization of its Board of Directors. The Executive Compensation Committee of the Board of Directors may expand, reduce or otherwise change any and all opportunities, Awards, and any and all financial factors, or financial measures used in the Plan or outstanding Awards for any reason at any time before, during or after the Performance Year to which an Award relates. All changes described in this paragraph are at the sole discretion of the Board of Directors and/or the Executive Compensation Committee, may be made at any time, and may have a retroactive effective date.</w:t>
      </w:r>
    </w:p>
    <w:p>
      <w:pPr>
        <w:spacing w:after="0" w:line="34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Alan R. Hodnik_____________________</w:t>
      </w:r>
    </w:p>
    <w:p>
      <w:pPr>
        <w:spacing w:after="0" w:line="18"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Alan R. Hodnik</w:t>
      </w:r>
    </w:p>
    <w:p>
      <w:pPr>
        <w:spacing w:after="0" w:line="6"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Debroah A. Amberg________________________</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Deborah A. Amberg</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488315</wp:posOffset>
            </wp:positionV>
            <wp:extent cx="726059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ind w:left="680"/>
              <w:spacing w:after="0"/>
              <w:rPr>
                <w:sz w:val="20"/>
                <w:szCs w:val="20"/>
                <w:color w:val="auto"/>
              </w:rPr>
            </w:pPr>
            <w:r>
              <w:rPr>
                <w:rFonts w:ascii="Arial" w:cs="Arial" w:eastAsia="Arial" w:hAnsi="Arial"/>
                <w:sz w:val="17"/>
                <w:szCs w:val="17"/>
                <w:b w:val="1"/>
                <w:bCs w:val="1"/>
                <w:color w:val="auto"/>
                <w:w w:val="89"/>
              </w:rPr>
              <w:t>Exhibit 10(h)4</w:t>
            </w:r>
          </w:p>
        </w:tc>
        <w:tc>
          <w:tcPr>
            <w:tcW w:w="0" w:type="dxa"/>
            <w:vAlign w:val="bottom"/>
          </w:tcPr>
          <w:p>
            <w:pPr>
              <w:spacing w:after="0"/>
              <w:rPr>
                <w:sz w:val="1"/>
                <w:szCs w:val="1"/>
                <w:color w:val="auto"/>
              </w:rPr>
            </w:pPr>
          </w:p>
        </w:tc>
      </w:tr>
      <w:tr>
        <w:trPr>
          <w:trHeight w:val="587"/>
        </w:trPr>
        <w:tc>
          <w:tcPr>
            <w:tcW w:w="3540" w:type="dxa"/>
            <w:vAlign w:val="bottom"/>
          </w:tcPr>
          <w:p>
            <w:pPr>
              <w:spacing w:after="0"/>
              <w:rPr>
                <w:sz w:val="24"/>
                <w:szCs w:val="24"/>
                <w:color w:val="auto"/>
              </w:rPr>
            </w:pPr>
          </w:p>
        </w:tc>
        <w:tc>
          <w:tcPr>
            <w:tcW w:w="3940" w:type="dxa"/>
            <w:vAlign w:val="bottom"/>
            <w:gridSpan w:val="7"/>
          </w:tcPr>
          <w:p>
            <w:pPr>
              <w:jc w:val="center"/>
              <w:ind w:left="316"/>
              <w:spacing w:after="0"/>
              <w:rPr>
                <w:sz w:val="20"/>
                <w:szCs w:val="20"/>
                <w:color w:val="auto"/>
              </w:rPr>
            </w:pPr>
            <w:r>
              <w:rPr>
                <w:rFonts w:ascii="Arial" w:cs="Arial" w:eastAsia="Arial" w:hAnsi="Arial"/>
                <w:sz w:val="17"/>
                <w:szCs w:val="17"/>
                <w:b w:val="1"/>
                <w:bCs w:val="1"/>
                <w:color w:val="auto"/>
                <w:w w:val="92"/>
              </w:rPr>
              <w:t>ALLETE Executive Annual Incentive Plan</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40" w:type="dxa"/>
            <w:vAlign w:val="bottom"/>
            <w:gridSpan w:val="5"/>
          </w:tcPr>
          <w:p>
            <w:pPr>
              <w:jc w:val="center"/>
              <w:ind w:right="800"/>
              <w:spacing w:after="0"/>
              <w:rPr>
                <w:sz w:val="20"/>
                <w:szCs w:val="20"/>
                <w:color w:val="auto"/>
              </w:rPr>
            </w:pPr>
            <w:r>
              <w:rPr>
                <w:rFonts w:ascii="Arial" w:cs="Arial" w:eastAsia="Arial" w:hAnsi="Arial"/>
                <w:sz w:val="17"/>
                <w:szCs w:val="17"/>
                <w:b w:val="1"/>
                <w:bCs w:val="1"/>
                <w:color w:val="auto"/>
                <w:w w:val="91"/>
              </w:rPr>
              <w:t>Form of Award</w:t>
            </w:r>
          </w:p>
        </w:tc>
        <w:tc>
          <w:tcPr>
            <w:tcW w:w="2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40" w:type="dxa"/>
            <w:vAlign w:val="bottom"/>
            <w:gridSpan w:val="5"/>
          </w:tcPr>
          <w:p>
            <w:pPr>
              <w:jc w:val="center"/>
              <w:ind w:right="780"/>
              <w:spacing w:after="0"/>
              <w:rPr>
                <w:sz w:val="20"/>
                <w:szCs w:val="20"/>
                <w:color w:val="auto"/>
              </w:rPr>
            </w:pPr>
            <w:r>
              <w:rPr>
                <w:rFonts w:ascii="Arial" w:cs="Arial" w:eastAsia="Arial" w:hAnsi="Arial"/>
                <w:sz w:val="17"/>
                <w:szCs w:val="17"/>
                <w:b w:val="1"/>
                <w:bCs w:val="1"/>
                <w:color w:val="auto"/>
                <w:w w:val="88"/>
              </w:rPr>
              <w:t>Effective 2011</w:t>
            </w:r>
          </w:p>
        </w:tc>
        <w:tc>
          <w:tcPr>
            <w:tcW w:w="2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gridSpan w:val="6"/>
          </w:tcPr>
          <w:p>
            <w:pPr>
              <w:jc w:val="center"/>
              <w:ind w:right="300"/>
              <w:spacing w:after="0"/>
              <w:rPr>
                <w:sz w:val="20"/>
                <w:szCs w:val="20"/>
                <w:color w:val="auto"/>
              </w:rPr>
            </w:pPr>
            <w:r>
              <w:rPr>
                <w:rFonts w:ascii="Arial" w:cs="Arial" w:eastAsia="Arial" w:hAnsi="Arial"/>
                <w:sz w:val="17"/>
                <w:szCs w:val="17"/>
                <w:b w:val="1"/>
                <w:bCs w:val="1"/>
                <w:color w:val="auto"/>
                <w:w w:val="88"/>
              </w:rPr>
              <w:t>[Eligible Executive Employees]</w:t>
            </w: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7"/>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gridSpan w:val="6"/>
          </w:tcPr>
          <w:p>
            <w:pPr>
              <w:jc w:val="center"/>
              <w:ind w:right="300"/>
              <w:spacing w:after="0"/>
              <w:rPr>
                <w:sz w:val="20"/>
                <w:szCs w:val="20"/>
                <w:color w:val="auto"/>
              </w:rPr>
            </w:pPr>
            <w:r>
              <w:rPr>
                <w:rFonts w:ascii="Arial" w:cs="Arial" w:eastAsia="Arial" w:hAnsi="Arial"/>
                <w:sz w:val="17"/>
                <w:szCs w:val="17"/>
                <w:b w:val="1"/>
                <w:bCs w:val="1"/>
                <w:color w:val="auto"/>
                <w:w w:val="92"/>
              </w:rPr>
              <w:t>Target Award Opportunity</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3540" w:type="dxa"/>
            <w:vAlign w:val="bottom"/>
          </w:tcPr>
          <w:p>
            <w:pPr>
              <w:spacing w:after="0"/>
              <w:rPr>
                <w:sz w:val="20"/>
                <w:szCs w:val="20"/>
                <w:color w:val="auto"/>
              </w:rPr>
            </w:pPr>
            <w:r>
              <w:rPr>
                <w:rFonts w:ascii="Arial" w:cs="Arial" w:eastAsia="Arial" w:hAnsi="Arial"/>
                <w:sz w:val="17"/>
                <w:szCs w:val="17"/>
                <w:color w:val="auto"/>
              </w:rPr>
              <w:t>Base Salary</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ind w:left="220"/>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540" w:type="dxa"/>
            <w:vAlign w:val="bottom"/>
          </w:tcPr>
          <w:p>
            <w:pPr>
              <w:ind w:left="460"/>
              <w:spacing w:after="0"/>
              <w:rPr>
                <w:sz w:val="20"/>
                <w:szCs w:val="20"/>
                <w:color w:val="auto"/>
              </w:rPr>
            </w:pPr>
            <w:r>
              <w:rPr>
                <w:rFonts w:ascii="Arial" w:cs="Arial" w:eastAsia="Arial" w:hAnsi="Arial"/>
                <w:sz w:val="17"/>
                <w:szCs w:val="17"/>
                <w:b w:val="1"/>
                <w:bCs w:val="1"/>
                <w:color w:val="auto"/>
              </w:rPr>
              <w:t>Times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0"/>
                <w:szCs w:val="20"/>
                <w:color w:val="auto"/>
              </w:rPr>
            </w:pPr>
            <w:r>
              <w:rPr>
                <w:rFonts w:ascii="Arial" w:cs="Arial" w:eastAsia="Arial" w:hAnsi="Arial"/>
                <w:sz w:val="17"/>
                <w:szCs w:val="17"/>
                <w:color w:val="auto"/>
              </w:rPr>
              <w:t>Award Opportunity (percent of base salary)</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ind w:left="220"/>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0"/>
                <w:szCs w:val="20"/>
                <w:color w:val="auto"/>
              </w:rPr>
            </w:pPr>
            <w:r>
              <w:rPr>
                <w:rFonts w:ascii="Arial" w:cs="Arial" w:eastAsia="Arial" w:hAnsi="Arial"/>
                <w:sz w:val="17"/>
                <w:szCs w:val="17"/>
                <w:b w:val="1"/>
                <w:bCs w:val="1"/>
                <w:color w:val="auto"/>
              </w:rPr>
              <w:t>Equals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0"/>
                <w:szCs w:val="20"/>
                <w:color w:val="auto"/>
              </w:rPr>
            </w:pPr>
            <w:r>
              <w:rPr>
                <w:rFonts w:ascii="Arial" w:cs="Arial" w:eastAsia="Arial" w:hAnsi="Arial"/>
                <w:sz w:val="17"/>
                <w:szCs w:val="17"/>
                <w:color w:val="auto"/>
              </w:rPr>
              <w:t>Target Award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ind w:left="220"/>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89"/>
              </w:rPr>
              <w:t>Performance Levels and Award Amounts</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40" w:type="dxa"/>
            <w:vAlign w:val="bottom"/>
            <w:gridSpan w:val="5"/>
          </w:tcPr>
          <w:p>
            <w:pPr>
              <w:jc w:val="center"/>
              <w:ind w:right="800"/>
              <w:spacing w:after="0" w:line="177" w:lineRule="exact"/>
              <w:rPr>
                <w:sz w:val="20"/>
                <w:szCs w:val="20"/>
                <w:color w:val="auto"/>
              </w:rPr>
            </w:pPr>
            <w:r>
              <w:rPr>
                <w:rFonts w:ascii="Arial" w:cs="Arial" w:eastAsia="Arial" w:hAnsi="Arial"/>
                <w:sz w:val="17"/>
                <w:szCs w:val="17"/>
                <w:b w:val="1"/>
                <w:bCs w:val="1"/>
                <w:color w:val="auto"/>
                <w:w w:val="86"/>
              </w:rPr>
              <w:t>Payout as Percent of</w:t>
            </w:r>
          </w:p>
        </w:tc>
        <w:tc>
          <w:tcPr>
            <w:tcW w:w="2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1000"/>
              <w:spacing w:after="0"/>
              <w:rPr>
                <w:sz w:val="20"/>
                <w:szCs w:val="20"/>
                <w:color w:val="auto"/>
              </w:rPr>
            </w:pPr>
            <w:r>
              <w:rPr>
                <w:rFonts w:ascii="Arial" w:cs="Arial" w:eastAsia="Arial" w:hAnsi="Arial"/>
                <w:sz w:val="17"/>
                <w:szCs w:val="17"/>
                <w:b w:val="1"/>
                <w:bCs w:val="1"/>
                <w:color w:val="auto"/>
              </w:rPr>
              <w:t>Goal Performance Level</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7"/>
                <w:szCs w:val="17"/>
                <w:b w:val="1"/>
                <w:bCs w:val="1"/>
                <w:color w:val="auto"/>
                <w:w w:val="92"/>
              </w:rPr>
              <w:t>Target Award</w:t>
            </w:r>
          </w:p>
        </w:tc>
        <w:tc>
          <w:tcPr>
            <w:tcW w:w="394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7"/>
                <w:szCs w:val="17"/>
                <w:b w:val="1"/>
                <w:bCs w:val="1"/>
                <w:color w:val="auto"/>
                <w:w w:val="92"/>
              </w:rPr>
              <w:t>Award Amount</w:t>
            </w:r>
          </w:p>
        </w:tc>
        <w:tc>
          <w:tcPr>
            <w:tcW w:w="0" w:type="dxa"/>
            <w:vAlign w:val="bottom"/>
          </w:tcPr>
          <w:p>
            <w:pPr>
              <w:spacing w:after="0"/>
              <w:rPr>
                <w:sz w:val="1"/>
                <w:szCs w:val="1"/>
                <w:color w:val="auto"/>
              </w:rPr>
            </w:pPr>
          </w:p>
        </w:tc>
      </w:tr>
      <w:tr>
        <w:trPr>
          <w:trHeight w:val="206"/>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Superior</w:t>
            </w:r>
          </w:p>
        </w:tc>
        <w:tc>
          <w:tcPr>
            <w:tcW w:w="2380" w:type="dxa"/>
            <w:vAlign w:val="bottom"/>
            <w:tcBorders>
              <w:bottom w:val="single" w:sz="8" w:color="auto"/>
            </w:tcBorders>
            <w:gridSpan w:val="4"/>
          </w:tcPr>
          <w:p>
            <w:pPr>
              <w:jc w:val="center"/>
              <w:ind w:left="1856"/>
              <w:spacing w:after="0"/>
              <w:rPr>
                <w:sz w:val="20"/>
                <w:szCs w:val="20"/>
                <w:color w:val="auto"/>
              </w:rPr>
            </w:pPr>
            <w:r>
              <w:rPr>
                <w:rFonts w:ascii="Arial" w:cs="Arial" w:eastAsia="Arial" w:hAnsi="Arial"/>
                <w:sz w:val="17"/>
                <w:szCs w:val="17"/>
                <w:color w:val="auto"/>
                <w:w w:val="91"/>
              </w:rPr>
              <w:t>200%</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left="179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Target</w:t>
            </w:r>
          </w:p>
        </w:tc>
        <w:tc>
          <w:tcPr>
            <w:tcW w:w="2380" w:type="dxa"/>
            <w:vAlign w:val="bottom"/>
            <w:tcBorders>
              <w:bottom w:val="single" w:sz="8" w:color="auto"/>
            </w:tcBorders>
            <w:gridSpan w:val="4"/>
          </w:tcPr>
          <w:p>
            <w:pPr>
              <w:jc w:val="center"/>
              <w:ind w:left="1856"/>
              <w:spacing w:after="0"/>
              <w:rPr>
                <w:sz w:val="20"/>
                <w:szCs w:val="20"/>
                <w:color w:val="auto"/>
              </w:rPr>
            </w:pPr>
            <w:r>
              <w:rPr>
                <w:rFonts w:ascii="Arial" w:cs="Arial" w:eastAsia="Arial" w:hAnsi="Arial"/>
                <w:sz w:val="17"/>
                <w:szCs w:val="17"/>
                <w:color w:val="auto"/>
                <w:w w:val="91"/>
              </w:rPr>
              <w:t>100%</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left="179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Threshold</w:t>
            </w:r>
          </w:p>
        </w:tc>
        <w:tc>
          <w:tcPr>
            <w:tcW w:w="2380" w:type="dxa"/>
            <w:vAlign w:val="bottom"/>
            <w:tcBorders>
              <w:bottom w:val="single" w:sz="8" w:color="auto"/>
            </w:tcBorders>
            <w:gridSpan w:val="4"/>
          </w:tcPr>
          <w:p>
            <w:pPr>
              <w:jc w:val="center"/>
              <w:ind w:left="1856"/>
              <w:spacing w:after="0"/>
              <w:rPr>
                <w:sz w:val="20"/>
                <w:szCs w:val="20"/>
                <w:color w:val="auto"/>
              </w:rPr>
            </w:pPr>
            <w:r>
              <w:rPr>
                <w:rFonts w:ascii="Arial" w:cs="Arial" w:eastAsia="Arial" w:hAnsi="Arial"/>
                <w:sz w:val="17"/>
                <w:szCs w:val="17"/>
                <w:color w:val="auto"/>
                <w:w w:val="91"/>
              </w:rPr>
              <w:t>37.5%</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left="179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Below Threshold</w:t>
            </w:r>
          </w:p>
        </w:tc>
        <w:tc>
          <w:tcPr>
            <w:tcW w:w="2380" w:type="dxa"/>
            <w:vAlign w:val="bottom"/>
            <w:tcBorders>
              <w:bottom w:val="single" w:sz="8" w:color="auto"/>
            </w:tcBorders>
            <w:gridSpan w:val="4"/>
          </w:tcPr>
          <w:p>
            <w:pPr>
              <w:jc w:val="center"/>
              <w:ind w:left="1856"/>
              <w:spacing w:after="0"/>
              <w:rPr>
                <w:sz w:val="20"/>
                <w:szCs w:val="20"/>
                <w:color w:val="auto"/>
              </w:rPr>
            </w:pPr>
            <w:r>
              <w:rPr>
                <w:rFonts w:ascii="Arial" w:cs="Arial" w:eastAsia="Arial" w:hAnsi="Arial"/>
                <w:sz w:val="17"/>
                <w:szCs w:val="17"/>
                <w:color w:val="auto"/>
                <w:w w:val="97"/>
              </w:rPr>
              <w:t>0%</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left="179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66"/>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4"/>
          </w:tcPr>
          <w:p>
            <w:pPr>
              <w:jc w:val="center"/>
              <w:ind w:right="1560"/>
              <w:spacing w:after="0"/>
              <w:rPr>
                <w:sz w:val="20"/>
                <w:szCs w:val="20"/>
                <w:color w:val="auto"/>
              </w:rPr>
            </w:pPr>
            <w:r>
              <w:rPr>
                <w:rFonts w:ascii="Arial" w:cs="Arial" w:eastAsia="Arial" w:hAnsi="Arial"/>
                <w:sz w:val="17"/>
                <w:szCs w:val="17"/>
                <w:b w:val="1"/>
                <w:bCs w:val="1"/>
                <w:color w:val="auto"/>
                <w:w w:val="88"/>
              </w:rPr>
              <w:t>Goals</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9"/>
              </w:rPr>
              <w:t>Goal</w:t>
            </w:r>
          </w:p>
        </w:tc>
        <w:tc>
          <w:tcPr>
            <w:tcW w:w="0" w:type="dxa"/>
            <w:vAlign w:val="bottom"/>
          </w:tcPr>
          <w:p>
            <w:pPr>
              <w:spacing w:after="0"/>
              <w:rPr>
                <w:sz w:val="1"/>
                <w:szCs w:val="1"/>
                <w:color w:val="auto"/>
              </w:rPr>
            </w:pPr>
          </w:p>
        </w:tc>
      </w:tr>
      <w:tr>
        <w:trPr>
          <w:trHeight w:val="217"/>
        </w:trPr>
        <w:tc>
          <w:tcPr>
            <w:tcW w:w="354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Financial Goals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Weighting</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40" w:type="dxa"/>
            <w:vAlign w:val="bottom"/>
            <w:gridSpan w:val="2"/>
            <w:vMerge w:val="restart"/>
          </w:tcPr>
          <w:p>
            <w:pPr>
              <w:jc w:val="center"/>
              <w:ind w:left="2156"/>
              <w:spacing w:after="0"/>
              <w:rPr>
                <w:sz w:val="20"/>
                <w:szCs w:val="20"/>
                <w:color w:val="auto"/>
              </w:rPr>
            </w:pPr>
            <w:r>
              <w:rPr>
                <w:rFonts w:ascii="Arial" w:cs="Arial" w:eastAsia="Arial" w:hAnsi="Arial"/>
                <w:sz w:val="17"/>
                <w:szCs w:val="17"/>
                <w:b w:val="1"/>
                <w:bCs w:val="1"/>
                <w:color w:val="auto"/>
                <w:w w:val="99"/>
              </w:rPr>
              <w:t>50%</w:t>
            </w:r>
          </w:p>
        </w:tc>
        <w:tc>
          <w:tcPr>
            <w:tcW w:w="0" w:type="dxa"/>
            <w:vAlign w:val="bottom"/>
          </w:tcPr>
          <w:p>
            <w:pPr>
              <w:spacing w:after="0"/>
              <w:rPr>
                <w:sz w:val="1"/>
                <w:szCs w:val="1"/>
                <w:color w:val="auto"/>
              </w:rPr>
            </w:pPr>
          </w:p>
        </w:tc>
      </w:tr>
      <w:tr>
        <w:trPr>
          <w:trHeight w:val="197"/>
        </w:trPr>
        <w:tc>
          <w:tcPr>
            <w:tcW w:w="7480" w:type="dxa"/>
            <w:vAlign w:val="bottom"/>
            <w:gridSpan w:val="8"/>
          </w:tcPr>
          <w:p>
            <w:pPr>
              <w:ind w:left="2160"/>
              <w:spacing w:after="0"/>
              <w:rPr>
                <w:sz w:val="20"/>
                <w:szCs w:val="20"/>
                <w:color w:val="auto"/>
              </w:rPr>
            </w:pPr>
            <w:r>
              <w:rPr>
                <w:rFonts w:ascii="Arial" w:cs="Arial" w:eastAsia="Arial" w:hAnsi="Arial"/>
                <w:sz w:val="17"/>
                <w:szCs w:val="17"/>
                <w:color w:val="auto"/>
              </w:rPr>
              <w:t>Net Income from Continuing Operations</w:t>
            </w:r>
          </w:p>
        </w:tc>
        <w:tc>
          <w:tcPr>
            <w:tcW w:w="3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80" w:type="dxa"/>
            <w:vAlign w:val="bottom"/>
            <w:gridSpan w:val="8"/>
          </w:tcPr>
          <w:p>
            <w:pPr>
              <w:ind w:left="2160"/>
              <w:spacing w:after="0"/>
              <w:rPr>
                <w:sz w:val="20"/>
                <w:szCs w:val="20"/>
                <w:color w:val="auto"/>
              </w:rPr>
            </w:pPr>
            <w:r>
              <w:rPr>
                <w:rFonts w:ascii="Arial" w:cs="Arial" w:eastAsia="Arial" w:hAnsi="Arial"/>
                <w:sz w:val="17"/>
                <w:szCs w:val="17"/>
                <w:color w:val="auto"/>
              </w:rPr>
              <w:t>Cash from Operating Activities</w:t>
            </w:r>
          </w:p>
        </w:tc>
        <w:tc>
          <w:tcPr>
            <w:tcW w:w="3940" w:type="dxa"/>
            <w:vAlign w:val="bottom"/>
            <w:gridSpan w:val="2"/>
          </w:tcPr>
          <w:p>
            <w:pPr>
              <w:jc w:val="center"/>
              <w:ind w:left="2156"/>
              <w:spacing w:after="0"/>
              <w:rPr>
                <w:sz w:val="20"/>
                <w:szCs w:val="20"/>
                <w:color w:val="auto"/>
              </w:rPr>
            </w:pPr>
            <w:r>
              <w:rPr>
                <w:rFonts w:ascii="Arial" w:cs="Arial" w:eastAsia="Arial" w:hAnsi="Arial"/>
                <w:sz w:val="17"/>
                <w:szCs w:val="17"/>
                <w:b w:val="1"/>
                <w:bCs w:val="1"/>
                <w:color w:val="auto"/>
                <w:w w:val="99"/>
              </w:rPr>
              <w:t>25%</w:t>
            </w:r>
          </w:p>
        </w:tc>
        <w:tc>
          <w:tcPr>
            <w:tcW w:w="0" w:type="dxa"/>
            <w:vAlign w:val="bottom"/>
          </w:tcPr>
          <w:p>
            <w:pPr>
              <w:spacing w:after="0"/>
              <w:rPr>
                <w:sz w:val="1"/>
                <w:szCs w:val="1"/>
                <w:color w:val="auto"/>
              </w:rPr>
            </w:pPr>
          </w:p>
        </w:tc>
      </w:tr>
      <w:tr>
        <w:trPr>
          <w:trHeight w:val="408"/>
        </w:trPr>
        <w:tc>
          <w:tcPr>
            <w:tcW w:w="3540" w:type="dxa"/>
            <w:vAlign w:val="bottom"/>
          </w:tcPr>
          <w:p>
            <w:pPr>
              <w:ind w:left="160"/>
              <w:spacing w:after="0"/>
              <w:rPr>
                <w:sz w:val="20"/>
                <w:szCs w:val="20"/>
                <w:color w:val="auto"/>
              </w:rPr>
            </w:pPr>
            <w:r>
              <w:rPr>
                <w:rFonts w:ascii="Arial" w:cs="Arial" w:eastAsia="Arial" w:hAnsi="Arial"/>
                <w:sz w:val="17"/>
                <w:szCs w:val="17"/>
                <w:b w:val="1"/>
                <w:bCs w:val="1"/>
                <w:color w:val="auto"/>
              </w:rPr>
              <w:t>Strategic Goals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gridSpan w:val="2"/>
          </w:tcPr>
          <w:p>
            <w:pPr>
              <w:jc w:val="center"/>
              <w:ind w:left="2196"/>
              <w:spacing w:after="0"/>
              <w:rPr>
                <w:sz w:val="20"/>
                <w:szCs w:val="20"/>
                <w:color w:val="auto"/>
              </w:rPr>
            </w:pPr>
            <w:r>
              <w:rPr>
                <w:rFonts w:ascii="Arial" w:cs="Arial" w:eastAsia="Arial" w:hAnsi="Arial"/>
                <w:sz w:val="17"/>
                <w:szCs w:val="17"/>
                <w:b w:val="1"/>
                <w:bCs w:val="1"/>
                <w:color w:val="auto"/>
                <w:w w:val="99"/>
              </w:rPr>
              <w:t>25%</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100%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680"/>
        <w:spacing w:after="0"/>
        <w:rPr>
          <w:sz w:val="20"/>
          <w:szCs w:val="20"/>
          <w:color w:val="auto"/>
        </w:rPr>
      </w:pPr>
      <w:r>
        <w:rPr>
          <w:rFonts w:ascii="Arial" w:cs="Arial" w:eastAsia="Arial" w:hAnsi="Arial"/>
          <w:sz w:val="17"/>
          <w:szCs w:val="17"/>
          <w:b w:val="1"/>
          <w:bCs w:val="1"/>
          <w:u w:val="single" w:color="auto"/>
          <w:color w:val="auto"/>
        </w:rPr>
        <w:t>Compensation Subject to Compensation Recovery Policy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Annual Incentive Plan Compensation is subject to recoupment as defined in the Compensation Recovery policy.</w:t>
      </w:r>
    </w:p>
    <w:p>
      <w:pPr>
        <w:sectPr>
          <w:pgSz w:w="11900" w:h="16838" w:orient="portrait"/>
          <w:cols w:equalWidth="0" w:num="1">
            <w:col w:w="11420"/>
          </w:cols>
          <w:pgMar w:left="240" w:top="123"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10(i)2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AND AFFILIATED COMPANIES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211" w:lineRule="exact"/>
        <w:rPr>
          <w:sz w:val="20"/>
          <w:szCs w:val="20"/>
          <w:color w:val="auto"/>
        </w:rPr>
      </w:pPr>
    </w:p>
    <w:p>
      <w:pPr>
        <w:ind w:firstLine="642"/>
        <w:spacing w:after="0" w:line="268" w:lineRule="auto"/>
        <w:rPr>
          <w:sz w:val="20"/>
          <w:szCs w:val="20"/>
          <w:color w:val="auto"/>
        </w:rPr>
      </w:pPr>
      <w:r>
        <w:rPr>
          <w:rFonts w:ascii="Arial" w:cs="Arial" w:eastAsia="Arial" w:hAnsi="Arial"/>
          <w:sz w:val="17"/>
          <w:szCs w:val="17"/>
          <w:color w:val="auto"/>
        </w:rPr>
        <w:t>The ALLETE and Affiliate Companies Supplemental Executive Retirement Plan, as amended and restated effective January 1, 2009 (“SERP I”), is amended as follows, effective January 1, 2011.</w:t>
      </w:r>
    </w:p>
    <w:p>
      <w:pPr>
        <w:spacing w:after="0" w:line="167" w:lineRule="exact"/>
        <w:rPr>
          <w:sz w:val="20"/>
          <w:szCs w:val="20"/>
          <w:color w:val="auto"/>
        </w:rPr>
      </w:pPr>
    </w:p>
    <w:p>
      <w:pPr>
        <w:ind w:left="580" w:hanging="579"/>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Section 1.1 is amended by adding the following new sentence at the end:</w:t>
      </w:r>
    </w:p>
    <w:p>
      <w:pPr>
        <w:spacing w:after="0" w:line="206" w:lineRule="exact"/>
        <w:rPr>
          <w:rFonts w:ascii="Arial" w:cs="Arial" w:eastAsia="Arial" w:hAnsi="Arial"/>
          <w:sz w:val="17"/>
          <w:szCs w:val="17"/>
          <w:color w:val="auto"/>
        </w:rPr>
      </w:pPr>
    </w:p>
    <w:p>
      <w:pPr>
        <w:ind w:left="600" w:right="20"/>
        <w:spacing w:after="0" w:line="300" w:lineRule="auto"/>
        <w:rPr>
          <w:rFonts w:ascii="Arial" w:cs="Arial" w:eastAsia="Arial" w:hAnsi="Arial"/>
          <w:sz w:val="17"/>
          <w:szCs w:val="17"/>
          <w:color w:val="auto"/>
        </w:rPr>
      </w:pPr>
      <w:r>
        <w:rPr>
          <w:rFonts w:ascii="Arial" w:cs="Arial" w:eastAsia="Arial" w:hAnsi="Arial"/>
          <w:sz w:val="16"/>
          <w:szCs w:val="16"/>
          <w:color w:val="auto"/>
        </w:rPr>
        <w:t>Effective January 1, 2011, the Company hereby amends SERP I to provide that the SERP I retirement benefit not yet paid to a participant is forfeited in the event the participant has a separation from service for cause and to incorporate any compensation recovery policy adopted by the Company.</w:t>
      </w:r>
    </w:p>
    <w:p>
      <w:pPr>
        <w:spacing w:after="0" w:line="344" w:lineRule="exact"/>
        <w:rPr>
          <w:rFonts w:ascii="Arial" w:cs="Arial" w:eastAsia="Arial" w:hAnsi="Arial"/>
          <w:sz w:val="17"/>
          <w:szCs w:val="17"/>
          <w:color w:val="auto"/>
        </w:rPr>
      </w:pPr>
    </w:p>
    <w:p>
      <w:pPr>
        <w:ind w:left="580" w:hanging="579"/>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New Section 1.3 is added to read as follows:</w:t>
      </w:r>
    </w:p>
    <w:p>
      <w:pPr>
        <w:spacing w:after="0" w:line="203" w:lineRule="exact"/>
        <w:rPr>
          <w:sz w:val="20"/>
          <w:szCs w:val="20"/>
          <w:color w:val="auto"/>
        </w:rPr>
      </w:pPr>
    </w:p>
    <w:p>
      <w:pPr>
        <w:ind w:left="1180"/>
        <w:spacing w:after="0"/>
        <w:tabs>
          <w:tab w:leader="none" w:pos="17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4"/>
          <w:szCs w:val="14"/>
          <w:b w:val="1"/>
          <w:bCs w:val="1"/>
          <w:u w:val="single" w:color="auto"/>
          <w:color w:val="auto"/>
        </w:rPr>
        <w:t>Compensation Recovery Policy</w:t>
      </w:r>
      <w:r>
        <w:rPr>
          <w:rFonts w:ascii="Arial" w:cs="Arial" w:eastAsia="Arial" w:hAnsi="Arial"/>
          <w:sz w:val="14"/>
          <w:szCs w:val="14"/>
          <w:b w:val="1"/>
          <w:bCs w:val="1"/>
          <w:color w:val="auto"/>
        </w:rPr>
        <w:t>.</w:t>
      </w:r>
    </w:p>
    <w:p>
      <w:pPr>
        <w:spacing w:after="0" w:line="211" w:lineRule="exact"/>
        <w:rPr>
          <w:sz w:val="20"/>
          <w:szCs w:val="20"/>
          <w:color w:val="auto"/>
        </w:rPr>
      </w:pPr>
    </w:p>
    <w:p>
      <w:pPr>
        <w:jc w:val="both"/>
        <w:ind w:left="1360" w:right="80"/>
        <w:spacing w:after="0" w:line="257" w:lineRule="auto"/>
        <w:rPr>
          <w:sz w:val="20"/>
          <w:szCs w:val="20"/>
          <w:color w:val="auto"/>
        </w:rPr>
      </w:pPr>
      <w:r>
        <w:rPr>
          <w:rFonts w:ascii="Arial" w:cs="Arial" w:eastAsia="Arial" w:hAnsi="Arial"/>
          <w:sz w:val="17"/>
          <w:szCs w:val="17"/>
          <w:color w:val="auto"/>
        </w:rPr>
        <w:t>Effective January 1, 2011, all amounts payable to Participants in accordance with this Plan are subject to, and the Company hereby incorporates into this SERP I, the terms of any compensation recovery policy or policies established and amended by the Company from time to time (“Compensation Recovery Policy”).</w:t>
      </w:r>
    </w:p>
    <w:p>
      <w:pPr>
        <w:spacing w:after="0" w:line="378" w:lineRule="exact"/>
        <w:rPr>
          <w:sz w:val="20"/>
          <w:szCs w:val="20"/>
          <w:color w:val="auto"/>
        </w:rPr>
      </w:pPr>
    </w:p>
    <w:p>
      <w:pPr>
        <w:ind w:left="580" w:hanging="579"/>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new defined term “Misconduct” is added at the end of Section 2 to read as follows:</w:t>
      </w:r>
    </w:p>
    <w:p>
      <w:pPr>
        <w:spacing w:after="0" w:line="206" w:lineRule="exact"/>
        <w:rPr>
          <w:rFonts w:ascii="Arial" w:cs="Arial" w:eastAsia="Arial" w:hAnsi="Arial"/>
          <w:sz w:val="17"/>
          <w:szCs w:val="17"/>
          <w:color w:val="auto"/>
        </w:rPr>
      </w:pPr>
    </w:p>
    <w:p>
      <w:pPr>
        <w:jc w:val="both"/>
        <w:ind w:left="1820" w:hanging="613"/>
        <w:spacing w:after="0" w:line="257" w:lineRule="auto"/>
        <w:tabs>
          <w:tab w:leader="none" w:pos="18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“Misconduct” 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spacing w:after="0" w:line="176" w:lineRule="exact"/>
        <w:rPr>
          <w:rFonts w:ascii="Arial" w:cs="Arial" w:eastAsia="Arial" w:hAnsi="Arial"/>
          <w:sz w:val="17"/>
          <w:szCs w:val="17"/>
          <w:color w:val="auto"/>
        </w:rPr>
      </w:pPr>
    </w:p>
    <w:p>
      <w:pPr>
        <w:ind w:left="2420" w:hanging="609"/>
        <w:spacing w:after="0" w:line="268" w:lineRule="auto"/>
        <w:tabs>
          <w:tab w:leader="none" w:pos="2420" w:val="left"/>
        </w:tabs>
        <w:numPr>
          <w:ilvl w:val="2"/>
          <w:numId w:val="38"/>
        </w:numPr>
        <w:rPr>
          <w:rFonts w:ascii="Arial" w:cs="Arial" w:eastAsia="Arial" w:hAnsi="Arial"/>
          <w:sz w:val="17"/>
          <w:szCs w:val="17"/>
          <w:color w:val="auto"/>
        </w:rPr>
      </w:pPr>
      <w:r>
        <w:rPr>
          <w:rFonts w:ascii="Arial" w:cs="Arial" w:eastAsia="Arial" w:hAnsi="Arial"/>
          <w:sz w:val="17"/>
          <w:szCs w:val="17"/>
          <w:color w:val="auto"/>
        </w:rPr>
        <w:t>an act or omission by the Participant involving dishonesty in connection with his or her responsibilities as an employee of the Company; or</w:t>
      </w:r>
    </w:p>
    <w:p>
      <w:pPr>
        <w:spacing w:after="0" w:line="166" w:lineRule="exact"/>
        <w:rPr>
          <w:rFonts w:ascii="Arial" w:cs="Arial" w:eastAsia="Arial" w:hAnsi="Arial"/>
          <w:sz w:val="17"/>
          <w:szCs w:val="17"/>
          <w:color w:val="auto"/>
        </w:rPr>
      </w:pPr>
    </w:p>
    <w:p>
      <w:pPr>
        <w:jc w:val="both"/>
        <w:ind w:left="2420" w:hanging="609"/>
        <w:spacing w:after="0" w:line="281" w:lineRule="auto"/>
        <w:tabs>
          <w:tab w:leader="none" w:pos="2420" w:val="left"/>
        </w:tabs>
        <w:numPr>
          <w:ilvl w:val="2"/>
          <w:numId w:val="38"/>
        </w:numPr>
        <w:rPr>
          <w:rFonts w:ascii="Arial" w:cs="Arial" w:eastAsia="Arial" w:hAnsi="Arial"/>
          <w:sz w:val="16"/>
          <w:szCs w:val="16"/>
          <w:color w:val="auto"/>
        </w:rPr>
      </w:pPr>
      <w:r>
        <w:rPr>
          <w:rFonts w:ascii="Arial" w:cs="Arial" w:eastAsia="Arial" w:hAnsi="Arial"/>
          <w:sz w:val="16"/>
          <w:szCs w:val="16"/>
          <w:color w:val="auto"/>
        </w:rPr>
        <w:t xml:space="preserve">the Participant’s conviction of,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felony or a misdemeanor involving moral turpitude, provided that a misdemeanor motor vehicle violation will not constitute a crime of moral turpitude unless it involves driving while impaired within the scope of employment or another serious driving offense committed within the scope of employment.</w:t>
      </w:r>
    </w:p>
    <w:p>
      <w:pPr>
        <w:spacing w:after="0" w:line="158" w:lineRule="exact"/>
        <w:rPr>
          <w:sz w:val="20"/>
          <w:szCs w:val="20"/>
          <w:color w:val="auto"/>
        </w:rPr>
      </w:pPr>
    </w:p>
    <w:p>
      <w:pPr>
        <w:jc w:val="both"/>
        <w:ind w:left="1820"/>
        <w:spacing w:after="0" w:line="257" w:lineRule="auto"/>
        <w:rPr>
          <w:sz w:val="20"/>
          <w:szCs w:val="20"/>
          <w:color w:val="auto"/>
        </w:rPr>
      </w:pPr>
      <w:r>
        <w:rPr>
          <w:rFonts w:ascii="Arial" w:cs="Arial" w:eastAsia="Arial" w:hAnsi="Arial"/>
          <w:sz w:val="17"/>
          <w:szCs w:val="17"/>
          <w:color w:val="auto"/>
        </w:rPr>
        <w:t>For purposes of clarifying the foregoing definition, Misconduct can occur regardless of whether the Company discovers the Misconduct before or after the Participant’s termination of employment and regardless of whether the Participant terminates employment on account of the Misconduct.</w:t>
      </w:r>
    </w:p>
    <w:p>
      <w:pPr>
        <w:spacing w:after="0" w:line="378" w:lineRule="exact"/>
        <w:rPr>
          <w:sz w:val="20"/>
          <w:szCs w:val="20"/>
          <w:color w:val="auto"/>
        </w:rPr>
      </w:pPr>
    </w:p>
    <w:p>
      <w:pPr>
        <w:ind w:left="580" w:hanging="579"/>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New Section 4.17 is added to read as follows:</w:t>
      </w:r>
    </w:p>
    <w:p>
      <w:pPr>
        <w:spacing w:after="0" w:line="203"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4.17</w:t>
      </w:r>
      <w:r>
        <w:rPr>
          <w:sz w:val="20"/>
          <w:szCs w:val="20"/>
          <w:color w:val="auto"/>
        </w:rPr>
        <w:tab/>
      </w:r>
      <w:r>
        <w:rPr>
          <w:rFonts w:ascii="Arial" w:cs="Arial" w:eastAsia="Arial" w:hAnsi="Arial"/>
          <w:sz w:val="15"/>
          <w:szCs w:val="15"/>
          <w:b w:val="1"/>
          <w:bCs w:val="1"/>
          <w:u w:val="single" w:color="auto"/>
          <w:color w:val="auto"/>
        </w:rPr>
        <w:t>Forfeiture of Vested Retirement Benefit for Misconduct</w:t>
      </w:r>
      <w:r>
        <w:rPr>
          <w:rFonts w:ascii="Arial" w:cs="Arial" w:eastAsia="Arial" w:hAnsi="Arial"/>
          <w:sz w:val="15"/>
          <w:szCs w:val="15"/>
          <w:b w:val="1"/>
          <w:bCs w:val="1"/>
          <w:color w:val="auto"/>
        </w:rPr>
        <w:t>.</w:t>
      </w:r>
    </w:p>
    <w:p>
      <w:pPr>
        <w:spacing w:after="0" w:line="211" w:lineRule="exact"/>
        <w:rPr>
          <w:sz w:val="20"/>
          <w:szCs w:val="20"/>
          <w:color w:val="auto"/>
        </w:rPr>
      </w:pPr>
    </w:p>
    <w:p>
      <w:pPr>
        <w:jc w:val="both"/>
        <w:ind w:left="1360" w:right="100"/>
        <w:spacing w:after="0" w:line="254" w:lineRule="auto"/>
        <w:rPr>
          <w:sz w:val="20"/>
          <w:szCs w:val="20"/>
          <w:color w:val="auto"/>
        </w:rPr>
      </w:pPr>
      <w:r>
        <w:rPr>
          <w:rFonts w:ascii="Arial" w:cs="Arial" w:eastAsia="Arial" w:hAnsi="Arial"/>
          <w:sz w:val="17"/>
          <w:szCs w:val="17"/>
          <w:color w:val="auto"/>
        </w:rPr>
        <w:t>Notwithstanding any other term or condition in this Section 4, a 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spacing w:after="0" w:line="379" w:lineRule="exact"/>
        <w:rPr>
          <w:sz w:val="20"/>
          <w:szCs w:val="20"/>
          <w:color w:val="auto"/>
        </w:rPr>
      </w:pPr>
    </w:p>
    <w:p>
      <w:pPr>
        <w:ind w:left="580" w:hanging="579"/>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New Section 4.18 is added to read as follows:</w:t>
      </w:r>
    </w:p>
    <w:p>
      <w:pPr>
        <w:spacing w:after="0" w:line="203"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4.18</w:t>
      </w:r>
      <w:r>
        <w:rPr>
          <w:sz w:val="20"/>
          <w:szCs w:val="20"/>
          <w:color w:val="auto"/>
        </w:rPr>
        <w:tab/>
      </w:r>
      <w:r>
        <w:rPr>
          <w:rFonts w:ascii="Arial" w:cs="Arial" w:eastAsia="Arial" w:hAnsi="Arial"/>
          <w:sz w:val="15"/>
          <w:szCs w:val="15"/>
          <w:b w:val="1"/>
          <w:bCs w:val="1"/>
          <w:u w:val="single" w:color="auto"/>
          <w:color w:val="auto"/>
        </w:rPr>
        <w:t>Withholding Pursuant to Compensation Recovery Policy</w:t>
      </w:r>
      <w:r>
        <w:rPr>
          <w:rFonts w:ascii="Arial" w:cs="Arial" w:eastAsia="Arial" w:hAnsi="Arial"/>
          <w:sz w:val="15"/>
          <w:szCs w:val="15"/>
          <w:b w:val="1"/>
          <w:bCs w:val="1"/>
          <w:color w:val="auto"/>
        </w:rPr>
        <w:t>.</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All benefits are subject to the provisions of Sections 1.3, regardless of whether distributions have commenced.</w:t>
      </w:r>
    </w:p>
    <w:p>
      <w:pPr>
        <w:spacing w:after="0" w:line="200" w:lineRule="exact"/>
        <w:rPr>
          <w:sz w:val="20"/>
          <w:szCs w:val="20"/>
          <w:color w:val="auto"/>
        </w:rPr>
      </w:pPr>
    </w:p>
    <w:p>
      <w:pPr>
        <w:spacing w:after="0" w:line="208"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IN WITNESS WHEREOF, and as evidence of the adoption of this amendment to SERP I, ALLETE, Inc. has caused this amendment to be executed by its duly authorized representative this __ day of ___________, 2011.</w:t>
      </w:r>
    </w:p>
    <w:p>
      <w:pPr>
        <w:spacing w:after="0" w:line="16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Alan R. Hodnik</w:t>
      </w:r>
      <w:r>
        <w:rPr>
          <w:rFonts w:ascii="Arial" w:cs="Arial" w:eastAsia="Arial" w:hAnsi="Arial"/>
          <w:sz w:val="17"/>
          <w:szCs w:val="17"/>
          <w:color w:val="auto"/>
        </w:rPr>
        <w:t>______________</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Alan R. Hodnik</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Deborah A. Amberg</w:t>
      </w:r>
      <w:r>
        <w:rPr>
          <w:rFonts w:ascii="Arial" w:cs="Arial" w:eastAsia="Arial" w:hAnsi="Arial"/>
          <w:sz w:val="17"/>
          <w:szCs w:val="17"/>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726059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20" w:right="239" w:bottom="640" w:gutter="0" w:footer="0" w:header="0"/>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10(i)3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ALLETE AND AFFILIATED COMPANIES</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auto"/>
        </w:rPr>
        <w:t>SUPPLEMENTAL EXECUTIVE RETIREMENT PLAN II</w:t>
      </w: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Amended and Restated Effective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751205</wp:posOffset>
            </wp:positionV>
            <wp:extent cx="726059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04" w:name="page105"/>
    <w:bookmarkEnd w:id="10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7020" w:type="dxa"/>
            <w:vAlign w:val="bottom"/>
            <w:tcBorders>
              <w:top w:val="single" w:sz="8" w:color="auto"/>
              <w:bottom w:val="single" w:sz="8" w:color="auto"/>
            </w:tcBorders>
            <w:shd w:val="clear" w:color="auto" w:fill="CCEEFF"/>
          </w:tcPr>
          <w:p>
            <w:pPr>
              <w:ind w:left="3040"/>
              <w:spacing w:after="0"/>
              <w:rPr>
                <w:sz w:val="20"/>
                <w:szCs w:val="20"/>
                <w:color w:val="auto"/>
              </w:rPr>
            </w:pPr>
            <w:r>
              <w:rPr>
                <w:rFonts w:ascii="Arial" w:cs="Arial" w:eastAsia="Arial" w:hAnsi="Arial"/>
                <w:sz w:val="17"/>
                <w:szCs w:val="17"/>
                <w:b w:val="1"/>
                <w:bCs w:val="1"/>
                <w:color w:val="auto"/>
              </w:rPr>
              <w:t>TABLE OF CONTENTS</w:t>
            </w:r>
          </w:p>
        </w:tc>
        <w:tc>
          <w:tcPr>
            <w:tcW w:w="3060" w:type="dxa"/>
            <w:vAlign w:val="bottom"/>
            <w:tcBorders>
              <w:top w:val="single" w:sz="8" w:color="auto"/>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Page</w:t>
            </w:r>
          </w:p>
        </w:tc>
      </w:tr>
      <w:tr>
        <w:trPr>
          <w:trHeight w:val="206"/>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ARTICLE 1 Establishment and Purpose</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1.1</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Establishment</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1.2</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Compensation Recovery Policy</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3</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2 Section 409A Plans and Organization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3</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2.1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Section 409A Plans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3</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2.2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Organization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3</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2.3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Section 409A Compliance</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3</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3 Administration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3.1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Administrator</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3.2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Duties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3.3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Agents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3.4</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Binding Effect of Decisions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3.5</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Employer Information</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4 Participation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4.1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Eligibility and Commencement of Participation</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4</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4.2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Special Rule for Initial Participation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5</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4.3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Termination of Participation</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5</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5 Annual Make-Up Award</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5</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5.1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Eligibility</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5</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5.2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Amount of Annual Make-Up Award</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5</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5.3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Payment</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6</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5.4</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Forfeiture of Annual Make-up Award</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6</w:t>
            </w:r>
          </w:p>
        </w:tc>
      </w:tr>
      <w:tr>
        <w:trPr>
          <w:trHeight w:val="206"/>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ARTICLE 6 SERP II Account Balance Plan for Employees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7</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6.1</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Elective Deferrals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7</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6.2</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Non-Elective Deferrals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8</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6.3</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FICA and Other Taxes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8</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6.4</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Distributions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8</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6.5</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Additional Distribution Rules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10</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6.6</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Subsequent Changes in Time and Form of Distributions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11</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7 Accounts and Investments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7.1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Establishment of Accounts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Timing of Credits to Accounts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7.3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Vesting</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7.4</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Investments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7.5</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Valuation Date</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8 SERP II Retirement Benefit</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8.1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Eligibility</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8.2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Vesting and Forfeiture</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13</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8.3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Retirement Benefit</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13</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8.4</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Forfeiture of Vested Retirement Benefit for Misconduct</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13</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8.5</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Time and Form of Distributions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14</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8.6</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Additional Distribution Rules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14</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8.7</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Subsequent Changes in Time and Form of Payment</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16</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8.8</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FICA and Other Taxes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16</w:t>
            </w:r>
          </w:p>
        </w:tc>
      </w:tr>
      <w:tr>
        <w:trPr>
          <w:trHeight w:val="206"/>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ARTICLE 9 Payment Acceleration and Delay</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16</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9.1</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Permitted Accelerations of Payment</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16</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9.2</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Permissible Payment Delays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17</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9.3</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Suspension Not Allowed</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ARTICLE 10 Beneficiary Designation</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10.1</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Beneficiary</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10.2</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No Beneficiary Designation</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11 Claims Procedures</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11.1</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Presentation of Claim</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11.2</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Notification of Decision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18</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11.3</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Review of a Denied Claim</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19</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11.4</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Decision on Review</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20</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11.5</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 Remedies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20</w:t>
            </w:r>
          </w:p>
        </w:tc>
      </w:tr>
      <w:tr>
        <w:trPr>
          <w:trHeight w:val="206"/>
        </w:trPr>
        <w:tc>
          <w:tcPr>
            <w:tcW w:w="8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ARTICLE 12 Amendment or Termination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ARTICLE 13 Miscellaneous Provisions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13.1</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Unsecured General Creditor</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13.2</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Employer’s Liability</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13.3</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Nonassignability</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13.4</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No Right to Employment</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21</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13.5</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Incompetency</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13.6</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Tax Withholding</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13.7</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Furnishing Information</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13.8</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Notice</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13.9</w:t>
            </w:r>
          </w:p>
        </w:tc>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Gender and Number</w:t>
            </w:r>
          </w:p>
        </w:tc>
        <w:tc>
          <w:tcPr>
            <w:tcW w:w="306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13.10</w:t>
            </w:r>
          </w:p>
        </w:tc>
        <w:tc>
          <w:tcPr>
            <w:tcW w:w="7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Headings</w:t>
            </w:r>
          </w:p>
        </w:tc>
        <w:tc>
          <w:tcPr>
            <w:tcW w:w="3060" w:type="dxa"/>
            <w:vAlign w:val="bottom"/>
            <w:tcBorders>
              <w:bottom w:val="single" w:sz="8" w:color="auto"/>
            </w:tcBorders>
          </w:tcPr>
          <w:p>
            <w:pPr>
              <w:ind w:left="2200"/>
              <w:spacing w:after="0"/>
              <w:rPr>
                <w:sz w:val="20"/>
                <w:szCs w:val="20"/>
                <w:color w:val="auto"/>
              </w:rPr>
            </w:pPr>
            <w:r>
              <w:rPr>
                <w:rFonts w:ascii="Arial" w:cs="Arial" w:eastAsia="Arial" w:hAnsi="Arial"/>
                <w:sz w:val="17"/>
                <w:szCs w:val="17"/>
                <w:color w:val="auto"/>
              </w:rPr>
              <w:t>22</w:t>
            </w:r>
          </w:p>
        </w:tc>
      </w:tr>
      <w:tr>
        <w:trPr>
          <w:trHeight w:val="168"/>
        </w:trPr>
        <w:tc>
          <w:tcPr>
            <w:tcW w:w="1340" w:type="dxa"/>
            <w:vAlign w:val="bottom"/>
            <w:shd w:val="clear" w:color="auto" w:fill="CCEEFF"/>
          </w:tcPr>
          <w:p>
            <w:pPr>
              <w:spacing w:after="0"/>
              <w:rPr>
                <w:sz w:val="14"/>
                <w:szCs w:val="14"/>
                <w:color w:val="auto"/>
              </w:rPr>
            </w:pPr>
          </w:p>
        </w:tc>
        <w:tc>
          <w:tcPr>
            <w:tcW w:w="70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660" w:right="239"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13.11</w:t>
            </w:r>
          </w:p>
        </w:tc>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Applicable Law and Construction</w:t>
            </w:r>
          </w:p>
        </w:tc>
        <w:tc>
          <w:tcPr>
            <w:tcW w:w="41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13.12</w:t>
            </w:r>
          </w:p>
        </w:tc>
        <w:tc>
          <w:tcPr>
            <w:tcW w:w="59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Invalid or Unenforceable Provisions</w:t>
            </w:r>
          </w:p>
        </w:tc>
        <w:tc>
          <w:tcPr>
            <w:tcW w:w="414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22</w:t>
            </w:r>
          </w:p>
        </w:tc>
      </w:tr>
      <w:tr>
        <w:trPr>
          <w:trHeight w:val="206"/>
        </w:trPr>
        <w:tc>
          <w:tcPr>
            <w:tcW w:w="1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13.13</w:t>
            </w:r>
          </w:p>
        </w:tc>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Successors</w:t>
            </w:r>
          </w:p>
        </w:tc>
        <w:tc>
          <w:tcPr>
            <w:tcW w:w="414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color w:val="auto"/>
              </w:rPr>
              <w:t>23</w:t>
            </w:r>
          </w:p>
        </w:tc>
      </w:tr>
      <w:tr>
        <w:trPr>
          <w:trHeight w:val="206"/>
        </w:trPr>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95"/>
              </w:rPr>
              <w:t>APPENDIX A</w:t>
            </w:r>
          </w:p>
        </w:tc>
        <w:tc>
          <w:tcPr>
            <w:tcW w:w="59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24</w:t>
            </w:r>
          </w:p>
        </w:tc>
      </w:tr>
      <w:tr>
        <w:trPr>
          <w:trHeight w:val="575"/>
        </w:trPr>
        <w:tc>
          <w:tcPr>
            <w:tcW w:w="134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6" w:name="page107"/>
    <w:bookmarkEnd w:id="106"/>
    <w:p>
      <w:pPr>
        <w:jc w:val="center"/>
        <w:ind w:right="300"/>
        <w:spacing w:after="0"/>
        <w:rPr>
          <w:sz w:val="20"/>
          <w:szCs w:val="20"/>
          <w:color w:val="auto"/>
        </w:rPr>
      </w:pPr>
      <w:r>
        <w:rPr>
          <w:rFonts w:ascii="Arial" w:cs="Arial" w:eastAsia="Arial" w:hAnsi="Arial"/>
          <w:sz w:val="17"/>
          <w:szCs w:val="17"/>
          <w:b w:val="1"/>
          <w:bCs w:val="1"/>
          <w:color w:val="auto"/>
        </w:rPr>
        <w:t>ALLETE AND AFFILIATED COMPANIES</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SUPPLEMENTAL EXECUTIVE RETIREMENT PLAN II</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Effective January 1, 2011</w:t>
      </w:r>
    </w:p>
    <w:p>
      <w:pPr>
        <w:spacing w:after="0" w:line="200" w:lineRule="exact"/>
        <w:rPr>
          <w:sz w:val="20"/>
          <w:szCs w:val="20"/>
          <w:color w:val="auto"/>
        </w:rPr>
      </w:pPr>
    </w:p>
    <w:p>
      <w:pPr>
        <w:spacing w:after="0" w:line="20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1</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Establishment, Purpose and Intent</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b w:val="1"/>
          <w:bCs w:val="1"/>
          <w:u w:val="single" w:color="auto"/>
          <w:color w:val="auto"/>
        </w:rPr>
        <w:t>Establishment</w:t>
      </w:r>
      <w:r>
        <w:rPr>
          <w:rFonts w:ascii="Arial" w:cs="Arial" w:eastAsia="Arial" w:hAnsi="Arial"/>
          <w:sz w:val="15"/>
          <w:szCs w:val="15"/>
          <w:color w:val="auto"/>
        </w:rPr>
        <w:t>. This document includes the terms of the ALLETE and Affiliated Companies Supplemental Executive Retirement Plan II. The purpose of SERP</w:t>
      </w:r>
    </w:p>
    <w:p>
      <w:pPr>
        <w:spacing w:after="0" w:line="45" w:lineRule="exact"/>
        <w:rPr>
          <w:sz w:val="20"/>
          <w:szCs w:val="20"/>
          <w:color w:val="auto"/>
        </w:rPr>
      </w:pPr>
    </w:p>
    <w:p>
      <w:pPr>
        <w:ind w:left="280" w:firstLine="4"/>
        <w:spacing w:after="0" w:line="319" w:lineRule="auto"/>
        <w:tabs>
          <w:tab w:leader="none" w:pos="437" w:val="left"/>
        </w:tabs>
        <w:numPr>
          <w:ilvl w:val="0"/>
          <w:numId w:val="41"/>
        </w:numPr>
        <w:rPr>
          <w:rFonts w:ascii="Arial" w:cs="Arial" w:eastAsia="Arial" w:hAnsi="Arial"/>
          <w:sz w:val="15"/>
          <w:szCs w:val="15"/>
          <w:color w:val="auto"/>
        </w:rPr>
      </w:pPr>
      <w:r>
        <w:rPr>
          <w:rFonts w:ascii="Arial" w:cs="Arial" w:eastAsia="Arial" w:hAnsi="Arial"/>
          <w:sz w:val="15"/>
          <w:szCs w:val="15"/>
          <w:color w:val="auto"/>
        </w:rPr>
        <w:t>is to provide eligible Employees (i) an opportunity to elect to defer compensation and (ii) a supplemental Retirement Benefit, the primary purpose of which is to compensate for annual compensation limits and maximum benefit limitations imposed by the Code on Retirement Plans maintained by the Company.</w:t>
      </w:r>
    </w:p>
    <w:p>
      <w:pPr>
        <w:spacing w:after="0" w:line="133" w:lineRule="exact"/>
        <w:rPr>
          <w:sz w:val="20"/>
          <w:szCs w:val="20"/>
          <w:color w:val="auto"/>
        </w:rPr>
      </w:pPr>
    </w:p>
    <w:p>
      <w:pPr>
        <w:jc w:val="both"/>
        <w:ind w:left="280"/>
        <w:spacing w:after="0" w:line="267" w:lineRule="auto"/>
        <w:rPr>
          <w:sz w:val="20"/>
          <w:szCs w:val="20"/>
          <w:color w:val="auto"/>
        </w:rPr>
      </w:pPr>
      <w:r>
        <w:rPr>
          <w:rFonts w:ascii="Arial" w:cs="Arial" w:eastAsia="Arial" w:hAnsi="Arial"/>
          <w:sz w:val="16"/>
          <w:szCs w:val="16"/>
          <w:color w:val="auto"/>
        </w:rPr>
        <w:t>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 d all other IRS guidance. The Company amended and restated SERP II in its entirety, effective January 1, 2009, to comply with Section 409A.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w:t>
      </w:r>
    </w:p>
    <w:p>
      <w:pPr>
        <w:spacing w:after="0" w:line="169"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color w:val="auto"/>
        </w:rPr>
        <w:t>Effective January 20, 2009, the Company amended SERP II to narrow the salary-grade eligibility requirements to receive an Annual Make-Up Award for employees who first became eligible to participate in SERP II after September 30, 2006.</w:t>
      </w:r>
    </w:p>
    <w:p>
      <w:pPr>
        <w:spacing w:after="0" w:line="167"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color w:val="auto"/>
        </w:rPr>
        <w:t>Effective January 1, 2011, the Company hereby amends SERP II to incorporate any compensation recovery policy adopted by the Company and to provide that certain benefits may be subject to forfeiture for Misconduct.</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Capitalized terms, unless otherwise defined herein, shall have the meaning provided in Appendix A.</w:t>
      </w:r>
    </w:p>
    <w:p>
      <w:pPr>
        <w:spacing w:after="0" w:line="33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07" w:name="page108"/>
    <w:bookmarkEnd w:id="107"/>
    <w:p>
      <w:pPr>
        <w:jc w:val="both"/>
        <w:ind w:left="280" w:hanging="292"/>
        <w:spacing w:after="0" w:line="26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Compensation Recovery Policy</w:t>
      </w:r>
      <w:r>
        <w:rPr>
          <w:rFonts w:ascii="Arial" w:cs="Arial" w:eastAsia="Arial" w:hAnsi="Arial"/>
          <w:sz w:val="17"/>
          <w:szCs w:val="17"/>
          <w:b w:val="1"/>
          <w:bCs w:val="1"/>
          <w:color w:val="auto"/>
        </w:rPr>
        <w:t>.</w:t>
      </w:r>
      <w:r>
        <w:rPr>
          <w:rFonts w:ascii="Arial" w:cs="Arial" w:eastAsia="Arial" w:hAnsi="Arial"/>
          <w:sz w:val="17"/>
          <w:szCs w:val="17"/>
          <w:color w:val="auto"/>
        </w:rPr>
        <w:t xml:space="preserve"> Effective January 1, 2011, all amounts payable to Participants in accordance with this Plan are subject to, and the Company hereby incorporates into this SERP II, the terms of any compensation recovery policy or policies established and amended by the Company from time to time (“Compensation Recovery Policy”).</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2</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Section 409A Plans and Organization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Section 409A Plans</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provisions of SERP II include terms and conditions applicable to the following 409A Plans: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2.1.1 An elective account balance plan for Employees for purposes of Elective Deferrals;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2.1.2 A non-elective account balance plan for Employees for purposes of Non-Elective Deferrals; and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2.1.3 A non-account balance plan for Employees.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Except as otherwise provided in this section or in a specific section, all provisions of the Plan apply to all amounts deferred under any Article of the Plan.</w:t>
      </w:r>
    </w:p>
    <w:p>
      <w:pPr>
        <w:spacing w:after="0" w:line="218"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7"/>
          <w:szCs w:val="17"/>
          <w:color w:val="auto"/>
        </w:rPr>
        <w:t>2.2.1 The provisions of Article 5 apply only for purposes of identifying employees eligible to receive an Annual Make-Up Award and the amount of the award, if any.</w:t>
      </w:r>
    </w:p>
    <w:p>
      <w:pPr>
        <w:spacing w:after="0" w:line="167" w:lineRule="exact"/>
        <w:rPr>
          <w:sz w:val="20"/>
          <w:szCs w:val="20"/>
          <w:color w:val="auto"/>
        </w:rPr>
      </w:pPr>
    </w:p>
    <w:p>
      <w:pPr>
        <w:jc w:val="both"/>
        <w:ind w:left="880" w:hanging="418"/>
        <w:spacing w:after="0" w:line="257" w:lineRule="auto"/>
        <w:rPr>
          <w:sz w:val="20"/>
          <w:szCs w:val="20"/>
          <w:color w:val="auto"/>
        </w:rPr>
      </w:pPr>
      <w:r>
        <w:rPr>
          <w:rFonts w:ascii="Arial" w:cs="Arial" w:eastAsia="Arial" w:hAnsi="Arial"/>
          <w:sz w:val="17"/>
          <w:szCs w:val="17"/>
          <w:color w:val="auto"/>
        </w:rPr>
        <w:t>2.2.2 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spacing w:after="0" w:line="177"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7"/>
          <w:szCs w:val="17"/>
          <w:color w:val="auto"/>
        </w:rPr>
        <w:t>2.2.3 The provisions of Article 8 apply only to the extent that SERP II provides for Retirement Benefits, which represent the non-account balance plan identified in subsection 2.1.3.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Section 409A Compliance</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08" w:name="page109"/>
    <w:bookmarkEnd w:id="108"/>
    <w:p>
      <w:pPr>
        <w:jc w:val="center"/>
        <w:ind w:right="300"/>
        <w:spacing w:after="0"/>
        <w:rPr>
          <w:sz w:val="20"/>
          <w:szCs w:val="20"/>
          <w:color w:val="auto"/>
        </w:rPr>
      </w:pPr>
      <w:r>
        <w:rPr>
          <w:rFonts w:ascii="Arial" w:cs="Arial" w:eastAsia="Arial" w:hAnsi="Arial"/>
          <w:sz w:val="17"/>
          <w:szCs w:val="17"/>
          <w:b w:val="1"/>
          <w:bCs w:val="1"/>
          <w:color w:val="auto"/>
        </w:rPr>
        <w:t>ARTICLE 3</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Administrator</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The Administrator shall administer the Plan or may delegate any of its duties to such other person or 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Duties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auto"/>
        </w:rPr>
        <w:t>The Administrator has the authority to construe and interpret all provisions of the Plan and, to the extent 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Agents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Binding Effect of Decisions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75" w:lineRule="auto"/>
        <w:rPr>
          <w:sz w:val="20"/>
          <w:szCs w:val="20"/>
          <w:color w:val="auto"/>
        </w:rPr>
      </w:pPr>
      <w:r>
        <w:rPr>
          <w:rFonts w:ascii="Arial" w:cs="Arial" w:eastAsia="Arial" w:hAnsi="Arial"/>
          <w:sz w:val="16"/>
          <w:szCs w:val="16"/>
          <w:color w:val="auto"/>
        </w:rPr>
        <w:t>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Employer Information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To enable the Administrator to perform its duties, each Employer shall supply full and timely 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spacing w:after="0" w:line="173"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4</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Eligibility and Commencement of Participation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auto"/>
        </w:rPr>
        <w:t>Eligible Employees may participate in the Plan, except to the extent provided in Section 8.1 regarding eligibility for Retirement Benefits. Each Plan Year, the Administrator shall notify Eligible Employees of their eligibility to participate in the Plan during the following Plan Year. An Eligible Employee shall become a Participant either upon the initial submission of an election form on which the Eligible Employee has elected Elective Deferrals or upon first receiving an allocation of Non-Elective Deferrals.</w:t>
      </w:r>
    </w:p>
    <w:p>
      <w:pPr>
        <w:spacing w:after="0" w:line="311"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Special Rule for Initial Participation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94" w:lineRule="auto"/>
        <w:rPr>
          <w:sz w:val="20"/>
          <w:szCs w:val="20"/>
          <w:color w:val="auto"/>
        </w:rPr>
      </w:pPr>
      <w:r>
        <w:rPr>
          <w:rFonts w:ascii="Arial" w:cs="Arial" w:eastAsia="Arial" w:hAnsi="Arial"/>
          <w:sz w:val="15"/>
          <w:szCs w:val="15"/>
          <w:color w:val="auto"/>
        </w:rPr>
        <w:t>Within 30 days after the date an individual first becomes an Eligible Employee, 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 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Termination of Participation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If the Administrator determines in good faith that a Participant is no longer an Eligible 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w:t>
      </w:r>
    </w:p>
    <w:p>
      <w:pPr>
        <w:spacing w:after="0" w:line="37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5</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Annual Make-Up Award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40"/>
        <w:spacing w:after="0" w:line="252" w:lineRule="auto"/>
        <w:rPr>
          <w:sz w:val="20"/>
          <w:szCs w:val="20"/>
          <w:color w:val="auto"/>
        </w:rPr>
      </w:pPr>
      <w:r>
        <w:rPr>
          <w:rFonts w:ascii="Arial" w:cs="Arial" w:eastAsia="Arial" w:hAnsi="Arial"/>
          <w:sz w:val="17"/>
          <w:szCs w:val="17"/>
          <w:color w:val="auto"/>
        </w:rPr>
        <w:t>An Employee who: (i) was a Participant as of September 30, 2006, (ii) has continuously remained an 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Amount of Annual Make-Up Award</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line="268" w:lineRule="auto"/>
        <w:rPr>
          <w:sz w:val="20"/>
          <w:szCs w:val="20"/>
          <w:color w:val="auto"/>
        </w:rPr>
      </w:pPr>
      <w:r>
        <w:rPr>
          <w:rFonts w:ascii="Arial" w:cs="Arial" w:eastAsia="Arial" w:hAnsi="Arial"/>
          <w:sz w:val="17"/>
          <w:szCs w:val="17"/>
          <w:color w:val="auto"/>
        </w:rPr>
        <w:t>The Annual Make-Up Award shall be the sum of the Flexible Dollar Makeup, the RSOP Allocation Makeup and the RSOP Match Allocation Makeup, each calculated as described in this section.</w:t>
      </w:r>
    </w:p>
    <w:p>
      <w:pPr>
        <w:spacing w:after="0" w:line="163" w:lineRule="exact"/>
        <w:rPr>
          <w:sz w:val="20"/>
          <w:szCs w:val="20"/>
          <w:color w:val="auto"/>
        </w:rPr>
      </w:pPr>
    </w:p>
    <w:p>
      <w:pPr>
        <w:jc w:val="both"/>
        <w:ind w:left="880" w:hanging="418"/>
        <w:spacing w:after="0" w:line="253"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u w:val="single" w:color="auto"/>
          <w:color w:val="auto"/>
        </w:rPr>
        <w:t>Flexible Dollar Makeup</w:t>
      </w:r>
      <w:r>
        <w:rPr>
          <w:rFonts w:ascii="Arial" w:cs="Arial" w:eastAsia="Arial" w:hAnsi="Arial"/>
          <w:sz w:val="17"/>
          <w:szCs w:val="17"/>
          <w:b w:val="1"/>
          <w:bCs w:val="1"/>
          <w:color w:val="auto"/>
        </w:rPr>
        <w:t>.</w:t>
      </w:r>
      <w:r>
        <w:rPr>
          <w:rFonts w:ascii="Arial" w:cs="Arial" w:eastAsia="Arial" w:hAnsi="Arial"/>
          <w:sz w:val="17"/>
          <w:szCs w:val="17"/>
          <w:color w:val="auto"/>
        </w:rPr>
        <w:t xml:space="preserve"> The Flexible Dollar Makeup for a Plan Year shall equal the product of A and B, with A equal to the sum of (i) 2% and (ii) the Participant’s life insurance percentage under the Minnesota Power and Affiliated Companies Flexible Compensation Plan for nonunion employees, and B equal to the sum of: (a) the total of the Participant’s Annual Incentive Award and other awards (to the extent included in calculations for the Retirement Plans) for such year, and (b) the Participant’s Salary (determined as of October 1 of the prior Plan Year) in excess of the Code section 401(a) (17) limitation in effect for that Plan Year.</w:t>
      </w: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0" w:name="page111"/>
    <w:bookmarkEnd w:id="110"/>
    <w:p>
      <w:pPr>
        <w:jc w:val="both"/>
        <w:ind w:left="880" w:hanging="418"/>
        <w:spacing w:after="0" w:line="273"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b w:val="1"/>
          <w:bCs w:val="1"/>
          <w:u w:val="single" w:color="auto"/>
          <w:color w:val="auto"/>
        </w:rPr>
        <w:t>RSOP Allocation Makeup</w:t>
      </w:r>
      <w:r>
        <w:rPr>
          <w:rFonts w:ascii="Arial" w:cs="Arial" w:eastAsia="Arial" w:hAnsi="Arial"/>
          <w:sz w:val="16"/>
          <w:szCs w:val="16"/>
          <w:b w:val="1"/>
          <w:bCs w:val="1"/>
          <w:color w:val="auto"/>
        </w:rPr>
        <w:t>.</w:t>
      </w:r>
      <w:r>
        <w:rPr>
          <w:rFonts w:ascii="Arial" w:cs="Arial" w:eastAsia="Arial" w:hAnsi="Arial"/>
          <w:sz w:val="16"/>
          <w:szCs w:val="16"/>
          <w:color w:val="auto"/>
        </w:rPr>
        <w:t xml:space="preserve"> For a Participant who was a Participant as of September 30, 2006, for so long as he remains continuously eligible as a Participant, the RSOP Allocation Makeup for a Plan Year shall equal the product of C and D, with C equal to the sum of (i) 1.5% and (ii) the percentage (if any) being allocated for that year as an excess amount pursuant to the RSOP, and D equal to the sum of (a) the total of the Participant’s Annual Incentive Award and other award (to the extent included in calculations for the Retirement Plans) for such year, and (b) the amount of the Participant’s Salary in excess of the Code section 401(a)(17) limitation in effect for that Plan Year.</w:t>
      </w:r>
    </w:p>
    <w:p>
      <w:pPr>
        <w:spacing w:after="0" w:line="164" w:lineRule="exact"/>
        <w:rPr>
          <w:sz w:val="20"/>
          <w:szCs w:val="20"/>
          <w:color w:val="auto"/>
        </w:rPr>
      </w:pPr>
    </w:p>
    <w:p>
      <w:pPr>
        <w:jc w:val="both"/>
        <w:ind w:left="880"/>
        <w:spacing w:after="0" w:line="298" w:lineRule="auto"/>
        <w:rPr>
          <w:sz w:val="20"/>
          <w:szCs w:val="20"/>
          <w:color w:val="auto"/>
        </w:rPr>
      </w:pPr>
      <w:r>
        <w:rPr>
          <w:rFonts w:ascii="Arial" w:cs="Arial" w:eastAsia="Arial" w:hAnsi="Arial"/>
          <w:sz w:val="15"/>
          <w:szCs w:val="15"/>
          <w:color w:val="auto"/>
        </w:rPr>
        <w:t>For a Participant who becomes a Participant on or after October 1, 2006, the RSOP Allocation Makeup for a Plan Year shall equal the product of E and F, with E equal to the sum of: (i) 6% and (ii) the percentage, if any, being allocated as an excess amount pursuant to the RSOP; and F equal to the sum of (a) the total of the Participant’s Annual Incentive Award and other award (to the extent included in calculations for the Retirement Plans) for the year, and (b) the amount of the Participant’s Salary in excess of the Code section 401(a)(17) limitation in effect for that Plan Year.</w:t>
      </w:r>
    </w:p>
    <w:p>
      <w:pPr>
        <w:spacing w:after="0" w:line="149" w:lineRule="exact"/>
        <w:rPr>
          <w:sz w:val="20"/>
          <w:szCs w:val="20"/>
          <w:color w:val="auto"/>
        </w:rPr>
      </w:pPr>
    </w:p>
    <w:p>
      <w:pPr>
        <w:jc w:val="both"/>
        <w:ind w:left="880"/>
        <w:spacing w:after="0" w:line="254" w:lineRule="auto"/>
        <w:rPr>
          <w:sz w:val="20"/>
          <w:szCs w:val="20"/>
          <w:color w:val="auto"/>
        </w:rPr>
      </w:pPr>
      <w:r>
        <w:rPr>
          <w:rFonts w:ascii="Arial" w:cs="Arial" w:eastAsia="Arial" w:hAnsi="Arial"/>
          <w:sz w:val="17"/>
          <w:szCs w:val="17"/>
          <w:color w:val="auto"/>
        </w:rPr>
        <w:t>If a Participant ceases to be an Eligible Employee during a Plan Year the RSOP Allocation Makeup for that Plan Year will be calculated by: (i) taking into account the full Annual Incentive Award and other award (to the extent included in calculations for the Retirement Plans) and, (ii) with respect to any Participant whose base salary exceeds the Code section 401(a)(17) limitation in effect for that Plan Year, prorating the Participant’s Salary to reflect the period during the Plan Year for which the Participant was an Eligible Employee.</w:t>
      </w:r>
    </w:p>
    <w:p>
      <w:pPr>
        <w:spacing w:after="0" w:line="174" w:lineRule="exact"/>
        <w:rPr>
          <w:sz w:val="20"/>
          <w:szCs w:val="20"/>
          <w:color w:val="auto"/>
        </w:rPr>
      </w:pPr>
    </w:p>
    <w:p>
      <w:pPr>
        <w:jc w:val="both"/>
        <w:ind w:left="880" w:hanging="418"/>
        <w:spacing w:after="0" w:line="295" w:lineRule="auto"/>
        <w:rPr>
          <w:sz w:val="20"/>
          <w:szCs w:val="20"/>
          <w:color w:val="auto"/>
        </w:rPr>
      </w:pPr>
      <w:r>
        <w:rPr>
          <w:rFonts w:ascii="Arial" w:cs="Arial" w:eastAsia="Arial" w:hAnsi="Arial"/>
          <w:sz w:val="15"/>
          <w:szCs w:val="15"/>
          <w:color w:val="auto"/>
        </w:rPr>
        <w:t xml:space="preserve">5.2.3 </w:t>
      </w:r>
      <w:r>
        <w:rPr>
          <w:rFonts w:ascii="Arial" w:cs="Arial" w:eastAsia="Arial" w:hAnsi="Arial"/>
          <w:sz w:val="15"/>
          <w:szCs w:val="15"/>
          <w:b w:val="1"/>
          <w:bCs w:val="1"/>
          <w:u w:val="single" w:color="auto"/>
          <w:color w:val="auto"/>
        </w:rPr>
        <w:t>RSOP Match Allocation Makeup</w:t>
      </w:r>
      <w:r>
        <w:rPr>
          <w:rFonts w:ascii="Arial" w:cs="Arial" w:eastAsia="Arial" w:hAnsi="Arial"/>
          <w:sz w:val="15"/>
          <w:szCs w:val="15"/>
          <w:b w:val="1"/>
          <w:bCs w:val="1"/>
          <w:color w:val="auto"/>
        </w:rPr>
        <w:t>.</w:t>
      </w:r>
      <w:r>
        <w:rPr>
          <w:rFonts w:ascii="Arial" w:cs="Arial" w:eastAsia="Arial" w:hAnsi="Arial"/>
          <w:sz w:val="15"/>
          <w:szCs w:val="15"/>
          <w:color w:val="auto"/>
        </w:rPr>
        <w:t xml:space="preserve"> The RSOP Match Allocation Makeup for a Plan Year shall equal the excess of G over H, with G equal to the lesser of: (i) the sum of the Participant’s Elective Deferrals out of Salary and RSOP deferrals (including both pre-tax and Roth after-tax deferrals), and (ii) with respect to any Eligible Employee who was a Participant as of September 30, 2006, for so long as he remains continuously eligible as a Participant, 4% of the Participant’s Salary plus Bonus; or with respect to any Eligible Employee who becomes a Participant on or after October 1, 2006, 5% of the Participant’s Salary plus Bonus; and H equal to RSOP matching contributions for the Plan Year on b ehalf of the Participant.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Payment</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line="268" w:lineRule="auto"/>
        <w:rPr>
          <w:sz w:val="20"/>
          <w:szCs w:val="20"/>
          <w:color w:val="auto"/>
        </w:rPr>
      </w:pPr>
      <w:r>
        <w:rPr>
          <w:rFonts w:ascii="Arial" w:cs="Arial" w:eastAsia="Arial" w:hAnsi="Arial"/>
          <w:sz w:val="17"/>
          <w:szCs w:val="17"/>
          <w:color w:val="auto"/>
        </w:rPr>
        <w:t>Except to the extent deferred in accordance with this Plan, the Annual Make-Up Award for any year shall be paid between January 1 and March 15 of the year following the year to which the award relates.</w:t>
      </w:r>
    </w:p>
    <w:p>
      <w:pPr>
        <w:spacing w:after="0" w:line="163" w:lineRule="exact"/>
        <w:rPr>
          <w:sz w:val="20"/>
          <w:szCs w:val="20"/>
          <w:color w:val="auto"/>
        </w:rPr>
      </w:pPr>
    </w:p>
    <w:p>
      <w:pPr>
        <w:jc w:val="both"/>
        <w:ind w:left="280" w:hanging="213"/>
        <w:spacing w:after="0" w:line="260" w:lineRule="auto"/>
        <w:rPr>
          <w:sz w:val="20"/>
          <w:szCs w:val="20"/>
          <w:color w:val="auto"/>
        </w:rPr>
      </w:pPr>
      <w:r>
        <w:rPr>
          <w:rFonts w:ascii="Arial" w:cs="Arial" w:eastAsia="Arial" w:hAnsi="Arial"/>
          <w:sz w:val="17"/>
          <w:szCs w:val="17"/>
          <w:color w:val="auto"/>
        </w:rPr>
        <w:t>5.4</w:t>
      </w:r>
      <w:r>
        <w:rPr>
          <w:rFonts w:ascii="Arial" w:cs="Arial" w:eastAsia="Arial" w:hAnsi="Arial"/>
          <w:sz w:val="17"/>
          <w:szCs w:val="17"/>
          <w:b w:val="1"/>
          <w:bCs w:val="1"/>
          <w:u w:val="single" w:color="auto"/>
          <w:color w:val="auto"/>
        </w:rPr>
        <w:t>Forfeiture of Annual Make-Up Award</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 other term or provision of this Article 5, if a Participant engages in Misconduct, the Participant shall forfeit or repay, as necessary, any Annual Make-Up Award payable on account of the period during which the Misconduct occurred and any subsequent period.</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146050</wp:posOffset>
            </wp:positionV>
            <wp:extent cx="726059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1" w:name="page112"/>
    <w:bookmarkEnd w:id="111"/>
    <w:p>
      <w:pPr>
        <w:jc w:val="center"/>
        <w:ind w:right="300"/>
        <w:spacing w:after="0"/>
        <w:rPr>
          <w:sz w:val="20"/>
          <w:szCs w:val="20"/>
          <w:color w:val="auto"/>
        </w:rPr>
      </w:pPr>
      <w:r>
        <w:rPr>
          <w:rFonts w:ascii="Arial" w:cs="Arial" w:eastAsia="Arial" w:hAnsi="Arial"/>
          <w:sz w:val="17"/>
          <w:szCs w:val="17"/>
          <w:b w:val="1"/>
          <w:bCs w:val="1"/>
          <w:color w:val="auto"/>
        </w:rPr>
        <w:t>ARTICLE 6</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SERP II Account Balance Plan for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Elective Deferrals</w:t>
      </w:r>
      <w:r>
        <w:rPr>
          <w:rFonts w:ascii="Arial" w:cs="Arial" w:eastAsia="Arial" w:hAnsi="Arial"/>
          <w:sz w:val="17"/>
          <w:szCs w:val="17"/>
          <w:b w:val="1"/>
          <w:bCs w:val="1"/>
          <w:color w:val="auto"/>
        </w:rPr>
        <w:t>.</w:t>
      </w:r>
    </w:p>
    <w:p>
      <w:pPr>
        <w:spacing w:after="0" w:line="207" w:lineRule="exact"/>
        <w:rPr>
          <w:sz w:val="20"/>
          <w:szCs w:val="20"/>
          <w:color w:val="auto"/>
        </w:rPr>
      </w:pPr>
    </w:p>
    <w:p>
      <w:pPr>
        <w:jc w:val="both"/>
        <w:ind w:left="880" w:hanging="418"/>
        <w:spacing w:after="0" w:line="25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u w:val="single" w:color="auto"/>
          <w:color w:val="auto"/>
        </w:rPr>
        <w:t>Deferral Elections</w:t>
      </w:r>
      <w:r>
        <w:rPr>
          <w:rFonts w:ascii="Arial" w:cs="Arial" w:eastAsia="Arial" w:hAnsi="Arial"/>
          <w:sz w:val="17"/>
          <w:szCs w:val="17"/>
          <w:b w:val="1"/>
          <w:bCs w:val="1"/>
          <w:color w:val="auto"/>
        </w:rPr>
        <w:t>.</w:t>
      </w:r>
      <w:r>
        <w:rPr>
          <w:rFonts w:ascii="Arial" w:cs="Arial" w:eastAsia="Arial" w:hAnsi="Arial"/>
          <w:sz w:val="17"/>
          <w:szCs w:val="17"/>
          <w:color w:val="auto"/>
        </w:rPr>
        <w:t xml:space="preserve"> For each Plan Year, a Participant may elect to defer some or all of Salary, Bonus, and, if eligible, an Annual Make-up Award, Severance Pay and Other Awards. Elections are effective on a calendar year basis and become irrevocable no later than the date specified by the Administrator, but in any event before the beginning of the Plan Year to which the elections relate. A Participant’s elections will become effective only if the forms required by the Administrator have been properly completed and signed by the Participant, timely delivered to the Administrator, and accepted by the Administrator. A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spacing w:after="0" w:line="178" w:lineRule="exact"/>
        <w:rPr>
          <w:sz w:val="20"/>
          <w:szCs w:val="20"/>
          <w:color w:val="auto"/>
        </w:rPr>
      </w:pPr>
    </w:p>
    <w:p>
      <w:pPr>
        <w:jc w:val="both"/>
        <w:ind w:left="880" w:hanging="418"/>
        <w:spacing w:after="0" w:line="27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Special Rule for Performance-Based Compensation</w:t>
      </w:r>
      <w:r>
        <w:rPr>
          <w:rFonts w:ascii="Arial" w:cs="Arial" w:eastAsia="Arial" w:hAnsi="Arial"/>
          <w:sz w:val="16"/>
          <w:szCs w:val="16"/>
          <w:b w:val="1"/>
          <w:bCs w:val="1"/>
          <w:color w:val="auto"/>
        </w:rPr>
        <w:t>.</w:t>
      </w:r>
      <w:r>
        <w:rPr>
          <w:rFonts w:ascii="Arial" w:cs="Arial" w:eastAsia="Arial" w:hAnsi="Arial"/>
          <w:sz w:val="16"/>
          <w:szCs w:val="16"/>
          <w:color w:val="auto"/>
        </w:rPr>
        <w:t xml:space="preserve"> The Administrator, in its complete and sole discretion, may 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spacing w:after="0" w:line="159" w:lineRule="exact"/>
        <w:rPr>
          <w:sz w:val="20"/>
          <w:szCs w:val="20"/>
          <w:color w:val="auto"/>
        </w:rPr>
      </w:pPr>
    </w:p>
    <w:p>
      <w:pPr>
        <w:jc w:val="both"/>
        <w:ind w:left="880" w:hanging="418"/>
        <w:spacing w:after="0" w:line="273"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u w:val="single" w:color="auto"/>
          <w:color w:val="auto"/>
        </w:rPr>
        <w:t>Special Rule for Severance Pay</w:t>
      </w:r>
      <w:r>
        <w:rPr>
          <w:rFonts w:ascii="Arial" w:cs="Arial" w:eastAsia="Arial" w:hAnsi="Arial"/>
          <w:sz w:val="17"/>
          <w:szCs w:val="17"/>
          <w:b w:val="1"/>
          <w:bCs w:val="1"/>
          <w:color w:val="auto"/>
        </w:rPr>
        <w:t>.</w:t>
      </w:r>
      <w:r>
        <w:rPr>
          <w:rFonts w:ascii="Arial" w:cs="Arial" w:eastAsia="Arial" w:hAnsi="Arial"/>
          <w:sz w:val="17"/>
          <w:szCs w:val="17"/>
          <w:color w:val="auto"/>
        </w:rPr>
        <w:t xml:space="preserve"> A Participant may elect to defer all or a portion of Severance Pay by filing with the Administrator an irrevocable deferral election no later than the date the Participant obtains a legally binding right to the Severance Pay.</w:t>
      </w:r>
    </w:p>
    <w:p>
      <w:pPr>
        <w:spacing w:after="0" w:line="159" w:lineRule="exact"/>
        <w:rPr>
          <w:sz w:val="20"/>
          <w:szCs w:val="20"/>
          <w:color w:val="auto"/>
        </w:rPr>
      </w:pPr>
    </w:p>
    <w:p>
      <w:pPr>
        <w:jc w:val="both"/>
        <w:ind w:left="880" w:hanging="418"/>
        <w:spacing w:after="0" w:line="23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b w:val="1"/>
          <w:bCs w:val="1"/>
          <w:u w:val="single" w:color="auto"/>
          <w:color w:val="auto"/>
        </w:rPr>
        <w:t>Cancellation of Deferral Election due to Disability</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If a Participant becomes disabled, the Administrator may, in its sole discretion, cancel the Participant’s deferral election, with respect to amounts to be deferred on or after the cancellation, by the end of the year during which the Participant becomes disabled, or, if later,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the third month following the date on which the Participant becomes disabled. For purposes of this Section, a Participant shall be disabled if the Participant is suffering from any medically determinable physical or mental impairment resulting in the Participant’ ;s inability to perform the duties of his position or any substantially similar position, if such impairment can be expected to result in death or can be expected to last for a continuous period of six months.</w:t>
      </w:r>
    </w:p>
    <w:p>
      <w:pPr>
        <w:spacing w:after="0" w:line="190"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146050</wp:posOffset>
            </wp:positionV>
            <wp:extent cx="726059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2" w:name="page113"/>
    <w:bookmarkEnd w:id="112"/>
    <w:p>
      <w:pPr>
        <w:ind w:left="880"/>
        <w:spacing w:after="0" w:line="268" w:lineRule="auto"/>
        <w:rPr>
          <w:sz w:val="20"/>
          <w:szCs w:val="20"/>
          <w:color w:val="auto"/>
        </w:rPr>
      </w:pPr>
      <w:r>
        <w:rPr>
          <w:rFonts w:ascii="Arial" w:cs="Arial" w:eastAsia="Arial" w:hAnsi="Arial"/>
          <w:sz w:val="17"/>
          <w:szCs w:val="17"/>
          <w:color w:val="auto"/>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spacing w:after="0" w:line="163"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Cancellation of Deferral Election due to Unforeseeable Emergency</w:t>
      </w:r>
      <w:r>
        <w:rPr>
          <w:rFonts w:ascii="Arial" w:cs="Arial" w:eastAsia="Arial" w:hAnsi="Arial"/>
          <w:sz w:val="16"/>
          <w:szCs w:val="16"/>
          <w:b w:val="1"/>
          <w:bCs w:val="1"/>
          <w:color w:val="auto"/>
        </w:rPr>
        <w:t>.</w:t>
      </w:r>
      <w:r>
        <w:rPr>
          <w:rFonts w:ascii="Arial" w:cs="Arial" w:eastAsia="Arial" w:hAnsi="Arial"/>
          <w:sz w:val="16"/>
          <w:szCs w:val="16"/>
          <w:color w:val="auto"/>
        </w:rPr>
        <w:t xml:space="preserve"> If a Participant experiences an 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 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spacing w:after="0" w:line="167" w:lineRule="exact"/>
        <w:rPr>
          <w:sz w:val="20"/>
          <w:szCs w:val="20"/>
          <w:color w:val="auto"/>
        </w:rPr>
      </w:pPr>
    </w:p>
    <w:p>
      <w:pPr>
        <w:jc w:val="both"/>
        <w:ind w:left="880" w:hanging="418"/>
        <w:spacing w:after="0" w:line="260"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b w:val="1"/>
          <w:bCs w:val="1"/>
          <w:u w:val="single" w:color="auto"/>
          <w:color w:val="auto"/>
        </w:rPr>
        <w:t>Withholding of Deferrals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will withhold Elective Deferrals not later than the end of the calendar 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Non-Elective Deferrals</w:t>
      </w:r>
      <w:r>
        <w:rPr>
          <w:rFonts w:ascii="Arial" w:cs="Arial" w:eastAsia="Arial" w:hAnsi="Arial"/>
          <w:sz w:val="17"/>
          <w:szCs w:val="17"/>
          <w:b w:val="1"/>
          <w:bCs w:val="1"/>
          <w:color w:val="auto"/>
        </w:rPr>
        <w:t>.</w:t>
      </w:r>
    </w:p>
    <w:p>
      <w:pPr>
        <w:spacing w:after="0" w:line="207" w:lineRule="exact"/>
        <w:rPr>
          <w:sz w:val="20"/>
          <w:szCs w:val="20"/>
          <w:color w:val="auto"/>
        </w:rPr>
      </w:pPr>
    </w:p>
    <w:p>
      <w:pPr>
        <w:jc w:val="both"/>
        <w:ind w:left="880" w:hanging="418"/>
        <w:spacing w:after="0" w:line="273"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b w:val="1"/>
          <w:bCs w:val="1"/>
          <w:u w:val="single" w:color="auto"/>
          <w:color w:val="auto"/>
        </w:rPr>
        <w:t>Annual Make-Up Award</w:t>
      </w:r>
      <w:r>
        <w:rPr>
          <w:rFonts w:ascii="Arial" w:cs="Arial" w:eastAsia="Arial" w:hAnsi="Arial"/>
          <w:sz w:val="17"/>
          <w:szCs w:val="17"/>
          <w:b w:val="1"/>
          <w:bCs w:val="1"/>
          <w:color w:val="auto"/>
        </w:rPr>
        <w:t>.</w:t>
      </w:r>
      <w:r>
        <w:rPr>
          <w:rFonts w:ascii="Arial" w:cs="Arial" w:eastAsia="Arial" w:hAnsi="Arial"/>
          <w:sz w:val="17"/>
          <w:szCs w:val="17"/>
          <w:color w:val="auto"/>
        </w:rPr>
        <w:t xml:space="preserve"> If the Administrator determines that a Participant’s Salary exceeds the Code section 401(a)(17) limit, the Administrator shall automatically credit the Participant’s Annual Make-up Award to the Participant’s Account.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b w:val="1"/>
          <w:bCs w:val="1"/>
          <w:u w:val="single" w:color="auto"/>
          <w:color w:val="auto"/>
        </w:rPr>
        <w:t>162(m) Deferrals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shall automatically credit a Participant’s 162(m) Deferrals to the Participant’s Account.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FICA and Other Taxes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2" w:lineRule="auto"/>
        <w:rPr>
          <w:sz w:val="20"/>
          <w:szCs w:val="20"/>
          <w:color w:val="auto"/>
        </w:rPr>
      </w:pPr>
      <w:r>
        <w:rPr>
          <w:rFonts w:ascii="Arial" w:cs="Arial" w:eastAsia="Arial" w:hAnsi="Arial"/>
          <w:sz w:val="17"/>
          <w:szCs w:val="17"/>
          <w:color w:val="auto"/>
        </w:rPr>
        <w:t>For each Plan Year during which a Participant has Deferrals, the Participant’s Employer(s) shall, 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Distributions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89" w:lineRule="auto"/>
        <w:rPr>
          <w:sz w:val="20"/>
          <w:szCs w:val="20"/>
          <w:color w:val="auto"/>
        </w:rPr>
      </w:pPr>
      <w:r>
        <w:rPr>
          <w:rFonts w:ascii="Arial" w:cs="Arial" w:eastAsia="Arial" w:hAnsi="Arial"/>
          <w:sz w:val="15"/>
          <w:szCs w:val="15"/>
          <w:color w:val="auto"/>
        </w:rPr>
        <w:t>The Plan provides for distributions in a Specified Year, or upon a Separation from Service, death, 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 s distribution elections are irrevocable and will govern the Deferrals to which the election relates until the amounts covered by the election are paid in full or until subsequently changed in accordance with Section 6.6. Notwithstanding any elections by a Participant, all distributions are subject to the provisions of Sections 1.2 and 6.5.</w:t>
      </w: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6" w:right="239" w:bottom="1440" w:gutter="0" w:footer="0" w:header="0"/>
        </w:sectPr>
      </w:pPr>
    </w:p>
    <w:bookmarkStart w:id="113" w:name="page114"/>
    <w:bookmarkEnd w:id="113"/>
    <w:p>
      <w:pPr>
        <w:jc w:val="both"/>
        <w:ind w:hanging="418"/>
        <w:spacing w:after="0" w:line="271" w:lineRule="auto"/>
        <w:rPr>
          <w:sz w:val="20"/>
          <w:szCs w:val="20"/>
          <w:color w:val="auto"/>
        </w:rPr>
      </w:pPr>
      <w:r>
        <w:rPr>
          <w:rFonts w:ascii="Arial" w:cs="Arial" w:eastAsia="Arial" w:hAnsi="Arial"/>
          <w:sz w:val="16"/>
          <w:szCs w:val="16"/>
          <w:color w:val="auto"/>
        </w:rPr>
        <w:t xml:space="preserve">6.4.1 </w:t>
      </w:r>
      <w:r>
        <w:rPr>
          <w:rFonts w:ascii="Arial" w:cs="Arial" w:eastAsia="Arial" w:hAnsi="Arial"/>
          <w:sz w:val="16"/>
          <w:szCs w:val="16"/>
          <w:b w:val="1"/>
          <w:bCs w:val="1"/>
          <w:u w:val="single" w:color="auto"/>
          <w:color w:val="auto"/>
        </w:rPr>
        <w:t>Specified Year</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elect to receive a distribution of Elective Deferrals in a Specified Year, which may be no earlier than the third Plan Year beginning after the date on which the Participant initially elects to receive a distribution in a Specified Year. Except as otherwise provided in this subsection 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 ed Year, subject, however, to the restrictions of this subsection. All amounts distributed in a Specified Year will be paid in a single lump sum.</w:t>
      </w:r>
    </w:p>
    <w:p>
      <w:pPr>
        <w:spacing w:after="0" w:line="161" w:lineRule="exact"/>
        <w:rPr>
          <w:sz w:val="20"/>
          <w:szCs w:val="20"/>
          <w:color w:val="auto"/>
        </w:rPr>
      </w:pPr>
    </w:p>
    <w:p>
      <w:pPr>
        <w:jc w:val="both"/>
        <w:ind w:hanging="418"/>
        <w:spacing w:after="0" w:line="284" w:lineRule="auto"/>
        <w:rPr>
          <w:sz w:val="20"/>
          <w:szCs w:val="20"/>
          <w:color w:val="auto"/>
        </w:rPr>
      </w:pPr>
      <w:r>
        <w:rPr>
          <w:rFonts w:ascii="Arial" w:cs="Arial" w:eastAsia="Arial" w:hAnsi="Arial"/>
          <w:sz w:val="16"/>
          <w:szCs w:val="16"/>
          <w:color w:val="auto"/>
        </w:rPr>
        <w:t xml:space="preserve">6.4.2 </w:t>
      </w:r>
      <w:r>
        <w:rPr>
          <w:rFonts w:ascii="Arial" w:cs="Arial" w:eastAsia="Arial" w:hAnsi="Arial"/>
          <w:sz w:val="16"/>
          <w:szCs w:val="16"/>
          <w:b w:val="1"/>
          <w:bCs w:val="1"/>
          <w:u w:val="single" w:color="auto"/>
          <w:color w:val="auto"/>
        </w:rPr>
        <w:t>Separation from Service</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elect to receive a distribution commencing either upon a Separation 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spacing w:after="0" w:line="151" w:lineRule="exact"/>
        <w:rPr>
          <w:sz w:val="20"/>
          <w:szCs w:val="20"/>
          <w:color w:val="auto"/>
        </w:rPr>
      </w:pPr>
    </w:p>
    <w:p>
      <w:pPr>
        <w:jc w:val="both"/>
        <w:ind w:hanging="418"/>
        <w:spacing w:after="0" w:line="252"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elect to receive a distribution on account of Disability. Distributions upon Disability will commence on the earlier of the Participant’s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 cipant dies after commencement of a Disability but before the year during which distributions would commence, the Participant’s Account shall be distributed in accordance with the Participant’s election regarding distributions upon death.</w:t>
      </w:r>
    </w:p>
    <w:p>
      <w:pPr>
        <w:spacing w:after="0" w:line="176" w:lineRule="exact"/>
        <w:rPr>
          <w:sz w:val="20"/>
          <w:szCs w:val="20"/>
          <w:color w:val="auto"/>
        </w:rPr>
      </w:pPr>
    </w:p>
    <w:p>
      <w:pPr>
        <w:jc w:val="both"/>
        <w:ind w:hanging="418"/>
        <w:spacing w:after="0" w:line="260" w:lineRule="auto"/>
        <w:rPr>
          <w:sz w:val="20"/>
          <w:szCs w:val="20"/>
          <w:color w:val="auto"/>
        </w:rPr>
      </w:pPr>
      <w:r>
        <w:rPr>
          <w:rFonts w:ascii="Arial" w:cs="Arial" w:eastAsia="Arial" w:hAnsi="Arial"/>
          <w:sz w:val="17"/>
          <w:szCs w:val="17"/>
          <w:color w:val="auto"/>
        </w:rPr>
        <w:t xml:space="preserve">6.4.4 </w:t>
      </w:r>
      <w:r>
        <w:rPr>
          <w:rFonts w:ascii="Arial" w:cs="Arial" w:eastAsia="Arial" w:hAnsi="Arial"/>
          <w:sz w:val="17"/>
          <w:szCs w:val="17"/>
          <w:b w:val="1"/>
          <w:bCs w:val="1"/>
          <w:u w:val="single" w:color="auto"/>
          <w:color w:val="auto"/>
        </w:rPr>
        <w:t>Death</w:t>
      </w:r>
      <w:r>
        <w:rPr>
          <w:rFonts w:ascii="Arial" w:cs="Arial" w:eastAsia="Arial" w:hAnsi="Arial"/>
          <w:sz w:val="17"/>
          <w:szCs w:val="17"/>
          <w:b w:val="1"/>
          <w:bCs w:val="1"/>
          <w:color w:val="auto"/>
        </w:rPr>
        <w:t>.</w:t>
      </w:r>
      <w:r>
        <w:rPr>
          <w:rFonts w:ascii="Arial" w:cs="Arial" w:eastAsia="Arial" w:hAnsi="Arial"/>
          <w:sz w:val="17"/>
          <w:szCs w:val="17"/>
          <w:color w:val="auto"/>
        </w:rPr>
        <w:t xml:space="preserve"> A Participant may elect to receive a distribution commencing upon death or during any of the first five years following the year of death. A Participant may elect to receive a distribution in the form of a lump sum, monthly installments over a period of five (5), ten (10), or fifteen (15) years, or a combination of both a lump sum and installments.</w:t>
      </w:r>
    </w:p>
    <w:p>
      <w:pPr>
        <w:spacing w:after="0" w:line="306"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57785</wp:posOffset>
            </wp:positionV>
            <wp:extent cx="726059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20"/>
          </w:cols>
          <w:pgMar w:left="1440" w:top="462" w:right="239" w:bottom="1440" w:gutter="0" w:footer="0" w:header="0"/>
        </w:sectPr>
      </w:pPr>
    </w:p>
    <w:bookmarkStart w:id="114" w:name="page115"/>
    <w:bookmarkEnd w:id="114"/>
    <w:p>
      <w:pPr>
        <w:jc w:val="both"/>
        <w:ind w:left="880" w:hanging="418"/>
        <w:spacing w:after="0" w:line="255" w:lineRule="auto"/>
        <w:rPr>
          <w:sz w:val="20"/>
          <w:szCs w:val="20"/>
          <w:color w:val="auto"/>
        </w:rPr>
      </w:pPr>
      <w:r>
        <w:rPr>
          <w:rFonts w:ascii="Arial" w:cs="Arial" w:eastAsia="Arial" w:hAnsi="Arial"/>
          <w:sz w:val="17"/>
          <w:szCs w:val="17"/>
          <w:color w:val="auto"/>
        </w:rPr>
        <w:t xml:space="preserve">6.4.5 </w:t>
      </w:r>
      <w:r>
        <w:rPr>
          <w:rFonts w:ascii="Arial" w:cs="Arial" w:eastAsia="Arial" w:hAnsi="Arial"/>
          <w:sz w:val="17"/>
          <w:szCs w:val="17"/>
          <w:b w:val="1"/>
          <w:bCs w:val="1"/>
          <w:u w:val="single" w:color="auto"/>
          <w:color w:val="auto"/>
        </w:rPr>
        <w:t>Unforeseeable Emergency</w:t>
      </w:r>
      <w:r>
        <w:rPr>
          <w:rFonts w:ascii="Arial" w:cs="Arial" w:eastAsia="Arial" w:hAnsi="Arial"/>
          <w:sz w:val="17"/>
          <w:szCs w:val="17"/>
          <w:b w:val="1"/>
          <w:bCs w:val="1"/>
          <w:color w:val="auto"/>
        </w:rPr>
        <w:t>.</w:t>
      </w:r>
      <w:r>
        <w:rPr>
          <w:rFonts w:ascii="Arial" w:cs="Arial" w:eastAsia="Arial" w:hAnsi="Arial"/>
          <w:sz w:val="17"/>
          <w:szCs w:val="17"/>
          <w:color w:val="auto"/>
        </w:rPr>
        <w:t xml:space="preserve"> A Participant may submit a written request for a distribution on account of an 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u w:val="single" w:color="auto"/>
          <w:color w:val="auto"/>
        </w:rPr>
        <w:t>Additional Distribution Rules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b w:val="1"/>
          <w:bCs w:val="1"/>
          <w:u w:val="single" w:color="auto"/>
          <w:color w:val="auto"/>
        </w:rPr>
        <w:t>Default Time and Form of Distribution</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If a Participant fails timely to elect a time and form of distribution, the Participant’s Account will be distributed upon any Separation from Service, including death, in the form of a single lump sum payment.</w:t>
      </w:r>
    </w:p>
    <w:p>
      <w:pPr>
        <w:spacing w:after="0" w:line="368" w:lineRule="exact"/>
        <w:rPr>
          <w:sz w:val="20"/>
          <w:szCs w:val="20"/>
          <w:color w:val="auto"/>
        </w:rPr>
      </w:pPr>
    </w:p>
    <w:p>
      <w:pPr>
        <w:jc w:val="both"/>
        <w:ind w:left="880" w:hanging="418"/>
        <w:spacing w:after="0" w:line="286" w:lineRule="auto"/>
        <w:rPr>
          <w:sz w:val="20"/>
          <w:szCs w:val="20"/>
          <w:color w:val="auto"/>
        </w:rPr>
      </w:pPr>
      <w:r>
        <w:rPr>
          <w:rFonts w:ascii="Arial" w:cs="Arial" w:eastAsia="Arial" w:hAnsi="Arial"/>
          <w:sz w:val="15"/>
          <w:szCs w:val="15"/>
          <w:color w:val="auto"/>
        </w:rPr>
        <w:t xml:space="preserve">6.5.2 </w:t>
      </w:r>
      <w:r>
        <w:rPr>
          <w:rFonts w:ascii="Arial" w:cs="Arial" w:eastAsia="Arial" w:hAnsi="Arial"/>
          <w:sz w:val="15"/>
          <w:szCs w:val="15"/>
          <w:b w:val="1"/>
          <w:bCs w:val="1"/>
          <w:u w:val="single" w:color="auto"/>
          <w:color w:val="auto"/>
        </w:rPr>
        <w:t>Commencement of Distributions</w:t>
      </w:r>
      <w:r>
        <w:rPr>
          <w:rFonts w:ascii="Arial" w:cs="Arial" w:eastAsia="Arial" w:hAnsi="Arial"/>
          <w:sz w:val="15"/>
          <w:szCs w:val="15"/>
          <w:b w:val="1"/>
          <w:bCs w:val="1"/>
          <w:color w:val="auto"/>
        </w:rPr>
        <w:t>.</w:t>
      </w:r>
      <w:r>
        <w:rPr>
          <w:rFonts w:ascii="Arial" w:cs="Arial" w:eastAsia="Arial" w:hAnsi="Arial"/>
          <w:sz w:val="15"/>
          <w:szCs w:val="15"/>
          <w:color w:val="auto"/>
        </w:rPr>
        <w:t xml:space="preserve"> Except as otherwise provided in this section, if a Participant has elected to 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15th 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157" w:lineRule="exact"/>
        <w:rPr>
          <w:sz w:val="20"/>
          <w:szCs w:val="20"/>
          <w:color w:val="auto"/>
        </w:rPr>
      </w:pPr>
    </w:p>
    <w:p>
      <w:pPr>
        <w:jc w:val="both"/>
        <w:ind w:left="880" w:hanging="418"/>
        <w:spacing w:after="0" w:line="250"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b w:val="1"/>
          <w:bCs w:val="1"/>
          <w:u w:val="single" w:color="auto"/>
          <w:color w:val="auto"/>
        </w:rPr>
        <w:t>Installments</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If a Participant elects to receive distributions in monthly installments, the Participant’s Account will 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 ne monthly installment for each calendar month beginning after the anniversary date of the Distribution Event. During the distribution period, the Participant’s Account will be credited with interest compounded monthly at a rate of 7.5% per year. Any installment distribution that complies with this section shall be deemed for all purposes to comply with the Plan requirements regarding the time and form of distributions.</w:t>
      </w:r>
    </w:p>
    <w:p>
      <w:pPr>
        <w:spacing w:after="0" w:line="318"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5" w:name="page116"/>
    <w:bookmarkEnd w:id="115"/>
    <w:p>
      <w:pPr>
        <w:jc w:val="both"/>
        <w:ind w:left="880" w:hanging="418"/>
        <w:spacing w:after="0" w:line="260" w:lineRule="auto"/>
        <w:rPr>
          <w:sz w:val="20"/>
          <w:szCs w:val="20"/>
          <w:color w:val="auto"/>
        </w:rPr>
      </w:pPr>
      <w:r>
        <w:rPr>
          <w:rFonts w:ascii="Arial" w:cs="Arial" w:eastAsia="Arial" w:hAnsi="Arial"/>
          <w:sz w:val="17"/>
          <w:szCs w:val="17"/>
          <w:color w:val="auto"/>
        </w:rPr>
        <w:t xml:space="preserve">6.5.4 </w:t>
      </w:r>
      <w:r>
        <w:rPr>
          <w:rFonts w:ascii="Arial" w:cs="Arial" w:eastAsia="Arial" w:hAnsi="Arial"/>
          <w:sz w:val="17"/>
          <w:szCs w:val="17"/>
          <w:b w:val="1"/>
          <w:bCs w:val="1"/>
          <w:u w:val="single" w:color="auto"/>
          <w:color w:val="auto"/>
        </w:rPr>
        <w:t>Death After Commencement of Distributions</w:t>
      </w:r>
      <w:r>
        <w:rPr>
          <w:rFonts w:ascii="Arial" w:cs="Arial" w:eastAsia="Arial" w:hAnsi="Arial"/>
          <w:sz w:val="17"/>
          <w:szCs w:val="17"/>
          <w:b w:val="1"/>
          <w:bCs w:val="1"/>
          <w:color w:val="auto"/>
        </w:rPr>
        <w:t>.</w:t>
      </w:r>
      <w:r>
        <w:rPr>
          <w:rFonts w:ascii="Arial" w:cs="Arial" w:eastAsia="Arial" w:hAnsi="Arial"/>
          <w:sz w:val="17"/>
          <w:szCs w:val="17"/>
          <w:color w:val="auto"/>
        </w:rPr>
        <w:t xml:space="preserve"> Upon the death of a Participant after distributions of the 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spacing w:after="0" w:line="169" w:lineRule="exact"/>
        <w:rPr>
          <w:sz w:val="20"/>
          <w:szCs w:val="20"/>
          <w:color w:val="auto"/>
        </w:rPr>
      </w:pPr>
    </w:p>
    <w:p>
      <w:pPr>
        <w:jc w:val="both"/>
        <w:ind w:left="880" w:hanging="418"/>
        <w:spacing w:after="0" w:line="271" w:lineRule="auto"/>
        <w:rPr>
          <w:sz w:val="20"/>
          <w:szCs w:val="20"/>
          <w:color w:val="auto"/>
        </w:rPr>
      </w:pPr>
      <w:r>
        <w:rPr>
          <w:rFonts w:ascii="Arial" w:cs="Arial" w:eastAsia="Arial" w:hAnsi="Arial"/>
          <w:sz w:val="16"/>
          <w:szCs w:val="16"/>
          <w:color w:val="auto"/>
        </w:rPr>
        <w:t xml:space="preserve">6.5.5 </w:t>
      </w:r>
      <w:r>
        <w:rPr>
          <w:rFonts w:ascii="Arial" w:cs="Arial" w:eastAsia="Arial" w:hAnsi="Arial"/>
          <w:sz w:val="16"/>
          <w:szCs w:val="16"/>
          <w:b w:val="1"/>
          <w:bCs w:val="1"/>
          <w:u w:val="single" w:color="auto"/>
          <w:color w:val="auto"/>
        </w:rPr>
        <w:t>Distributions to Specified Employees</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anything to the contrary in this Plan, if a Participant becomes entitled to a distribution on account of a Separation from Service and is a Specified Employee on the date of the Separation from Service, distributions shall not commence until the earlier of: (i) 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 nth following the date of the Participant’s Separation from Service, or, if earlier, the date of the Participant’s death.</w:t>
      </w:r>
    </w:p>
    <w:p>
      <w:pPr>
        <w:spacing w:after="0" w:line="161" w:lineRule="exact"/>
        <w:rPr>
          <w:sz w:val="20"/>
          <w:szCs w:val="20"/>
          <w:color w:val="auto"/>
        </w:rPr>
      </w:pPr>
    </w:p>
    <w:p>
      <w:pPr>
        <w:jc w:val="both"/>
        <w:ind w:left="880" w:hanging="418"/>
        <w:spacing w:after="0" w:line="300" w:lineRule="auto"/>
        <w:rPr>
          <w:sz w:val="20"/>
          <w:szCs w:val="20"/>
          <w:color w:val="auto"/>
        </w:rPr>
      </w:pPr>
      <w:r>
        <w:rPr>
          <w:rFonts w:ascii="Arial" w:cs="Arial" w:eastAsia="Arial" w:hAnsi="Arial"/>
          <w:sz w:val="15"/>
          <w:szCs w:val="15"/>
          <w:color w:val="auto"/>
        </w:rPr>
        <w:t xml:space="preserve">6.5.6 </w:t>
      </w:r>
      <w:r>
        <w:rPr>
          <w:rFonts w:ascii="Arial" w:cs="Arial" w:eastAsia="Arial" w:hAnsi="Arial"/>
          <w:sz w:val="15"/>
          <w:szCs w:val="15"/>
          <w:b w:val="1"/>
          <w:bCs w:val="1"/>
          <w:u w:val="single" w:color="auto"/>
          <w:color w:val="auto"/>
        </w:rPr>
        <w:t>Effect of Change in Control</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a Participant’s elections regarding distributions upon a Separation from Service and a distribution in a Specified Year, if (a) the Participant has a Separation from Service within two years following a Change in Control or (b) a Change in Control occurs within six months after the Participant has a Separation from Service, the Participant shall receive a distribution of the Participant’s entire Account in a single lump sum upon the later of the Separation from Service or the Change in Control, whether or not distributions have already commenced.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Subsequent Changes in Time and Form of Distributions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86" w:lineRule="auto"/>
        <w:rPr>
          <w:sz w:val="20"/>
          <w:szCs w:val="20"/>
          <w:color w:val="auto"/>
        </w:rPr>
      </w:pPr>
      <w:r>
        <w:rPr>
          <w:rFonts w:ascii="Arial" w:cs="Arial" w:eastAsia="Arial" w:hAnsi="Arial"/>
          <w:sz w:val="15"/>
          <w:szCs w:val="15"/>
          <w:color w:val="auto"/>
        </w:rPr>
        <w:t>A Participant may, in accordance with rules, procedures and 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 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pacing w:after="0" w:line="294"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6" w:name="page117"/>
    <w:bookmarkEnd w:id="116"/>
    <w:p>
      <w:pPr>
        <w:jc w:val="center"/>
        <w:ind w:right="300"/>
        <w:spacing w:after="0"/>
        <w:rPr>
          <w:sz w:val="20"/>
          <w:szCs w:val="20"/>
          <w:color w:val="auto"/>
        </w:rPr>
      </w:pPr>
      <w:r>
        <w:rPr>
          <w:rFonts w:ascii="Arial" w:cs="Arial" w:eastAsia="Arial" w:hAnsi="Arial"/>
          <w:sz w:val="17"/>
          <w:szCs w:val="17"/>
          <w:b w:val="1"/>
          <w:bCs w:val="1"/>
          <w:color w:val="auto"/>
        </w:rPr>
        <w:t>ARTICLE 7</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Accounts and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Establishment of Accounts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auto"/>
        </w:rPr>
        <w:t>The Company will establish notional accounts for each Participant as the Administrator 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Timing of Credits to Accounts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7" w:lineRule="auto"/>
        <w:rPr>
          <w:sz w:val="20"/>
          <w:szCs w:val="20"/>
          <w:color w:val="auto"/>
        </w:rPr>
      </w:pPr>
      <w:r>
        <w:rPr>
          <w:rFonts w:ascii="Arial" w:cs="Arial" w:eastAsia="Arial" w:hAnsi="Arial"/>
          <w:sz w:val="17"/>
          <w:szCs w:val="17"/>
          <w:color w:val="auto"/>
        </w:rPr>
        <w:t>The Administrator shall credit a Participant’s Elective Deferrals to the Participant’s 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All Participant Accounts are fully vested at all times.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Investments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auto"/>
        </w:rPr>
        <w:t>The Administrator may select investment funds to use for measuring notional gains and losses credited or 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Valuation Date</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color w:val="auto"/>
        </w:rPr>
        <w:t>As of each Valuation Date, each Account will be adjusted to reflect the effect of notional investment gains or losses, additions, distributions, transfers and all other transactions with respect to that Account since the previous Valuation Date.</w:t>
      </w:r>
    </w:p>
    <w:p>
      <w:pPr>
        <w:spacing w:after="0" w:line="163"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8</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SERP II Retirement Benefit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71" w:lineRule="auto"/>
        <w:rPr>
          <w:sz w:val="20"/>
          <w:szCs w:val="20"/>
          <w:color w:val="auto"/>
        </w:rPr>
      </w:pPr>
      <w:r>
        <w:rPr>
          <w:rFonts w:ascii="Arial" w:cs="Arial" w:eastAsia="Arial" w:hAnsi="Arial"/>
          <w:sz w:val="16"/>
          <w:szCs w:val="16"/>
          <w:color w:val="auto"/>
        </w:rPr>
        <w:t>The provisions of Article 8 apply only to Eligible Employees who were eligible for Retirement Benefits on 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w:t>
      </w: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Vesting; Forfeiture of Unvested Retirement Benefit</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Participants will fully vest in the Retirement Benefit upon: (i) Retirement; (ii) becoming Disabled after attaining both age 50 and 10 years of Vesting Service; or</w:t>
      </w:r>
    </w:p>
    <w:p>
      <w:pPr>
        <w:spacing w:after="0" w:line="41" w:lineRule="exact"/>
        <w:rPr>
          <w:sz w:val="20"/>
          <w:szCs w:val="20"/>
          <w:color w:val="auto"/>
        </w:rPr>
      </w:pPr>
    </w:p>
    <w:p>
      <w:pPr>
        <w:ind w:left="280" w:firstLine="4"/>
        <w:spacing w:after="0" w:line="253" w:lineRule="auto"/>
        <w:tabs>
          <w:tab w:leader="none" w:pos="586"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attaining age 50 and 10 years of Vesting Service after becoming Disabled. Participants will forfeit unvested Retirement Benefits and prior years of Vesting Service upon Separation from Service or death prior to full vesting.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Retirement Benefit</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line="336" w:lineRule="auto"/>
        <w:rPr>
          <w:sz w:val="20"/>
          <w:szCs w:val="20"/>
          <w:color w:val="auto"/>
        </w:rPr>
      </w:pPr>
      <w:r>
        <w:rPr>
          <w:rFonts w:ascii="Arial" w:cs="Arial" w:eastAsia="Arial" w:hAnsi="Arial"/>
          <w:sz w:val="15"/>
          <w:szCs w:val="15"/>
          <w:color w:val="auto"/>
        </w:rPr>
        <w:t>The amount of the Retirement Benefit shall equal a single life annuity determined in the manner provided in the Retirement Plans, including any applicable early retirement factors and cost of living adjustments, but using a Participant’s Final Average Earnings and years of Credited Service as described in this section.</w:t>
      </w:r>
    </w:p>
    <w:p>
      <w:pPr>
        <w:spacing w:after="0" w:line="116" w:lineRule="exact"/>
        <w:rPr>
          <w:sz w:val="20"/>
          <w:szCs w:val="20"/>
          <w:color w:val="auto"/>
        </w:rPr>
      </w:pPr>
    </w:p>
    <w:p>
      <w:pPr>
        <w:jc w:val="both"/>
        <w:ind w:left="880" w:hanging="418"/>
        <w:spacing w:after="0" w:line="256"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b w:val="1"/>
          <w:bCs w:val="1"/>
          <w:u w:val="single" w:color="auto"/>
          <w:color w:val="auto"/>
        </w:rPr>
        <w:t>Final Average Earnings</w:t>
      </w:r>
      <w:r>
        <w:rPr>
          <w:rFonts w:ascii="Arial" w:cs="Arial" w:eastAsia="Arial" w:hAnsi="Arial"/>
          <w:sz w:val="16"/>
          <w:szCs w:val="16"/>
          <w:b w:val="1"/>
          <w:bCs w:val="1"/>
          <w:color w:val="auto"/>
        </w:rPr>
        <w:t>.</w:t>
      </w:r>
      <w:r>
        <w:rPr>
          <w:rFonts w:ascii="Arial" w:cs="Arial" w:eastAsia="Arial" w:hAnsi="Arial"/>
          <w:sz w:val="16"/>
          <w:szCs w:val="16"/>
          <w:color w:val="auto"/>
        </w:rPr>
        <w:t xml:space="preserve"> Final Average Earnings include the sum of: (i) the Participant’s four highest consecutive 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 (17). Compensation in excess of the limitation on compensation imposed by Code section 401(a)(17) shall be determined by using the limit in effect on the first day of the 48-month period described in (i) and the next thr ee anniversaries of that date. With respect to a Participant who becomes entitled to a distribution upon Retirement, the “applicable 15-year period” shall be the fifteen (15) years preceding the date of Retirement. With respect to a Participant who becomes entitled to a distribution because of Disability, the “applicable 15-year period” shall be the 15-year period that: (i) ends no earlier than the Participant’s Disability and no later than the Participant’s sixty-fifth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and (ii) would result in the greatest Retirement Benefit.</w:t>
      </w:r>
    </w:p>
    <w:p>
      <w:pPr>
        <w:spacing w:after="0" w:line="171" w:lineRule="exact"/>
        <w:rPr>
          <w:sz w:val="20"/>
          <w:szCs w:val="20"/>
          <w:color w:val="auto"/>
        </w:rPr>
      </w:pPr>
    </w:p>
    <w:p>
      <w:pPr>
        <w:jc w:val="both"/>
        <w:ind w:left="880" w:hanging="418"/>
        <w:spacing w:after="0" w:line="260" w:lineRule="auto"/>
        <w:rPr>
          <w:sz w:val="20"/>
          <w:szCs w:val="20"/>
          <w:color w:val="auto"/>
        </w:rPr>
      </w:pPr>
      <w:r>
        <w:rPr>
          <w:rFonts w:ascii="Arial" w:cs="Arial" w:eastAsia="Arial" w:hAnsi="Arial"/>
          <w:sz w:val="17"/>
          <w:szCs w:val="17"/>
          <w:color w:val="auto"/>
        </w:rPr>
        <w:t xml:space="preserve">8.3.2 </w:t>
      </w:r>
      <w:r>
        <w:rPr>
          <w:rFonts w:ascii="Arial" w:cs="Arial" w:eastAsia="Arial" w:hAnsi="Arial"/>
          <w:sz w:val="17"/>
          <w:szCs w:val="17"/>
          <w:b w:val="1"/>
          <w:bCs w:val="1"/>
          <w:u w:val="single" w:color="auto"/>
          <w:color w:val="auto"/>
        </w:rPr>
        <w:t>Years of Credited Service</w:t>
      </w:r>
      <w:r>
        <w:rPr>
          <w:rFonts w:ascii="Arial" w:cs="Arial" w:eastAsia="Arial" w:hAnsi="Arial"/>
          <w:sz w:val="17"/>
          <w:szCs w:val="17"/>
          <w:b w:val="1"/>
          <w:bCs w:val="1"/>
          <w:color w:val="auto"/>
        </w:rPr>
        <w:t>.</w:t>
      </w:r>
      <w:r>
        <w:rPr>
          <w:rFonts w:ascii="Arial" w:cs="Arial" w:eastAsia="Arial" w:hAnsi="Arial"/>
          <w:sz w:val="17"/>
          <w:szCs w:val="17"/>
          <w:color w:val="auto"/>
        </w:rPr>
        <w:t xml:space="preserve"> A Participant will receive credit for years of Credited Service after September 30, 2006, only to the extent that: (i) the Participant has been continuously employed since that date by a Related Company in management salary grades SA – SM; and (ii) distributions of Retirement Benefits have not commenced.</w:t>
      </w:r>
    </w:p>
    <w:p>
      <w:pPr>
        <w:spacing w:after="0" w:line="370" w:lineRule="exact"/>
        <w:rPr>
          <w:sz w:val="20"/>
          <w:szCs w:val="20"/>
          <w:color w:val="auto"/>
        </w:rPr>
      </w:pPr>
    </w:p>
    <w:p>
      <w:pPr>
        <w:jc w:val="both"/>
        <w:ind w:left="280" w:hanging="292"/>
        <w:spacing w:after="0" w:line="25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Forfeiture of Vested Retirement Benefit for Misconduct</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 other term or condition in this Article 8, a 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spacing w:after="0" w:line="311"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18" w:name="page119"/>
    <w:bookmarkEnd w:id="118"/>
    <w:p>
      <w:pPr>
        <w:jc w:val="both"/>
        <w:ind w:left="220" w:hanging="225"/>
        <w:spacing w:after="0" w:line="260" w:lineRule="auto"/>
        <w:rPr>
          <w:sz w:val="20"/>
          <w:szCs w:val="20"/>
          <w:color w:val="auto"/>
        </w:rPr>
      </w:pPr>
      <w:r>
        <w:rPr>
          <w:rFonts w:ascii="Arial" w:cs="Arial" w:eastAsia="Arial" w:hAnsi="Arial"/>
          <w:sz w:val="17"/>
          <w:szCs w:val="17"/>
          <w:color w:val="auto"/>
        </w:rPr>
        <w:t>8.5</w:t>
      </w:r>
      <w:r>
        <w:rPr>
          <w:rFonts w:ascii="Arial" w:cs="Arial" w:eastAsia="Arial" w:hAnsi="Arial"/>
          <w:sz w:val="17"/>
          <w:szCs w:val="17"/>
          <w:b w:val="1"/>
          <w:bCs w:val="1"/>
          <w:u w:val="single" w:color="auto"/>
          <w:color w:val="auto"/>
        </w:rPr>
        <w:t>Time and Form of Distributions</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the provisions of Section 8.6, a Participant will become entitled to a distribution of vested Retirement Benefits, in the form determined by this section, upon the earlier of: (i) Retirement; (ii) Disability; or (iii) solely with respect to a Participant who vests after becoming Disabled, the earlier of death or attainment of age 65.</w:t>
      </w:r>
    </w:p>
    <w:p>
      <w:pPr>
        <w:spacing w:after="0" w:line="169" w:lineRule="exact"/>
        <w:rPr>
          <w:sz w:val="20"/>
          <w:szCs w:val="20"/>
          <w:color w:val="auto"/>
        </w:rPr>
      </w:pPr>
    </w:p>
    <w:p>
      <w:pPr>
        <w:jc w:val="both"/>
        <w:ind w:left="820" w:hanging="351"/>
        <w:spacing w:after="0" w:line="295" w:lineRule="auto"/>
        <w:rPr>
          <w:sz w:val="20"/>
          <w:szCs w:val="20"/>
          <w:color w:val="auto"/>
        </w:rPr>
      </w:pPr>
      <w:r>
        <w:rPr>
          <w:rFonts w:ascii="Arial" w:cs="Arial" w:eastAsia="Arial" w:hAnsi="Arial"/>
          <w:sz w:val="15"/>
          <w:szCs w:val="15"/>
          <w:color w:val="auto"/>
        </w:rPr>
        <w:t>8.5.1</w:t>
      </w:r>
      <w:r>
        <w:rPr>
          <w:rFonts w:ascii="Arial" w:cs="Arial" w:eastAsia="Arial" w:hAnsi="Arial"/>
          <w:sz w:val="15"/>
          <w:szCs w:val="15"/>
          <w:b w:val="1"/>
          <w:bCs w:val="1"/>
          <w:u w:val="single" w:color="auto"/>
          <w:color w:val="auto"/>
        </w:rPr>
        <w:t>Election of Alternative Forms of Distribution</w:t>
      </w:r>
      <w:r>
        <w:rPr>
          <w:rFonts w:ascii="Arial" w:cs="Arial" w:eastAsia="Arial" w:hAnsi="Arial"/>
          <w:sz w:val="15"/>
          <w:szCs w:val="15"/>
          <w:b w:val="1"/>
          <w:bCs w:val="1"/>
          <w:color w:val="auto"/>
        </w:rPr>
        <w:t>.</w:t>
      </w:r>
      <w:r>
        <w:rPr>
          <w:rFonts w:ascii="Arial" w:cs="Arial" w:eastAsia="Arial" w:hAnsi="Arial"/>
          <w:sz w:val="15"/>
          <w:szCs w:val="15"/>
          <w:color w:val="auto"/>
        </w:rPr>
        <w:t xml:space="preserve"> A Participant may elect to receive the Retirement Benefit in one of the following forms, each of which shall be actuarially equivalent: (i) monthly installments over a 15-year period, (ii) 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8.7.&lt; /font&gt;</w:t>
      </w:r>
    </w:p>
    <w:p>
      <w:pPr>
        <w:spacing w:after="0" w:line="147" w:lineRule="exact"/>
        <w:rPr>
          <w:sz w:val="20"/>
          <w:szCs w:val="20"/>
          <w:color w:val="auto"/>
        </w:rPr>
      </w:pPr>
    </w:p>
    <w:p>
      <w:pPr>
        <w:jc w:val="both"/>
        <w:ind w:left="820" w:hanging="351"/>
        <w:spacing w:after="0" w:line="260" w:lineRule="auto"/>
        <w:rPr>
          <w:sz w:val="20"/>
          <w:szCs w:val="20"/>
          <w:color w:val="auto"/>
        </w:rPr>
      </w:pPr>
      <w:r>
        <w:rPr>
          <w:rFonts w:ascii="Arial" w:cs="Arial" w:eastAsia="Arial" w:hAnsi="Arial"/>
          <w:sz w:val="17"/>
          <w:szCs w:val="17"/>
          <w:color w:val="auto"/>
        </w:rPr>
        <w:t>8.5.2</w:t>
      </w:r>
      <w:r>
        <w:rPr>
          <w:rFonts w:ascii="Arial" w:cs="Arial" w:eastAsia="Arial" w:hAnsi="Arial"/>
          <w:sz w:val="17"/>
          <w:szCs w:val="17"/>
          <w:b w:val="1"/>
          <w:bCs w:val="1"/>
          <w:u w:val="single" w:color="auto"/>
          <w:color w:val="auto"/>
        </w:rPr>
        <w:t>Default Form of Payment</w:t>
      </w:r>
      <w:r>
        <w:rPr>
          <w:rFonts w:ascii="Arial" w:cs="Arial" w:eastAsia="Arial" w:hAnsi="Arial"/>
          <w:sz w:val="17"/>
          <w:szCs w:val="17"/>
          <w:b w:val="1"/>
          <w:bCs w:val="1"/>
          <w:color w:val="auto"/>
        </w:rPr>
        <w:t>.</w:t>
      </w:r>
      <w:r>
        <w:rPr>
          <w:rFonts w:ascii="Arial" w:cs="Arial" w:eastAsia="Arial" w:hAnsi="Arial"/>
          <w:sz w:val="17"/>
          <w:szCs w:val="17"/>
          <w:color w:val="auto"/>
        </w:rPr>
        <w:t xml:space="preserve"> If a Participant fails to elect a form of payment with respect to the Participant’s Retirement Benefit before December 31, 2008, the Retirement Benefit will be paid in the form of monthly installments over a 15-year period unless the Participant elects to change the time and form of payment in accordance with Section 8.7.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u w:val="single" w:color="auto"/>
          <w:color w:val="auto"/>
        </w:rPr>
        <w:t>Additional Distribution Rules</w:t>
      </w:r>
      <w:r>
        <w:rPr>
          <w:rFonts w:ascii="Arial" w:cs="Arial" w:eastAsia="Arial" w:hAnsi="Arial"/>
          <w:sz w:val="17"/>
          <w:szCs w:val="17"/>
          <w:b w:val="1"/>
          <w:bCs w:val="1"/>
          <w:color w:val="auto"/>
        </w:rPr>
        <w:t>.</w:t>
      </w:r>
    </w:p>
    <w:p>
      <w:pPr>
        <w:spacing w:after="0" w:line="207" w:lineRule="exact"/>
        <w:rPr>
          <w:sz w:val="20"/>
          <w:szCs w:val="20"/>
          <w:color w:val="auto"/>
        </w:rPr>
      </w:pPr>
    </w:p>
    <w:p>
      <w:pPr>
        <w:jc w:val="both"/>
        <w:ind w:left="820" w:hanging="351"/>
        <w:spacing w:after="0" w:line="270" w:lineRule="auto"/>
        <w:rPr>
          <w:sz w:val="20"/>
          <w:szCs w:val="20"/>
          <w:color w:val="auto"/>
        </w:rPr>
      </w:pPr>
      <w:r>
        <w:rPr>
          <w:rFonts w:ascii="Arial" w:cs="Arial" w:eastAsia="Arial" w:hAnsi="Arial"/>
          <w:sz w:val="15"/>
          <w:szCs w:val="15"/>
          <w:color w:val="auto"/>
        </w:rPr>
        <w:t>8.6.1</w:t>
      </w:r>
      <w:r>
        <w:rPr>
          <w:rFonts w:ascii="Arial" w:cs="Arial" w:eastAsia="Arial" w:hAnsi="Arial"/>
          <w:sz w:val="15"/>
          <w:szCs w:val="15"/>
          <w:b w:val="1"/>
          <w:bCs w:val="1"/>
          <w:u w:val="single" w:color="auto"/>
          <w:color w:val="auto"/>
        </w:rPr>
        <w:t>Commencement of Distributions</w:t>
      </w:r>
      <w:r>
        <w:rPr>
          <w:rFonts w:ascii="Arial" w:cs="Arial" w:eastAsia="Arial" w:hAnsi="Arial"/>
          <w:sz w:val="15"/>
          <w:szCs w:val="15"/>
          <w:b w:val="1"/>
          <w:bCs w:val="1"/>
          <w:color w:val="auto"/>
        </w:rPr>
        <w:t>.</w:t>
      </w:r>
      <w:r>
        <w:rPr>
          <w:rFonts w:ascii="Arial" w:cs="Arial" w:eastAsia="Arial" w:hAnsi="Arial"/>
          <w:sz w:val="15"/>
          <w:szCs w:val="15"/>
          <w:color w:val="auto"/>
        </w:rPr>
        <w:t xml:space="preserve"> Distributions on account of a Distribution Event other than Disability will 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spacing w:after="0" w:line="166" w:lineRule="exact"/>
        <w:rPr>
          <w:sz w:val="20"/>
          <w:szCs w:val="20"/>
          <w:color w:val="auto"/>
        </w:rPr>
      </w:pPr>
    </w:p>
    <w:p>
      <w:pPr>
        <w:jc w:val="right"/>
        <w:ind w:left="80"/>
        <w:spacing w:after="0" w:line="266" w:lineRule="auto"/>
        <w:rPr>
          <w:sz w:val="20"/>
          <w:szCs w:val="20"/>
          <w:color w:val="auto"/>
        </w:rPr>
      </w:pPr>
      <w:r>
        <w:rPr>
          <w:rFonts w:ascii="Arial" w:cs="Arial" w:eastAsia="Arial" w:hAnsi="Arial"/>
          <w:sz w:val="16"/>
          <w:szCs w:val="16"/>
          <w:b w:val="1"/>
          <w:bCs w:val="1"/>
          <w:u w:val="single" w:color="auto"/>
          <w:color w:val="auto"/>
        </w:rPr>
        <w:t>Distributions to Specified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Plan, if a Participant becomes entitled to a distribution on</w:t>
      </w:r>
      <w:r>
        <w:rPr>
          <w:rFonts w:ascii="Arial" w:cs="Arial" w:eastAsia="Arial" w:hAnsi="Arial"/>
          <w:sz w:val="16"/>
          <w:szCs w:val="16"/>
          <w:b w:val="1"/>
          <w:bCs w:val="1"/>
          <w:color w:val="auto"/>
        </w:rPr>
        <w:t xml:space="preserve"> </w:t>
      </w:r>
      <w:r>
        <w:rPr>
          <w:rFonts w:ascii="Arial" w:cs="Arial" w:eastAsia="Arial" w:hAnsi="Arial"/>
          <w:sz w:val="16"/>
          <w:szCs w:val="16"/>
          <w:color w:val="auto"/>
        </w:rPr>
        <w:t>8.6.2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 enth month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following the date of the Participant’s Retirement, or, if earlier, the date of the Participant’s death.</w:t>
      </w:r>
    </w:p>
    <w:p>
      <w:pPr>
        <w:spacing w:after="0" w:line="327"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57785</wp:posOffset>
            </wp:positionV>
            <wp:extent cx="726059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620" w:top="462" w:right="239" w:bottom="1440" w:gutter="0" w:footer="0" w:header="0"/>
        </w:sectPr>
      </w:pPr>
    </w:p>
    <w:bookmarkStart w:id="119" w:name="page120"/>
    <w:bookmarkEnd w:id="119"/>
    <w:p>
      <w:pPr>
        <w:jc w:val="both"/>
        <w:ind w:left="720" w:hanging="351"/>
        <w:spacing w:after="0" w:line="280" w:lineRule="auto"/>
        <w:rPr>
          <w:sz w:val="20"/>
          <w:szCs w:val="20"/>
          <w:color w:val="auto"/>
        </w:rPr>
      </w:pPr>
      <w:r>
        <w:rPr>
          <w:rFonts w:ascii="Arial" w:cs="Arial" w:eastAsia="Arial" w:hAnsi="Arial"/>
          <w:sz w:val="17"/>
          <w:szCs w:val="17"/>
          <w:color w:val="auto"/>
        </w:rPr>
        <w:t>8.6.3</w:t>
      </w:r>
      <w:r>
        <w:rPr>
          <w:rFonts w:ascii="Arial" w:cs="Arial" w:eastAsia="Arial" w:hAnsi="Arial"/>
          <w:sz w:val="17"/>
          <w:szCs w:val="17"/>
          <w:b w:val="1"/>
          <w:bCs w:val="1"/>
          <w:u w:val="single" w:color="auto"/>
          <w:color w:val="auto"/>
        </w:rPr>
        <w:t>Disability</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Unless subsequently changed in accordance with the Plan, distributions on account of Disability will commence on the earlier of the Participant’s 65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birthday or the second anniversary of the Disability.</w:t>
      </w:r>
    </w:p>
    <w:p>
      <w:pPr>
        <w:spacing w:after="0" w:line="67" w:lineRule="exact"/>
        <w:rPr>
          <w:sz w:val="20"/>
          <w:szCs w:val="20"/>
          <w:color w:val="auto"/>
        </w:rPr>
      </w:pPr>
    </w:p>
    <w:p>
      <w:pPr>
        <w:jc w:val="both"/>
        <w:ind w:left="720" w:hanging="351"/>
        <w:spacing w:after="0" w:line="286" w:lineRule="auto"/>
        <w:rPr>
          <w:sz w:val="20"/>
          <w:szCs w:val="20"/>
          <w:color w:val="auto"/>
        </w:rPr>
      </w:pPr>
      <w:r>
        <w:rPr>
          <w:rFonts w:ascii="Arial" w:cs="Arial" w:eastAsia="Arial" w:hAnsi="Arial"/>
          <w:sz w:val="15"/>
          <w:szCs w:val="15"/>
          <w:color w:val="auto"/>
        </w:rPr>
        <w:t>8.6.4</w:t>
      </w:r>
      <w:r>
        <w:rPr>
          <w:rFonts w:ascii="Arial" w:cs="Arial" w:eastAsia="Arial" w:hAnsi="Arial"/>
          <w:sz w:val="15"/>
          <w:szCs w:val="15"/>
          <w:b w:val="1"/>
          <w:bCs w:val="1"/>
          <w:u w:val="single" w:color="auto"/>
          <w:color w:val="auto"/>
        </w:rPr>
        <w:t>Annuity Payments and Installments</w:t>
      </w:r>
      <w:r>
        <w:rPr>
          <w:rFonts w:ascii="Arial" w:cs="Arial" w:eastAsia="Arial" w:hAnsi="Arial"/>
          <w:sz w:val="15"/>
          <w:szCs w:val="15"/>
          <w:b w:val="1"/>
          <w:bCs w:val="1"/>
          <w:color w:val="auto"/>
        </w:rPr>
        <w:t>.</w:t>
      </w:r>
      <w:r>
        <w:rPr>
          <w:rFonts w:ascii="Arial" w:cs="Arial" w:eastAsia="Arial" w:hAnsi="Arial"/>
          <w:sz w:val="15"/>
          <w:szCs w:val="15"/>
          <w:color w:val="auto"/>
        </w:rPr>
        <w:t xml:space="preserve"> If a Participant elects to receive all or a portion of the distributions in 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 ll be paid during the Plan Year in which it is due, commencing as described in Section 8.6.1.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spacing w:after="0" w:line="157" w:lineRule="exact"/>
        <w:rPr>
          <w:sz w:val="20"/>
          <w:szCs w:val="20"/>
          <w:color w:val="auto"/>
        </w:rPr>
      </w:pPr>
    </w:p>
    <w:p>
      <w:pPr>
        <w:jc w:val="both"/>
        <w:ind w:left="720" w:hanging="351"/>
        <w:spacing w:after="0" w:line="271" w:lineRule="auto"/>
        <w:rPr>
          <w:sz w:val="20"/>
          <w:szCs w:val="20"/>
          <w:color w:val="auto"/>
        </w:rPr>
      </w:pPr>
      <w:r>
        <w:rPr>
          <w:rFonts w:ascii="Arial" w:cs="Arial" w:eastAsia="Arial" w:hAnsi="Arial"/>
          <w:sz w:val="16"/>
          <w:szCs w:val="16"/>
          <w:color w:val="auto"/>
        </w:rPr>
        <w:t>8.6.5</w:t>
      </w:r>
      <w:r>
        <w:rPr>
          <w:rFonts w:ascii="Arial" w:cs="Arial" w:eastAsia="Arial" w:hAnsi="Arial"/>
          <w:sz w:val="16"/>
          <w:szCs w:val="16"/>
          <w:b w:val="1"/>
          <w:bCs w:val="1"/>
          <w:u w:val="single" w:color="auto"/>
          <w:color w:val="auto"/>
        </w:rPr>
        <w:t>Death After Commencement of Benefits</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death of a Participant after distributions of the Participant’s Retirement Benefit have commenced, the remainder of the Participant’s Retirement Benefit will continue to be distributed to the Participant’s Beneficiary at the same time and in the same form as the benefit would have been distributed to the Participant had the Participant 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 y will cease as of the first day of the month following the month during which the Participant died.</w:t>
      </w:r>
    </w:p>
    <w:p>
      <w:pPr>
        <w:spacing w:after="0" w:line="161" w:lineRule="exact"/>
        <w:rPr>
          <w:sz w:val="20"/>
          <w:szCs w:val="20"/>
          <w:color w:val="auto"/>
        </w:rPr>
      </w:pPr>
    </w:p>
    <w:p>
      <w:pPr>
        <w:jc w:val="right"/>
        <w:spacing w:after="0" w:line="283" w:lineRule="auto"/>
        <w:rPr>
          <w:sz w:val="20"/>
          <w:szCs w:val="20"/>
          <w:color w:val="auto"/>
        </w:rPr>
      </w:pPr>
      <w:r>
        <w:rPr>
          <w:rFonts w:ascii="Arial" w:cs="Arial" w:eastAsia="Arial" w:hAnsi="Arial"/>
          <w:sz w:val="15"/>
          <w:szCs w:val="15"/>
          <w:b w:val="1"/>
          <w:bCs w:val="1"/>
          <w:u w:val="single" w:color="auto"/>
          <w:color w:val="auto"/>
        </w:rPr>
        <w:t>Effect of Change of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any Participant whose Retirement Benefit distributions have commenced, or would commence, upon a</w:t>
      </w:r>
      <w:r>
        <w:rPr>
          <w:rFonts w:ascii="Arial" w:cs="Arial" w:eastAsia="Arial" w:hAnsi="Arial"/>
          <w:sz w:val="15"/>
          <w:szCs w:val="15"/>
          <w:b w:val="1"/>
          <w:bCs w:val="1"/>
          <w:color w:val="auto"/>
        </w:rPr>
        <w:t xml:space="preserve"> </w:t>
      </w:r>
      <w:r>
        <w:rPr>
          <w:rFonts w:ascii="Arial" w:cs="Arial" w:eastAsia="Arial" w:hAnsi="Arial"/>
          <w:sz w:val="15"/>
          <w:szCs w:val="15"/>
          <w:color w:val="auto"/>
        </w:rPr>
        <w:t>8.6.6   Separation from Service, if (a) the Participant’s Separation from Service occurs within two years following a Change in Control or (b) a Change in Control occurs within six months after the Participant’s Separation from Service, then notwithstanding the Participant’s elections regarding distributions upon a Separation from Service, the Participant shall receive a distribution of the Participant’s entire remaining vested Retirement Benefit in a single lump sum upon the later of the Separation from Service or the Change in Control, whether or not distributions have already commenced. Any Reti rement Benefit that does not become payable in a lump sum in accordance with this section will vest, if at all, in accordance with Section 8.2, will become payable in</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accordance with Section 8.5, and will otherwise remain subject to the provisions of Article 8.</w:t>
      </w:r>
    </w:p>
    <w:p>
      <w:pPr>
        <w:spacing w:after="0" w:line="327" w:lineRule="exact"/>
        <w:rPr>
          <w:sz w:val="20"/>
          <w:szCs w:val="20"/>
          <w:color w:val="auto"/>
        </w:rPr>
      </w:pPr>
    </w:p>
    <w:p>
      <w:pPr>
        <w:jc w:val="center"/>
        <w:ind w:right="500"/>
        <w:spacing w:after="0"/>
        <w:rPr>
          <w:sz w:val="20"/>
          <w:szCs w:val="20"/>
          <w:color w:val="auto"/>
        </w:rPr>
      </w:pPr>
      <w:r>
        <w:rPr>
          <w:rFonts w:ascii="Arial" w:cs="Arial" w:eastAsia="Arial" w:hAnsi="Arial"/>
          <w:sz w:val="13"/>
          <w:szCs w:val="13"/>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57785</wp:posOffset>
            </wp:positionV>
            <wp:extent cx="726059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940"/>
          </w:cols>
          <w:pgMar w:left="720" w:top="462" w:right="239" w:bottom="1440" w:gutter="0" w:footer="0" w:header="0"/>
        </w:sectPr>
      </w:pPr>
    </w:p>
    <w:bookmarkStart w:id="120" w:name="page121"/>
    <w:bookmarkEnd w:id="120"/>
    <w:p>
      <w:pPr>
        <w:ind w:left="60"/>
        <w:spacing w:after="0"/>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u w:val="single" w:color="auto"/>
          <w:color w:val="auto"/>
        </w:rPr>
        <w:t>Subsequent Changes in Time and Form of Payment</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0" w:lineRule="auto"/>
        <w:rPr>
          <w:sz w:val="20"/>
          <w:szCs w:val="20"/>
          <w:color w:val="auto"/>
        </w:rPr>
      </w:pPr>
      <w:r>
        <w:rPr>
          <w:rFonts w:ascii="Arial" w:cs="Arial" w:eastAsia="Arial" w:hAnsi="Arial"/>
          <w:sz w:val="17"/>
          <w:szCs w:val="17"/>
          <w:color w:val="auto"/>
        </w:rPr>
        <w:t>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 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u w:val="single" w:color="auto"/>
          <w:color w:val="auto"/>
        </w:rPr>
        <w:t>FICA and Other Taxes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52" w:lineRule="auto"/>
        <w:rPr>
          <w:sz w:val="20"/>
          <w:szCs w:val="20"/>
          <w:color w:val="auto"/>
        </w:rPr>
      </w:pPr>
      <w:r>
        <w:rPr>
          <w:rFonts w:ascii="Arial" w:cs="Arial" w:eastAsia="Arial" w:hAnsi="Arial"/>
          <w:sz w:val="17"/>
          <w:szCs w:val="17"/>
          <w:color w:val="auto"/>
        </w:rPr>
        <w:t>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8.6 and 8.7.</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9</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Payment Acceleration and Delay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Permitted Accelerations of Payment</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color w:val="auto"/>
        </w:rPr>
        <w:t>Except as otherwise provided herein or permitted by Section 409A, the Plan prohibits the acceleration of the time or schedule of any payment due under the Plan.</w:t>
      </w:r>
    </w:p>
    <w:p>
      <w:pPr>
        <w:spacing w:after="0" w:line="163" w:lineRule="exact"/>
        <w:rPr>
          <w:sz w:val="20"/>
          <w:szCs w:val="20"/>
          <w:color w:val="auto"/>
        </w:rPr>
      </w:pPr>
    </w:p>
    <w:p>
      <w:pPr>
        <w:jc w:val="both"/>
        <w:ind w:left="880" w:hanging="418"/>
        <w:spacing w:after="0" w:line="25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u w:val="single" w:color="auto"/>
          <w:color w:val="auto"/>
        </w:rPr>
        <w:t>Distribution in the Event of Taxation</w:t>
      </w:r>
      <w:r>
        <w:rPr>
          <w:rFonts w:ascii="Arial" w:cs="Arial" w:eastAsia="Arial" w:hAnsi="Arial"/>
          <w:sz w:val="16"/>
          <w:szCs w:val="16"/>
          <w:b w:val="1"/>
          <w:bCs w:val="1"/>
          <w:color w:val="auto"/>
        </w:rPr>
        <w:t>.</w:t>
      </w:r>
      <w:r>
        <w:rPr>
          <w:rFonts w:ascii="Arial" w:cs="Arial" w:eastAsia="Arial" w:hAnsi="Arial"/>
          <w:sz w:val="16"/>
          <w:szCs w:val="16"/>
          <w:color w:val="auto"/>
        </w:rPr>
        <w:t xml:space="preserve"> If, for any reason, all or any portion of any benefit provided by the Plan becomes taxable to a Participant because of a violation of Section 409A prior to receipt, the Participant may file a written request with the Administrator for a distribution of that portion of the Plan benefit 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 an Year during which the approval occurred, or if later,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calendar month following the date on which the Participant’s request is approved.</w:t>
      </w: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21" w:name="page122"/>
    <w:bookmarkEnd w:id="121"/>
    <w:p>
      <w:pPr>
        <w:jc w:val="both"/>
        <w:ind w:left="880" w:hanging="418"/>
        <w:spacing w:after="0" w:line="263"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b w:val="1"/>
          <w:bCs w:val="1"/>
          <w:u w:val="single" w:color="auto"/>
          <w:color w:val="auto"/>
        </w:rPr>
        <w:t>Compliance with Ethics Laws or Conflicts of Interests Laws</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The Administrator is authorized, in its sole discretion, to accelerate the time or schedule of a payment to the extent necessary to avoid the violation of any applicable federal, state, local, or foreign ethics law or conflicts of interest law as provided in Section 409A.</w:t>
      </w:r>
    </w:p>
    <w:p>
      <w:pPr>
        <w:spacing w:after="0" w:line="376" w:lineRule="exact"/>
        <w:rPr>
          <w:sz w:val="20"/>
          <w:szCs w:val="20"/>
          <w:color w:val="auto"/>
        </w:rPr>
      </w:pPr>
    </w:p>
    <w:p>
      <w:pPr>
        <w:jc w:val="both"/>
        <w:ind w:left="880" w:hanging="418"/>
        <w:spacing w:after="0" w:line="287" w:lineRule="auto"/>
        <w:rPr>
          <w:sz w:val="20"/>
          <w:szCs w:val="20"/>
          <w:color w:val="auto"/>
        </w:rPr>
      </w:pPr>
      <w:r>
        <w:rPr>
          <w:rFonts w:ascii="Arial" w:cs="Arial" w:eastAsia="Arial" w:hAnsi="Arial"/>
          <w:sz w:val="15"/>
          <w:szCs w:val="15"/>
          <w:color w:val="auto"/>
        </w:rPr>
        <w:t xml:space="preserve">9.1.3 </w:t>
      </w:r>
      <w:r>
        <w:rPr>
          <w:rFonts w:ascii="Arial" w:cs="Arial" w:eastAsia="Arial" w:hAnsi="Arial"/>
          <w:sz w:val="15"/>
          <w:szCs w:val="15"/>
          <w:b w:val="1"/>
          <w:bCs w:val="1"/>
          <w:u w:val="single" w:color="auto"/>
          <w:color w:val="auto"/>
        </w:rPr>
        <w:t>Small Accounts</w:t>
      </w:r>
      <w:r>
        <w:rPr>
          <w:rFonts w:ascii="Arial" w:cs="Arial" w:eastAsia="Arial" w:hAnsi="Arial"/>
          <w:sz w:val="15"/>
          <w:szCs w:val="15"/>
          <w:b w:val="1"/>
          <w:bCs w:val="1"/>
          <w:color w:val="auto"/>
        </w:rPr>
        <w:t>.</w:t>
      </w:r>
      <w:r>
        <w:rPr>
          <w:rFonts w:ascii="Arial" w:cs="Arial" w:eastAsia="Arial" w:hAnsi="Arial"/>
          <w:sz w:val="15"/>
          <w:szCs w:val="15"/>
          <w:color w:val="auto"/>
        </w:rPr>
        <w:t xml:space="preserve"> The Administrator may, in its sole discretion, distribute in a single lump sum the aggregate 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(1)(B). The Administrator shall notify the Participant in writing if the Administrator exercises its discretion pursuant to this Section.</w:t>
      </w:r>
    </w:p>
    <w:p>
      <w:pPr>
        <w:spacing w:after="0" w:line="191" w:lineRule="exact"/>
        <w:rPr>
          <w:sz w:val="20"/>
          <w:szCs w:val="20"/>
          <w:color w:val="auto"/>
        </w:rPr>
      </w:pPr>
    </w:p>
    <w:p>
      <w:pPr>
        <w:jc w:val="both"/>
        <w:ind w:left="880" w:hanging="418"/>
        <w:spacing w:after="0" w:line="257"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b w:val="1"/>
          <w:bCs w:val="1"/>
          <w:u w:val="single" w:color="auto"/>
          <w:color w:val="auto"/>
        </w:rPr>
        <w:t>Settlement of a Bona Fide Dispute</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The Administrator may, in its sole discretion, accelerate the time or schedule of 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w:t>
      </w:r>
    </w:p>
    <w:p>
      <w:pPr>
        <w:spacing w:after="0" w:line="177" w:lineRule="exact"/>
        <w:rPr>
          <w:sz w:val="20"/>
          <w:szCs w:val="20"/>
          <w:color w:val="auto"/>
        </w:rPr>
      </w:pPr>
    </w:p>
    <w:p>
      <w:pPr>
        <w:jc w:val="both"/>
        <w:ind w:left="880" w:hanging="418"/>
        <w:spacing w:after="0" w:line="273"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b w:val="1"/>
          <w:bCs w:val="1"/>
          <w:u w:val="single" w:color="auto"/>
          <w:color w:val="auto"/>
        </w:rPr>
        <w:t>Settlement of Debt</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may, in its sole discretion, accelerate the time or schedule of a payment to satisfy an ordinary debt owed by the Participant to the Employer at the time the debt becomes due as provided in Section 409A.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Permissible Payment Delays</w:t>
      </w:r>
      <w:r>
        <w:rPr>
          <w:rFonts w:ascii="Arial" w:cs="Arial" w:eastAsia="Arial" w:hAnsi="Arial"/>
          <w:sz w:val="17"/>
          <w:szCs w:val="17"/>
          <w:b w:val="1"/>
          <w:bCs w:val="1"/>
          <w:color w:val="auto"/>
        </w:rPr>
        <w:t>.</w:t>
      </w:r>
    </w:p>
    <w:p>
      <w:pPr>
        <w:spacing w:after="0" w:line="211" w:lineRule="exact"/>
        <w:rPr>
          <w:sz w:val="20"/>
          <w:szCs w:val="20"/>
          <w:color w:val="auto"/>
        </w:rPr>
      </w:pPr>
    </w:p>
    <w:p>
      <w:pPr>
        <w:ind w:left="280"/>
        <w:spacing w:after="0" w:line="268" w:lineRule="auto"/>
        <w:rPr>
          <w:sz w:val="20"/>
          <w:szCs w:val="20"/>
          <w:color w:val="auto"/>
        </w:rPr>
      </w:pPr>
      <w:r>
        <w:rPr>
          <w:rFonts w:ascii="Arial" w:cs="Arial" w:eastAsia="Arial" w:hAnsi="Arial"/>
          <w:sz w:val="17"/>
          <w:szCs w:val="17"/>
          <w:color w:val="auto"/>
        </w:rPr>
        <w:t>Notwithstanding anything in the Plan to the contrary, to the extent permitted by Section 409A, the Administrator may, in its sole discretion, delay a distribution to a Participant:</w:t>
      </w:r>
    </w:p>
    <w:p>
      <w:pPr>
        <w:spacing w:after="0" w:line="167"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7"/>
          <w:szCs w:val="17"/>
          <w:color w:val="auto"/>
        </w:rPr>
        <w:t>9.2.1 If the distribution would jeopardize the Employer’s ability to continue as a going concern, provided that the delayed amount is distributed in the first calendar year in which the payment would not have such effect.</w:t>
      </w:r>
    </w:p>
    <w:p>
      <w:pPr>
        <w:spacing w:after="0" w:line="167" w:lineRule="exact"/>
        <w:rPr>
          <w:sz w:val="20"/>
          <w:szCs w:val="20"/>
          <w:color w:val="auto"/>
        </w:rPr>
      </w:pPr>
    </w:p>
    <w:p>
      <w:pPr>
        <w:jc w:val="both"/>
        <w:ind w:left="880" w:hanging="418"/>
        <w:spacing w:after="0" w:line="257" w:lineRule="auto"/>
        <w:rPr>
          <w:sz w:val="20"/>
          <w:szCs w:val="20"/>
          <w:color w:val="auto"/>
        </w:rPr>
      </w:pPr>
      <w:r>
        <w:rPr>
          <w:rFonts w:ascii="Arial" w:cs="Arial" w:eastAsia="Arial" w:hAnsi="Arial"/>
          <w:sz w:val="17"/>
          <w:szCs w:val="17"/>
          <w:color w:val="auto"/>
        </w:rPr>
        <w:t>9.2.2 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spacing w:after="0" w:line="177" w:lineRule="exact"/>
        <w:rPr>
          <w:sz w:val="20"/>
          <w:szCs w:val="20"/>
          <w:color w:val="auto"/>
        </w:rPr>
      </w:pPr>
    </w:p>
    <w:p>
      <w:pPr>
        <w:jc w:val="both"/>
        <w:ind w:left="880" w:hanging="418"/>
        <w:spacing w:after="0" w:line="268" w:lineRule="auto"/>
        <w:rPr>
          <w:sz w:val="20"/>
          <w:szCs w:val="20"/>
          <w:color w:val="auto"/>
        </w:rPr>
      </w:pPr>
      <w:r>
        <w:rPr>
          <w:rFonts w:ascii="Arial" w:cs="Arial" w:eastAsia="Arial" w:hAnsi="Arial"/>
          <w:sz w:val="17"/>
          <w:szCs w:val="17"/>
          <w:color w:val="auto"/>
        </w:rPr>
        <w:t>9.2.3 If the distribution would violate Federal securities or other applicable laws, provided that the delayed amount is distributed at the earliest date at which the Administrator reasonably anticipates that the distribution will not cause such violation.</w:t>
      </w:r>
    </w:p>
    <w:p>
      <w:pPr>
        <w:spacing w:after="0" w:line="299"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57785</wp:posOffset>
            </wp:positionV>
            <wp:extent cx="726059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560" w:top="462" w:right="239" w:bottom="1440" w:gutter="0" w:footer="0" w:header="0"/>
        </w:sectPr>
      </w:pPr>
    </w:p>
    <w:bookmarkStart w:id="122" w:name="page123"/>
    <w:bookmarkEnd w:id="122"/>
    <w:p>
      <w:pPr>
        <w:ind w:left="980" w:hanging="418"/>
        <w:spacing w:after="0" w:line="268" w:lineRule="auto"/>
        <w:rPr>
          <w:sz w:val="20"/>
          <w:szCs w:val="20"/>
          <w:color w:val="auto"/>
        </w:rPr>
      </w:pPr>
      <w:r>
        <w:rPr>
          <w:rFonts w:ascii="Arial" w:cs="Arial" w:eastAsia="Arial" w:hAnsi="Arial"/>
          <w:sz w:val="17"/>
          <w:szCs w:val="17"/>
          <w:color w:val="auto"/>
        </w:rPr>
        <w:t>9.2.4 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u w:val="single" w:color="auto"/>
          <w:color w:val="auto"/>
        </w:rPr>
        <w:t>Suspension Not Allowed</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380"/>
        <w:spacing w:after="0" w:line="268" w:lineRule="auto"/>
        <w:rPr>
          <w:sz w:val="20"/>
          <w:szCs w:val="20"/>
          <w:color w:val="auto"/>
        </w:rPr>
      </w:pPr>
      <w:r>
        <w:rPr>
          <w:rFonts w:ascii="Arial" w:cs="Arial" w:eastAsia="Arial" w:hAnsi="Arial"/>
          <w:sz w:val="17"/>
          <w:szCs w:val="17"/>
          <w:color w:val="auto"/>
        </w:rPr>
        <w:t>If a Participant whose distributions have commenced becomes eligible again to defer compensation as a Participant in any plan subject to Section 409A maintained by a Related Company, distribution of the Participant’s Retirement Benefit or Account may not be suspended.</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ARTICLE 10</w:t>
      </w: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u w:val="single" w:color="auto"/>
          <w:color w:val="auto"/>
        </w:rPr>
        <w:t>Beneficiary Designation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Beneficiary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380"/>
        <w:spacing w:after="0" w:line="251" w:lineRule="auto"/>
        <w:rPr>
          <w:sz w:val="20"/>
          <w:szCs w:val="20"/>
          <w:color w:val="auto"/>
        </w:rPr>
      </w:pPr>
      <w:r>
        <w:rPr>
          <w:rFonts w:ascii="Arial" w:cs="Arial" w:eastAsia="Arial" w:hAnsi="Arial"/>
          <w:sz w:val="17"/>
          <w:szCs w:val="17"/>
          <w:color w:val="auto"/>
        </w:rPr>
        <w:t>Each Participant shall have the right, in accordance with procedures established from time to time by the 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 lan in the event of the Participant’s death.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No Beneficiary Designation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380"/>
        <w:spacing w:after="0" w:line="257" w:lineRule="auto"/>
        <w:rPr>
          <w:sz w:val="20"/>
          <w:szCs w:val="20"/>
          <w:color w:val="auto"/>
        </w:rPr>
      </w:pPr>
      <w:r>
        <w:rPr>
          <w:rFonts w:ascii="Arial" w:cs="Arial" w:eastAsia="Arial" w:hAnsi="Arial"/>
          <w:sz w:val="17"/>
          <w:szCs w:val="17"/>
          <w:color w:val="auto"/>
        </w:rPr>
        <w:t>In the absence of an effective Beneficiary designation, or if all designated Beneficiaries predecease the Participant or die prior to the complete distribution of the Participant’s benefits, benefits shall be paid in the following order of precedence: (a) the Participant’s surviving spouse; (b) the Participant’s children (including adopted children), per stirpes; or (c) the Participant’s estate.</w:t>
      </w:r>
    </w:p>
    <w:p>
      <w:pPr>
        <w:spacing w:after="0" w:line="200" w:lineRule="exact"/>
        <w:rPr>
          <w:sz w:val="20"/>
          <w:szCs w:val="20"/>
          <w:color w:val="auto"/>
        </w:rPr>
      </w:pPr>
    </w:p>
    <w:p>
      <w:pPr>
        <w:spacing w:after="0" w:line="375"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ARTICLE 11</w:t>
      </w: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u w:val="single" w:color="auto"/>
          <w:color w:val="auto"/>
        </w:rPr>
        <w:t>Claims Procedures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Presentation of Claim</w:t>
      </w:r>
      <w:r>
        <w:rPr>
          <w:rFonts w:ascii="Arial" w:cs="Arial" w:eastAsia="Arial" w:hAnsi="Arial"/>
          <w:sz w:val="17"/>
          <w:szCs w:val="17"/>
          <w:b w:val="1"/>
          <w:bCs w:val="1"/>
          <w:color w:val="auto"/>
        </w:rPr>
        <w:t>.</w:t>
      </w:r>
    </w:p>
    <w:p>
      <w:pPr>
        <w:sectPr>
          <w:pgSz w:w="11900" w:h="16838" w:orient="portrait"/>
          <w:cols w:equalWidth="0" w:num="1">
            <w:col w:w="11200"/>
          </w:cols>
          <w:pgMar w:left="460" w:top="466" w:right="239" w:bottom="1440" w:gutter="0" w:footer="0" w:header="0"/>
        </w:sectPr>
      </w:pPr>
    </w:p>
    <w:p>
      <w:pPr>
        <w:spacing w:after="0" w:line="211" w:lineRule="exact"/>
        <w:rPr>
          <w:sz w:val="20"/>
          <w:szCs w:val="20"/>
          <w:color w:val="auto"/>
        </w:rPr>
      </w:pPr>
    </w:p>
    <w:p>
      <w:pPr>
        <w:jc w:val="both"/>
        <w:ind w:left="380"/>
        <w:spacing w:after="0" w:line="257" w:lineRule="auto"/>
        <w:rPr>
          <w:sz w:val="20"/>
          <w:szCs w:val="20"/>
          <w:color w:val="auto"/>
        </w:rPr>
      </w:pPr>
      <w:r>
        <w:rPr>
          <w:rFonts w:ascii="Arial" w:cs="Arial" w:eastAsia="Arial" w:hAnsi="Arial"/>
          <w:sz w:val="17"/>
          <w:szCs w:val="17"/>
          <w:color w:val="auto"/>
        </w:rPr>
        <w:t>Any Participant or Beneficiary of a deceased Participant (such Participant or Administrator a written claim for a determination with respect to Plan benefits. Claimant.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line="300" w:lineRule="auto"/>
        <w:rPr>
          <w:sz w:val="20"/>
          <w:szCs w:val="20"/>
          <w:color w:val="auto"/>
        </w:rPr>
      </w:pPr>
      <w:r>
        <w:rPr>
          <w:rFonts w:ascii="Arial" w:cs="Arial" w:eastAsia="Arial" w:hAnsi="Arial"/>
          <w:sz w:val="16"/>
          <w:szCs w:val="16"/>
          <w:color w:val="auto"/>
        </w:rPr>
        <w:t>Beneficiary being referred to below as a “Claimant”) may file with the The claim must state with particularity the determination desired by the</w:t>
      </w:r>
    </w:p>
    <w:p>
      <w:pPr>
        <w:spacing w:after="0" w:line="340" w:lineRule="exact"/>
        <w:rPr>
          <w:sz w:val="20"/>
          <w:szCs w:val="20"/>
          <w:color w:val="auto"/>
        </w:rPr>
      </w:pPr>
    </w:p>
    <w:p>
      <w:pPr>
        <w:sectPr>
          <w:pgSz w:w="11900" w:h="16838" w:orient="portrait"/>
          <w:cols w:equalWidth="0" w:num="2">
            <w:col w:w="6000" w:space="20"/>
            <w:col w:w="5180"/>
          </w:cols>
          <w:pgMar w:left="460" w:top="466"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Notification of Decision</w:t>
      </w:r>
      <w:r>
        <w:rPr>
          <w:rFonts w:ascii="Arial" w:cs="Arial" w:eastAsia="Arial" w:hAnsi="Arial"/>
          <w:sz w:val="17"/>
          <w:szCs w:val="17"/>
          <w:b w:val="1"/>
          <w:bCs w:val="1"/>
          <w:color w:val="auto"/>
        </w:rPr>
        <w:t>.</w:t>
      </w:r>
    </w:p>
    <w:p>
      <w:pPr>
        <w:spacing w:after="0" w:line="211" w:lineRule="exact"/>
        <w:rPr>
          <w:sz w:val="20"/>
          <w:szCs w:val="20"/>
          <w:color w:val="auto"/>
        </w:rPr>
      </w:pPr>
    </w:p>
    <w:p>
      <w:pPr>
        <w:ind w:left="380"/>
        <w:spacing w:after="0" w:line="268" w:lineRule="auto"/>
        <w:rPr>
          <w:sz w:val="20"/>
          <w:szCs w:val="20"/>
          <w:color w:val="auto"/>
        </w:rPr>
      </w:pPr>
      <w:r>
        <w:rPr>
          <w:rFonts w:ascii="Arial" w:cs="Arial" w:eastAsia="Arial" w:hAnsi="Arial"/>
          <w:sz w:val="17"/>
          <w:szCs w:val="17"/>
          <w:color w:val="auto"/>
        </w:rPr>
        <w:t>The Administrator shall consider a Claimant’s claim, and, except as provided below, within 90 days after the claim is received, shall notify the Claimant in writing:</w:t>
      </w:r>
    </w:p>
    <w:p>
      <w:pPr>
        <w:spacing w:after="0" w:line="299"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Paage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57785</wp:posOffset>
            </wp:positionV>
            <wp:extent cx="726059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00"/>
          </w:cols>
          <w:pgMar w:left="460" w:top="466" w:right="239" w:bottom="1440" w:gutter="0" w:footer="0" w:header="0"/>
          <w:type w:val="continuous"/>
        </w:sectPr>
      </w:pPr>
    </w:p>
    <w:bookmarkStart w:id="123" w:name="page124"/>
    <w:bookmarkEnd w:id="123"/>
    <w:p>
      <w:pPr>
        <w:ind w:left="480"/>
        <w:spacing w:after="0"/>
        <w:rPr>
          <w:sz w:val="20"/>
          <w:szCs w:val="20"/>
          <w:color w:val="auto"/>
        </w:rPr>
      </w:pPr>
      <w:r>
        <w:rPr>
          <w:rFonts w:ascii="Arial" w:cs="Arial" w:eastAsia="Arial" w:hAnsi="Arial"/>
          <w:sz w:val="17"/>
          <w:szCs w:val="17"/>
          <w:color w:val="auto"/>
        </w:rPr>
        <w:t>11.2.1 That the claim has been allowed in full; or</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11.2.2 That the claim has been denied, in whole or in part, and such notice must set forth in a manner calculated to be understood by the Claimant:</w:t>
      </w:r>
    </w:p>
    <w:p>
      <w:pPr>
        <w:spacing w:after="0" w:line="218" w:lineRule="exact"/>
        <w:rPr>
          <w:sz w:val="20"/>
          <w:szCs w:val="20"/>
          <w:color w:val="auto"/>
        </w:rPr>
      </w:pPr>
    </w:p>
    <w:p>
      <w:pPr>
        <w:ind w:left="1580" w:hanging="279"/>
        <w:spacing w:after="0"/>
        <w:tabs>
          <w:tab w:leader="none" w:pos="1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specific reason(s) for the denial of the claim, or any part of it;</w:t>
      </w:r>
    </w:p>
    <w:p>
      <w:pPr>
        <w:spacing w:after="0" w:line="206" w:lineRule="exact"/>
        <w:rPr>
          <w:rFonts w:ascii="Arial" w:cs="Arial" w:eastAsia="Arial" w:hAnsi="Arial"/>
          <w:sz w:val="17"/>
          <w:szCs w:val="17"/>
          <w:color w:val="auto"/>
        </w:rPr>
      </w:pPr>
    </w:p>
    <w:p>
      <w:pPr>
        <w:ind w:left="1580" w:hanging="288"/>
        <w:spacing w:after="0"/>
        <w:tabs>
          <w:tab w:leader="none" w:pos="1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Specific reference(s) to pertinent provisions of the Plan upon which such denial was based;</w:t>
      </w:r>
    </w:p>
    <w:p>
      <w:pPr>
        <w:spacing w:after="0" w:line="206" w:lineRule="exact"/>
        <w:rPr>
          <w:rFonts w:ascii="Arial" w:cs="Arial" w:eastAsia="Arial" w:hAnsi="Arial"/>
          <w:sz w:val="17"/>
          <w:szCs w:val="17"/>
          <w:color w:val="auto"/>
        </w:rPr>
      </w:pPr>
    </w:p>
    <w:p>
      <w:pPr>
        <w:ind w:left="1580" w:hanging="279"/>
        <w:spacing w:after="0" w:line="268" w:lineRule="auto"/>
        <w:tabs>
          <w:tab w:leader="none" w:pos="1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for the Claimant to perfect the claim, and an explanation of why such material or information is necessary; and</w:t>
      </w:r>
    </w:p>
    <w:p>
      <w:pPr>
        <w:spacing w:after="0" w:line="166" w:lineRule="exact"/>
        <w:rPr>
          <w:rFonts w:ascii="Arial" w:cs="Arial" w:eastAsia="Arial" w:hAnsi="Arial"/>
          <w:sz w:val="17"/>
          <w:szCs w:val="17"/>
          <w:color w:val="auto"/>
        </w:rPr>
      </w:pPr>
    </w:p>
    <w:p>
      <w:pPr>
        <w:ind w:left="1580" w:hanging="288"/>
        <w:spacing w:after="0" w:line="268" w:lineRule="auto"/>
        <w:tabs>
          <w:tab w:leader="none" w:pos="1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explanation of the claim review procedures and time limits, including a statement of the Claimant’s right to initiate a civil action pursuant to section 502(a) of ERISA following an adverse determination upon review.</w:t>
      </w:r>
    </w:p>
    <w:p>
      <w:pPr>
        <w:spacing w:after="0" w:line="167" w:lineRule="exact"/>
        <w:rPr>
          <w:sz w:val="20"/>
          <w:szCs w:val="20"/>
          <w:color w:val="auto"/>
        </w:rPr>
      </w:pPr>
    </w:p>
    <w:p>
      <w:pPr>
        <w:jc w:val="both"/>
        <w:ind w:left="960" w:hanging="495"/>
        <w:spacing w:after="0" w:line="300" w:lineRule="auto"/>
        <w:rPr>
          <w:sz w:val="20"/>
          <w:szCs w:val="20"/>
          <w:color w:val="auto"/>
        </w:rPr>
      </w:pPr>
      <w:r>
        <w:rPr>
          <w:rFonts w:ascii="Arial" w:cs="Arial" w:eastAsia="Arial" w:hAnsi="Arial"/>
          <w:sz w:val="16"/>
          <w:szCs w:val="16"/>
          <w:color w:val="auto"/>
        </w:rPr>
        <w:t>11.2.3 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143" w:lineRule="exact"/>
        <w:rPr>
          <w:sz w:val="20"/>
          <w:szCs w:val="20"/>
          <w:color w:val="auto"/>
        </w:rPr>
      </w:pPr>
    </w:p>
    <w:p>
      <w:pPr>
        <w:jc w:val="both"/>
        <w:ind w:left="960" w:hanging="495"/>
        <w:spacing w:after="0" w:line="257" w:lineRule="auto"/>
        <w:rPr>
          <w:sz w:val="20"/>
          <w:szCs w:val="20"/>
          <w:color w:val="auto"/>
        </w:rPr>
      </w:pPr>
      <w:r>
        <w:rPr>
          <w:rFonts w:ascii="Arial" w:cs="Arial" w:eastAsia="Arial" w:hAnsi="Arial"/>
          <w:sz w:val="17"/>
          <w:szCs w:val="17"/>
          <w:color w:val="auto"/>
        </w:rPr>
        <w:t>11.2.4 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spacing w:after="0" w:line="177" w:lineRule="exact"/>
        <w:rPr>
          <w:sz w:val="20"/>
          <w:szCs w:val="20"/>
          <w:color w:val="auto"/>
        </w:rPr>
      </w:pPr>
    </w:p>
    <w:p>
      <w:pPr>
        <w:jc w:val="both"/>
        <w:ind w:left="960" w:hanging="495"/>
        <w:spacing w:after="0" w:line="271" w:lineRule="auto"/>
        <w:rPr>
          <w:sz w:val="20"/>
          <w:szCs w:val="20"/>
          <w:color w:val="auto"/>
        </w:rPr>
      </w:pPr>
      <w:r>
        <w:rPr>
          <w:rFonts w:ascii="Arial" w:cs="Arial" w:eastAsia="Arial" w:hAnsi="Arial"/>
          <w:sz w:val="16"/>
          <w:szCs w:val="16"/>
          <w:color w:val="auto"/>
        </w:rPr>
        <w:t>11.2.5 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Review of a Denied Claim</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360"/>
        <w:spacing w:after="0" w:line="257" w:lineRule="auto"/>
        <w:rPr>
          <w:sz w:val="20"/>
          <w:szCs w:val="20"/>
          <w:color w:val="auto"/>
        </w:rPr>
      </w:pPr>
      <w:r>
        <w:rPr>
          <w:rFonts w:ascii="Arial" w:cs="Arial" w:eastAsia="Arial" w:hAnsi="Arial"/>
          <w:sz w:val="17"/>
          <w:szCs w:val="17"/>
          <w:color w:val="auto"/>
        </w:rPr>
        <w:t>Within 90 days after receiving a notice from the Administrator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spacing w:after="0" w:line="177" w:lineRule="exact"/>
        <w:rPr>
          <w:sz w:val="20"/>
          <w:szCs w:val="20"/>
          <w:color w:val="auto"/>
        </w:rPr>
      </w:pPr>
    </w:p>
    <w:p>
      <w:pPr>
        <w:ind w:left="960" w:hanging="495"/>
        <w:spacing w:after="0" w:line="268" w:lineRule="auto"/>
        <w:rPr>
          <w:sz w:val="20"/>
          <w:szCs w:val="20"/>
          <w:color w:val="auto"/>
        </w:rPr>
      </w:pPr>
      <w:r>
        <w:rPr>
          <w:rFonts w:ascii="Arial" w:cs="Arial" w:eastAsia="Arial" w:hAnsi="Arial"/>
          <w:sz w:val="17"/>
          <w:szCs w:val="17"/>
          <w:color w:val="auto"/>
        </w:rPr>
        <w:t>11.3.1 May request reasonable access to, and copies of, all documents, records, and other information relevant to the claim, which shall be provided to Claimant free of charge; and</w:t>
      </w:r>
    </w:p>
    <w:p>
      <w:pPr>
        <w:spacing w:after="0" w:line="299"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57785</wp:posOffset>
            </wp:positionV>
            <wp:extent cx="726059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80"/>
          </w:cols>
          <w:pgMar w:left="480" w:top="466" w:right="239" w:bottom="1440" w:gutter="0" w:footer="0" w:header="0"/>
        </w:sectPr>
      </w:pPr>
    </w:p>
    <w:bookmarkStart w:id="124" w:name="page125"/>
    <w:bookmarkEnd w:id="124"/>
    <w:p>
      <w:pPr>
        <w:ind w:left="480"/>
        <w:spacing w:after="0"/>
        <w:rPr>
          <w:sz w:val="20"/>
          <w:szCs w:val="20"/>
          <w:color w:val="auto"/>
        </w:rPr>
      </w:pPr>
      <w:r>
        <w:rPr>
          <w:rFonts w:ascii="Arial" w:cs="Arial" w:eastAsia="Arial" w:hAnsi="Arial"/>
          <w:sz w:val="17"/>
          <w:szCs w:val="17"/>
          <w:color w:val="auto"/>
        </w:rPr>
        <w:t>11.3.2 May submit written comments or other documents.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u w:val="single" w:color="auto"/>
          <w:color w:val="auto"/>
        </w:rPr>
        <w:t>Decision on Review</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360"/>
        <w:spacing w:after="0" w:line="252" w:lineRule="auto"/>
        <w:rPr>
          <w:sz w:val="20"/>
          <w:szCs w:val="20"/>
          <w:color w:val="auto"/>
        </w:rPr>
      </w:pPr>
      <w:r>
        <w:rPr>
          <w:rFonts w:ascii="Arial" w:cs="Arial" w:eastAsia="Arial" w:hAnsi="Arial"/>
          <w:sz w:val="17"/>
          <w:szCs w:val="17"/>
          <w:color w:val="auto"/>
        </w:rPr>
        <w:t>The Administrator shall review all comments or other documents submitted by the Claimant 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Administrator shall notify the Claimant, in language calculated to be understood by the Claimant:</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11.4.1 That the claim has been allowed in full; or</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11.4.2 That the claim has been denied, in whole or in part, and such notice must set forth:</w:t>
      </w:r>
    </w:p>
    <w:p>
      <w:pPr>
        <w:spacing w:after="0" w:line="207" w:lineRule="exact"/>
        <w:rPr>
          <w:sz w:val="20"/>
          <w:szCs w:val="20"/>
          <w:color w:val="auto"/>
        </w:rPr>
      </w:pPr>
    </w:p>
    <w:p>
      <w:pPr>
        <w:ind w:left="1580" w:hanging="279"/>
        <w:spacing w:after="0"/>
        <w:tabs>
          <w:tab w:leader="none" w:pos="1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Specific reasons for the decision;</w:t>
      </w:r>
    </w:p>
    <w:p>
      <w:pPr>
        <w:spacing w:after="0" w:line="206" w:lineRule="exact"/>
        <w:rPr>
          <w:rFonts w:ascii="Arial" w:cs="Arial" w:eastAsia="Arial" w:hAnsi="Arial"/>
          <w:sz w:val="17"/>
          <w:szCs w:val="17"/>
          <w:color w:val="auto"/>
        </w:rPr>
      </w:pPr>
    </w:p>
    <w:p>
      <w:pPr>
        <w:ind w:left="1580" w:hanging="288"/>
        <w:spacing w:after="0"/>
        <w:tabs>
          <w:tab w:leader="none" w:pos="1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Specific reference(s) to the pertinent Plan provisions upon which the decision was based;</w:t>
      </w:r>
    </w:p>
    <w:p>
      <w:pPr>
        <w:spacing w:after="0" w:line="206" w:lineRule="exact"/>
        <w:rPr>
          <w:rFonts w:ascii="Arial" w:cs="Arial" w:eastAsia="Arial" w:hAnsi="Arial"/>
          <w:sz w:val="17"/>
          <w:szCs w:val="17"/>
          <w:color w:val="auto"/>
        </w:rPr>
      </w:pPr>
    </w:p>
    <w:p>
      <w:pPr>
        <w:ind w:left="1580" w:hanging="279"/>
        <w:spacing w:after="0" w:line="268" w:lineRule="auto"/>
        <w:tabs>
          <w:tab w:leader="none" w:pos="1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statement that Claimant is entitled to reasonable access to, and copies of, all documents, records or other information relevant to the claim upon request and free of charge;</w:t>
      </w:r>
    </w:p>
    <w:p>
      <w:pPr>
        <w:spacing w:after="0" w:line="166" w:lineRule="exact"/>
        <w:rPr>
          <w:rFonts w:ascii="Arial" w:cs="Arial" w:eastAsia="Arial" w:hAnsi="Arial"/>
          <w:sz w:val="17"/>
          <w:szCs w:val="17"/>
          <w:color w:val="auto"/>
        </w:rPr>
      </w:pPr>
    </w:p>
    <w:p>
      <w:pPr>
        <w:ind w:left="1580" w:hanging="288"/>
        <w:spacing w:after="0"/>
        <w:tabs>
          <w:tab w:leader="none" w:pos="1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statement regarding the Claimant’s right to initiate an action pursuant to section 502(a) of ERISA; and</w:t>
      </w:r>
    </w:p>
    <w:p>
      <w:pPr>
        <w:spacing w:after="0" w:line="206" w:lineRule="exact"/>
        <w:rPr>
          <w:rFonts w:ascii="Arial" w:cs="Arial" w:eastAsia="Arial" w:hAnsi="Arial"/>
          <w:sz w:val="17"/>
          <w:szCs w:val="17"/>
          <w:color w:val="auto"/>
        </w:rPr>
      </w:pPr>
    </w:p>
    <w:p>
      <w:pPr>
        <w:ind w:left="1580" w:hanging="279"/>
        <w:spacing w:after="0"/>
        <w:tabs>
          <w:tab w:leader="none" w:pos="1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other matters as the Administrator deems relevant.</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11.4.3 In the case of a claim for disability benefits, the notice shall set forth:</w:t>
      </w:r>
    </w:p>
    <w:p>
      <w:pPr>
        <w:spacing w:after="0" w:line="207" w:lineRule="exact"/>
        <w:rPr>
          <w:sz w:val="20"/>
          <w:szCs w:val="20"/>
          <w:color w:val="auto"/>
        </w:rPr>
      </w:pPr>
    </w:p>
    <w:p>
      <w:pPr>
        <w:ind w:left="1580" w:hanging="279"/>
        <w:spacing w:after="0"/>
        <w:tabs>
          <w:tab w:leader="none" w:pos="1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Whether the Administrator’s denial relied upon any specific rule, guideline, protocol or scientific or clinical judgment; and</w:t>
      </w:r>
    </w:p>
    <w:p>
      <w:pPr>
        <w:spacing w:after="0" w:line="206" w:lineRule="exact"/>
        <w:rPr>
          <w:rFonts w:ascii="Arial" w:cs="Arial" w:eastAsia="Arial" w:hAnsi="Arial"/>
          <w:sz w:val="17"/>
          <w:szCs w:val="17"/>
          <w:color w:val="auto"/>
        </w:rPr>
      </w:pPr>
    </w:p>
    <w:p>
      <w:pPr>
        <w:ind w:left="1580" w:hanging="288"/>
        <w:spacing w:after="0" w:line="336" w:lineRule="auto"/>
        <w:tabs>
          <w:tab w:leader="none" w:pos="1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u w:val="single" w:color="auto"/>
          <w:color w:val="auto"/>
        </w:rPr>
        <w:t>Other Remedies</w:t>
      </w:r>
      <w:r>
        <w:rPr>
          <w:rFonts w:ascii="Arial" w:cs="Arial" w:eastAsia="Arial" w:hAnsi="Arial"/>
          <w:sz w:val="17"/>
          <w:szCs w:val="17"/>
          <w:b w:val="1"/>
          <w:bCs w:val="1"/>
          <w:color w:val="auto"/>
        </w:rPr>
        <w:t>.</w:t>
      </w:r>
    </w:p>
    <w:p>
      <w:pPr>
        <w:spacing w:after="0" w:line="211"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A Claimant’s compliance with the foregoing procedures is a mandatory prerequisite to a Claimant’s right to pursue any other remedy with respect to any claim relating to this Plan.</w:t>
      </w:r>
    </w:p>
    <w:p>
      <w:pPr>
        <w:spacing w:after="0" w:line="299"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57785</wp:posOffset>
            </wp:positionV>
            <wp:extent cx="726059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80"/>
          </w:cols>
          <w:pgMar w:left="480" w:top="466"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ARTICLE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or Termination</w:t>
      </w:r>
    </w:p>
    <w:p>
      <w:pPr>
        <w:spacing w:after="0" w:line="211" w:lineRule="exact"/>
        <w:rPr>
          <w:sz w:val="20"/>
          <w:szCs w:val="20"/>
          <w:color w:val="auto"/>
        </w:rPr>
      </w:pPr>
    </w:p>
    <w:p>
      <w:pPr>
        <w:jc w:val="both"/>
        <w:ind w:firstLine="603"/>
        <w:spacing w:after="0" w:line="283" w:lineRule="auto"/>
        <w:rPr>
          <w:sz w:val="20"/>
          <w:szCs w:val="20"/>
          <w:color w:val="auto"/>
        </w:rPr>
      </w:pPr>
      <w:r>
        <w:rPr>
          <w:rFonts w:ascii="Arial" w:cs="Arial" w:eastAsia="Arial" w:hAnsi="Arial"/>
          <w:sz w:val="15"/>
          <w:szCs w:val="15"/>
          <w:color w:val="auto"/>
        </w:rPr>
        <w:t>The Company hereby reserves the right to amend, modify, or 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w:t>
      </w:r>
    </w:p>
    <w:p>
      <w:pPr>
        <w:spacing w:after="0" w:line="1" w:lineRule="exact"/>
        <w:rPr>
          <w:sz w:val="20"/>
          <w:szCs w:val="20"/>
          <w:color w:val="auto"/>
        </w:rPr>
      </w:pPr>
    </w:p>
    <w:p>
      <w:pPr>
        <w:jc w:val="both"/>
        <w:ind w:firstLine="1"/>
        <w:spacing w:after="0" w:line="273" w:lineRule="auto"/>
        <w:tabs>
          <w:tab w:leader="none" w:pos="326"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following the date of termination of the 409A Plan, the Company does not adopt any new arrangement that would have been an Aggregated Plan of the terminated 409A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u w:val="single" w:color="auto"/>
          <w:color w:val="auto"/>
        </w:rPr>
        <w:t>Unsecured General Creditor</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600"/>
        <w:spacing w:after="0" w:line="300" w:lineRule="auto"/>
        <w:rPr>
          <w:sz w:val="20"/>
          <w:szCs w:val="20"/>
          <w:color w:val="auto"/>
        </w:rPr>
      </w:pPr>
      <w:r>
        <w:rPr>
          <w:rFonts w:ascii="Arial" w:cs="Arial" w:eastAsia="Arial" w:hAnsi="Arial"/>
          <w:sz w:val="16"/>
          <w:szCs w:val="16"/>
          <w:color w:val="auto"/>
        </w:rPr>
        <w:t>Participants and their Beneficiaries, heirs, successors and assigns shall have no legal or equitable rights, interests or claims in any property or assets of an Employer. An Employer’s obligation under the Plan shall be merely that of an unfunded and unsecured promise to pay money in the future.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Employer’s Liability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600"/>
        <w:spacing w:after="0" w:line="268" w:lineRule="auto"/>
        <w:rPr>
          <w:sz w:val="20"/>
          <w:szCs w:val="20"/>
          <w:color w:val="auto"/>
        </w:rPr>
      </w:pPr>
      <w:r>
        <w:rPr>
          <w:rFonts w:ascii="Arial" w:cs="Arial" w:eastAsia="Arial" w:hAnsi="Arial"/>
          <w:sz w:val="17"/>
          <w:szCs w:val="17"/>
          <w:color w:val="auto"/>
        </w:rPr>
        <w:t>An Employer’s liability for benefits shall be defined only by the Plan. An Employer shall have no obligation to a Participant except as expressly provided in the Plan.</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u w:val="single" w:color="auto"/>
          <w:color w:val="auto"/>
        </w:rPr>
        <w:t>Nonassignability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600"/>
        <w:spacing w:after="0" w:line="251" w:lineRule="auto"/>
        <w:rPr>
          <w:sz w:val="20"/>
          <w:szCs w:val="20"/>
          <w:color w:val="auto"/>
        </w:rPr>
      </w:pPr>
      <w:r>
        <w:rPr>
          <w:rFonts w:ascii="Arial" w:cs="Arial" w:eastAsia="Arial" w:hAnsi="Arial"/>
          <w:sz w:val="17"/>
          <w:szCs w:val="17"/>
          <w:color w:val="auto"/>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 .</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u w:val="single" w:color="auto"/>
          <w:color w:val="auto"/>
        </w:rPr>
        <w:t>No Right to Employment</w:t>
      </w:r>
      <w:r>
        <w:rPr>
          <w:rFonts w:ascii="Arial" w:cs="Arial" w:eastAsia="Arial" w:hAnsi="Arial"/>
          <w:sz w:val="17"/>
          <w:szCs w:val="17"/>
          <w:b w:val="1"/>
          <w:bCs w:val="1"/>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Nothing contained in this Plan or any documents relating to the Plan shall: (a) confer on a Participant any right to continue in the employ of a Related Company,</w:t>
      </w:r>
    </w:p>
    <w:p>
      <w:pPr>
        <w:spacing w:after="0" w:line="41" w:lineRule="exact"/>
        <w:rPr>
          <w:sz w:val="20"/>
          <w:szCs w:val="20"/>
          <w:color w:val="auto"/>
        </w:rPr>
      </w:pPr>
    </w:p>
    <w:p>
      <w:pPr>
        <w:ind w:left="600" w:firstLine="4"/>
        <w:spacing w:after="0" w:line="253" w:lineRule="auto"/>
        <w:tabs>
          <w:tab w:leader="none" w:pos="839"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constitute any contract or agreement of employment, (c) interfere with the right of a Related Company to terminate the Participant’s employment at any time, with or without cause.</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26" w:name="page127"/>
    <w:bookmarkEnd w:id="126"/>
    <w:p>
      <w:pPr>
        <w:ind w:left="80"/>
        <w:spacing w:after="0"/>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u w:val="single" w:color="auto"/>
          <w:color w:val="auto"/>
        </w:rPr>
        <w:t>Incompetency</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94" w:lineRule="auto"/>
        <w:rPr>
          <w:sz w:val="20"/>
          <w:szCs w:val="20"/>
          <w:color w:val="auto"/>
        </w:rPr>
      </w:pPr>
      <w:r>
        <w:rPr>
          <w:rFonts w:ascii="Arial" w:cs="Arial" w:eastAsia="Arial" w:hAnsi="Arial"/>
          <w:sz w:val="15"/>
          <w:szCs w:val="15"/>
          <w:color w:val="auto"/>
        </w:rPr>
        <w:t>If the Administrator determines that a distribution under this Plan is to be paid to a minor,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b w:val="1"/>
          <w:bCs w:val="1"/>
          <w:u w:val="single" w:color="auto"/>
          <w:color w:val="auto"/>
        </w:rPr>
        <w:t>Tax Withholding</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57" w:lineRule="auto"/>
        <w:rPr>
          <w:sz w:val="20"/>
          <w:szCs w:val="20"/>
          <w:color w:val="auto"/>
        </w:rPr>
      </w:pPr>
      <w:r>
        <w:rPr>
          <w:rFonts w:ascii="Arial" w:cs="Arial" w:eastAsia="Arial" w:hAnsi="Arial"/>
          <w:sz w:val="17"/>
          <w:szCs w:val="17"/>
          <w:color w:val="auto"/>
        </w:rPr>
        <w:t>To the extent required by the law in effect at the time of any distribution, the Participant’s Employer shall withhold from any payments to a Participant hereunder any taxes required to be withheld by the federal or any state or local government, in amounts and in a manner to be determined in the sole discretion of the Employer(s).</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b w:val="1"/>
          <w:bCs w:val="1"/>
          <w:u w:val="single" w:color="auto"/>
          <w:color w:val="auto"/>
        </w:rPr>
        <w:t>Furnishing Information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57" w:lineRule="auto"/>
        <w:rPr>
          <w:sz w:val="20"/>
          <w:szCs w:val="20"/>
          <w:color w:val="auto"/>
        </w:rPr>
      </w:pPr>
      <w:r>
        <w:rPr>
          <w:rFonts w:ascii="Arial" w:cs="Arial" w:eastAsia="Arial" w:hAnsi="Arial"/>
          <w:sz w:val="17"/>
          <w:szCs w:val="17"/>
          <w:color w:val="auto"/>
        </w:rPr>
        <w:t>A Participant or his Beneficiary will cooperate with the Administrator by furnishing any and all 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54" w:lineRule="auto"/>
        <w:rPr>
          <w:sz w:val="20"/>
          <w:szCs w:val="20"/>
          <w:color w:val="auto"/>
        </w:rPr>
      </w:pPr>
      <w:r>
        <w:rPr>
          <w:rFonts w:ascii="Arial" w:cs="Arial" w:eastAsia="Arial" w:hAnsi="Arial"/>
          <w:sz w:val="17"/>
          <w:szCs w:val="17"/>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b w:val="1"/>
          <w:bCs w:val="1"/>
          <w:u w:val="single" w:color="auto"/>
          <w:color w:val="auto"/>
        </w:rPr>
        <w:t>Gender and Number</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68" w:lineRule="auto"/>
        <w:rPr>
          <w:sz w:val="20"/>
          <w:szCs w:val="20"/>
          <w:color w:val="auto"/>
        </w:rPr>
      </w:pPr>
      <w:r>
        <w:rPr>
          <w:rFonts w:ascii="Arial" w:cs="Arial" w:eastAsia="Arial" w:hAnsi="Arial"/>
          <w:sz w:val="17"/>
          <w:szCs w:val="17"/>
          <w:color w:val="auto"/>
        </w:rPr>
        <w:t>Except when otherwise indicated by context, words in the masculine gender shall include the feminine and neuter genders, the singular shall include the plural, and the plural shall include the singular.</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68" w:lineRule="auto"/>
        <w:rPr>
          <w:sz w:val="20"/>
          <w:szCs w:val="20"/>
          <w:color w:val="auto"/>
        </w:rPr>
      </w:pPr>
      <w:r>
        <w:rPr>
          <w:rFonts w:ascii="Arial" w:cs="Arial" w:eastAsia="Arial" w:hAnsi="Arial"/>
          <w:sz w:val="17"/>
          <w:szCs w:val="17"/>
          <w:color w:val="auto"/>
        </w:rPr>
        <w:t>The headings contained in this Plan are for convenience only and will not control or affect the meaning or construction of any of the terms or provisions of this Plan.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b w:val="1"/>
          <w:bCs w:val="1"/>
          <w:u w:val="single" w:color="auto"/>
          <w:color w:val="auto"/>
        </w:rPr>
        <w:t>Applicable Law and Construction</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57" w:lineRule="auto"/>
        <w:rPr>
          <w:sz w:val="20"/>
          <w:szCs w:val="20"/>
          <w:color w:val="auto"/>
        </w:rPr>
      </w:pPr>
      <w:r>
        <w:rPr>
          <w:rFonts w:ascii="Arial" w:cs="Arial" w:eastAsia="Arial" w:hAnsi="Arial"/>
          <w:sz w:val="17"/>
          <w:szCs w:val="17"/>
          <w:color w:val="auto"/>
        </w:rPr>
        <w:t>The Plan shall be governed by, construed and administered in accordance with the 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b w:val="1"/>
          <w:bCs w:val="1"/>
          <w:u w:val="single" w:color="auto"/>
          <w:color w:val="auto"/>
        </w:rPr>
        <w:t>Invalid or Unenforceable Provisions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57" w:lineRule="auto"/>
        <w:rPr>
          <w:sz w:val="20"/>
          <w:szCs w:val="20"/>
          <w:color w:val="auto"/>
        </w:rPr>
      </w:pPr>
      <w:r>
        <w:rPr>
          <w:rFonts w:ascii="Arial" w:cs="Arial" w:eastAsia="Arial" w:hAnsi="Arial"/>
          <w:sz w:val="17"/>
          <w:szCs w:val="17"/>
          <w:color w:val="auto"/>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57785</wp:posOffset>
            </wp:positionV>
            <wp:extent cx="726059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80"/>
          </w:cols>
          <w:pgMar w:left="380" w:top="462" w:right="2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211" w:lineRule="exact"/>
        <w:rPr>
          <w:sz w:val="20"/>
          <w:szCs w:val="20"/>
          <w:color w:val="auto"/>
        </w:rPr>
      </w:pPr>
    </w:p>
    <w:p>
      <w:pPr>
        <w:jc w:val="both"/>
        <w:ind w:left="460"/>
        <w:spacing w:after="0" w:line="294" w:lineRule="auto"/>
        <w:rPr>
          <w:sz w:val="20"/>
          <w:szCs w:val="20"/>
          <w:color w:val="auto"/>
        </w:rPr>
      </w:pPr>
      <w:r>
        <w:rPr>
          <w:rFonts w:ascii="Arial" w:cs="Arial" w:eastAsia="Arial" w:hAnsi="Arial"/>
          <w:sz w:val="15"/>
          <w:szCs w:val="15"/>
          <w:color w:val="auto"/>
        </w:rPr>
        <w:t>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57785</wp:posOffset>
            </wp:positionV>
            <wp:extent cx="726059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80"/>
          </w:cols>
          <w:pgMar w:left="380" w:top="462"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APPENDIX A</w:t>
      </w:r>
    </w:p>
    <w:p>
      <w:pPr>
        <w:spacing w:after="0" w:line="211"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162(m) Deferrals</w:t>
      </w:r>
      <w:r>
        <w:rPr>
          <w:rFonts w:ascii="Arial" w:cs="Arial" w:eastAsia="Arial" w:hAnsi="Arial"/>
          <w:sz w:val="17"/>
          <w:szCs w:val="17"/>
          <w:color w:val="auto"/>
        </w:rPr>
        <w:t>” means the portion of a Participant’s Annual Incentive Award for a Plan Year that the Company reasonably anticipates is not deductible by the application of Code section 162(m).</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409A Plan</w:t>
      </w:r>
      <w:r>
        <w:rPr>
          <w:rFonts w:ascii="Arial" w:cs="Arial" w:eastAsia="Arial" w:hAnsi="Arial"/>
          <w:sz w:val="17"/>
          <w:szCs w:val="17"/>
          <w:color w:val="auto"/>
        </w:rPr>
        <w:t>” means one of the separate non-qualified deferred compensation arrangements described in Section 2.1.</w:t>
      </w:r>
    </w:p>
    <w:p>
      <w:pPr>
        <w:spacing w:after="0" w:line="20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means the Company’s bookkeeping entry representing a Participant’s Deferrals, and such other accounts or sub-accounts as the Administrator deems necessary or appropriate.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Employee Benefit Plans Committee appointed by the Board or delegates of the Employee Benefit Plans Committee.</w:t>
      </w:r>
    </w:p>
    <w:p>
      <w:pPr>
        <w:spacing w:after="0" w:line="20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Aggregated Plan</w:t>
      </w:r>
      <w:r>
        <w:rPr>
          <w:rFonts w:ascii="Arial" w:cs="Arial" w:eastAsia="Arial" w:hAnsi="Arial"/>
          <w:sz w:val="17"/>
          <w:szCs w:val="17"/>
          <w:color w:val="auto"/>
        </w:rPr>
        <w:t>s” means, with respect to any 409A Plan, that plan and all other non-qualified deferred compensation plans which must be aggregated with that plan in accordance with the plan aggregation rules of Section 409A.</w:t>
      </w:r>
    </w:p>
    <w:p>
      <w:pPr>
        <w:spacing w:after="0" w:line="16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Incentive Award</w:t>
      </w:r>
      <w:r>
        <w:rPr>
          <w:rFonts w:ascii="Arial" w:cs="Arial" w:eastAsia="Arial" w:hAnsi="Arial"/>
          <w:sz w:val="17"/>
          <w:szCs w:val="17"/>
          <w:color w:val="auto"/>
        </w:rPr>
        <w:t>” means the annual award received by a Participant under the ALLETE Executive Annual Incentive Plan or any predecessor or successor plan.</w:t>
      </w:r>
    </w:p>
    <w:p>
      <w:pPr>
        <w:spacing w:after="0" w:line="16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Basic Compensation</w:t>
      </w:r>
      <w:r>
        <w:rPr>
          <w:rFonts w:ascii="Arial" w:cs="Arial" w:eastAsia="Arial" w:hAnsi="Arial"/>
          <w:sz w:val="17"/>
          <w:szCs w:val="17"/>
          <w:color w:val="auto"/>
        </w:rPr>
        <w:t>” shall have the meaning prescribed in Retirement Plan A, but shall be calculated without regard to the limitation on compensation imposed by Code section 401(a)(17).</w:t>
      </w:r>
    </w:p>
    <w:p>
      <w:pPr>
        <w:spacing w:after="0" w:line="16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Beneficiary</w:t>
      </w:r>
      <w:r>
        <w:rPr>
          <w:rFonts w:ascii="Arial" w:cs="Arial" w:eastAsia="Arial" w:hAnsi="Arial"/>
          <w:sz w:val="17"/>
          <w:szCs w:val="17"/>
          <w:color w:val="auto"/>
        </w:rPr>
        <w:t>” means one or more persons, trusts, estates or other entities, designated in accordance this Plan, that are entitled to receive Plan benefits upon the death of a Participant.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w:t>
      </w:r>
      <w:r>
        <w:rPr>
          <w:rFonts w:ascii="Arial" w:cs="Arial" w:eastAsia="Arial" w:hAnsi="Arial"/>
          <w:sz w:val="17"/>
          <w:szCs w:val="17"/>
          <w:color w:val="auto"/>
        </w:rPr>
        <w:t>d” means the Board of Directors of the Company.</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Bonus</w:t>
      </w:r>
      <w:r>
        <w:rPr>
          <w:rFonts w:ascii="Arial" w:cs="Arial" w:eastAsia="Arial" w:hAnsi="Arial"/>
          <w:sz w:val="16"/>
          <w:szCs w:val="16"/>
          <w:color w:val="auto"/>
        </w:rPr>
        <w:t>” means any incentive compensation, including Annual Incentive Awards, that is payable to the Participant in addition to the Participant’s Salary.</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earliest of:</w:t>
      </w:r>
    </w:p>
    <w:p>
      <w:pPr>
        <w:spacing w:after="0" w:line="207" w:lineRule="exact"/>
        <w:rPr>
          <w:sz w:val="20"/>
          <w:szCs w:val="20"/>
          <w:color w:val="auto"/>
        </w:rPr>
      </w:pPr>
    </w:p>
    <w:p>
      <w:pPr>
        <w:jc w:val="both"/>
        <w:ind w:left="2120" w:hanging="249"/>
        <w:spacing w:after="0" w:line="268" w:lineRule="auto"/>
        <w:tabs>
          <w:tab w:leader="none" w:pos="2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129" w:name="page130"/>
    <w:bookmarkEnd w:id="129"/>
    <w:p>
      <w:pPr>
        <w:jc w:val="both"/>
        <w:ind w:left="2120" w:hanging="296"/>
        <w:spacing w:after="0" w:line="308" w:lineRule="auto"/>
        <w:tabs>
          <w:tab w:leader="none" w:pos="2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 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40" w:lineRule="exact"/>
        <w:rPr>
          <w:rFonts w:ascii="Arial" w:cs="Arial" w:eastAsia="Arial" w:hAnsi="Arial"/>
          <w:sz w:val="15"/>
          <w:szCs w:val="15"/>
          <w:color w:val="auto"/>
        </w:rPr>
      </w:pPr>
    </w:p>
    <w:p>
      <w:pPr>
        <w:jc w:val="both"/>
        <w:ind w:left="2120" w:hanging="342"/>
        <w:spacing w:after="0" w:line="257" w:lineRule="auto"/>
        <w:tabs>
          <w:tab w:leader="none" w:pos="2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 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76" w:lineRule="exact"/>
        <w:rPr>
          <w:rFonts w:ascii="Arial" w:cs="Arial" w:eastAsia="Arial" w:hAnsi="Arial"/>
          <w:sz w:val="17"/>
          <w:szCs w:val="17"/>
          <w:color w:val="auto"/>
        </w:rPr>
      </w:pPr>
    </w:p>
    <w:p>
      <w:pPr>
        <w:jc w:val="both"/>
        <w:ind w:left="2120" w:hanging="333"/>
        <w:spacing w:after="0" w:line="251" w:lineRule="auto"/>
        <w:tabs>
          <w:tab w:leader="none" w:pos="2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 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81"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17"/>
          <w:szCs w:val="17"/>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Claimant</w:t>
      </w:r>
      <w:r>
        <w:rPr>
          <w:rFonts w:ascii="Arial" w:cs="Arial" w:eastAsia="Arial" w:hAnsi="Arial"/>
          <w:sz w:val="17"/>
          <w:szCs w:val="17"/>
          <w:color w:val="auto"/>
        </w:rPr>
        <w:t>” shall have the meaning set forth in Section 11.1.</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it may be amended from time to time.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ALLETE, Inc., a Minnesota Corporation, and any successor to all, or substantially all, of the Company’s assets or business.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Credited Service</w:t>
      </w:r>
      <w:r>
        <w:rPr>
          <w:rFonts w:ascii="Arial" w:cs="Arial" w:eastAsia="Arial" w:hAnsi="Arial"/>
          <w:sz w:val="17"/>
          <w:szCs w:val="17"/>
          <w:color w:val="auto"/>
        </w:rPr>
        <w:t>” shall have the meaning prescribed in the Retirement Plan A.</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30" w:name="page131"/>
    <w:bookmarkEnd w:id="130"/>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Deferrals</w:t>
      </w:r>
      <w:r>
        <w:rPr>
          <w:rFonts w:ascii="Arial" w:cs="Arial" w:eastAsia="Arial" w:hAnsi="Arial"/>
          <w:sz w:val="17"/>
          <w:szCs w:val="17"/>
          <w:color w:val="auto"/>
        </w:rPr>
        <w:t>” means Elective Deferrals and Non-Elective Deferrals.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 or “Disabled</w:t>
      </w:r>
      <w:r>
        <w:rPr>
          <w:rFonts w:ascii="Arial" w:cs="Arial" w:eastAsia="Arial" w:hAnsi="Arial"/>
          <w:sz w:val="17"/>
          <w:szCs w:val="17"/>
          <w:color w:val="auto"/>
        </w:rPr>
        <w:t>” when used with an initial capital letter, means a physical or mental condition in which the Participant is:</w:t>
      </w:r>
    </w:p>
    <w:p>
      <w:pPr>
        <w:spacing w:after="0" w:line="207" w:lineRule="exact"/>
        <w:rPr>
          <w:sz w:val="20"/>
          <w:szCs w:val="20"/>
          <w:color w:val="auto"/>
        </w:rPr>
      </w:pPr>
    </w:p>
    <w:p>
      <w:pPr>
        <w:ind w:left="2120" w:hanging="249"/>
        <w:spacing w:after="0" w:line="300" w:lineRule="auto"/>
        <w:tabs>
          <w:tab w:leader="none" w:pos="2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43" w:lineRule="exact"/>
        <w:rPr>
          <w:rFonts w:ascii="Arial" w:cs="Arial" w:eastAsia="Arial" w:hAnsi="Arial"/>
          <w:sz w:val="16"/>
          <w:szCs w:val="16"/>
          <w:color w:val="auto"/>
        </w:rPr>
      </w:pPr>
    </w:p>
    <w:p>
      <w:pPr>
        <w:jc w:val="both"/>
        <w:ind w:left="2120" w:hanging="296"/>
        <w:spacing w:after="0" w:line="257" w:lineRule="auto"/>
        <w:tabs>
          <w:tab w:leader="none" w:pos="2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76" w:lineRule="exact"/>
        <w:rPr>
          <w:rFonts w:ascii="Arial" w:cs="Arial" w:eastAsia="Arial" w:hAnsi="Arial"/>
          <w:sz w:val="17"/>
          <w:szCs w:val="17"/>
          <w:color w:val="auto"/>
        </w:rPr>
      </w:pPr>
    </w:p>
    <w:p>
      <w:pPr>
        <w:ind w:left="2120" w:hanging="342"/>
        <w:spacing w:after="0"/>
        <w:tabs>
          <w:tab w:leader="none" w:pos="2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determined to be totally disabled by the Social Security Administration; or</w:t>
      </w:r>
    </w:p>
    <w:p>
      <w:pPr>
        <w:spacing w:after="0" w:line="206" w:lineRule="exact"/>
        <w:rPr>
          <w:rFonts w:ascii="Arial" w:cs="Arial" w:eastAsia="Arial" w:hAnsi="Arial"/>
          <w:sz w:val="17"/>
          <w:szCs w:val="17"/>
          <w:color w:val="auto"/>
        </w:rPr>
      </w:pPr>
    </w:p>
    <w:p>
      <w:pPr>
        <w:ind w:left="2120" w:hanging="333"/>
        <w:spacing w:after="0" w:line="268" w:lineRule="auto"/>
        <w:tabs>
          <w:tab w:leader="none" w:pos="2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When the term “disability” (without an initial capital letter) is used in the Plan, it shall have the meaning prescribed in the definition of “Separation from Service.”</w:t>
      </w:r>
    </w:p>
    <w:p>
      <w:pPr>
        <w:spacing w:after="0" w:line="16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Event</w:t>
      </w:r>
      <w:r>
        <w:rPr>
          <w:rFonts w:ascii="Arial" w:cs="Arial" w:eastAsia="Arial" w:hAnsi="Arial"/>
          <w:sz w:val="17"/>
          <w:szCs w:val="17"/>
          <w:color w:val="auto"/>
        </w:rPr>
        <w:t>” 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spacing w:after="0" w:line="17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Elective Deferrals</w:t>
      </w:r>
      <w:r>
        <w:rPr>
          <w:rFonts w:ascii="Arial" w:cs="Arial" w:eastAsia="Arial" w:hAnsi="Arial"/>
          <w:sz w:val="17"/>
          <w:szCs w:val="17"/>
          <w:color w:val="auto"/>
        </w:rPr>
        <w:t>” means any portion of a Participant’s Salary, Bonus, Severance Pay, Annual Make-up Award or Other Award that a Participant irrevocably elects to defer.</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 Employee in management salary grades SA-SM, who has been notified in writing by the Administrator of eligibility to participate in the Plan.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Surviving Spous</w:t>
      </w:r>
      <w:r>
        <w:rPr>
          <w:rFonts w:ascii="Arial" w:cs="Arial" w:eastAsia="Arial" w:hAnsi="Arial"/>
          <w:sz w:val="17"/>
          <w:szCs w:val="17"/>
          <w:color w:val="auto"/>
        </w:rPr>
        <w:t>e” shall have the meaning prescribed in Retirement Plan A.</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 person who is a common-law employee of any Related Company.</w:t>
      </w:r>
    </w:p>
    <w:p>
      <w:pPr>
        <w:spacing w:after="0" w:line="20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Employer(s)</w:t>
      </w:r>
      <w:r>
        <w:rPr>
          <w:rFonts w:ascii="Arial" w:cs="Arial" w:eastAsia="Arial" w:hAnsi="Arial"/>
          <w:sz w:val="17"/>
          <w:szCs w:val="17"/>
          <w:color w:val="auto"/>
        </w:rPr>
        <w:t>” means the Company and any Related Company (now in existence or hereafter formed or acquired) that have been selected by the Administrator to participate in the Plan.</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31" w:name="page132"/>
    <w:bookmarkEnd w:id="131"/>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it may be amended from time to time.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Internal Revenue Service.</w:t>
      </w:r>
    </w:p>
    <w:p>
      <w:pPr>
        <w:spacing w:after="0" w:line="207" w:lineRule="exact"/>
        <w:rPr>
          <w:sz w:val="20"/>
          <w:szCs w:val="20"/>
          <w:color w:val="auto"/>
        </w:rPr>
      </w:pPr>
    </w:p>
    <w:p>
      <w:pPr>
        <w:ind w:firstLine="603"/>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Misconduct</w:t>
      </w:r>
      <w:r>
        <w:rPr>
          <w:rFonts w:ascii="Arial" w:cs="Arial" w:eastAsia="Arial" w:hAnsi="Arial"/>
          <w:sz w:val="16"/>
          <w:szCs w:val="16"/>
          <w:color w:val="auto"/>
        </w:rPr>
        <w:t>” 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spacing w:after="0" w:line="143" w:lineRule="exact"/>
        <w:rPr>
          <w:sz w:val="20"/>
          <w:szCs w:val="20"/>
          <w:color w:val="auto"/>
        </w:rPr>
      </w:pPr>
    </w:p>
    <w:p>
      <w:pPr>
        <w:ind w:left="1260" w:hanging="656"/>
        <w:spacing w:after="0"/>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act or omission by the Participant involving dishonesty in connection with his or her responsibilities as an employee of the Company; or</w:t>
      </w:r>
    </w:p>
    <w:p>
      <w:pPr>
        <w:spacing w:after="0" w:line="218" w:lineRule="exact"/>
        <w:rPr>
          <w:rFonts w:ascii="Arial" w:cs="Arial" w:eastAsia="Arial" w:hAnsi="Arial"/>
          <w:sz w:val="16"/>
          <w:szCs w:val="16"/>
          <w:color w:val="auto"/>
        </w:rPr>
      </w:pPr>
    </w:p>
    <w:p>
      <w:pPr>
        <w:jc w:val="both"/>
        <w:ind w:left="600" w:firstLine="4"/>
        <w:spacing w:after="0" w:line="257" w:lineRule="auto"/>
        <w:tabs>
          <w:tab w:leader="none" w:pos="143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Participant’s conviction of,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 misdemeanor involving moral turpitude, provided that a misdemeanor motor vehicle violation will not constitute a crime of moral turpitude unless it involves driving while impaired within the scope of employment or another serious driving offense committed within the scope of employment.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clarifying the foregoing definition, Misconduct can occur regardless of whether the Company discovers the Misconduct before or after the Participant’s Separation from Service and regardless of whether the Participant has a Separation from Service on account of the Misconduct.</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Non-Elective Deferrals</w:t>
      </w:r>
      <w:r>
        <w:rPr>
          <w:rFonts w:ascii="Arial" w:cs="Arial" w:eastAsia="Arial" w:hAnsi="Arial"/>
          <w:sz w:val="17"/>
          <w:szCs w:val="17"/>
          <w:color w:val="auto"/>
        </w:rPr>
        <w:t>” means 162(m) Deferrals and the Annual Make-up Award credited to the Account of any Participant whose Salary exceeds the Code section 401(a)(17) limit.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Award</w:t>
      </w:r>
      <w:r>
        <w:rPr>
          <w:rFonts w:ascii="Arial" w:cs="Arial" w:eastAsia="Arial" w:hAnsi="Arial"/>
          <w:sz w:val="16"/>
          <w:szCs w:val="16"/>
          <w:color w:val="auto"/>
        </w:rPr>
        <w:t>” means an award, other than an Annual Incentive Award or Severance Pay, that a Participant may defer at the Administrator’s discretion.</w:t>
      </w:r>
    </w:p>
    <w:p>
      <w:pPr>
        <w:spacing w:after="0" w:line="218"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Eligible Employee (i) who has elected to defer amounts under the Plan, (ii) who is eligible to receive a Retirement Benefit or (iii) whose compensation, or a portion thereof, was deferred as a Non-Elective Deferral.</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SERP II.</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a period beginning on January 1 of each calendar year and continuing through December 31 of such calendar year.</w:t>
      </w:r>
    </w:p>
    <w:p>
      <w:pPr>
        <w:spacing w:after="0" w:line="207"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Company</w:t>
      </w:r>
      <w:r>
        <w:rPr>
          <w:rFonts w:ascii="Arial" w:cs="Arial" w:eastAsia="Arial" w:hAnsi="Arial"/>
          <w:sz w:val="15"/>
          <w:szCs w:val="15"/>
          <w:color w:val="auto"/>
        </w:rPr>
        <w:t>”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w:t>
      </w:r>
    </w:p>
    <w:p>
      <w:pPr>
        <w:jc w:val="both"/>
        <w:spacing w:after="0" w:line="250" w:lineRule="auto"/>
        <w:rPr>
          <w:sz w:val="20"/>
          <w:szCs w:val="20"/>
          <w:color w:val="auto"/>
        </w:rPr>
      </w:pPr>
      <w:r>
        <w:rPr>
          <w:rFonts w:ascii="Arial" w:cs="Arial" w:eastAsia="Arial" w:hAnsi="Arial"/>
          <w:sz w:val="17"/>
          <w:szCs w:val="17"/>
          <w:color w:val="auto"/>
        </w:rPr>
        <w:t>(1), (2), and (3), and in applying Treasury Regulations section 1.414(c)-2 for purposes of determining tr ades or businesses (whether or not incorporated) that are under common control for purposes of Code section 414(c), “at least 50 percent” is used instead of “at least 80 percent” each place it appears in Treasury Regulations section 1.414(c)-2.</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32" w:name="page133"/>
    <w:bookmarkEnd w:id="132"/>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means Separation from Service, for reasons other than death, on or after attaining both 50 years of age and 10 years of Vesting Service.</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 Benefit</w:t>
      </w:r>
      <w:r>
        <w:rPr>
          <w:rFonts w:ascii="Arial" w:cs="Arial" w:eastAsia="Arial" w:hAnsi="Arial"/>
          <w:sz w:val="17"/>
          <w:szCs w:val="17"/>
          <w:color w:val="auto"/>
        </w:rPr>
        <w:t>” means the benefit payable pursuant to Article 8.</w:t>
      </w:r>
    </w:p>
    <w:p>
      <w:pPr>
        <w:spacing w:after="0" w:line="20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 Plans</w:t>
      </w:r>
      <w:r>
        <w:rPr>
          <w:rFonts w:ascii="Arial" w:cs="Arial" w:eastAsia="Arial" w:hAnsi="Arial"/>
          <w:sz w:val="17"/>
          <w:szCs w:val="17"/>
          <w:color w:val="auto"/>
        </w:rPr>
        <w:t>” mean the Minnesota Power and Affiliated Companies Retirement Plan A and Minnesota Power and Affiliated Companies Retirement Plan B, as amended from time to time.</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 Savings and Stock Ownership Plan</w:t>
      </w:r>
      <w:r>
        <w:rPr>
          <w:rFonts w:ascii="Arial" w:cs="Arial" w:eastAsia="Arial" w:hAnsi="Arial"/>
          <w:sz w:val="17"/>
          <w:szCs w:val="17"/>
          <w:color w:val="auto"/>
        </w:rPr>
        <w:t>” or “RSOP” means the Minnesota Power and Affiliated Companies Retirement Savings and Stock Ownership Plan, as amended from time to time.</w:t>
      </w:r>
    </w:p>
    <w:p>
      <w:pPr>
        <w:spacing w:after="0" w:line="167" w:lineRule="exact"/>
        <w:rPr>
          <w:sz w:val="20"/>
          <w:szCs w:val="20"/>
          <w:color w:val="auto"/>
        </w:rPr>
      </w:pPr>
    </w:p>
    <w:p>
      <w:pPr>
        <w:jc w:val="both"/>
        <w:ind w:firstLine="603"/>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Salary</w:t>
      </w:r>
      <w:r>
        <w:rPr>
          <w:rFonts w:ascii="Arial" w:cs="Arial" w:eastAsia="Arial" w:hAnsi="Arial"/>
          <w:sz w:val="16"/>
          <w:szCs w:val="16"/>
          <w:color w:val="auto"/>
        </w:rPr>
        <w:t>” means the Participant’s earnings during a calendar year, before any reduction pursuant to Code sections 125, 132(f)(4),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 loyed jointly by the Company and an affiliated company (as defined in the RSOP), Salary as defined herein shall include amounts received from all such companies.</w:t>
      </w:r>
    </w:p>
    <w:p>
      <w:pPr>
        <w:spacing w:after="0" w:line="16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means both section 409A of the Code and Treasury Regulations section 1.409A-1 et seq., as they both may be amended from time to time, and other guidance issued by the Treasury Department and Internal Revenue Service thereunder.</w:t>
      </w:r>
    </w:p>
    <w:p>
      <w:pPr>
        <w:spacing w:after="0" w:line="167"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 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 ar position, if such impairment can be expected to result in death or can be expected to last for a continuous period of 6 months.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33" w:name="page134"/>
    <w:bookmarkEnd w:id="133"/>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SERP II</w:t>
      </w:r>
      <w:r>
        <w:rPr>
          <w:rFonts w:ascii="Arial" w:cs="Arial" w:eastAsia="Arial" w:hAnsi="Arial"/>
          <w:sz w:val="17"/>
          <w:szCs w:val="17"/>
          <w:color w:val="auto"/>
        </w:rPr>
        <w:t>” means the ALLETE and Affiliated Companies Supplemental Executive Retirement Plan II, as amended from time to time.</w:t>
      </w:r>
    </w:p>
    <w:p>
      <w:pPr>
        <w:spacing w:after="0" w:line="207"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Severance Pay</w:t>
      </w:r>
      <w:r>
        <w:rPr>
          <w:rFonts w:ascii="Arial" w:cs="Arial" w:eastAsia="Arial" w:hAnsi="Arial"/>
          <w:sz w:val="15"/>
          <w:szCs w:val="15"/>
          <w:color w:val="auto"/>
        </w:rPr>
        <w:t>” 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Year</w:t>
      </w:r>
      <w:r>
        <w:rPr>
          <w:rFonts w:ascii="Arial" w:cs="Arial" w:eastAsia="Arial" w:hAnsi="Arial"/>
          <w:sz w:val="17"/>
          <w:szCs w:val="17"/>
          <w:color w:val="auto"/>
        </w:rPr>
        <w:t>” means a calendar year during which a Participant has elected to receive a distribution of Elective Deferrals.</w:t>
      </w:r>
    </w:p>
    <w:p>
      <w:pPr>
        <w:spacing w:after="0" w:line="207"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Employee</w:t>
      </w:r>
      <w:r>
        <w:rPr>
          <w:rFonts w:ascii="Arial" w:cs="Arial" w:eastAsia="Arial" w:hAnsi="Arial"/>
          <w:sz w:val="15"/>
          <w:szCs w:val="15"/>
          <w:color w:val="auto"/>
        </w:rPr>
        <w:t>” means an Employee who is subject to the six-month delay rule described in Code section 409A(2)(B)(i). The Board shall adopt guidelines for identifying Specified Employees in a manner consistent with Section 409A, and may amend the guidelines from time to time as permitted by Section 409A.</w:t>
      </w:r>
    </w:p>
    <w:p>
      <w:pPr>
        <w:spacing w:after="0" w:line="120" w:lineRule="exact"/>
        <w:rPr>
          <w:sz w:val="20"/>
          <w:szCs w:val="20"/>
          <w:color w:val="auto"/>
        </w:rPr>
      </w:pPr>
    </w:p>
    <w:p>
      <w:pPr>
        <w:jc w:val="both"/>
        <w:ind w:firstLine="603"/>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Unforeseeable Emergency</w:t>
      </w:r>
      <w:r>
        <w:rPr>
          <w:rFonts w:ascii="Arial" w:cs="Arial" w:eastAsia="Arial" w:hAnsi="Arial"/>
          <w:sz w:val="15"/>
          <w:szCs w:val="15"/>
          <w:color w:val="auto"/>
        </w:rPr>
        <w:t>” 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w:t>
      </w:r>
    </w:p>
    <w:p>
      <w:pPr>
        <w:spacing w:after="0" w:line="1" w:lineRule="exact"/>
        <w:rPr>
          <w:sz w:val="20"/>
          <w:szCs w:val="20"/>
          <w:color w:val="auto"/>
        </w:rPr>
      </w:pPr>
    </w:p>
    <w:p>
      <w:pPr>
        <w:ind w:firstLine="1"/>
        <w:spacing w:after="0" w:line="253" w:lineRule="auto"/>
        <w:tabs>
          <w:tab w:leader="none" w:pos="31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such other similar extraordinary and unforeseeable circumstances arising as a result of events beyond the control of the Participant, all as determined in the sole discretion of the Administrator.</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that the U.S. stock markets are open or such other dates as may be set by the Administrator from time to time.</w:t>
      </w:r>
    </w:p>
    <w:p>
      <w:pPr>
        <w:spacing w:after="0" w:line="218"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Service</w:t>
      </w:r>
      <w:r>
        <w:rPr>
          <w:rFonts w:ascii="Arial" w:cs="Arial" w:eastAsia="Arial" w:hAnsi="Arial"/>
          <w:sz w:val="17"/>
          <w:szCs w:val="17"/>
          <w:color w:val="auto"/>
        </w:rPr>
        <w:t>” 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color w:val="auto"/>
        </w:rPr>
        <w:t>IN WITNESS WHEREOF, ALLETE, Inc. has caused these presents to be signed by its duly authorized officers, effective as of January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Alan R. Hodnik</w:t>
      </w:r>
      <w:r>
        <w:rPr>
          <w:rFonts w:ascii="Arial" w:cs="Arial" w:eastAsia="Arial" w:hAnsi="Arial"/>
          <w:sz w:val="17"/>
          <w:szCs w:val="17"/>
          <w:color w:val="auto"/>
        </w:rPr>
        <w:t>___________</w:t>
      </w:r>
    </w:p>
    <w:p>
      <w:pPr>
        <w:spacing w:after="0" w:line="20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Alan R. Hodnik</w:t>
      </w:r>
    </w:p>
    <w:p>
      <w:pPr>
        <w:spacing w:after="0" w:line="20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Deborah A. Amberg</w:t>
      </w:r>
      <w:r>
        <w:rPr>
          <w:rFonts w:ascii="Arial" w:cs="Arial" w:eastAsia="Arial" w:hAnsi="Arial"/>
          <w:sz w:val="17"/>
          <w:szCs w:val="17"/>
          <w:color w:val="auto"/>
        </w:rPr>
        <w:t>________</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Its: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1134745</wp:posOffset>
            </wp:positionV>
            <wp:extent cx="726059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9660"/>
          </w:cols>
          <w:pgMar w:left="840" w:top="466" w:right="1399" w:bottom="1440" w:gutter="0" w:footer="0" w:header="0"/>
        </w:sectPr>
      </w:pPr>
    </w:p>
    <w:bookmarkStart w:id="135" w:name="page136"/>
    <w:bookmarkEnd w:id="1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10(m)2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EXECUTIVE LONG-TERM INCENTIVE COMPENSATION PLAN</w:t>
      </w:r>
    </w:p>
    <w:p>
      <w:pPr>
        <w:spacing w:after="0" w:line="396"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The ALLETE Executive Long-Term Incentive Compensation Plan, as amended and restated effective January 1, 2006 (the “Plan”), is amended as follows, effective January 1, 2011.</w:t>
      </w:r>
    </w:p>
    <w:p>
      <w:pPr>
        <w:spacing w:after="0" w:line="3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The following is added at the end Section 1.1:</w:t>
      </w:r>
    </w:p>
    <w:p>
      <w:pPr>
        <w:spacing w:after="0" w:line="207" w:lineRule="exact"/>
        <w:rPr>
          <w:sz w:val="20"/>
          <w:szCs w:val="20"/>
          <w:color w:val="auto"/>
        </w:rPr>
      </w:pPr>
    </w:p>
    <w:p>
      <w:pPr>
        <w:ind w:left="1060" w:right="100"/>
        <w:spacing w:after="0" w:line="254" w:lineRule="auto"/>
        <w:rPr>
          <w:sz w:val="20"/>
          <w:szCs w:val="20"/>
          <w:color w:val="auto"/>
        </w:rPr>
      </w:pPr>
      <w:r>
        <w:rPr>
          <w:rFonts w:ascii="Arial" w:cs="Arial" w:eastAsia="Arial" w:hAnsi="Arial"/>
          <w:sz w:val="17"/>
          <w:szCs w:val="17"/>
          <w:color w:val="auto"/>
        </w:rPr>
        <w:t>Effective January 1, 2011, the Company hereby amends the Plan to incorporate any compensation recovery policy adopted by the Company, to explicitly prohibit re-pricing and cash</w:t>
      </w:r>
    </w:p>
    <w:p>
      <w:pPr>
        <w:spacing w:after="0" w:line="1" w:lineRule="exact"/>
        <w:rPr>
          <w:sz w:val="20"/>
          <w:szCs w:val="20"/>
          <w:color w:val="auto"/>
        </w:rPr>
      </w:pPr>
    </w:p>
    <w:p>
      <w:pPr>
        <w:ind w:left="820" w:right="60"/>
        <w:spacing w:after="0" w:line="250" w:lineRule="auto"/>
        <w:rPr>
          <w:sz w:val="20"/>
          <w:szCs w:val="20"/>
          <w:color w:val="auto"/>
        </w:rPr>
      </w:pPr>
      <w:r>
        <w:rPr>
          <w:rFonts w:ascii="Arial" w:cs="Arial" w:eastAsia="Arial" w:hAnsi="Arial"/>
          <w:sz w:val="17"/>
          <w:szCs w:val="17"/>
          <w:color w:val="auto"/>
        </w:rPr>
        <w:t>buyouts of Options and SARs granted under the Plan unless approved by Company shareholders, and to provide that in connection with a Change in Control, so long as the successor assumes a Restricted Stock Grant, the restrictions will be deemed to have lapsed upon the Participant’s termination of employment by the company in connection with the Change in Control.</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 A new Section 1.4 is added at the end of Article 1 to read as follows:</w:t>
      </w:r>
    </w:p>
    <w:p>
      <w:pPr>
        <w:spacing w:after="0" w:line="207" w:lineRule="exact"/>
        <w:rPr>
          <w:sz w:val="20"/>
          <w:szCs w:val="20"/>
          <w:color w:val="auto"/>
        </w:rPr>
      </w:pPr>
    </w:p>
    <w:p>
      <w:pPr>
        <w:ind w:left="1060"/>
        <w:spacing w:after="0" w:line="254"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i w:val="1"/>
          <w:iCs w:val="1"/>
          <w:color w:val="auto"/>
        </w:rPr>
        <w:t>Compensation Recovery Policy.</w:t>
      </w:r>
      <w:r>
        <w:rPr>
          <w:rFonts w:ascii="Arial" w:cs="Arial" w:eastAsia="Arial" w:hAnsi="Arial"/>
          <w:sz w:val="17"/>
          <w:szCs w:val="17"/>
          <w:color w:val="auto"/>
        </w:rPr>
        <w:t xml:space="preserve"> Effective January 1, 2011, all Grants are subject to the terms of any compensation recovery policy or policies established by the Company as</w:t>
      </w:r>
    </w:p>
    <w:p>
      <w:pPr>
        <w:spacing w:after="0" w:line="1" w:lineRule="exact"/>
        <w:rPr>
          <w:sz w:val="20"/>
          <w:szCs w:val="20"/>
          <w:color w:val="auto"/>
        </w:rPr>
      </w:pPr>
    </w:p>
    <w:p>
      <w:pPr>
        <w:ind w:left="820" w:right="780"/>
        <w:spacing w:after="0" w:line="253" w:lineRule="auto"/>
        <w:rPr>
          <w:sz w:val="20"/>
          <w:szCs w:val="20"/>
          <w:color w:val="auto"/>
        </w:rPr>
      </w:pPr>
      <w:r>
        <w:rPr>
          <w:rFonts w:ascii="Arial" w:cs="Arial" w:eastAsia="Arial" w:hAnsi="Arial"/>
          <w:sz w:val="17"/>
          <w:szCs w:val="17"/>
          <w:color w:val="auto"/>
        </w:rPr>
        <w:t>such policy or policies may be amended from time to time (“Compensation Recovery Policy”). The Company hereby incorporates the terms of the Compensation Recovery Policy into the Plan.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3. Section 5.3 is deleted in its entirety and replaced with the following:</w:t>
      </w:r>
    </w:p>
    <w:p>
      <w:pPr>
        <w:spacing w:after="0" w:line="207" w:lineRule="exact"/>
        <w:rPr>
          <w:sz w:val="20"/>
          <w:szCs w:val="20"/>
          <w:color w:val="auto"/>
        </w:rPr>
      </w:pPr>
    </w:p>
    <w:p>
      <w:pPr>
        <w:ind w:left="1060"/>
        <w:spacing w:after="0" w:line="254"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i w:val="1"/>
          <w:iCs w:val="1"/>
          <w:color w:val="auto"/>
        </w:rPr>
        <w:t>Option Price.</w:t>
      </w:r>
      <w:r>
        <w:rPr>
          <w:rFonts w:ascii="Arial" w:cs="Arial" w:eastAsia="Arial" w:hAnsi="Arial"/>
          <w:sz w:val="17"/>
          <w:szCs w:val="17"/>
          <w:color w:val="auto"/>
        </w:rPr>
        <w:t xml:space="preserve"> The Option Price for each Option granted under the Plan shall be the Fair Market Value of a Share on the date of grant, or such higher price as the Committee may</w:t>
      </w:r>
    </w:p>
    <w:p>
      <w:pPr>
        <w:spacing w:after="0" w:line="1" w:lineRule="exact"/>
        <w:rPr>
          <w:sz w:val="20"/>
          <w:szCs w:val="20"/>
          <w:color w:val="auto"/>
        </w:rPr>
      </w:pPr>
    </w:p>
    <w:p>
      <w:pPr>
        <w:jc w:val="both"/>
        <w:ind w:left="820"/>
        <w:spacing w:after="0" w:line="248" w:lineRule="auto"/>
        <w:rPr>
          <w:sz w:val="20"/>
          <w:szCs w:val="20"/>
          <w:color w:val="auto"/>
        </w:rPr>
      </w:pPr>
      <w:r>
        <w:rPr>
          <w:rFonts w:ascii="Arial" w:cs="Arial" w:eastAsia="Arial" w:hAnsi="Arial"/>
          <w:sz w:val="17"/>
          <w:szCs w:val="17"/>
          <w:color w:val="auto"/>
        </w:rPr>
        <w:t>determine. Except in connection with a corporate transaction involving the Company (including, but not limited to, any stock dividend, stock split, recapitalization, reorganization, merger, spin-off or exchange of shares), the terms of an outstanding award may not be adjusted or amended to reduce the exercise price of any outstanding Option granted under the Plan without shareholder approval; nor may an outstanding award for Options granted under the Plan be cancelled, exchanged, bought out or surrendered in exchange for cash or another award or Options with an exercise price that is less than the exercise price of the original Option without shareholder approv 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 The following is added at the end Section 6.1:</w:t>
      </w:r>
    </w:p>
    <w:p>
      <w:pPr>
        <w:spacing w:after="0" w:line="207" w:lineRule="exact"/>
        <w:rPr>
          <w:sz w:val="20"/>
          <w:szCs w:val="20"/>
          <w:color w:val="auto"/>
        </w:rPr>
      </w:pPr>
    </w:p>
    <w:p>
      <w:pPr>
        <w:ind w:left="920" w:right="300"/>
        <w:spacing w:after="0" w:line="254" w:lineRule="auto"/>
        <w:rPr>
          <w:sz w:val="20"/>
          <w:szCs w:val="20"/>
          <w:color w:val="auto"/>
        </w:rPr>
      </w:pPr>
      <w:r>
        <w:rPr>
          <w:rFonts w:ascii="Arial" w:cs="Arial" w:eastAsia="Arial" w:hAnsi="Arial"/>
          <w:sz w:val="17"/>
          <w:szCs w:val="17"/>
          <w:color w:val="auto"/>
        </w:rPr>
        <w:t>Except in connection with a corporate transaction involving the Company (including, but not limited to, any stock dividend, stock split, recapitalization, reorganization, merger, spin-off</w:t>
      </w:r>
    </w:p>
    <w:p>
      <w:pPr>
        <w:spacing w:after="0" w:line="1" w:lineRule="exact"/>
        <w:rPr>
          <w:sz w:val="20"/>
          <w:szCs w:val="20"/>
          <w:color w:val="auto"/>
        </w:rPr>
      </w:pPr>
    </w:p>
    <w:p>
      <w:pPr>
        <w:jc w:val="both"/>
        <w:ind w:left="820"/>
        <w:spacing w:after="0" w:line="299" w:lineRule="auto"/>
        <w:rPr>
          <w:sz w:val="20"/>
          <w:szCs w:val="20"/>
          <w:color w:val="auto"/>
        </w:rPr>
      </w:pPr>
      <w:r>
        <w:rPr>
          <w:rFonts w:ascii="Arial" w:cs="Arial" w:eastAsia="Arial" w:hAnsi="Arial"/>
          <w:sz w:val="15"/>
          <w:szCs w:val="15"/>
          <w:color w:val="auto"/>
        </w:rPr>
        <w:t>or exchange of shares), the terms of an outstanding award may not be adjusted or amended to reduce the exercise price of any outstanding SAR granted under the Plan without shareholder approval; nor may an outstanding award for SARs granted under the Plan be cancelled, exchanged, bought out or surrendered in exchange for cash or another award or SARs with an exercise price that is less than the exercise price of the original SAR without shareholder approval.</w:t>
      </w:r>
    </w:p>
    <w:p>
      <w:pPr>
        <w:spacing w:after="0" w:line="148" w:lineRule="exact"/>
        <w:rPr>
          <w:sz w:val="20"/>
          <w:szCs w:val="20"/>
          <w:color w:val="auto"/>
        </w:rPr>
      </w:pPr>
    </w:p>
    <w:p>
      <w:pPr>
        <w:ind w:left="780" w:hanging="327"/>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Paragraph (b) of Article 12 is deleted in its entirety and replaced with the following:</w:t>
      </w:r>
    </w:p>
    <w:p>
      <w:pPr>
        <w:spacing w:after="0" w:line="206" w:lineRule="exact"/>
        <w:rPr>
          <w:rFonts w:ascii="Arial" w:cs="Arial" w:eastAsia="Arial" w:hAnsi="Arial"/>
          <w:sz w:val="17"/>
          <w:szCs w:val="17"/>
          <w:color w:val="auto"/>
        </w:rPr>
      </w:pPr>
    </w:p>
    <w:p>
      <w:pPr>
        <w:jc w:val="both"/>
        <w:ind w:left="1400" w:hanging="352"/>
        <w:spacing w:after="0" w:line="271" w:lineRule="auto"/>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Period of Restriction and other restrictions imposed on Restricted Stock shall be deemed to have expired. No Period of Restriction and other restrictions will be deemed to have expired, however, if and to the extent that the Restricted Stock Grant is, in connection with the Change in Control, fully assumed by the successor corporation or parent thereof; in such case, any Period of Restriction and other restrictions imposed on Restricted Stock shall be deemed to have expired upon a Participant’s termination of employment by the successor corporation for reasons other than cause within 18 months following the occurrence of the Change in Control.</w:t>
      </w:r>
    </w:p>
    <w:p>
      <w:pPr>
        <w:spacing w:after="0" w:line="200" w:lineRule="exact"/>
        <w:rPr>
          <w:sz w:val="20"/>
          <w:szCs w:val="20"/>
          <w:color w:val="auto"/>
        </w:rPr>
      </w:pPr>
    </w:p>
    <w:p>
      <w:pPr>
        <w:spacing w:after="0" w:line="370" w:lineRule="exact"/>
        <w:rPr>
          <w:sz w:val="20"/>
          <w:szCs w:val="20"/>
          <w:color w:val="auto"/>
        </w:rPr>
      </w:pPr>
    </w:p>
    <w:p>
      <w:pPr>
        <w:ind w:right="100" w:firstLine="603"/>
        <w:spacing w:after="0" w:line="268" w:lineRule="auto"/>
        <w:rPr>
          <w:sz w:val="20"/>
          <w:szCs w:val="20"/>
          <w:color w:val="auto"/>
        </w:rPr>
      </w:pPr>
      <w:r>
        <w:rPr>
          <w:rFonts w:ascii="Arial" w:cs="Arial" w:eastAsia="Arial" w:hAnsi="Arial"/>
          <w:sz w:val="17"/>
          <w:szCs w:val="17"/>
          <w:color w:val="auto"/>
        </w:rPr>
        <w:t>IN WITNESS WHEREOF, and as evidence of the adoption of this amendment to the Plan, ALLETE, Inc. has caused this amendment to be executed by its duly authorized representative this __ day of ___________, 2011.</w:t>
      </w:r>
    </w:p>
    <w:p>
      <w:pPr>
        <w:spacing w:after="0" w:line="364"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Alan R. Hodnik</w:t>
      </w:r>
      <w:r>
        <w:rPr>
          <w:rFonts w:ascii="Arial" w:cs="Arial" w:eastAsia="Arial" w:hAnsi="Arial"/>
          <w:sz w:val="17"/>
          <w:szCs w:val="17"/>
          <w:color w:val="auto"/>
        </w:rPr>
        <w:t>______________</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Alan R. Hodnik</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Deborah A. Amberg</w:t>
      </w:r>
      <w:r>
        <w:rPr>
          <w:rFonts w:ascii="Arial" w:cs="Arial" w:eastAsia="Arial" w:hAnsi="Arial"/>
          <w:sz w:val="17"/>
          <w:szCs w:val="17"/>
          <w:color w:val="auto"/>
        </w:rPr>
        <w:t>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726059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ind w:left="10040"/>
        <w:spacing w:after="0"/>
        <w:rPr>
          <w:sz w:val="20"/>
          <w:szCs w:val="20"/>
          <w:color w:val="auto"/>
        </w:rPr>
      </w:pPr>
      <w:r>
        <w:rPr>
          <w:rFonts w:ascii="Arial" w:cs="Arial" w:eastAsia="Arial" w:hAnsi="Arial"/>
          <w:sz w:val="19"/>
          <w:szCs w:val="19"/>
          <w:b w:val="1"/>
          <w:bCs w:val="1"/>
          <w:color w:val="auto"/>
        </w:rPr>
        <w:t>Exhibit 10(m)11</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A</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TO</w:t>
      </w:r>
    </w:p>
    <w:p>
      <w:pPr>
        <w:jc w:val="center"/>
        <w:ind w:right="40"/>
        <w:spacing w:after="0" w:line="236" w:lineRule="auto"/>
        <w:rPr>
          <w:sz w:val="20"/>
          <w:szCs w:val="20"/>
          <w:color w:val="auto"/>
        </w:rPr>
      </w:pPr>
      <w:r>
        <w:rPr>
          <w:rFonts w:ascii="Arial" w:cs="Arial" w:eastAsia="Arial" w:hAnsi="Arial"/>
          <w:sz w:val="20"/>
          <w:szCs w:val="20"/>
          <w:b w:val="1"/>
          <w:bCs w:val="1"/>
          <w:color w:val="auto"/>
        </w:rPr>
        <w:t>ALLETE</w:t>
      </w:r>
    </w:p>
    <w:p>
      <w:pPr>
        <w:jc w:val="center"/>
        <w:ind w:right="40"/>
        <w:spacing w:after="0" w:line="236" w:lineRule="auto"/>
        <w:rPr>
          <w:sz w:val="20"/>
          <w:szCs w:val="20"/>
          <w:color w:val="auto"/>
        </w:rPr>
      </w:pPr>
      <w:r>
        <w:rPr>
          <w:rFonts w:ascii="Arial" w:cs="Arial" w:eastAsia="Arial" w:hAnsi="Arial"/>
          <w:sz w:val="20"/>
          <w:szCs w:val="20"/>
          <w:b w:val="1"/>
          <w:bCs w:val="1"/>
          <w:color w:val="auto"/>
        </w:rPr>
        <w:t>EXECUTIVE LONG-TERM INCENTIVE COMPENSATION PLAN</w:t>
      </w:r>
    </w:p>
    <w:p>
      <w:pPr>
        <w:jc w:val="center"/>
        <w:ind w:right="40"/>
        <w:spacing w:after="0"/>
        <w:rPr>
          <w:sz w:val="20"/>
          <w:szCs w:val="20"/>
          <w:color w:val="auto"/>
        </w:rPr>
      </w:pPr>
      <w:r>
        <w:rPr>
          <w:rFonts w:ascii="Arial" w:cs="Arial" w:eastAsia="Arial" w:hAnsi="Arial"/>
          <w:sz w:val="20"/>
          <w:szCs w:val="20"/>
          <w:b w:val="1"/>
          <w:bCs w:val="1"/>
          <w:color w:val="auto"/>
        </w:rPr>
        <w:t>PERFORMANCE SHARE GRANT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Grant of Performance Shares evidenced by the Grant to which this is annexed is subject to the following additional terms and conditions:</w:t>
      </w:r>
    </w:p>
    <w:p>
      <w:pPr>
        <w:spacing w:after="0" w:line="207" w:lineRule="exact"/>
        <w:rPr>
          <w:sz w:val="20"/>
          <w:szCs w:val="20"/>
          <w:color w:val="auto"/>
        </w:rPr>
      </w:pPr>
    </w:p>
    <w:p>
      <w:pPr>
        <w:ind w:right="220" w:firstLine="1"/>
        <w:spacing w:after="0" w:line="271" w:lineRule="auto"/>
        <w:tabs>
          <w:tab w:leader="none" w:pos="58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68" w:lineRule="exact"/>
        <w:rPr>
          <w:rFonts w:ascii="Arial" w:cs="Arial" w:eastAsia="Arial" w:hAnsi="Arial"/>
          <w:sz w:val="16"/>
          <w:szCs w:val="16"/>
          <w:color w:val="auto"/>
        </w:rPr>
      </w:pPr>
    </w:p>
    <w:p>
      <w:pPr>
        <w:ind w:right="120" w:firstLine="1"/>
        <w:spacing w:after="0" w:line="268" w:lineRule="auto"/>
        <w:tabs>
          <w:tab w:leader="none" w:pos="58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Satisfaction of Goals.</w:t>
      </w:r>
      <w:r>
        <w:rPr>
          <w:rFonts w:ascii="Arial" w:cs="Arial" w:eastAsia="Arial" w:hAnsi="Arial"/>
          <w:sz w:val="16"/>
          <w:szCs w:val="16"/>
          <w:color w:val="auto"/>
        </w:rPr>
        <w:t xml:space="preserve">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Section 4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 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70" w:lineRule="exact"/>
        <w:rPr>
          <w:rFonts w:ascii="Arial" w:cs="Arial" w:eastAsia="Arial" w:hAnsi="Arial"/>
          <w:sz w:val="16"/>
          <w:szCs w:val="16"/>
          <w:color w:val="auto"/>
        </w:rPr>
      </w:pPr>
    </w:p>
    <w:p>
      <w:pPr>
        <w:ind w:right="220" w:firstLine="1"/>
        <w:spacing w:after="0" w:line="252" w:lineRule="auto"/>
        <w:tabs>
          <w:tab w:leader="none" w:pos="58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Subject to the provisions of subsection (d) hereof and to provisions in the Plan for change in control, Performance Shares as determined by the Committee according to Section 2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 ot vest until paid.</w:t>
      </w:r>
    </w:p>
    <w:p>
      <w:pPr>
        <w:spacing w:after="0" w:line="381" w:lineRule="exact"/>
        <w:rPr>
          <w:rFonts w:ascii="Arial" w:cs="Arial" w:eastAsia="Arial" w:hAnsi="Arial"/>
          <w:sz w:val="17"/>
          <w:szCs w:val="17"/>
          <w:color w:val="auto"/>
        </w:rPr>
      </w:pPr>
    </w:p>
    <w:p>
      <w:pPr>
        <w:ind w:firstLine="1"/>
        <w:spacing w:after="0" w:line="268" w:lineRule="auto"/>
        <w:tabs>
          <w:tab w:leader="none" w:pos="58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Payment Upon Death, Retirement or Disability; Forfeiture of Unvested Performance Shares Upon Demotion, Unsatisfactory Job Performance or Other Separation from Service.</w:t>
      </w:r>
    </w:p>
    <w:p>
      <w:pPr>
        <w:spacing w:after="0" w:line="167" w:lineRule="exact"/>
        <w:rPr>
          <w:sz w:val="20"/>
          <w:szCs w:val="20"/>
          <w:color w:val="auto"/>
        </w:rPr>
      </w:pPr>
    </w:p>
    <w:p>
      <w:pPr>
        <w:ind w:left="600" w:right="40" w:firstLine="603"/>
        <w:spacing w:after="0" w:line="235" w:lineRule="auto"/>
        <w:rPr>
          <w:sz w:val="20"/>
          <w:szCs w:val="20"/>
          <w:color w:val="auto"/>
        </w:rPr>
      </w:pPr>
      <w:r>
        <w:rPr>
          <w:rFonts w:ascii="Arial" w:cs="Arial" w:eastAsia="Arial" w:hAnsi="Arial"/>
          <w:sz w:val="17"/>
          <w:szCs w:val="17"/>
          <w:color w:val="auto"/>
        </w:rPr>
        <w:t>4.1 If during a Performance Period the Participant (i) Retires, (ii) dies while employed by a Related Company, or (iii) becomes Disabled,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the Participant was in the position a s of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of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231140</wp:posOffset>
            </wp:positionV>
            <wp:extent cx="726059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139" w:name="page140"/>
    <w:bookmarkEnd w:id="139"/>
    <w:p>
      <w:pPr>
        <w:jc w:val="both"/>
        <w:ind w:left="599" w:right="420" w:firstLine="603"/>
        <w:spacing w:after="0" w:line="281" w:lineRule="auto"/>
        <w:rPr>
          <w:sz w:val="20"/>
          <w:szCs w:val="20"/>
          <w:color w:val="auto"/>
        </w:rPr>
      </w:pPr>
      <w:r>
        <w:rPr>
          <w:rFonts w:ascii="Arial" w:cs="Arial" w:eastAsia="Arial" w:hAnsi="Arial"/>
          <w:sz w:val="16"/>
          <w:szCs w:val="16"/>
          <w:color w:val="auto"/>
        </w:rPr>
        <w:t>4.2 If after the end of a Performance Period, but before any or all Performance Shares have been paid, as specified in Section 4.1 above, the Participant Retires, dies or becomes Disabled, the Participant (or the Participant’s beneficiary or estate) shall be entitled to a full payout of all Performance Shares (as increased by the Dividend Equivalents), which shall be paid out at the next scheduled performance share payment date.</w:t>
      </w:r>
    </w:p>
    <w:p>
      <w:pPr>
        <w:spacing w:after="0" w:line="158" w:lineRule="exact"/>
        <w:rPr>
          <w:sz w:val="20"/>
          <w:szCs w:val="20"/>
          <w:color w:val="auto"/>
        </w:rPr>
      </w:pPr>
    </w:p>
    <w:p>
      <w:pPr>
        <w:ind w:left="599" w:firstLine="603"/>
        <w:spacing w:after="0" w:line="257" w:lineRule="auto"/>
        <w:rPr>
          <w:sz w:val="20"/>
          <w:szCs w:val="20"/>
          <w:color w:val="auto"/>
        </w:rPr>
      </w:pPr>
      <w:r>
        <w:rPr>
          <w:rFonts w:ascii="Arial" w:cs="Arial" w:eastAsia="Arial" w:hAnsi="Arial"/>
          <w:sz w:val="17"/>
          <w:szCs w:val="17"/>
          <w:color w:val="auto"/>
        </w:rPr>
        <w:t>4.3 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will be forfeited.</w:t>
      </w:r>
    </w:p>
    <w:p>
      <w:pPr>
        <w:spacing w:after="0" w:line="177" w:lineRule="exact"/>
        <w:rPr>
          <w:sz w:val="20"/>
          <w:szCs w:val="20"/>
          <w:color w:val="auto"/>
        </w:rPr>
      </w:pPr>
    </w:p>
    <w:p>
      <w:pPr>
        <w:ind w:left="599" w:right="40" w:firstLine="603"/>
        <w:spacing w:after="0" w:line="257" w:lineRule="auto"/>
        <w:rPr>
          <w:sz w:val="20"/>
          <w:szCs w:val="20"/>
          <w:color w:val="auto"/>
        </w:rPr>
      </w:pPr>
      <w:r>
        <w:rPr>
          <w:rFonts w:ascii="Arial" w:cs="Arial" w:eastAsia="Arial" w:hAnsi="Arial"/>
          <w:sz w:val="17"/>
          <w:szCs w:val="17"/>
          <w:color w:val="auto"/>
        </w:rPr>
        <w:t>4.4 If the Participant has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left="-1" w:right="80" w:firstLine="1"/>
        <w:spacing w:after="0" w:line="300" w:lineRule="auto"/>
        <w:tabs>
          <w:tab w:leader="none" w:pos="58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Compensation Recovery Policy</w:t>
      </w:r>
      <w:r>
        <w:rPr>
          <w:rFonts w:ascii="Arial" w:cs="Arial" w:eastAsia="Arial" w:hAnsi="Arial"/>
          <w:sz w:val="16"/>
          <w:szCs w:val="16"/>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43" w:lineRule="exact"/>
        <w:rPr>
          <w:rFonts w:ascii="Arial" w:cs="Arial" w:eastAsia="Arial" w:hAnsi="Arial"/>
          <w:sz w:val="16"/>
          <w:szCs w:val="16"/>
          <w:color w:val="auto"/>
        </w:rPr>
      </w:pPr>
    </w:p>
    <w:p>
      <w:pPr>
        <w:ind w:left="-1" w:right="80" w:firstLine="604"/>
        <w:spacing w:after="0" w:line="257" w:lineRule="auto"/>
        <w:tabs>
          <w:tab w:leader="none" w:pos="118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Ratification of Actions.</w:t>
      </w:r>
      <w:r>
        <w:rPr>
          <w:rFonts w:ascii="Arial" w:cs="Arial" w:eastAsia="Arial" w:hAnsi="Arial"/>
          <w:sz w:val="17"/>
          <w:szCs w:val="17"/>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77" w:lineRule="exact"/>
        <w:rPr>
          <w:sz w:val="20"/>
          <w:szCs w:val="20"/>
          <w:color w:val="auto"/>
        </w:rPr>
      </w:pPr>
    </w:p>
    <w:p>
      <w:pPr>
        <w:ind w:left="-1" w:right="60" w:firstLine="1"/>
        <w:spacing w:after="0" w:line="281" w:lineRule="auto"/>
        <w:tabs>
          <w:tab w:leader="none" w:pos="58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58" w:lineRule="exact"/>
        <w:rPr>
          <w:rFonts w:ascii="Arial" w:cs="Arial" w:eastAsia="Arial" w:hAnsi="Arial"/>
          <w:sz w:val="16"/>
          <w:szCs w:val="16"/>
          <w:color w:val="auto"/>
        </w:rPr>
      </w:pPr>
    </w:p>
    <w:p>
      <w:pPr>
        <w:ind w:left="-1" w:right="40" w:firstLine="604"/>
        <w:spacing w:after="0" w:line="254" w:lineRule="auto"/>
        <w:tabs>
          <w:tab w:leader="none" w:pos="1189"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Governing Law and Severability.</w:t>
      </w:r>
      <w:r>
        <w:rPr>
          <w:rFonts w:ascii="Arial" w:cs="Arial" w:eastAsia="Arial" w:hAnsi="Arial"/>
          <w:sz w:val="17"/>
          <w:szCs w:val="17"/>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8" w:lineRule="exact"/>
        <w:rPr>
          <w:sz w:val="20"/>
          <w:szCs w:val="20"/>
          <w:color w:val="auto"/>
        </w:rPr>
      </w:pPr>
    </w:p>
    <w:p>
      <w:pPr>
        <w:ind w:left="-1" w:right="240" w:firstLine="1"/>
        <w:spacing w:after="0" w:line="268" w:lineRule="auto"/>
        <w:tabs>
          <w:tab w:leader="none" w:pos="586"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Capitalized terms not otherwise defined herein shall have the meanings given them in the Plan. The following definitions apply to the Grant and this Annex A:</w:t>
      </w:r>
    </w:p>
    <w:p>
      <w:pPr>
        <w:spacing w:after="0" w:line="98" w:lineRule="exact"/>
        <w:rPr>
          <w:sz w:val="20"/>
          <w:szCs w:val="20"/>
          <w:color w:val="auto"/>
        </w:rPr>
      </w:pPr>
    </w:p>
    <w:p>
      <w:pPr>
        <w:jc w:val="center"/>
        <w:ind w:right="-3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059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99"/>
          </w:cols>
          <w:pgMar w:left="241" w:top="466" w:right="259" w:bottom="1440" w:gutter="0" w:footer="0" w:header="0"/>
        </w:sectPr>
      </w:pPr>
    </w:p>
    <w:bookmarkStart w:id="140" w:name="page141"/>
    <w:bookmarkEnd w:id="140"/>
    <w:p>
      <w:pPr>
        <w:ind w:left="600"/>
        <w:spacing w:after="0"/>
        <w:tabs>
          <w:tab w:leader="none" w:pos="12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it may be amended from time to time.</w:t>
      </w:r>
    </w:p>
    <w:p>
      <w:pPr>
        <w:spacing w:after="0" w:line="207"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Disability</w:t>
      </w:r>
      <w:r>
        <w:rPr>
          <w:rFonts w:ascii="Arial" w:cs="Arial" w:eastAsia="Arial" w:hAnsi="Arial"/>
          <w:sz w:val="15"/>
          <w:szCs w:val="15"/>
          <w:color w:val="auto"/>
        </w:rPr>
        <w:t>” or “</w:t>
      </w:r>
      <w:r>
        <w:rPr>
          <w:rFonts w:ascii="Arial" w:cs="Arial" w:eastAsia="Arial" w:hAnsi="Arial"/>
          <w:sz w:val="15"/>
          <w:szCs w:val="15"/>
          <w:b w:val="1"/>
          <w:bCs w:val="1"/>
          <w:color w:val="auto"/>
        </w:rPr>
        <w:t>Disabled</w:t>
      </w:r>
      <w:r>
        <w:rPr>
          <w:rFonts w:ascii="Arial" w:cs="Arial" w:eastAsia="Arial" w:hAnsi="Arial"/>
          <w:sz w:val="15"/>
          <w:szCs w:val="15"/>
          <w:color w:val="auto"/>
        </w:rPr>
        <w:t>” means a physical or mental condition in which the Participant is:</w:t>
      </w:r>
    </w:p>
    <w:p>
      <w:pPr>
        <w:spacing w:after="0" w:line="211" w:lineRule="exact"/>
        <w:rPr>
          <w:sz w:val="20"/>
          <w:szCs w:val="20"/>
          <w:color w:val="auto"/>
        </w:rPr>
      </w:pPr>
    </w:p>
    <w:p>
      <w:pPr>
        <w:ind w:left="1520" w:hanging="277"/>
        <w:spacing w:after="0" w:line="300" w:lineRule="auto"/>
        <w:tabs>
          <w:tab w:leader="none" w:pos="1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43" w:lineRule="exact"/>
        <w:rPr>
          <w:rFonts w:ascii="Arial" w:cs="Arial" w:eastAsia="Arial" w:hAnsi="Arial"/>
          <w:sz w:val="16"/>
          <w:szCs w:val="16"/>
          <w:color w:val="auto"/>
        </w:rPr>
      </w:pPr>
    </w:p>
    <w:p>
      <w:pPr>
        <w:jc w:val="both"/>
        <w:ind w:left="1520" w:hanging="287"/>
        <w:spacing w:after="0" w:line="257" w:lineRule="auto"/>
        <w:tabs>
          <w:tab w:leader="none" w:pos="1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76" w:lineRule="exact"/>
        <w:rPr>
          <w:rFonts w:ascii="Arial" w:cs="Arial" w:eastAsia="Arial" w:hAnsi="Arial"/>
          <w:sz w:val="17"/>
          <w:szCs w:val="17"/>
          <w:color w:val="auto"/>
        </w:rPr>
      </w:pPr>
    </w:p>
    <w:p>
      <w:pPr>
        <w:ind w:left="1520" w:hanging="277"/>
        <w:spacing w:after="0"/>
        <w:tabs>
          <w:tab w:leader="none" w:pos="1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determined to be totally disabled by the Social Security Administration; or</w:t>
      </w:r>
    </w:p>
    <w:p>
      <w:pPr>
        <w:spacing w:after="0" w:line="206" w:lineRule="exact"/>
        <w:rPr>
          <w:rFonts w:ascii="Arial" w:cs="Arial" w:eastAsia="Arial" w:hAnsi="Arial"/>
          <w:sz w:val="17"/>
          <w:szCs w:val="17"/>
          <w:color w:val="auto"/>
        </w:rPr>
      </w:pPr>
    </w:p>
    <w:p>
      <w:pPr>
        <w:ind w:left="1520" w:hanging="287"/>
        <w:spacing w:after="0" w:line="268" w:lineRule="auto"/>
        <w:tabs>
          <w:tab w:leader="none" w:pos="1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63" w:lineRule="exact"/>
        <w:rPr>
          <w:sz w:val="20"/>
          <w:szCs w:val="20"/>
          <w:color w:val="auto"/>
        </w:rPr>
      </w:pPr>
    </w:p>
    <w:p>
      <w:pPr>
        <w:ind w:right="40" w:firstLine="603"/>
        <w:spacing w:after="0" w:line="269" w:lineRule="auto"/>
        <w:rPr>
          <w:sz w:val="20"/>
          <w:szCs w:val="20"/>
          <w:color w:val="auto"/>
        </w:rPr>
      </w:pPr>
      <w:r>
        <w:rPr>
          <w:rFonts w:ascii="Arial" w:cs="Arial" w:eastAsia="Arial" w:hAnsi="Arial"/>
          <w:sz w:val="16"/>
          <w:szCs w:val="16"/>
          <w:color w:val="auto"/>
        </w:rPr>
        <w:t>9.3 “</w:t>
      </w:r>
      <w:r>
        <w:rPr>
          <w:rFonts w:ascii="Arial" w:cs="Arial" w:eastAsia="Arial" w:hAnsi="Arial"/>
          <w:sz w:val="16"/>
          <w:szCs w:val="16"/>
          <w:b w:val="1"/>
          <w:bCs w:val="1"/>
          <w:color w:val="auto"/>
        </w:rPr>
        <w:t>Related Company</w:t>
      </w:r>
      <w:r>
        <w:rPr>
          <w:rFonts w:ascii="Arial" w:cs="Arial" w:eastAsia="Arial" w:hAnsi="Arial"/>
          <w:sz w:val="16"/>
          <w:szCs w:val="16"/>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 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66" w:lineRule="exact"/>
        <w:rPr>
          <w:sz w:val="20"/>
          <w:szCs w:val="20"/>
          <w:color w:val="auto"/>
        </w:rPr>
      </w:pPr>
    </w:p>
    <w:p>
      <w:pPr>
        <w:ind w:right="100" w:firstLine="603"/>
        <w:spacing w:after="0" w:line="252" w:lineRule="auto"/>
        <w:rPr>
          <w:sz w:val="20"/>
          <w:szCs w:val="20"/>
          <w:color w:val="auto"/>
        </w:rPr>
      </w:pPr>
      <w:r>
        <w:rPr>
          <w:rFonts w:ascii="Arial" w:cs="Arial" w:eastAsia="Arial" w:hAnsi="Arial"/>
          <w:sz w:val="17"/>
          <w:szCs w:val="17"/>
          <w:color w:val="auto"/>
        </w:rPr>
        <w:t>9.4 “</w:t>
      </w:r>
      <w:r>
        <w:rPr>
          <w:rFonts w:ascii="Arial" w:cs="Arial" w:eastAsia="Arial" w:hAnsi="Arial"/>
          <w:sz w:val="17"/>
          <w:szCs w:val="17"/>
          <w:b w:val="1"/>
          <w:bCs w:val="1"/>
          <w:color w:val="auto"/>
        </w:rPr>
        <w:t>Retirement</w:t>
      </w:r>
      <w:r>
        <w:rPr>
          <w:rFonts w:ascii="Arial" w:cs="Arial" w:eastAsia="Arial" w:hAnsi="Arial"/>
          <w:sz w:val="17"/>
          <w:szCs w:val="17"/>
          <w:color w:val="auto"/>
        </w:rPr>
        <w:t>” or “</w:t>
      </w:r>
      <w:r>
        <w:rPr>
          <w:rFonts w:ascii="Arial" w:cs="Arial" w:eastAsia="Arial" w:hAnsi="Arial"/>
          <w:sz w:val="17"/>
          <w:szCs w:val="17"/>
          <w:b w:val="1"/>
          <w:bCs w:val="1"/>
          <w:color w:val="auto"/>
        </w:rPr>
        <w:t>Retires</w:t>
      </w:r>
      <w:r>
        <w:rPr>
          <w:rFonts w:ascii="Arial" w:cs="Arial" w:eastAsia="Arial" w:hAnsi="Arial"/>
          <w:sz w:val="17"/>
          <w:szCs w:val="17"/>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9.5 “</w:t>
      </w:r>
      <w:r>
        <w:rPr>
          <w:rFonts w:ascii="Arial" w:cs="Arial" w:eastAsia="Arial" w:hAnsi="Arial"/>
          <w:sz w:val="15"/>
          <w:szCs w:val="15"/>
          <w:b w:val="1"/>
          <w:bCs w:val="1"/>
          <w:color w:val="auto"/>
        </w:rPr>
        <w:t>Separation from Service</w:t>
      </w:r>
      <w:r>
        <w:rPr>
          <w:rFonts w:ascii="Arial" w:cs="Arial" w:eastAsia="Arial" w:hAnsi="Arial"/>
          <w:sz w:val="15"/>
          <w:szCs w:val="15"/>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 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57785</wp:posOffset>
            </wp:positionV>
            <wp:extent cx="726059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820"/>
          </w:cols>
          <w:pgMar w:left="840" w:top="462" w:right="239"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10(m)12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LONG-TERM INCENTIVE COMPENSATION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GRANT</w:t>
      </w:r>
    </w:p>
    <w:p>
      <w:pPr>
        <w:spacing w:after="0" w:line="396" w:lineRule="exact"/>
        <w:rPr>
          <w:sz w:val="20"/>
          <w:szCs w:val="20"/>
          <w:color w:val="auto"/>
        </w:rPr>
      </w:pPr>
    </w:p>
    <w:p>
      <w:pPr>
        <w:ind w:firstLine="543"/>
        <w:spacing w:after="0" w:line="268" w:lineRule="auto"/>
        <w:rPr>
          <w:sz w:val="20"/>
          <w:szCs w:val="20"/>
          <w:color w:val="auto"/>
        </w:rPr>
      </w:pPr>
      <w:r>
        <w:rPr>
          <w:rFonts w:ascii="Arial" w:cs="Arial" w:eastAsia="Arial" w:hAnsi="Arial"/>
          <w:sz w:val="17"/>
          <w:szCs w:val="17"/>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67" w:lineRule="exact"/>
        <w:rPr>
          <w:sz w:val="20"/>
          <w:szCs w:val="20"/>
          <w:color w:val="auto"/>
        </w:rPr>
      </w:pPr>
    </w:p>
    <w:p>
      <w:pPr>
        <w:ind w:firstLine="1"/>
        <w:spacing w:after="0" w:line="252" w:lineRule="auto"/>
        <w:tabs>
          <w:tab w:leader="none" w:pos="50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w:t>
      </w:r>
      <w:r>
        <w:rPr>
          <w:rFonts w:ascii="Arial" w:cs="Arial" w:eastAsia="Arial" w:hAnsi="Arial"/>
          <w:sz w:val="17"/>
          <w:szCs w:val="17"/>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80" w:lineRule="exact"/>
        <w:rPr>
          <w:rFonts w:ascii="Arial" w:cs="Arial" w:eastAsia="Arial" w:hAnsi="Arial"/>
          <w:sz w:val="17"/>
          <w:szCs w:val="17"/>
          <w:color w:val="auto"/>
        </w:rPr>
      </w:pPr>
    </w:p>
    <w:p>
      <w:pPr>
        <w:ind w:right="100" w:firstLine="1"/>
        <w:spacing w:after="0" w:line="252" w:lineRule="auto"/>
        <w:tabs>
          <w:tab w:leader="none" w:pos="46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80" w:lineRule="exact"/>
        <w:rPr>
          <w:rFonts w:ascii="Arial" w:cs="Arial" w:eastAsia="Arial" w:hAnsi="Arial"/>
          <w:sz w:val="17"/>
          <w:szCs w:val="17"/>
          <w:color w:val="auto"/>
        </w:rPr>
      </w:pPr>
    </w:p>
    <w:p>
      <w:pPr>
        <w:ind w:left="500" w:hanging="499"/>
        <w:spacing w:after="0"/>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Payment Upon Retirement, Death or Disability; Forfeiture Upon Other Termination of Employment or Unsatisfactory Job Performance</w:t>
      </w:r>
      <w:r>
        <w:rPr>
          <w:rFonts w:ascii="Arial" w:cs="Arial" w:eastAsia="Arial" w:hAnsi="Arial"/>
          <w:sz w:val="17"/>
          <w:szCs w:val="17"/>
          <w:color w:val="auto"/>
        </w:rPr>
        <w:t>.</w:t>
      </w:r>
    </w:p>
    <w:p>
      <w:pPr>
        <w:spacing w:after="0" w:line="207" w:lineRule="exact"/>
        <w:rPr>
          <w:sz w:val="20"/>
          <w:szCs w:val="20"/>
          <w:color w:val="auto"/>
        </w:rPr>
      </w:pPr>
    </w:p>
    <w:p>
      <w:pPr>
        <w:ind w:left="460" w:right="220"/>
        <w:spacing w:after="0" w:line="270" w:lineRule="auto"/>
        <w:rPr>
          <w:sz w:val="20"/>
          <w:szCs w:val="20"/>
          <w:color w:val="auto"/>
        </w:rPr>
      </w:pPr>
      <w:r>
        <w:rPr>
          <w:rFonts w:ascii="Arial" w:cs="Arial" w:eastAsia="Arial" w:hAnsi="Arial"/>
          <w:sz w:val="16"/>
          <w:szCs w:val="16"/>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w:t>
      </w:r>
    </w:p>
    <w:p>
      <w:pPr>
        <w:ind w:left="460"/>
        <w:spacing w:after="0" w:line="254" w:lineRule="auto"/>
        <w:rPr>
          <w:sz w:val="20"/>
          <w:szCs w:val="20"/>
          <w:color w:val="auto"/>
        </w:rPr>
      </w:pPr>
      <w:r>
        <w:rPr>
          <w:rFonts w:ascii="Arial" w:cs="Arial" w:eastAsia="Arial" w:hAnsi="Arial"/>
          <w:sz w:val="17"/>
          <w:szCs w:val="17"/>
          <w:color w:val="auto"/>
        </w:rPr>
        <w:t>estate) during the period ending sixty days after such event; provided, however, the Participant will not be permitted, directly or indirectly, to designate the taxable year of the distribution. Except as otherwise provided in Section 4,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of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726059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3" w:name="page144"/>
    <w:bookmarkEnd w:id="143"/>
    <w:p>
      <w:pPr>
        <w:jc w:val="both"/>
        <w:ind w:left="459" w:right="20"/>
        <w:spacing w:after="0" w:line="257" w:lineRule="auto"/>
        <w:rPr>
          <w:sz w:val="20"/>
          <w:szCs w:val="20"/>
          <w:color w:val="auto"/>
        </w:rPr>
      </w:pPr>
      <w:r>
        <w:rPr>
          <w:rFonts w:ascii="Arial" w:cs="Arial" w:eastAsia="Arial" w:hAnsi="Arial"/>
          <w:sz w:val="17"/>
          <w:szCs w:val="17"/>
          <w:color w:val="auto"/>
        </w:rPr>
        <w:t>3.2 Except as otherwise provided in Section 4,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77" w:lineRule="exact"/>
        <w:rPr>
          <w:sz w:val="20"/>
          <w:szCs w:val="20"/>
          <w:color w:val="auto"/>
        </w:rPr>
      </w:pPr>
    </w:p>
    <w:p>
      <w:pPr>
        <w:ind w:left="459" w:right="180"/>
        <w:spacing w:after="0" w:line="257" w:lineRule="auto"/>
        <w:rPr>
          <w:sz w:val="20"/>
          <w:szCs w:val="20"/>
          <w:color w:val="auto"/>
        </w:rPr>
      </w:pPr>
      <w:r>
        <w:rPr>
          <w:rFonts w:ascii="Arial" w:cs="Arial" w:eastAsia="Arial" w:hAnsi="Arial"/>
          <w:sz w:val="17"/>
          <w:szCs w:val="17"/>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pacing w:after="0" w:line="177" w:lineRule="exact"/>
        <w:rPr>
          <w:sz w:val="20"/>
          <w:szCs w:val="20"/>
          <w:color w:val="auto"/>
        </w:rPr>
      </w:pPr>
    </w:p>
    <w:p>
      <w:pPr>
        <w:ind w:left="459" w:right="80"/>
        <w:spacing w:after="0" w:line="271" w:lineRule="auto"/>
        <w:rPr>
          <w:sz w:val="20"/>
          <w:szCs w:val="20"/>
          <w:color w:val="auto"/>
        </w:rPr>
      </w:pPr>
      <w:r>
        <w:rPr>
          <w:rFonts w:ascii="Arial" w:cs="Arial" w:eastAsia="Arial" w:hAnsi="Arial"/>
          <w:sz w:val="16"/>
          <w:szCs w:val="16"/>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ParticipantR 17;s death.</w:t>
      </w:r>
    </w:p>
    <w:p>
      <w:pPr>
        <w:spacing w:after="0" w:line="168" w:lineRule="exact"/>
        <w:rPr>
          <w:sz w:val="20"/>
          <w:szCs w:val="20"/>
          <w:color w:val="auto"/>
        </w:rPr>
      </w:pPr>
    </w:p>
    <w:p>
      <w:pPr>
        <w:ind w:left="-1" w:firstLine="1"/>
        <w:spacing w:after="0" w:line="275" w:lineRule="auto"/>
        <w:tabs>
          <w:tab w:leader="none" w:pos="50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Upon a Change in Control, unless the Committee provides otherwise prior to the Change in Control, outstanding unvested RSU’s shall be prorated (as described below) and such prorated RSU’s shall immediately vest and be payable to the Participant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 est upon a Participant’s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of the month. In no event will the Participant be permitted, directly or indirectly, to designate the taxab le year of the distribution on account of or in connection with a Change in Control.</w:t>
      </w:r>
    </w:p>
    <w:p>
      <w:pPr>
        <w:spacing w:after="0" w:line="157" w:lineRule="exact"/>
        <w:rPr>
          <w:rFonts w:ascii="Arial" w:cs="Arial" w:eastAsia="Arial" w:hAnsi="Arial"/>
          <w:sz w:val="15"/>
          <w:szCs w:val="15"/>
          <w:color w:val="auto"/>
        </w:rPr>
      </w:pPr>
    </w:p>
    <w:p>
      <w:pPr>
        <w:ind w:left="-1" w:right="140" w:firstLine="1"/>
        <w:spacing w:after="0" w:line="300" w:lineRule="auto"/>
        <w:tabs>
          <w:tab w:leader="none" w:pos="50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Compensation Recovery Policy</w:t>
      </w:r>
      <w:r>
        <w:rPr>
          <w:rFonts w:ascii="Arial" w:cs="Arial" w:eastAsia="Arial" w:hAnsi="Arial"/>
          <w:sz w:val="16"/>
          <w:szCs w:val="16"/>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43" w:lineRule="exact"/>
        <w:rPr>
          <w:rFonts w:ascii="Arial" w:cs="Arial" w:eastAsia="Arial" w:hAnsi="Arial"/>
          <w:sz w:val="16"/>
          <w:szCs w:val="16"/>
          <w:color w:val="auto"/>
        </w:rPr>
      </w:pPr>
    </w:p>
    <w:p>
      <w:pPr>
        <w:ind w:left="-1" w:right="140" w:firstLine="1"/>
        <w:spacing w:after="0" w:line="257" w:lineRule="auto"/>
        <w:tabs>
          <w:tab w:leader="none" w:pos="50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xml:space="preserv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w:t>
      </w:r>
    </w:p>
    <w:p>
      <w:pPr>
        <w:spacing w:after="0" w:line="309" w:lineRule="exact"/>
        <w:rPr>
          <w:sz w:val="20"/>
          <w:szCs w:val="20"/>
          <w:color w:val="auto"/>
        </w:rPr>
      </w:pPr>
    </w:p>
    <w:p>
      <w:pPr>
        <w:jc w:val="center"/>
        <w:ind w:right="-3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059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79"/>
          </w:cols>
          <w:pgMar w:left="241" w:top="466" w:right="279" w:bottom="1440" w:gutter="0" w:footer="0" w:header="0"/>
        </w:sectPr>
      </w:pPr>
    </w:p>
    <w:bookmarkStart w:id="144" w:name="page145"/>
    <w:bookmarkEnd w:id="144"/>
    <w:p>
      <w:pPr>
        <w:ind w:right="300" w:firstLine="1"/>
        <w:spacing w:after="0" w:line="257" w:lineRule="auto"/>
        <w:tabs>
          <w:tab w:leader="none" w:pos="5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Ratification of Actions.</w:t>
      </w:r>
      <w:r>
        <w:rPr>
          <w:rFonts w:ascii="Arial" w:cs="Arial" w:eastAsia="Arial" w:hAnsi="Arial"/>
          <w:sz w:val="17"/>
          <w:szCs w:val="17"/>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76" w:lineRule="exact"/>
        <w:rPr>
          <w:rFonts w:ascii="Arial" w:cs="Arial" w:eastAsia="Arial" w:hAnsi="Arial"/>
          <w:sz w:val="17"/>
          <w:szCs w:val="17"/>
          <w:color w:val="auto"/>
        </w:rPr>
      </w:pPr>
    </w:p>
    <w:p>
      <w:pPr>
        <w:ind w:right="120" w:firstLine="1"/>
        <w:spacing w:after="0" w:line="281" w:lineRule="auto"/>
        <w:tabs>
          <w:tab w:leader="none" w:pos="54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58" w:lineRule="exact"/>
        <w:rPr>
          <w:rFonts w:ascii="Arial" w:cs="Arial" w:eastAsia="Arial" w:hAnsi="Arial"/>
          <w:sz w:val="16"/>
          <w:szCs w:val="16"/>
          <w:color w:val="auto"/>
        </w:rPr>
      </w:pPr>
    </w:p>
    <w:p>
      <w:pPr>
        <w:jc w:val="both"/>
        <w:ind w:right="20" w:firstLine="1"/>
        <w:spacing w:after="0" w:line="308" w:lineRule="auto"/>
        <w:tabs>
          <w:tab w:leader="none" w:pos="544"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Governing Law and Severability.</w:t>
      </w:r>
      <w:r>
        <w:rPr>
          <w:rFonts w:ascii="Arial" w:cs="Arial" w:eastAsia="Arial" w:hAnsi="Arial"/>
          <w:sz w:val="15"/>
          <w:szCs w:val="15"/>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40" w:lineRule="exact"/>
        <w:rPr>
          <w:rFonts w:ascii="Arial" w:cs="Arial" w:eastAsia="Arial" w:hAnsi="Arial"/>
          <w:sz w:val="15"/>
          <w:szCs w:val="15"/>
          <w:color w:val="auto"/>
        </w:rPr>
      </w:pPr>
    </w:p>
    <w:p>
      <w:pPr>
        <w:ind w:firstLine="1"/>
        <w:spacing w:after="0" w:line="268" w:lineRule="auto"/>
        <w:tabs>
          <w:tab w:leader="none" w:pos="5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Capitalized terms not otherwise defined herein shall have the meanings given them in the Plan. The following definitions apply to the Grant and this Annex A:</w:t>
      </w:r>
    </w:p>
    <w:p>
      <w:pPr>
        <w:spacing w:after="0" w:line="163" w:lineRule="exact"/>
        <w:rPr>
          <w:sz w:val="20"/>
          <w:szCs w:val="20"/>
          <w:color w:val="auto"/>
        </w:rPr>
      </w:pPr>
    </w:p>
    <w:p>
      <w:pPr>
        <w:ind w:left="500"/>
        <w:spacing w:after="0"/>
        <w:tabs>
          <w:tab w:leader="none" w:pos="11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means the earliest of:</w:t>
      </w:r>
    </w:p>
    <w:p>
      <w:pPr>
        <w:spacing w:after="0" w:line="211" w:lineRule="exact"/>
        <w:rPr>
          <w:sz w:val="20"/>
          <w:szCs w:val="20"/>
          <w:color w:val="auto"/>
        </w:rPr>
      </w:pPr>
    </w:p>
    <w:p>
      <w:pPr>
        <w:jc w:val="both"/>
        <w:ind w:left="1080" w:hanging="240"/>
        <w:spacing w:after="0" w:line="291"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53" w:lineRule="exact"/>
        <w:rPr>
          <w:sz w:val="20"/>
          <w:szCs w:val="20"/>
          <w:color w:val="auto"/>
        </w:rPr>
      </w:pPr>
    </w:p>
    <w:p>
      <w:pPr>
        <w:jc w:val="both"/>
        <w:ind w:left="1100" w:hanging="294"/>
        <w:spacing w:after="0" w:line="281" w:lineRule="auto"/>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6059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45" w:name="page146"/>
    <w:bookmarkEnd w:id="145"/>
    <w:p>
      <w:pPr>
        <w:ind w:left="640" w:hanging="341"/>
        <w:spacing w:after="0" w:line="300"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43" w:lineRule="exact"/>
        <w:rPr>
          <w:rFonts w:ascii="Arial" w:cs="Arial" w:eastAsia="Arial" w:hAnsi="Arial"/>
          <w:sz w:val="16"/>
          <w:szCs w:val="16"/>
          <w:color w:val="auto"/>
        </w:rPr>
      </w:pPr>
    </w:p>
    <w:p>
      <w:pPr>
        <w:jc w:val="both"/>
        <w:ind w:left="620" w:hanging="324"/>
        <w:spacing w:after="0" w:line="271"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68"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it may be amended from time to time</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Disability</w:t>
      </w:r>
      <w:r>
        <w:rPr>
          <w:rFonts w:ascii="Arial" w:cs="Arial" w:eastAsia="Arial" w:hAnsi="Arial"/>
          <w:sz w:val="15"/>
          <w:szCs w:val="15"/>
          <w:color w:val="auto"/>
        </w:rPr>
        <w:t>” or “</w:t>
      </w:r>
      <w:r>
        <w:rPr>
          <w:rFonts w:ascii="Arial" w:cs="Arial" w:eastAsia="Arial" w:hAnsi="Arial"/>
          <w:sz w:val="15"/>
          <w:szCs w:val="15"/>
          <w:b w:val="1"/>
          <w:bCs w:val="1"/>
          <w:color w:val="auto"/>
        </w:rPr>
        <w:t>Disabled</w:t>
      </w:r>
      <w:r>
        <w:rPr>
          <w:rFonts w:ascii="Arial" w:cs="Arial" w:eastAsia="Arial" w:hAnsi="Arial"/>
          <w:sz w:val="15"/>
          <w:szCs w:val="15"/>
          <w:color w:val="auto"/>
        </w:rPr>
        <w:t>” means a physical or mental condition in which the Participant is:</w:t>
      </w:r>
    </w:p>
    <w:p>
      <w:pPr>
        <w:spacing w:after="0" w:line="211" w:lineRule="exact"/>
        <w:rPr>
          <w:sz w:val="20"/>
          <w:szCs w:val="20"/>
          <w:color w:val="auto"/>
        </w:rPr>
      </w:pPr>
    </w:p>
    <w:p>
      <w:pPr>
        <w:ind w:left="600" w:hanging="233"/>
        <w:spacing w:after="0" w:line="268" w:lineRule="auto"/>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7" w:lineRule="exact"/>
        <w:rPr>
          <w:sz w:val="20"/>
          <w:szCs w:val="20"/>
          <w:color w:val="auto"/>
        </w:rPr>
      </w:pPr>
    </w:p>
    <w:p>
      <w:pPr>
        <w:jc w:val="both"/>
        <w:ind w:left="620" w:hanging="287"/>
        <w:spacing w:after="0" w:line="257" w:lineRule="auto"/>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76" w:lineRule="exact"/>
        <w:rPr>
          <w:rFonts w:ascii="Arial" w:cs="Arial" w:eastAsia="Arial" w:hAnsi="Arial"/>
          <w:sz w:val="17"/>
          <w:szCs w:val="17"/>
          <w:color w:val="auto"/>
        </w:rPr>
      </w:pPr>
    </w:p>
    <w:p>
      <w:pPr>
        <w:ind w:left="620" w:hanging="333"/>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determined to be totally disabled by the Social Security Administration; or</w:t>
      </w:r>
    </w:p>
    <w:p>
      <w:pPr>
        <w:spacing w:after="0" w:line="206" w:lineRule="exact"/>
        <w:rPr>
          <w:rFonts w:ascii="Arial" w:cs="Arial" w:eastAsia="Arial" w:hAnsi="Arial"/>
          <w:sz w:val="17"/>
          <w:szCs w:val="17"/>
          <w:color w:val="auto"/>
        </w:rPr>
      </w:pPr>
    </w:p>
    <w:p>
      <w:pPr>
        <w:ind w:left="640" w:hanging="331"/>
        <w:spacing w:after="0" w:line="268" w:lineRule="auto"/>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57785</wp:posOffset>
            </wp:positionV>
            <wp:extent cx="726059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960"/>
          </w:cols>
          <w:pgMar w:left="700" w:top="466" w:right="239" w:bottom="1440" w:gutter="0" w:footer="0" w:header="0"/>
        </w:sectPr>
      </w:pPr>
    </w:p>
    <w:bookmarkStart w:id="146" w:name="page147"/>
    <w:bookmarkEnd w:id="146"/>
    <w:p>
      <w:pPr>
        <w:spacing w:after="0" w:line="269" w:lineRule="auto"/>
        <w:rPr>
          <w:sz w:val="20"/>
          <w:szCs w:val="20"/>
          <w:color w:val="auto"/>
        </w:rPr>
      </w:pPr>
      <w:r>
        <w:rPr>
          <w:rFonts w:ascii="Arial" w:cs="Arial" w:eastAsia="Arial" w:hAnsi="Arial"/>
          <w:sz w:val="16"/>
          <w:szCs w:val="16"/>
          <w:color w:val="auto"/>
        </w:rPr>
        <w:t>10.4 “</w:t>
      </w:r>
      <w:r>
        <w:rPr>
          <w:rFonts w:ascii="Arial" w:cs="Arial" w:eastAsia="Arial" w:hAnsi="Arial"/>
          <w:sz w:val="16"/>
          <w:szCs w:val="16"/>
          <w:b w:val="1"/>
          <w:bCs w:val="1"/>
          <w:color w:val="auto"/>
        </w:rPr>
        <w:t>Related Company</w:t>
      </w:r>
      <w:r>
        <w:rPr>
          <w:rFonts w:ascii="Arial" w:cs="Arial" w:eastAsia="Arial" w:hAnsi="Arial"/>
          <w:sz w:val="16"/>
          <w:szCs w:val="16"/>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 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66"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10.5 “</w:t>
      </w:r>
      <w:r>
        <w:rPr>
          <w:rFonts w:ascii="Arial" w:cs="Arial" w:eastAsia="Arial" w:hAnsi="Arial"/>
          <w:sz w:val="15"/>
          <w:szCs w:val="15"/>
          <w:b w:val="1"/>
          <w:bCs w:val="1"/>
          <w:color w:val="auto"/>
        </w:rPr>
        <w:t>Retirement</w:t>
      </w:r>
      <w:r>
        <w:rPr>
          <w:rFonts w:ascii="Arial" w:cs="Arial" w:eastAsia="Arial" w:hAnsi="Arial"/>
          <w:sz w:val="15"/>
          <w:szCs w:val="15"/>
          <w:color w:val="auto"/>
        </w:rPr>
        <w:t>” or “</w:t>
      </w:r>
      <w:r>
        <w:rPr>
          <w:rFonts w:ascii="Arial" w:cs="Arial" w:eastAsia="Arial" w:hAnsi="Arial"/>
          <w:sz w:val="15"/>
          <w:szCs w:val="15"/>
          <w:b w:val="1"/>
          <w:bCs w:val="1"/>
          <w:color w:val="auto"/>
        </w:rPr>
        <w:t>Retires</w:t>
      </w:r>
      <w:r>
        <w:rPr>
          <w:rFonts w:ascii="Arial" w:cs="Arial" w:eastAsia="Arial" w:hAnsi="Arial"/>
          <w:sz w:val="15"/>
          <w:szCs w:val="15"/>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10.6 “</w:t>
      </w:r>
      <w:r>
        <w:rPr>
          <w:rFonts w:ascii="Arial" w:cs="Arial" w:eastAsia="Arial" w:hAnsi="Arial"/>
          <w:sz w:val="17"/>
          <w:szCs w:val="17"/>
          <w:b w:val="1"/>
          <w:bCs w:val="1"/>
          <w:color w:val="auto"/>
        </w:rPr>
        <w:t>Section 409A</w:t>
      </w:r>
      <w:r>
        <w:rPr>
          <w:rFonts w:ascii="Arial" w:cs="Arial" w:eastAsia="Arial" w:hAnsi="Arial"/>
          <w:sz w:val="17"/>
          <w:szCs w:val="17"/>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59"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10.7 “</w:t>
      </w:r>
      <w:r>
        <w:rPr>
          <w:rFonts w:ascii="Arial" w:cs="Arial" w:eastAsia="Arial" w:hAnsi="Arial"/>
          <w:sz w:val="15"/>
          <w:szCs w:val="15"/>
          <w:b w:val="1"/>
          <w:bCs w:val="1"/>
          <w:color w:val="auto"/>
        </w:rPr>
        <w:t>Separation from Service</w:t>
      </w:r>
      <w:r>
        <w:rPr>
          <w:rFonts w:ascii="Arial" w:cs="Arial" w:eastAsia="Arial" w:hAnsi="Arial"/>
          <w:sz w:val="15"/>
          <w:szCs w:val="15"/>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 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57785</wp:posOffset>
            </wp:positionV>
            <wp:extent cx="726059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940"/>
          </w:cols>
          <w:pgMar w:left="700" w:top="462" w:right="259" w:bottom="1440" w:gutter="0" w:footer="0" w:header="0"/>
        </w:sectPr>
      </w:pPr>
    </w:p>
    <w:bookmarkStart w:id="147" w:name="page148"/>
    <w:bookmarkEnd w:id="147"/>
    <w:p>
      <w:pPr>
        <w:ind w:left="620" w:right="240" w:hanging="477"/>
        <w:spacing w:after="0" w:line="256" w:lineRule="auto"/>
        <w:tabs>
          <w:tab w:leader="none" w:pos="600" w:val="left"/>
        </w:tabs>
        <w:rPr>
          <w:sz w:val="20"/>
          <w:szCs w:val="20"/>
          <w:color w:val="auto"/>
        </w:rPr>
      </w:pPr>
      <w:r>
        <w:rPr>
          <w:rFonts w:ascii="Arial" w:cs="Arial" w:eastAsia="Arial" w:hAnsi="Arial"/>
          <w:sz w:val="17"/>
          <w:szCs w:val="17"/>
          <w:color w:val="auto"/>
        </w:rPr>
        <w:t>10.8</w:t>
        <w:tab/>
        <w:t>“</w:t>
      </w:r>
      <w:r>
        <w:rPr>
          <w:rFonts w:ascii="Arial" w:cs="Arial" w:eastAsia="Arial" w:hAnsi="Arial"/>
          <w:sz w:val="17"/>
          <w:szCs w:val="17"/>
          <w:b w:val="1"/>
          <w:bCs w:val="1"/>
          <w:color w:val="auto"/>
        </w:rPr>
        <w:t>Specified Employee</w:t>
      </w:r>
      <w:r>
        <w:rPr>
          <w:rFonts w:ascii="Arial" w:cs="Arial" w:eastAsia="Arial" w:hAnsi="Arial"/>
          <w:sz w:val="17"/>
          <w:szCs w:val="17"/>
          <w:color w:val="auto"/>
        </w:rPr>
        <w:t>” means an Participant who is subject to the six-month delay rule described in Code section 409A(2)(B)(i), determined in accordance with guidelines adopted by the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57785</wp:posOffset>
            </wp:positionV>
            <wp:extent cx="726059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460"/>
          </w:cols>
          <w:pgMar w:left="700" w:top="1066" w:right="739" w:bottom="1440" w:gutter="0" w:footer="0" w:header="0"/>
        </w:sectPr>
      </w:pPr>
    </w:p>
    <w:bookmarkStart w:id="148" w:name="page149"/>
    <w:bookmarkEnd w:id="1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1840"/>
        <w:spacing w:after="0"/>
        <w:rPr>
          <w:sz w:val="20"/>
          <w:szCs w:val="20"/>
          <w:color w:val="auto"/>
        </w:rPr>
      </w:pPr>
      <w:r>
        <w:rPr>
          <w:rFonts w:ascii="Arial" w:cs="Arial" w:eastAsia="Arial" w:hAnsi="Arial"/>
          <w:sz w:val="20"/>
          <w:szCs w:val="20"/>
          <w:b w:val="1"/>
          <w:bCs w:val="1"/>
          <w:color w:val="auto"/>
        </w:rPr>
        <w:t>ALLETE, INC.</w:t>
      </w:r>
    </w:p>
    <w:p>
      <w:pPr>
        <w:spacing w:after="0" w:line="23" w:lineRule="exact"/>
        <w:rPr>
          <w:sz w:val="20"/>
          <w:szCs w:val="20"/>
          <w:color w:val="auto"/>
        </w:rPr>
      </w:pPr>
    </w:p>
    <w:p>
      <w:pPr>
        <w:jc w:val="center"/>
        <w:ind w:left="1840"/>
        <w:spacing w:after="0"/>
        <w:rPr>
          <w:sz w:val="20"/>
          <w:szCs w:val="20"/>
          <w:color w:val="auto"/>
        </w:rPr>
      </w:pPr>
      <w:r>
        <w:rPr>
          <w:rFonts w:ascii="Arial" w:cs="Arial" w:eastAsia="Arial" w:hAnsi="Arial"/>
          <w:sz w:val="15"/>
          <w:szCs w:val="15"/>
          <w:b w:val="1"/>
          <w:bCs w:val="1"/>
          <w:color w:val="auto"/>
        </w:rPr>
        <w:t>Non-Management Director Compensation</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7"/>
          <w:szCs w:val="17"/>
          <w:b w:val="1"/>
          <w:bCs w:val="1"/>
          <w:color w:val="auto"/>
        </w:rPr>
        <w:t>Effective January 19, 2011</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Retainers </w:t>
      </w:r>
      <w:r>
        <w:rPr>
          <w:rFonts w:ascii="Arial" w:cs="Arial" w:eastAsia="Arial" w:hAnsi="Arial"/>
          <w:sz w:val="23"/>
          <w:szCs w:val="23"/>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72561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Stock</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212" w:lineRule="auto"/>
        <w:rPr>
          <w:sz w:val="20"/>
          <w:szCs w:val="20"/>
          <w:color w:val="auto"/>
        </w:rPr>
      </w:pPr>
      <w:r>
        <w:rPr>
          <w:rFonts w:ascii="Arial" w:cs="Arial" w:eastAsia="Arial" w:hAnsi="Arial"/>
          <w:sz w:val="17"/>
          <w:szCs w:val="17"/>
          <w:b w:val="1"/>
          <w:bCs w:val="1"/>
          <w:color w:val="auto"/>
        </w:rPr>
        <w:t xml:space="preserve">Committee Cash Retainers </w:t>
      </w:r>
      <w:r>
        <w:rPr>
          <w:rFonts w:ascii="Arial" w:cs="Arial" w:eastAsia="Arial" w:hAnsi="Arial"/>
          <w:sz w:val="23"/>
          <w:szCs w:val="23"/>
          <w:color w:val="auto"/>
          <w:vertAlign w:val="superscript"/>
        </w:rPr>
        <w:t>(1) (2)</w:t>
      </w:r>
    </w:p>
    <w:p>
      <w:pPr>
        <w:spacing w:after="0"/>
        <w:rPr>
          <w:sz w:val="20"/>
          <w:szCs w:val="20"/>
          <w:color w:val="auto"/>
        </w:rPr>
      </w:pPr>
      <w:r>
        <w:rPr>
          <w:rFonts w:ascii="Arial" w:cs="Arial" w:eastAsia="Arial" w:hAnsi="Arial"/>
          <w:sz w:val="17"/>
          <w:szCs w:val="17"/>
          <w:color w:val="auto"/>
        </w:rPr>
        <w:t>Audit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Executive Compensation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212" w:lineRule="auto"/>
        <w:rPr>
          <w:sz w:val="20"/>
          <w:szCs w:val="20"/>
          <w:color w:val="auto"/>
        </w:rPr>
      </w:pPr>
      <w:r>
        <w:rPr>
          <w:rFonts w:ascii="Arial" w:cs="Arial" w:eastAsia="Arial" w:hAnsi="Arial"/>
          <w:sz w:val="17"/>
          <w:szCs w:val="17"/>
          <w:b w:val="1"/>
          <w:bCs w:val="1"/>
          <w:color w:val="auto"/>
        </w:rPr>
        <w:t xml:space="preserve">Chair Cash Retainers </w:t>
      </w:r>
      <w:r>
        <w:rPr>
          <w:rFonts w:ascii="Arial" w:cs="Arial" w:eastAsia="Arial" w:hAnsi="Arial"/>
          <w:sz w:val="23"/>
          <w:szCs w:val="23"/>
          <w:color w:val="auto"/>
          <w:vertAlign w:val="superscript"/>
        </w:rPr>
        <w:t>(1) (2)</w:t>
      </w:r>
    </w:p>
    <w:p>
      <w:pPr>
        <w:spacing w:after="0"/>
        <w:rPr>
          <w:sz w:val="20"/>
          <w:szCs w:val="20"/>
          <w:color w:val="auto"/>
        </w:rPr>
      </w:pPr>
      <w:r>
        <w:rPr>
          <w:rFonts w:ascii="Arial" w:cs="Arial" w:eastAsia="Arial" w:hAnsi="Arial"/>
          <w:sz w:val="17"/>
          <w:szCs w:val="17"/>
          <w:color w:val="auto"/>
        </w:rPr>
        <w:t>Audit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Executive Compensation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Lead Director </w:t>
      </w:r>
      <w:r>
        <w:rPr>
          <w:rFonts w:ascii="Arial" w:cs="Arial" w:eastAsia="Arial" w:hAnsi="Arial"/>
          <w:sz w:val="23"/>
          <w:szCs w:val="23"/>
          <w:color w:val="auto"/>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7256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Board Stock Retainer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Board Cash Retainer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Lead Director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Chairman </w:t>
      </w:r>
      <w:r>
        <w:rPr>
          <w:rFonts w:ascii="Arial" w:cs="Arial" w:eastAsia="Arial" w:hAnsi="Arial"/>
          <w:sz w:val="23"/>
          <w:szCs w:val="23"/>
          <w:color w:val="auto"/>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7256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Board Stock Retainer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Board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361" w:lineRule="exact"/>
        <w:rPr>
          <w:sz w:val="20"/>
          <w:szCs w:val="20"/>
          <w:color w:val="auto"/>
        </w:rPr>
      </w:pPr>
    </w:p>
    <w:p>
      <w:pPr>
        <w:ind w:left="300" w:hanging="299"/>
        <w:spacing w:after="0"/>
        <w:tabs>
          <w:tab w:leader="none" w:pos="30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Cash and stock retainers may be deferred under the Director Compensation Deferral Plan II.</w:t>
      </w:r>
    </w:p>
    <w:p>
      <w:pPr>
        <w:spacing w:after="0" w:line="1" w:lineRule="exact"/>
        <w:rPr>
          <w:rFonts w:ascii="Arial" w:cs="Arial" w:eastAsia="Arial" w:hAnsi="Arial"/>
          <w:sz w:val="22"/>
          <w:szCs w:val="22"/>
          <w:color w:val="auto"/>
          <w:vertAlign w:val="superscript"/>
        </w:rPr>
      </w:pPr>
    </w:p>
    <w:p>
      <w:pPr>
        <w:ind w:left="300" w:hanging="299"/>
        <w:spacing w:after="0" w:line="180" w:lineRule="auto"/>
        <w:tabs>
          <w:tab w:leader="none" w:pos="300" w:val="left"/>
        </w:tabs>
        <w:numPr>
          <w:ilvl w:val="0"/>
          <w:numId w:val="67"/>
        </w:numPr>
        <w:rPr>
          <w:rFonts w:ascii="Arial" w:cs="Arial" w:eastAsia="Arial" w:hAnsi="Arial"/>
          <w:sz w:val="23"/>
          <w:szCs w:val="23"/>
          <w:color w:val="auto"/>
          <w:vertAlign w:val="superscript"/>
        </w:rPr>
      </w:pPr>
      <w:r>
        <w:rPr>
          <w:rFonts w:ascii="Arial" w:cs="Arial" w:eastAsia="Arial" w:hAnsi="Arial"/>
          <w:sz w:val="17"/>
          <w:szCs w:val="17"/>
          <w:color w:val="auto"/>
        </w:rPr>
        <w:t>Cash retainers may be elected to be received in ALLETE stock.</w:t>
      </w:r>
    </w:p>
    <w:p>
      <w:pPr>
        <w:spacing w:after="0" w:line="2" w:lineRule="exact"/>
        <w:rPr>
          <w:rFonts w:ascii="Arial" w:cs="Arial" w:eastAsia="Arial" w:hAnsi="Arial"/>
          <w:sz w:val="23"/>
          <w:szCs w:val="23"/>
          <w:color w:val="auto"/>
          <w:vertAlign w:val="superscript"/>
        </w:rPr>
      </w:pPr>
    </w:p>
    <w:p>
      <w:pPr>
        <w:ind w:left="300" w:hanging="299"/>
        <w:spacing w:after="0" w:line="180" w:lineRule="auto"/>
        <w:tabs>
          <w:tab w:leader="none" w:pos="300" w:val="left"/>
        </w:tabs>
        <w:numPr>
          <w:ilvl w:val="0"/>
          <w:numId w:val="67"/>
        </w:numPr>
        <w:rPr>
          <w:rFonts w:ascii="Arial" w:cs="Arial" w:eastAsia="Arial" w:hAnsi="Arial"/>
          <w:sz w:val="23"/>
          <w:szCs w:val="23"/>
          <w:color w:val="auto"/>
          <w:vertAlign w:val="superscript"/>
        </w:rPr>
      </w:pPr>
      <w:r>
        <w:rPr>
          <w:rFonts w:ascii="Arial" w:cs="Arial" w:eastAsia="Arial" w:hAnsi="Arial"/>
          <w:sz w:val="17"/>
          <w:szCs w:val="17"/>
          <w:color w:val="auto"/>
        </w:rPr>
        <w:t>Lead Director and Board Chairman are not eligible for other committee or chair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726059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10(n)9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$60,000</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$35,000</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$9,000</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$7,500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$7,500</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$8,500</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$5,500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$4,500</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$60,000</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$35,000</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$25,000</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$90,000</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$85,000</w:t>
      </w:r>
    </w:p>
    <w:p>
      <w:pPr>
        <w:sectPr>
          <w:pgSz w:w="11900" w:h="16838" w:orient="portrait"/>
          <w:cols w:equalWidth="0" w:num="2">
            <w:col w:w="9580" w:space="720"/>
            <w:col w:w="1120"/>
          </w:cols>
          <w:pgMar w:left="240" w:top="118" w:right="239" w:bottom="1440"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AND AFFILIATED COMPANIES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IN CONTROL SEVERANCE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ALLETE’s Board of Directors has determined that it is in the best interest of ALLETE and its shareholders to foster the continued dedication and objectivity of certain key members of the Company's management notwithstanding the possibility or occurrence of an acquisition by another company or other change in control of the Company. Accordingly, ALLETE adopted the Change in Control Severance Plan effective as of February 13, 2008.</w:t>
      </w:r>
    </w:p>
    <w:p>
      <w:pPr>
        <w:spacing w:after="0" w:line="17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Effective as of the “Effective Date,” The Board has adopted this Amended and Restated Change in Control Severance Pay Plan designed, among other changes, to eliminate the excise tax gross-up feature, to eliminate certain benefit continuation payments and to establish a modified severance payment cap, all as provided herein.</w:t>
      </w:r>
    </w:p>
    <w:p>
      <w:pPr>
        <w:spacing w:after="0" w:line="1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 For purposes of the Plan, the following terms shall have the meanings indicated below: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“Act” </w:t>
      </w:r>
      <w:r>
        <w:rPr>
          <w:rFonts w:ascii="Arial" w:cs="Arial" w:eastAsia="Arial" w:hAnsi="Arial"/>
          <w:sz w:val="17"/>
          <w:szCs w:val="17"/>
          <w:color w:val="auto"/>
        </w:rPr>
        <w:t>means the Securities Exchange Act of 1934, as amended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any entity directly or indirectly controlled by, controlling or under common control with, ALLETE.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“ALLETE” </w:t>
      </w:r>
      <w:r>
        <w:rPr>
          <w:rFonts w:ascii="Arial" w:cs="Arial" w:eastAsia="Arial" w:hAnsi="Arial"/>
          <w:sz w:val="17"/>
          <w:szCs w:val="17"/>
          <w:color w:val="auto"/>
        </w:rPr>
        <w:t>means ALLETE, Inc., a Minnesota Corporation.</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shall mean, as to any Participant, the highest amount a Participant is entitled to receive annually as base salary at any time during the Protection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reduction for any pre-tax contributions to benefit plans.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“Benefit Continuation Payment” </w:t>
      </w:r>
      <w:r>
        <w:rPr>
          <w:rFonts w:ascii="Arial" w:cs="Arial" w:eastAsia="Arial" w:hAnsi="Arial"/>
          <w:sz w:val="17"/>
          <w:szCs w:val="17"/>
          <w:color w:val="auto"/>
        </w:rPr>
        <w:t>means the payment described in Section 2.1.2.</w:t>
      </w:r>
      <w:r>
        <w:rPr>
          <w:rFonts w:ascii="Arial" w:cs="Arial" w:eastAsia="Arial" w:hAnsi="Arial"/>
          <w:sz w:val="17"/>
          <w:szCs w:val="17"/>
          <w:b w:val="1"/>
          <w:bCs w:val="1"/>
          <w:color w:val="auto"/>
        </w:rPr>
        <w:t xml:space="preserve"> “Board” </w:t>
      </w:r>
      <w:r>
        <w:rPr>
          <w:rFonts w:ascii="Arial" w:cs="Arial" w:eastAsia="Arial" w:hAnsi="Arial"/>
          <w:sz w:val="17"/>
          <w:szCs w:val="17"/>
          <w:color w:val="auto"/>
        </w:rPr>
        <w:t>means the Board of Directors of ALLETE.</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 xml:space="preserve">“Bonus Amount” </w:t>
      </w:r>
      <w:r>
        <w:rPr>
          <w:rFonts w:ascii="Arial" w:cs="Arial" w:eastAsia="Arial" w:hAnsi="Arial"/>
          <w:sz w:val="15"/>
          <w:szCs w:val="15"/>
          <w:color w:val="auto"/>
        </w:rPr>
        <w:t>shall mean, as to any Participant, an amount equal to the Participant's annual bonus which would have been payable under the Bonus Plan in which he</w:t>
      </w:r>
      <w:r>
        <w:rPr>
          <w:rFonts w:ascii="Arial" w:cs="Arial" w:eastAsia="Arial" w:hAnsi="Arial"/>
          <w:sz w:val="15"/>
          <w:szCs w:val="15"/>
          <w:b w:val="1"/>
          <w:bCs w:val="1"/>
          <w:color w:val="auto"/>
        </w:rPr>
        <w:t xml:space="preserve"> </w:t>
      </w:r>
      <w:r>
        <w:rPr>
          <w:rFonts w:ascii="Arial" w:cs="Arial" w:eastAsia="Arial" w:hAnsi="Arial"/>
          <w:sz w:val="15"/>
          <w:szCs w:val="15"/>
          <w:color w:val="auto"/>
        </w:rPr>
        <w:t>or she participates (x) as of immediately prior to the Change in Control had he or she continued in employment until the end of the fiscal year of the Employer in which the Change in Control occurs and had bonuses been payable at "target" levels for such year or (y) if greater, as of the Termination Date had he or she continued in employment until the end of the fiscal year of the Employer in which the Termination Date occurs and had bonuses been payable at "target" levels for such year.</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“Bonus Plan” </w:t>
      </w:r>
      <w:r>
        <w:rPr>
          <w:rFonts w:ascii="Arial" w:cs="Arial" w:eastAsia="Arial" w:hAnsi="Arial"/>
          <w:sz w:val="17"/>
          <w:szCs w:val="17"/>
          <w:color w:val="auto"/>
        </w:rPr>
        <w:t>shall mean the ALLETE Executive Annual Incentive Plan and any similar or successor annual bonus plan, excluding plans intended to qualify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401(a)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w:t>
      </w:r>
    </w:p>
    <w:p>
      <w:pPr>
        <w:spacing w:after="0" w:line="211" w:lineRule="exact"/>
        <w:rPr>
          <w:sz w:val="20"/>
          <w:szCs w:val="20"/>
          <w:color w:val="auto"/>
        </w:rPr>
      </w:pPr>
    </w:p>
    <w:p>
      <w:pPr>
        <w:jc w:val="both"/>
        <w:ind w:left="600" w:firstLine="607"/>
        <w:spacing w:after="0" w:line="275" w:lineRule="auto"/>
        <w:tabs>
          <w:tab w:leader="none" w:pos="1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Participant’s willful and continued failure to perform the duties and responsibilities of his or her position (other than as a result of the Participant’s disability or anticipated failure after the Participant gives notice of Termination for Good Reason by the Participant) after there has been delivered to the Participant a written demand for performance which describes the basis for the belief that the Participant has not substantially performed his or her duties and after the Participant fails to take full corrective action within twenty (20) days of receipt of such notice; or</w:t>
      </w:r>
    </w:p>
    <w:p>
      <w:pPr>
        <w:spacing w:after="0" w:line="162" w:lineRule="exact"/>
        <w:rPr>
          <w:rFonts w:ascii="Arial" w:cs="Arial" w:eastAsia="Arial" w:hAnsi="Arial"/>
          <w:sz w:val="16"/>
          <w:szCs w:val="16"/>
          <w:color w:val="auto"/>
        </w:rPr>
      </w:pPr>
    </w:p>
    <w:p>
      <w:pPr>
        <w:ind w:left="600" w:firstLine="607"/>
        <w:spacing w:after="0" w:line="268" w:lineRule="auto"/>
        <w:tabs>
          <w:tab w:leader="none" w:pos="18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material act of personal dishonesty taken by the Participant in connection with his or her responsibilities as an employee of the Company which is demonstrably and materially injurious to the Company; or</w:t>
      </w:r>
    </w:p>
    <w:p>
      <w:pPr>
        <w:spacing w:after="0" w:line="166" w:lineRule="exact"/>
        <w:rPr>
          <w:rFonts w:ascii="Arial" w:cs="Arial" w:eastAsia="Arial" w:hAnsi="Arial"/>
          <w:sz w:val="17"/>
          <w:szCs w:val="17"/>
          <w:color w:val="auto"/>
        </w:rPr>
      </w:pPr>
    </w:p>
    <w:p>
      <w:pPr>
        <w:ind w:left="600" w:firstLine="607"/>
        <w:spacing w:after="0" w:line="268" w:lineRule="auto"/>
        <w:tabs>
          <w:tab w:leader="none" w:pos="19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Participant’s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that the Company (or in the case of the Chief Executive Officer, the Board) reasonably believes has had or will have a material detrimental effect on the Company’s business or reputation.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earliest of:</w:t>
      </w:r>
    </w:p>
    <w:p>
      <w:pPr>
        <w:spacing w:after="0" w:line="211" w:lineRule="exact"/>
        <w:rPr>
          <w:sz w:val="20"/>
          <w:szCs w:val="20"/>
          <w:color w:val="auto"/>
        </w:rPr>
      </w:pPr>
    </w:p>
    <w:p>
      <w:pPr>
        <w:jc w:val="both"/>
        <w:ind w:left="600" w:firstLine="607"/>
        <w:spacing w:after="0" w:line="270" w:lineRule="auto"/>
        <w:tabs>
          <w:tab w:leader="none" w:pos="144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date any one Person, or more than one Person acting as a group (as the term “group” is used in Treasury Regulation section 1.409A-3(i)(5)(v) (B)), acquires ownership of stock of ALLETE that, together with stock previously held by the acquiror, constitutes more than fifty (50%) percent of the total fair market value or total voting power of ALLETE stock. If any one Person, or more than one Person acting as a group, is considered to own more than fifty (50%) percent of the total fair market value or total voting power of ALLETE stock, the acquisition of additional stock by the same Person or Persons acting as a group does not cause a Change in Control. An increase in the percentage of stock owned by any one Person, or Persons acting as a group, as a result of a transaction in which ALLETE acquir es its stock in exchange for property, is treated as an acquisition of stock;</w:t>
      </w:r>
    </w:p>
    <w:p>
      <w:pPr>
        <w:spacing w:after="0" w:line="166" w:lineRule="exact"/>
        <w:rPr>
          <w:rFonts w:ascii="Arial" w:cs="Arial" w:eastAsia="Arial" w:hAnsi="Arial"/>
          <w:sz w:val="16"/>
          <w:szCs w:val="16"/>
          <w:color w:val="auto"/>
        </w:rPr>
      </w:pPr>
    </w:p>
    <w:p>
      <w:pPr>
        <w:jc w:val="both"/>
        <w:ind w:left="600" w:firstLine="607"/>
        <w:spacing w:after="0" w:line="257" w:lineRule="auto"/>
        <w:tabs>
          <w:tab w:leader="none" w:pos="14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date any one Person, or more than one Person acting as a group (as the term “group” is used in Treasury Regulation section 1.409A-3(i)(5)(v) (B)), acquires (or has acquired during the twelve (12) month period ending on the date of the most recent acquisition by that Person or Persons) ownership of a ALLETE stock possessing at least thirty (30%) percent of the total voting power of ALLETE stock;</w:t>
      </w:r>
    </w:p>
    <w:p>
      <w:pPr>
        <w:spacing w:after="0" w:line="176" w:lineRule="exact"/>
        <w:rPr>
          <w:rFonts w:ascii="Arial" w:cs="Arial" w:eastAsia="Arial" w:hAnsi="Arial"/>
          <w:sz w:val="17"/>
          <w:szCs w:val="17"/>
          <w:color w:val="auto"/>
        </w:rPr>
      </w:pPr>
    </w:p>
    <w:p>
      <w:pPr>
        <w:ind w:left="600" w:firstLine="607"/>
        <w:spacing w:after="0" w:line="300" w:lineRule="auto"/>
        <w:tabs>
          <w:tab w:leader="none" w:pos="14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date a majority of the members of the ALLETE board of directors is replaced during any twelve (12) month period by directors whose appointment or election is not endorsed by a majority of the members of the board of directors prior to the date of appointment or election; or</w:t>
      </w:r>
    </w:p>
    <w:p>
      <w:pPr>
        <w:spacing w:after="0" w:line="143" w:lineRule="exact"/>
        <w:rPr>
          <w:rFonts w:ascii="Arial" w:cs="Arial" w:eastAsia="Arial" w:hAnsi="Arial"/>
          <w:sz w:val="16"/>
          <w:szCs w:val="16"/>
          <w:color w:val="auto"/>
        </w:rPr>
      </w:pPr>
    </w:p>
    <w:p>
      <w:pPr>
        <w:jc w:val="both"/>
        <w:ind w:left="600" w:firstLine="607"/>
        <w:spacing w:after="0" w:line="252" w:lineRule="auto"/>
        <w:tabs>
          <w:tab w:leader="none" w:pos="14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date any one Person, or more than one Person acting as a group (as the term “group” is used in Treasury Regulation section 1.409A-3(i)(5)(v) (B)), acquires (or has acquired during the twelve (12) month period ending on the date of the most recent acquisition by that Person or Persons) assets from ALLETE that have a total gross fair market value equal to at least forty (40%) percent of the total gross fair market value of all ALLETE’s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“Change in Control Severance Payment” </w:t>
      </w:r>
      <w:r>
        <w:rPr>
          <w:rFonts w:ascii="Arial" w:cs="Arial" w:eastAsia="Arial" w:hAnsi="Arial"/>
          <w:sz w:val="17"/>
          <w:szCs w:val="17"/>
          <w:color w:val="auto"/>
        </w:rPr>
        <w:t>means the Severance Payment and Benefit Continuation Payment.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 from time to time.</w:t>
      </w:r>
    </w:p>
    <w:p>
      <w:pPr>
        <w:sectPr>
          <w:pgSz w:w="11900" w:h="16838" w:orient="portrait"/>
          <w:cols w:equalWidth="0" w:num="1">
            <w:col w:w="11420"/>
          </w:cols>
          <w:pgMar w:left="240" w:top="118" w:right="239" w:bottom="0" w:gutter="0" w:footer="0" w:header="0"/>
        </w:sectPr>
      </w:pPr>
    </w:p>
    <w:bookmarkStart w:id="152" w:name="page153"/>
    <w:bookmarkEnd w:id="152"/>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the committee responsible for administering the Plan, as described in Section 5.</w:t>
      </w:r>
    </w:p>
    <w:p>
      <w:pPr>
        <w:spacing w:after="0" w:line="207" w:lineRule="exact"/>
        <w:rPr>
          <w:sz w:val="20"/>
          <w:szCs w:val="20"/>
          <w:color w:val="auto"/>
        </w:rPr>
      </w:pPr>
    </w:p>
    <w:p>
      <w:pPr>
        <w:spacing w:after="0" w:line="342" w:lineRule="auto"/>
        <w:rPr>
          <w:sz w:val="20"/>
          <w:szCs w:val="20"/>
          <w:color w:val="auto"/>
        </w:rPr>
      </w:pPr>
      <w:r>
        <w:rPr>
          <w:rFonts w:ascii="Arial" w:cs="Arial" w:eastAsia="Arial" w:hAnsi="Arial"/>
          <w:sz w:val="15"/>
          <w:szCs w:val="15"/>
          <w:b w:val="1"/>
          <w:bCs w:val="1"/>
          <w:color w:val="auto"/>
        </w:rPr>
        <w:t xml:space="preserve">“Company” </w:t>
      </w:r>
      <w:r>
        <w:rPr>
          <w:rFonts w:ascii="Arial" w:cs="Arial" w:eastAsia="Arial" w:hAnsi="Arial"/>
          <w:sz w:val="15"/>
          <w:szCs w:val="15"/>
          <w:color w:val="auto"/>
        </w:rPr>
        <w:t>means ALLETE and its Affiliates and except for purposes of determining whether a Change in Control has occurred, shall include any successor in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to its business or assets which assumes the obligations of the Plan as required in Section 6.1 or which becomes bound by the terms of the Plan by operation of law.</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means January 19, 2011.</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means the occurrence of any of the following without the Participant’s consent, which will permit the Participant to terminate employment within ninety</w:t>
      </w:r>
      <w:r>
        <w:rPr>
          <w:rFonts w:ascii="Arial" w:cs="Arial" w:eastAsia="Arial" w:hAnsi="Arial"/>
          <w:sz w:val="17"/>
          <w:szCs w:val="17"/>
          <w:b w:val="1"/>
          <w:bCs w:val="1"/>
          <w:color w:val="auto"/>
        </w:rPr>
        <w:t xml:space="preserve"> </w:t>
      </w:r>
      <w:r>
        <w:rPr>
          <w:rFonts w:ascii="Arial" w:cs="Arial" w:eastAsia="Arial" w:hAnsi="Arial"/>
          <w:sz w:val="17"/>
          <w:szCs w:val="17"/>
          <w:color w:val="auto"/>
        </w:rPr>
        <w:t>(90) days after the end of the Cure Period (defined below):</w:t>
      </w:r>
    </w:p>
    <w:p>
      <w:pPr>
        <w:spacing w:after="0" w:line="163" w:lineRule="exact"/>
        <w:rPr>
          <w:sz w:val="20"/>
          <w:szCs w:val="20"/>
          <w:color w:val="auto"/>
        </w:rPr>
      </w:pPr>
    </w:p>
    <w:p>
      <w:pPr>
        <w:ind w:firstLine="1"/>
        <w:spacing w:after="0" w:line="268" w:lineRule="auto"/>
        <w:tabs>
          <w:tab w:leader="none" w:pos="7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material diminution of the Participant’s authority, duties, or responsibilities relative to the authority, duties or responsibilities of the Participant prior to such reduction; or</w:t>
      </w:r>
    </w:p>
    <w:p>
      <w:pPr>
        <w:spacing w:after="0" w:line="166" w:lineRule="exact"/>
        <w:rPr>
          <w:rFonts w:ascii="Arial" w:cs="Arial" w:eastAsia="Arial" w:hAnsi="Arial"/>
          <w:sz w:val="17"/>
          <w:szCs w:val="17"/>
          <w:color w:val="auto"/>
        </w:rPr>
      </w:pPr>
    </w:p>
    <w:p>
      <w:pPr>
        <w:jc w:val="both"/>
        <w:ind w:firstLine="1"/>
        <w:spacing w:after="0" w:line="257" w:lineRule="auto"/>
        <w:tabs>
          <w:tab w:leader="none" w:pos="89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material diminution by the Company in the Participant’s total compensation, including base pay, aggregate incentive compensation opportunities (but excluding any reduction in incentive compensation awards as the result of the performance of the Participant or the Company) and aggregate benefits, as in effect immediately prior to such reduction; or</w:t>
      </w:r>
    </w:p>
    <w:p>
      <w:pPr>
        <w:spacing w:after="0" w:line="176" w:lineRule="exact"/>
        <w:rPr>
          <w:rFonts w:ascii="Arial" w:cs="Arial" w:eastAsia="Arial" w:hAnsi="Arial"/>
          <w:sz w:val="17"/>
          <w:szCs w:val="17"/>
          <w:color w:val="auto"/>
        </w:rPr>
      </w:pPr>
    </w:p>
    <w:p>
      <w:pPr>
        <w:ind w:left="640" w:hanging="639"/>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relocation of the Participant to a location or facility more than fifty (50) miles from the Participant's location immediately prior to change; or</w:t>
      </w:r>
    </w:p>
    <w:p>
      <w:pPr>
        <w:spacing w:after="0" w:line="206" w:lineRule="exact"/>
        <w:rPr>
          <w:rFonts w:ascii="Arial" w:cs="Arial" w:eastAsia="Arial" w:hAnsi="Arial"/>
          <w:sz w:val="17"/>
          <w:szCs w:val="17"/>
          <w:color w:val="auto"/>
        </w:rPr>
      </w:pPr>
    </w:p>
    <w:p>
      <w:pPr>
        <w:jc w:val="both"/>
        <w:ind w:firstLine="1"/>
        <w:spacing w:after="0" w:line="257" w:lineRule="auto"/>
        <w:tabs>
          <w:tab w:leader="none" w:pos="7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material diminution by the Company of the authority, duties, or responsibilities of the supervisor to whom the Participant is required to report relative to the authority, duties or responsibilities of the supervisor prior to such reduction, including a requirement that the Participant report to a corporate officer or employee instead of reporting directly to the Board; or</w:t>
      </w:r>
    </w:p>
    <w:p>
      <w:pPr>
        <w:spacing w:after="0" w:line="176" w:lineRule="exact"/>
        <w:rPr>
          <w:rFonts w:ascii="Arial" w:cs="Arial" w:eastAsia="Arial" w:hAnsi="Arial"/>
          <w:sz w:val="17"/>
          <w:szCs w:val="17"/>
          <w:color w:val="auto"/>
        </w:rPr>
      </w:pPr>
    </w:p>
    <w:p>
      <w:pPr>
        <w:ind w:left="640" w:hanging="639"/>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material diminution in the budget over which the Participant retains authority relative to the budget prior to such reduction; or</w:t>
      </w:r>
    </w:p>
    <w:p>
      <w:pPr>
        <w:spacing w:after="0" w:line="206" w:lineRule="exact"/>
        <w:rPr>
          <w:rFonts w:ascii="Arial" w:cs="Arial" w:eastAsia="Arial" w:hAnsi="Arial"/>
          <w:sz w:val="17"/>
          <w:szCs w:val="17"/>
          <w:color w:val="auto"/>
        </w:rPr>
      </w:pPr>
    </w:p>
    <w:p>
      <w:pPr>
        <w:ind w:left="620" w:hanging="619"/>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other action or inaction that constitutes a material breach by the Company of an agreement under which a Participant provides services.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Notwithstanding the foregoing, the Participant may not resign for Good Reason without first providing the Employer with written notice (except in the case of ALLETE’s Chief Executive Officer who shall provide such notice to the Board) of the condition that could constitute a “Good Reason” event within ninety (90) days of the initial existence of the condition and then only if such condition has not been remedied by the Employer within thirty (30) days of such written notice (the “Cure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“Employer” </w:t>
      </w:r>
      <w:r>
        <w:rPr>
          <w:rFonts w:ascii="Arial" w:cs="Arial" w:eastAsia="Arial" w:hAnsi="Arial"/>
          <w:sz w:val="17"/>
          <w:szCs w:val="17"/>
          <w:color w:val="auto"/>
        </w:rPr>
        <w:t>shall mean, as applicable to any Participant, ALLETE or an Affiliate that employs the Participant.</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“Involuntary Separation” </w:t>
      </w:r>
      <w:r>
        <w:rPr>
          <w:rFonts w:ascii="Arial" w:cs="Arial" w:eastAsia="Arial" w:hAnsi="Arial"/>
          <w:sz w:val="17"/>
          <w:szCs w:val="17"/>
          <w:color w:val="auto"/>
        </w:rPr>
        <w:t>means, with respect to a Participant, an involuntary termination of employment by the Employer without Cause, or a voluntary termination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with Good Reason.</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individual who the Committee has selected to participate in the Plan and who has received written notification of both the eligibility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and status as either a “Group A Participant” or a “Group B Participant.”</w:t>
      </w:r>
    </w:p>
    <w:p>
      <w:pPr>
        <w:spacing w:after="0" w:line="159"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any individual, corporation (including any non-profit corporation), general, limited or limited liability partnership, limited liability company,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estate, trust, firm, association, organization or other entity or any governmental or quasi-governmental authority, organization, agency or body.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this Amended and Restated ALLETE and Affiliated Companies Change in Control Severance Plan.</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“Protection Period” </w:t>
      </w:r>
      <w:r>
        <w:rPr>
          <w:rFonts w:ascii="Arial" w:cs="Arial" w:eastAsia="Arial" w:hAnsi="Arial"/>
          <w:sz w:val="17"/>
          <w:szCs w:val="17"/>
          <w:color w:val="auto"/>
        </w:rPr>
        <w:t>means the period beginning on the date that is six (6) months prior to a Change in Control and ending on the date that is twenty four (24) months</w:t>
      </w:r>
      <w:r>
        <w:rPr>
          <w:rFonts w:ascii="Arial" w:cs="Arial" w:eastAsia="Arial" w:hAnsi="Arial"/>
          <w:sz w:val="17"/>
          <w:szCs w:val="17"/>
          <w:b w:val="1"/>
          <w:bCs w:val="1"/>
          <w:color w:val="auto"/>
        </w:rPr>
        <w:t xml:space="preserve"> </w:t>
      </w:r>
      <w:r>
        <w:rPr>
          <w:rFonts w:ascii="Arial" w:cs="Arial" w:eastAsia="Arial" w:hAnsi="Arial"/>
          <w:sz w:val="17"/>
          <w:szCs w:val="17"/>
          <w:color w:val="auto"/>
        </w:rPr>
        <w:t>after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“Severance Duration Multiplier” </w:t>
      </w:r>
      <w:r>
        <w:rPr>
          <w:rFonts w:ascii="Arial" w:cs="Arial" w:eastAsia="Arial" w:hAnsi="Arial"/>
          <w:sz w:val="17"/>
          <w:szCs w:val="17"/>
          <w:color w:val="auto"/>
        </w:rPr>
        <w:t>means with respect to any Group A Participant, 2.5; and, with respect to any Group B Participant, 1.5.</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means the payment described in Section 2.1.1.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“Termination Date” </w:t>
      </w:r>
      <w:r>
        <w:rPr>
          <w:rFonts w:ascii="Arial" w:cs="Arial" w:eastAsia="Arial" w:hAnsi="Arial"/>
          <w:sz w:val="17"/>
          <w:szCs w:val="17"/>
          <w:color w:val="auto"/>
        </w:rPr>
        <w:t>shall mean, with respect to a Participant, the date of the Participant’s Involuntary Separation.</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u w:val="single" w:color="auto"/>
          <w:color w:val="auto"/>
        </w:rPr>
        <w:t>Change in Control Severance Benefits</w:t>
      </w:r>
      <w:r>
        <w:rPr>
          <w:rFonts w:ascii="Arial" w:cs="Arial" w:eastAsia="Arial" w:hAnsi="Arial"/>
          <w:sz w:val="14"/>
          <w:szCs w:val="14"/>
          <w:color w:val="auto"/>
        </w:rPr>
        <w:t>.</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Involuntary Separation in Connection with Change in Control</w:t>
      </w:r>
      <w:r>
        <w:rPr>
          <w:rFonts w:ascii="Arial" w:cs="Arial" w:eastAsia="Arial" w:hAnsi="Arial"/>
          <w:sz w:val="17"/>
          <w:szCs w:val="17"/>
          <w:color w:val="auto"/>
        </w:rPr>
        <w:t>. If a Participant has an Involuntary Separation on any date during the Protection Period, Participant will receive the following severance benefits from the Employer:</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Severance Payment</w:t>
      </w:r>
      <w:r>
        <w:rPr>
          <w:rFonts w:ascii="Arial" w:cs="Arial" w:eastAsia="Arial" w:hAnsi="Arial"/>
          <w:sz w:val="17"/>
          <w:szCs w:val="17"/>
          <w:color w:val="auto"/>
        </w:rPr>
        <w:t>. Participant will receive a lump sum cash payment in an amount equal to the product of (a) the applicable Severance Duration Multiplier and (b) the sum of (i) the Participant’s Base Salary and (ii) the Participant’s Bonus Amount.</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Benefit Continuation Payment</w:t>
      </w:r>
      <w:r>
        <w:rPr>
          <w:rFonts w:ascii="Arial" w:cs="Arial" w:eastAsia="Arial" w:hAnsi="Arial"/>
          <w:sz w:val="17"/>
          <w:szCs w:val="17"/>
          <w:color w:val="auto"/>
        </w:rPr>
        <w:t>. Participant will receive an additional lump sum cash payment in an amount equal to the applicable Severance Duration Multiplier times the sum of: (i) the annual premium for medical and dental benefits in effect on the Termination Date as determined for individuals who are entitled to elect continuation coverage pursuant to the Consolidated Omnibus Budget Reconciliation Act of 1985, as amended (“COBRA”); (ii) the annual premium the Employer would have paid to maintain core life insurance on behalf of the Participant had the Participant remained an employee of the Employer; and (iii) an amount the Employ er would have allocated to the Participant annually under the Minnesota Power and Affiliated Companies Flexible Compensation Plan, determined with reference to the Participant’s Base Salary.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Participants will be responsible for electing benefit continuation coverage, if such coverage is desired, pursuant to COBRA, within the time period prescribed pursuant to COBRA, and for paying all COBRA premiums for any continuation coverage so elected.</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Outplacement Services</w:t>
      </w:r>
      <w:r>
        <w:rPr>
          <w:rFonts w:ascii="Arial" w:cs="Arial" w:eastAsia="Arial" w:hAnsi="Arial"/>
          <w:sz w:val="17"/>
          <w:szCs w:val="17"/>
          <w:color w:val="auto"/>
        </w:rPr>
        <w:t>. The Company will pay up to an aggregate of $25,000 for outplacement services obtained by Participant on or before the end of the second year following the year including the Termination Date, provided that the services commence not later than three (3) months following the later of the Change in Control or the Termination Date, and all amounts must be paid by the end of the third year following the year including the Termination Date. Outplacement services will be provided only in kind; the Company will pay the outplacement service provider(s) directly for services rendered to the Participant in accordance wit h this Section. No cash will be paid in lieu of outplacement services, nor will cash compensation to the Participant be increased if the Participant declines or does not use outplacement services.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Timing of Severance Payments</w:t>
      </w:r>
      <w:r>
        <w:rPr>
          <w:rFonts w:ascii="Arial" w:cs="Arial" w:eastAsia="Arial" w:hAnsi="Arial"/>
          <w:sz w:val="17"/>
          <w:szCs w:val="17"/>
          <w:color w:val="auto"/>
        </w:rPr>
        <w:t>. Subject to Sections 2.5 and 3.1, the Company will pay any Change in Control Severance Payment to which a Participant is entitled within 30 days after the later of the Termination Date or the effective date of the Separation Agreement and Release, but in no event more than seventy-four (74) calendar days after the later of the date of the Change of Control or the Termination Date.</w:t>
      </w:r>
    </w:p>
    <w:p>
      <w:pPr>
        <w:sectPr>
          <w:pgSz w:w="11900" w:h="16845" w:orient="portrait"/>
          <w:cols w:equalWidth="0" w:num="1">
            <w:col w:w="11420"/>
          </w:cols>
          <w:pgMar w:left="240" w:top="123" w:right="239" w:bottom="0" w:gutter="0" w:footer="0" w:header="0"/>
        </w:sectPr>
      </w:pPr>
    </w:p>
    <w:bookmarkStart w:id="153" w:name="page154"/>
    <w:bookmarkEnd w:id="153"/>
    <w:p>
      <w:pPr>
        <w:spacing w:after="0" w:line="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Participant’s employment with the Company terminates for any reason other than Involuntary Separation, Participant will not receive any payments under this Plan.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Coordination with other Payments</w:t>
      </w:r>
      <w:r>
        <w:rPr>
          <w:rFonts w:ascii="Arial" w:cs="Arial" w:eastAsia="Arial" w:hAnsi="Arial"/>
          <w:sz w:val="15"/>
          <w:szCs w:val="15"/>
          <w:color w:val="auto"/>
        </w:rPr>
        <w:t>. The payments and benefits under this Plan to a Participant are intended to constitute the exclusive payments in the nature of severance or termination pay that shall be due to a Participant upon termination of his or her employment without Cause or for Good Reason in connection with a Change in Control and shall be in lieu of any such other payments under any agreement, plan, practice or policy of the Company, except as otherwise expressly provided in a written agreement between the Company and the Participant that such severance payments or benefits are to be paid in addition to any payment or benefit described herein. Accordingly, if a Participant is a party to an employment, severance, termination, salary continuation or other similar agreement with the Company or any of its Affiliates, or is a participant in any other severance plan, practice or policy of the Company or any of its Affiliates that does not expressly provide that such severance payments or benefits are to be paid in addition to any payment or benefit described herein, the severance pay to which the Participant is entitled under this Plan shall be reduced (but not below zero) by the amount of severance pay to which he or she is entitled under such other agreement, plan, practice or policy; provided that the reduction set forth in this sentence shall not apply as to any other such agreement, plan, practice or policy that contains a reduction provision substantially similar to this Section 2.4 so long as the reduction provision of such other agreement, plan, practice or policy is applied.</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that any payment under this Plan is deemed to be deferred compensation subject to the requirements of Section 409A of the Code, or any final regulations or guidance promulgated thereunder (“Section 409A”), the plan will be operated in compliance with Section 409A with respect to the subject payment. Notwithstanding anything in this Plan to the contrary, if Participant is a Specified Employee, the payment of any amount under this Plan that is Nonqualified Deferred Compensation, and that becomes payable on account of a Separation from Service, will be delayed and paid in a lump sum, with interest from the date on which it would otherw ise have been paid in accordance with Section 2.2 at the short-term applicable federal rate, on the first date on which any such amount may be paid without triggering a tax under Section 409A, but in no event before the date that is six (6) months and one (1) day following the Participant’s Separation from Service. The Plan is intended to comply with the requirements of Section 409A so that none of the severance payments and benefits to be provided hereunder will be subject to the additional tax imposed under Section 409A, and any ambiguities herein will be interpreted to so comply. The Company may amend or modify the plan, at any time, to comply with Section 409A. The terms “Specified Employee,” “Nonqualified Deferred Compensation,” and “Separation from Service” shall have the meaning provided by Section 409A and the applicable Treasury Regulations.</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u w:val="single" w:color="auto"/>
          <w:color w:val="auto"/>
        </w:rPr>
        <w:t>Conditions to Receipt of Benefits; No Mitigation.</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xml:space="preserve">. No Change in Control Severance Payment shall be provided to a Participant unless, within sixty (60) days following the later of the Change in Control or Participant’s Termination Date, the Participant delivers to the Company a Separation Agreement and Release, that has been properly executed on or after the Participant’s Termination Date and has become irrevocable as provided therein. The initial form of the Separation Agreement and Release, including non-solicitation, non-competition and non-disparagement provisions, is attached to this Plan as </w:t>
      </w:r>
      <w:r>
        <w:rPr>
          <w:rFonts w:ascii="Arial" w:cs="Arial" w:eastAsia="Arial" w:hAnsi="Arial"/>
          <w:sz w:val="17"/>
          <w:szCs w:val="17"/>
          <w:u w:val="single" w:color="auto"/>
          <w:color w:val="auto"/>
        </w:rPr>
        <w:t>Appendix A</w:t>
      </w:r>
      <w:r>
        <w:rPr>
          <w:rFonts w:ascii="Arial" w:cs="Arial" w:eastAsia="Arial" w:hAnsi="Arial"/>
          <w:sz w:val="17"/>
          <w:szCs w:val="17"/>
          <w:color w:val="auto"/>
        </w:rPr>
        <w:t>. Prior to the occurrence of a Change in Control, the Company may revise the Separation Agreement and Release. The Company may in any event modify the Separation Agreement and Release to conform it to the laws of the local jurisdiction applicable to a Participant or a change in applicable federal law so long as such modification does not increase the obligations of the Participant thereunder.</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 Duty to Mitigate</w:t>
      </w:r>
      <w:r>
        <w:rPr>
          <w:rFonts w:ascii="Arial" w:cs="Arial" w:eastAsia="Arial" w:hAnsi="Arial"/>
          <w:sz w:val="17"/>
          <w:szCs w:val="17"/>
          <w:color w:val="auto"/>
        </w:rPr>
        <w:t>. Participant will not be required to mitigate the amount of any payment or benefit contemplated by this Plan, nor will any earnings that Participant may receive from any other source reduce any such payment or benefits.</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u w:val="single" w:color="auto"/>
          <w:color w:val="auto"/>
        </w:rPr>
        <w:t>Limitation on Payments</w:t>
      </w:r>
      <w:r>
        <w:rPr>
          <w:rFonts w:ascii="Arial" w:cs="Arial" w:eastAsia="Arial" w:hAnsi="Arial"/>
          <w:sz w:val="15"/>
          <w:szCs w:val="15"/>
          <w:color w:val="auto"/>
        </w:rPr>
        <w:t>.</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it is determined that any payment or distribution in the nature of compensation (within the meaning of Section 280G(b)(2) of the Code) to or for the benefit of the Participant, whether paid or payable pursuant to this Plan or otherwise (a “Payment”) would constitute an “excess parachute payment” within the meaning of Section 280G of the Code, the aggregate present value of the Payments under the Plan shall be reduced (but not below zero) to the Reduced Amount (defined below), provided that the Payments shall be reduced only if the Accounting Firm (described below) determines that the reduction will provide the Executive with a greater net after-tax benefit than would no reduction. The “Reduced Amount” shall be an amount expressed in the present value which maximizes the aggregate presen t value of Payments under this Plan without causing any Payment under this Plan to be subject to the excise tax imposed under Code Section 4999, determined in accordance with Code Section 280G(d)(4). Payments under this Plan shall be reduced on a nondiscretionary basis in such a way as to minimize the reduction in the economic value deliverable to the Participant. Any such reduction shall be implemented in a manner consistent with the requirements of Code Section 409A, and if more than one payment has the same value for this purpose and they are payable at different times, they will be reduced on a pro rata basis. The determination of whether any Payments constitute an “excess parachute payment” within the meaning of Code Section 280G and, if so, the amount to be delivered to the Participant pursuant to this Section of the Plan shall be determined by an independent accounting firm (the “Accounting Firm”) selected by the Participant and the Company. 0; The Accounting Firm shall be a nationally recognized United States public accounting firm. If the Participant and the Company cannot agree on the Accounting Firm, the Participant and the Company shall each designate one (1) accounting firm and those two firms shall jointly select the accounting firm to serve as the Accounting Firm. All fees and expenses of the Accounting Firm shall be borne solely by the Company. Any determination by the Accounting Firm shall be binding upon the Company and the Participant.</w:t>
      </w:r>
    </w:p>
    <w:p>
      <w:pPr>
        <w:spacing w:after="0" w:line="15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u w:val="single" w:color="auto"/>
          <w:color w:val="auto"/>
        </w:rPr>
        <w:t>Plan Administration</w:t>
      </w:r>
      <w:r>
        <w:rPr>
          <w:rFonts w:ascii="Arial" w:cs="Arial" w:eastAsia="Arial" w:hAnsi="Arial"/>
          <w:sz w:val="15"/>
          <w:szCs w:val="15"/>
          <w:color w:val="auto"/>
        </w:rPr>
        <w: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5.1 The Plan shall be interpreted, administered and operated by the Executive Compensation Committee of the Board (“Committee”). Subject to the express terms of the Plan, the Committee shall have complete authority, in its sole discretion, to determine who shall be a Participant, to interpret the Plan, to prescribe, amend and rescind rules relating to the Plan, and to make all other determinations necessary or advisable for the administration of the Plan. Notwithstanding the foregoing, the Committee may delegate any of its duties hereunder to such Person or Persons from time to time as it may designate.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5.2 All expenses and liabilities that members of the Committee incur in connection with the administration of the Plan shall be borne by the Company. The Committee may employ attorneys, consultants, accountants, appraisers, brokers, or other Persons, and the Committee, the Company and the Company's officers and directors shall be entitled to rely upon the advice, opinions or valuations of any such Persons. No member of the Committee or the Board shall be personally liable for any action, determination or interpretation made in good faith with respect to the Plan, and all members of the Committee shall be fully protected by the Company in respect of any such action, determination or interpretation.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Arial" w:cs="Arial" w:eastAsia="Arial" w:hAnsi="Arial"/>
                <w:sz w:val="17"/>
                <w:szCs w:val="17"/>
                <w:b w:val="1"/>
                <w:bCs w:val="1"/>
                <w:color w:val="auto"/>
              </w:rPr>
              <w:t>Section 6.</w:t>
            </w:r>
          </w:p>
        </w:tc>
        <w:tc>
          <w:tcPr>
            <w:tcW w:w="220" w:type="dxa"/>
            <w:vAlign w:val="bottom"/>
          </w:tcPr>
          <w:p>
            <w:pPr>
              <w:spacing w:after="0"/>
              <w:rPr>
                <w:sz w:val="16"/>
                <w:szCs w:val="16"/>
                <w:color w:val="auto"/>
              </w:rPr>
            </w:pPr>
          </w:p>
        </w:tc>
        <w:tc>
          <w:tcPr>
            <w:tcW w:w="10280" w:type="dxa"/>
            <w:vAlign w:val="bottom"/>
            <w:gridSpan w:val="3"/>
          </w:tcPr>
          <w:p>
            <w:pPr>
              <w:spacing w:after="0"/>
              <w:rPr>
                <w:sz w:val="20"/>
                <w:szCs w:val="20"/>
                <w:color w:val="auto"/>
              </w:rPr>
            </w:pPr>
            <w:r>
              <w:rPr>
                <w:rFonts w:ascii="Arial" w:cs="Arial" w:eastAsia="Arial" w:hAnsi="Arial"/>
                <w:sz w:val="17"/>
                <w:szCs w:val="17"/>
                <w:b w:val="1"/>
                <w:bCs w:val="1"/>
                <w:color w:val="auto"/>
              </w:rPr>
              <w:t>Successors</w:t>
            </w:r>
            <w:r>
              <w:rPr>
                <w:rFonts w:ascii="Arial" w:cs="Arial" w:eastAsia="Arial" w:hAnsi="Arial"/>
                <w:sz w:val="17"/>
                <w:szCs w:val="17"/>
                <w:color w:val="auto"/>
              </w:rPr>
              <w:t>.</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382"/>
        </w:trPr>
        <w:tc>
          <w:tcPr>
            <w:tcW w:w="920" w:type="dxa"/>
            <w:vAlign w:val="bottom"/>
          </w:tcPr>
          <w:p>
            <w:pPr>
              <w:spacing w:after="0"/>
              <w:rPr>
                <w:sz w:val="20"/>
                <w:szCs w:val="20"/>
                <w:color w:val="auto"/>
              </w:rPr>
            </w:pPr>
            <w:r>
              <w:rPr>
                <w:rFonts w:ascii="Arial" w:cs="Arial" w:eastAsia="Arial" w:hAnsi="Arial"/>
                <w:sz w:val="17"/>
                <w:szCs w:val="17"/>
                <w:color w:val="auto"/>
              </w:rPr>
              <w:t>6.1</w:t>
            </w:r>
          </w:p>
        </w:tc>
        <w:tc>
          <w:tcPr>
            <w:tcW w:w="10500" w:type="dxa"/>
            <w:vAlign w:val="bottom"/>
            <w:gridSpan w:val="4"/>
          </w:tcPr>
          <w:p>
            <w:pPr>
              <w:spacing w:after="0"/>
              <w:rPr>
                <w:sz w:val="20"/>
                <w:szCs w:val="20"/>
                <w:color w:val="auto"/>
              </w:rPr>
            </w:pPr>
            <w:r>
              <w:rPr>
                <w:rFonts w:ascii="Arial" w:cs="Arial" w:eastAsia="Arial" w:hAnsi="Arial"/>
                <w:sz w:val="17"/>
                <w:szCs w:val="17"/>
                <w:color w:val="auto"/>
                <w:w w:val="93"/>
              </w:rPr>
              <w:t>The Company’s Successors.  This Plan shall bind any successor (whether direct or indirect, by purchase, merger, consolidation or otherwise) to all or</w:t>
            </w: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substantially all of the business and/or assets of the Company, in the same manner and to the same extent that the Company would be obligated under this Plan if no succession had taken place. In the case of any transaction in which a successor would not by the foregoing provision or by operation of la 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Participant’s Successors</w:t>
      </w:r>
      <w:r>
        <w:rPr>
          <w:rFonts w:ascii="Arial" w:cs="Arial" w:eastAsia="Arial" w:hAnsi="Arial"/>
          <w:sz w:val="17"/>
          <w:szCs w:val="17"/>
          <w:color w:val="auto"/>
        </w:rPr>
        <w:t>. All rights of the Participant under this Plan will inure to the benefit of, and be enforceable by, the Participant's personal or legal representatives, executors, administrators, successors, heirs, distributees, devisees, legatees or other beneficiaries. If a Participant dies while any amount is payable to such Participant hereunder (other than amounts which, by their terms, terminate upon the death of the Participant) if such Participant had continued to live, all such amounts, unless otherwise provided herein, shall be paid in accordance with the terms of this Plan to the executors, personal representatives or administrators of such Participant's estate.</w:t>
      </w:r>
    </w:p>
    <w:p>
      <w:pPr>
        <w:sectPr>
          <w:pgSz w:w="11900" w:h="16841" w:orient="portrait"/>
          <w:cols w:equalWidth="0" w:num="1">
            <w:col w:w="11420"/>
          </w:cols>
          <w:pgMar w:left="240" w:top="328" w:right="239" w:bottom="0" w:gutter="0" w:footer="0" w:header="0"/>
        </w:sectPr>
      </w:pPr>
    </w:p>
    <w:bookmarkStart w:id="154" w:name="page155"/>
    <w:bookmarkEnd w:id="154"/>
    <w:p>
      <w:pPr>
        <w:spacing w:after="0"/>
        <w:tabs>
          <w:tab w:leader="none" w:pos="112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provided for in the Plan shall be in writing and shall be deemed to have been duly given when personally delivered or when mailed by United States registered or certified mail, return receipt requested and postage prepaid. In the case of a Participant, mailed notices will be sent to his or her home address most recently communicated to the Company in writing. In the case of the Company, mailed notices will be addressed to its corporate headquarters, and all notices will be directed to the attention of its Vice President, Human Resources.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a Participant’s employment by the Company for Cause or by a Participant for Good Reason will be communicated by a notice of termination to the other party given in accordance with Section 7.1 of the Plan.</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4"/>
          <w:szCs w:val="14"/>
          <w:b w:val="1"/>
          <w:bCs w:val="1"/>
          <w:u w:val="single" w:color="auto"/>
          <w:color w:val="auto"/>
        </w:rPr>
        <w:t>Miscellaneous</w:t>
      </w:r>
      <w:r>
        <w:rPr>
          <w:rFonts w:ascii="Arial" w:cs="Arial" w:eastAsia="Arial" w:hAnsi="Arial"/>
          <w:sz w:val="14"/>
          <w:szCs w:val="14"/>
          <w:color w:val="auto"/>
        </w:rPr>
        <w: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 Waiver</w:t>
      </w:r>
      <w:r>
        <w:rPr>
          <w:rFonts w:ascii="Arial" w:cs="Arial" w:eastAsia="Arial" w:hAnsi="Arial"/>
          <w:sz w:val="17"/>
          <w:szCs w:val="17"/>
          <w:color w:val="auto"/>
        </w:rPr>
        <w:t>. No waiver by the Company or any Participant, as the case may be, at any time of any lack of compliance with any condition or provision of this Plan to be performed by such other party shall be deemed a waiver of similar or dissimilar provisions or conditions at the same, or at any prior or subsequent time. All other plans, policies and arrangements of the Company in which the Participant participates during the term of this Plan shall be interpreted so as to avoid the duplication of benefits paid hereunder.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No Right to Employment</w:t>
      </w:r>
      <w:r>
        <w:rPr>
          <w:rFonts w:ascii="Arial" w:cs="Arial" w:eastAsia="Arial" w:hAnsi="Arial"/>
          <w:sz w:val="17"/>
          <w:szCs w:val="17"/>
          <w:color w:val="auto"/>
        </w:rPr>
        <w:t>. Nothing contained in this Plan or any documents relating to the Plan shall: (a) confer on a Participant any right to continue in the employ of the Company or a subsidiary, (b) constitute any contract or agreement of employment, or (c) interfere in any way with the right of the Company to terminate the Participant's employment at any time, with or without Cause.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Legal Fees and Expenses</w:t>
      </w:r>
      <w:r>
        <w:rPr>
          <w:rFonts w:ascii="Arial" w:cs="Arial" w:eastAsia="Arial" w:hAnsi="Arial"/>
          <w:sz w:val="15"/>
          <w:szCs w:val="15"/>
          <w:color w:val="auto"/>
        </w:rPr>
        <w:t>. If a Participant commences a legal action to enforce any of the obligations of the Company under this Plan and Participant prevails on the merits of the substantive issues in dispute in such proceeding, the Company shall pay the Participant the amount necessary to reimburse the Participant in full for all actual reasonable expenses (including reasonable attorneys' fees and legal expenses) incurred by the Participant with respect to such action.</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Plan Termination; Amendment of Plan</w:t>
      </w:r>
      <w:r>
        <w:rPr>
          <w:rFonts w:ascii="Arial" w:cs="Arial" w:eastAsia="Arial" w:hAnsi="Arial"/>
          <w:sz w:val="15"/>
          <w:szCs w:val="15"/>
          <w:color w:val="auto"/>
        </w:rPr>
        <w:t xml:space="preserve">. Prior to a Change in Control, the Plan may be amended or modified in any respect, and may be terminated, in any such case by resolution adopted by the Executive Compensation Committee of the Board; provided, however, that no such amendment, modification or termination that would adversely affect the benefits or protections hereunder of any individual who is a Participant as of the date such amendment, modification or termination is adopted shall be effective as it relates to such individual unless no Change in Control occurs within one year after such adoption, any such attempted amendment, modification or termination adopted within one year prior to a Chan ge in Control being null and void ab initio as it relates to all such individuals who were Participants prior to such adoption (it being understood, however, that the hiring, termination of employment, promotion or demotion of any employee of the Company prior to a Change in Control shall not be construed to be an amendment, modification or termination of the Plan); provided, further, however, that the Plan may not be amended, modified or terminated, (i) at the request of a third party who has indicated an intention or taken steps to effect a Change in Control and who effectuates a Change in Control or (ii) otherwise in connection with, or in anticipation of, a Change in Control which actually occurs, any such attempted amendment, modification or termination being null and void ab initio. Any action taken to amend, modify or terminate the Plan which is taken after the execution of an agreement providing for a transaction or transactions which, if consummated, would constitute a Change in Control s hall conclusively be presumed to have been taken in connection with a Change in Control. From and after the occurrence of a Change in Control, the Plan may not be amended or modified in any manner that would in any way adversely affect the benefits or protections provided hereunder to any individual who is a Participant in the Plan on the date the Change in Control occurs. From and after the occurrence of a Change in Control, except to the extent specifically permitted by the last sentence of Section 3.1, the revision of the Separation Agreement and Release, attached hereto as </w:t>
      </w:r>
      <w:r>
        <w:rPr>
          <w:rFonts w:ascii="Arial" w:cs="Arial" w:eastAsia="Arial" w:hAnsi="Arial"/>
          <w:sz w:val="15"/>
          <w:szCs w:val="15"/>
          <w:u w:val="single" w:color="auto"/>
          <w:color w:val="auto"/>
        </w:rPr>
        <w:t>Appendix A</w:t>
      </w:r>
      <w:r>
        <w:rPr>
          <w:rFonts w:ascii="Arial" w:cs="Arial" w:eastAsia="Arial" w:hAnsi="Arial"/>
          <w:sz w:val="15"/>
          <w:szCs w:val="15"/>
          <w:color w:val="auto"/>
        </w:rPr>
        <w:t>, shall be deemed to be a modification of the Plan for purposes of this Section 8.4. If a Change in Control occurs, this Plan shall continue in full force and effect and shall not terminate or expire until after all Participants who have become entitled to Change in Control Severance Payments hereunder shall have received such pa yments in full.</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Benefits not Assignable</w:t>
      </w:r>
      <w:r>
        <w:rPr>
          <w:rFonts w:ascii="Arial" w:cs="Arial" w:eastAsia="Arial" w:hAnsi="Arial"/>
          <w:sz w:val="17"/>
          <w:szCs w:val="17"/>
          <w:color w:val="auto"/>
        </w:rPr>
        <w:t>. Except as otherwise provided herein or by law, no right or interest of a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 Participant under the Plan shall be liable for, or subject to, any obligation or liability of such Participant. When a payment is due pursuant this Plan to a Participant who is unable to care for his or her affairs, payment may be made directly to his or her legal guardian or persona l representative.</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5"/>
          <w:szCs w:val="15"/>
          <w:u w:val="single" w:color="auto"/>
          <w:color w:val="auto"/>
        </w:rPr>
        <w:t>Tax Withholding</w:t>
      </w:r>
      <w:r>
        <w:rPr>
          <w:rFonts w:ascii="Arial" w:cs="Arial" w:eastAsia="Arial" w:hAnsi="Arial"/>
          <w:sz w:val="15"/>
          <w:szCs w:val="15"/>
          <w:color w:val="auto"/>
        </w:rPr>
        <w:t>. All amounts payable hereunder shall be subject to withholding of applicable federal, state and local taxes.</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Minnesota Law</w:t>
      </w:r>
      <w:r>
        <w:rPr>
          <w:rFonts w:ascii="Arial" w:cs="Arial" w:eastAsia="Arial" w:hAnsi="Arial"/>
          <w:sz w:val="16"/>
          <w:szCs w:val="16"/>
          <w:color w:val="auto"/>
        </w:rPr>
        <w:t>. This Plan will be construed and interpreted, and the rights of the Company and Participants will be determined in accordance with, the laws of the State of Minnesota (without regard to the conflicts of laws principles thereof), to the extent not preempted by federal law, which shall otherwise control.</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of this Plan shall not affect the validity or enforceability of any other provision of this Plan, which shall remain in full force and effect. If this Plan shall for any reason be or become unenforceable by either party, this Plan shall thereupon terminate and become unenforceable by the other party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349250</wp:posOffset>
            </wp:positionV>
            <wp:extent cx="726059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55" w:name="page156"/>
    <w:bookmarkEnd w:id="155"/>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OW</w:t>
      </w:r>
      <w:r>
        <w:rPr>
          <w:rFonts w:ascii="Arial" w:cs="Arial" w:eastAsia="Arial" w:hAnsi="Arial"/>
          <w:sz w:val="15"/>
          <w:szCs w:val="15"/>
          <w:color w:val="auto"/>
        </w:rPr>
        <w:t xml:space="preserve">, </w:t>
      </w:r>
      <w:r>
        <w:rPr>
          <w:rFonts w:ascii="Arial" w:cs="Arial" w:eastAsia="Arial" w:hAnsi="Arial"/>
          <w:sz w:val="10"/>
          <w:szCs w:val="10"/>
          <w:color w:val="auto"/>
        </w:rPr>
        <w:t>THEREFORE</w:t>
      </w:r>
      <w:r>
        <w:rPr>
          <w:rFonts w:ascii="Arial" w:cs="Arial" w:eastAsia="Arial" w:hAnsi="Arial"/>
          <w:sz w:val="15"/>
          <w:szCs w:val="15"/>
          <w:color w:val="auto"/>
        </w:rPr>
        <w:t>, ALLETE has adopted this Amended and Restated Change in Control Severance Plan effective as of the 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ALLETE,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____________________________________</w:t>
      </w:r>
    </w:p>
    <w:p>
      <w:pPr>
        <w:spacing w:after="0" w:line="207"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Name: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Its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751205</wp:posOffset>
            </wp:positionV>
            <wp:extent cx="72605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668"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u w:val="single" w:color="auto"/>
          <w:color w:val="auto"/>
        </w:rPr>
        <w:t>Appendix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SEPARATION AGREEMENT AND RELEASE</w:t>
      </w:r>
    </w:p>
    <w:p>
      <w:pPr>
        <w:spacing w:after="0" w:line="195"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6"/>
          <w:szCs w:val="16"/>
          <w:color w:val="auto"/>
          <w:highlight w:val="lightGray"/>
        </w:rPr>
        <w:t>&lt;&lt; [full name] &gt;&gt;</w:t>
      </w:r>
      <w:r>
        <w:rPr>
          <w:rFonts w:ascii="Arial" w:cs="Arial" w:eastAsia="Arial" w:hAnsi="Arial"/>
          <w:sz w:val="16"/>
          <w:szCs w:val="16"/>
          <w:color w:val="auto"/>
        </w:rPr>
        <w:t xml:space="preserve"> (“Executive”) is a Participant of the Amended and Restated ALLETE and Affiliated Companies Change in Control Severance Plan (“the Plan”), and whereas Executive’s employment with </w:t>
      </w:r>
      <w:r>
        <w:rPr>
          <w:rFonts w:ascii="Arial" w:cs="Arial" w:eastAsia="Arial" w:hAnsi="Arial"/>
          <w:sz w:val="16"/>
          <w:szCs w:val="16"/>
          <w:color w:val="auto"/>
          <w:highlight w:val="lightGray"/>
        </w:rPr>
        <w:t>&lt;&lt;ALLETE, Inc. or applicable Affiliate &gt;&gt;</w:t>
      </w:r>
      <w:r>
        <w:rPr>
          <w:rFonts w:ascii="Arial" w:cs="Arial" w:eastAsia="Arial" w:hAnsi="Arial"/>
          <w:sz w:val="16"/>
          <w:szCs w:val="16"/>
          <w:color w:val="auto"/>
        </w:rPr>
        <w:t xml:space="preserve"> (together with all affiliates of ALLETE, Inc., the “Company”) terminated effective </w:t>
      </w:r>
      <w:r>
        <w:rPr>
          <w:rFonts w:ascii="Arial" w:cs="Arial" w:eastAsia="Arial" w:hAnsi="Arial"/>
          <w:sz w:val="16"/>
          <w:szCs w:val="16"/>
          <w:color w:val="auto"/>
          <w:highlight w:val="lightGray"/>
        </w:rPr>
        <w:t>&lt;&lt;Termination Date&gt;&gt;</w:t>
      </w:r>
      <w:r>
        <w:rPr>
          <w:rFonts w:ascii="Arial" w:cs="Arial" w:eastAsia="Arial" w:hAnsi="Arial"/>
          <w:sz w:val="16"/>
          <w:szCs w:val="16"/>
          <w:color w:val="auto"/>
        </w:rPr>
        <w:t xml:space="preserve"> (“&lt;&lt;”</w:t>
      </w:r>
      <w:r>
        <w:rPr>
          <w:rFonts w:ascii="Arial" w:cs="Arial" w:eastAsia="Arial" w:hAnsi="Arial"/>
          <w:sz w:val="16"/>
          <w:szCs w:val="16"/>
          <w:color w:val="auto"/>
          <w:highlight w:val="lightGray"/>
        </w:rPr>
        <w:t>Termination Date” / “Retirement Date</w:t>
      </w:r>
      <w:r>
        <w:rPr>
          <w:rFonts w:ascii="Arial" w:cs="Arial" w:eastAsia="Arial" w:hAnsi="Arial"/>
          <w:sz w:val="16"/>
          <w:szCs w:val="16"/>
          <w:color w:val="auto"/>
        </w:rPr>
        <w:t xml:space="preserve">”&gt;&gt;)under circumstances that make Executive eligible to receive certain compens ation and other benefits under the Plan, and whereas Executive enters into this Separation Agreement and Release (“Agreement”) of </w:t>
      </w:r>
      <w:r>
        <w:rPr>
          <w:rFonts w:ascii="Arial" w:cs="Arial" w:eastAsia="Arial" w:hAnsi="Arial"/>
          <w:sz w:val="16"/>
          <w:szCs w:val="16"/>
          <w:color w:val="auto"/>
          <w:highlight w:val="lightGray"/>
        </w:rPr>
        <w:t>&lt;&lt; [his / her] &gt;&gt;</w:t>
      </w:r>
      <w:r>
        <w:rPr>
          <w:rFonts w:ascii="Arial" w:cs="Arial" w:eastAsia="Arial" w:hAnsi="Arial"/>
          <w:sz w:val="16"/>
          <w:szCs w:val="16"/>
          <w:color w:val="auto"/>
        </w:rPr>
        <w:t xml:space="preserve"> own free will and deed; therefore, as of the date written below the Company and Executive agree as follows:</w:t>
      </w:r>
    </w:p>
    <w:p>
      <w:pPr>
        <w:spacing w:after="0" w:line="168" w:lineRule="exact"/>
        <w:rPr>
          <w:sz w:val="20"/>
          <w:szCs w:val="20"/>
          <w:color w:val="auto"/>
        </w:rPr>
      </w:pPr>
    </w:p>
    <w:p>
      <w:pPr>
        <w:ind w:firstLine="302"/>
        <w:spacing w:after="0" w:line="300" w:lineRule="auto"/>
        <w:tabs>
          <w:tab w:leader="none" w:pos="53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Separation Benefit</w:t>
      </w:r>
      <w:r>
        <w:rPr>
          <w:rFonts w:ascii="Arial" w:cs="Arial" w:eastAsia="Arial" w:hAnsi="Arial"/>
          <w:sz w:val="16"/>
          <w:szCs w:val="16"/>
          <w:color w:val="auto"/>
        </w:rPr>
        <w:t>. Executive will receive from the Company the payment and other benefits provided by the Plan and delivered in accordance with the Plan provided that this Agreement becomes effective and Executive has not rescinded the Agreement within the Reconsideration Period (defined below).</w:t>
      </w:r>
    </w:p>
    <w:p>
      <w:pPr>
        <w:spacing w:after="0" w:line="143" w:lineRule="exact"/>
        <w:rPr>
          <w:rFonts w:ascii="Arial" w:cs="Arial" w:eastAsia="Arial" w:hAnsi="Arial"/>
          <w:sz w:val="16"/>
          <w:szCs w:val="16"/>
          <w:color w:val="auto"/>
        </w:rPr>
      </w:pPr>
    </w:p>
    <w:p>
      <w:pPr>
        <w:jc w:val="both"/>
        <w:ind w:firstLine="302"/>
        <w:spacing w:after="0" w:line="254" w:lineRule="auto"/>
        <w:tabs>
          <w:tab w:leader="none" w:pos="52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From the &lt;&lt;</w:t>
      </w:r>
      <w:r>
        <w:rPr>
          <w:rFonts w:ascii="Arial" w:cs="Arial" w:eastAsia="Arial" w:hAnsi="Arial"/>
          <w:sz w:val="17"/>
          <w:szCs w:val="17"/>
          <w:color w:val="auto"/>
          <w:highlight w:val="lightGray"/>
        </w:rPr>
        <w:t>Termination Date” / “Retirement Date</w:t>
      </w:r>
      <w:r>
        <w:rPr>
          <w:rFonts w:ascii="Arial" w:cs="Arial" w:eastAsia="Arial" w:hAnsi="Arial"/>
          <w:sz w:val="17"/>
          <w:szCs w:val="17"/>
          <w:color w:val="auto"/>
        </w:rPr>
        <w:t>&gt;&gt; and for a period continuing through the date that twenty four (24) months following the later of the &lt;&lt;</w:t>
      </w:r>
      <w:r>
        <w:rPr>
          <w:rFonts w:ascii="Arial" w:cs="Arial" w:eastAsia="Arial" w:hAnsi="Arial"/>
          <w:sz w:val="17"/>
          <w:szCs w:val="17"/>
          <w:color w:val="auto"/>
          <w:highlight w:val="lightGray"/>
        </w:rPr>
        <w:t>Termination Date” / “Retirement Date</w:t>
      </w:r>
      <w:r>
        <w:rPr>
          <w:rFonts w:ascii="Arial" w:cs="Arial" w:eastAsia="Arial" w:hAnsi="Arial"/>
          <w:sz w:val="17"/>
          <w:szCs w:val="17"/>
          <w:color w:val="auto"/>
        </w:rPr>
        <w:t>&gt;&gt; or a Change in Control (as defined in the Plan) Executive will not solicit, or assist any Person (as defined in the Plan) in the solicitation of, any director, officer or employee of the Company for employment other than with the Company, or otherwise interfere with or disrupt any employment relationship (contractual or otherwise) of the Company.</w:t>
      </w:r>
    </w:p>
    <w:p>
      <w:pPr>
        <w:spacing w:after="0" w:line="178" w:lineRule="exact"/>
        <w:rPr>
          <w:rFonts w:ascii="Arial" w:cs="Arial" w:eastAsia="Arial" w:hAnsi="Arial"/>
          <w:sz w:val="17"/>
          <w:szCs w:val="17"/>
          <w:color w:val="auto"/>
        </w:rPr>
      </w:pPr>
    </w:p>
    <w:p>
      <w:pPr>
        <w:jc w:val="both"/>
        <w:ind w:firstLine="302"/>
        <w:spacing w:after="0" w:line="284" w:lineRule="auto"/>
        <w:tabs>
          <w:tab w:leader="none" w:pos="511"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For a period of twelve (12) months following the later of the &lt;&lt;</w:t>
      </w:r>
      <w:r>
        <w:rPr>
          <w:rFonts w:ascii="Arial" w:cs="Arial" w:eastAsia="Arial" w:hAnsi="Arial"/>
          <w:sz w:val="15"/>
          <w:szCs w:val="15"/>
          <w:color w:val="auto"/>
          <w:highlight w:val="lightGray"/>
        </w:rPr>
        <w:t>Termination Date” / “Retirement Date</w:t>
      </w:r>
      <w:r>
        <w:rPr>
          <w:rFonts w:ascii="Arial" w:cs="Arial" w:eastAsia="Arial" w:hAnsi="Arial"/>
          <w:sz w:val="15"/>
          <w:szCs w:val="15"/>
          <w:color w:val="auto"/>
        </w:rPr>
        <w:t>&gt;&gt; or a Change in Control (as defined in the Plan) Executive will not, without the written express consent of the Company, directly or indirectly, alone or as a partner, owner, officer, director, employee, or consultant of any other firm, business or entity, engage in any activity in competition with the Company. This prohibition will apply only to activities in which the Company is engaged at any time during the Executive’s employment with the Company and only with respect to those geographic regions in which the Company is</w:t>
      </w:r>
    </w:p>
    <w:p>
      <w:pPr>
        <w:spacing w:after="0"/>
        <w:rPr>
          <w:sz w:val="20"/>
          <w:szCs w:val="20"/>
          <w:color w:val="auto"/>
        </w:rPr>
      </w:pPr>
      <w:r>
        <w:rPr>
          <w:rFonts w:ascii="Arial" w:cs="Arial" w:eastAsia="Arial" w:hAnsi="Arial"/>
          <w:sz w:val="16"/>
          <w:szCs w:val="16"/>
          <w:color w:val="auto"/>
        </w:rPr>
        <w:t xml:space="preserve">engaged in such business activities or reasonably anticipates engaging in such business activities. </w:t>
      </w:r>
      <w:r>
        <w:rPr>
          <w:rFonts w:ascii="Arial" w:cs="Arial" w:eastAsia="Arial" w:hAnsi="Arial"/>
          <w:sz w:val="16"/>
          <w:szCs w:val="16"/>
          <w:color w:val="auto"/>
          <w:highlight w:val="lightGray"/>
        </w:rPr>
        <w:t>&lt;&lt; Provide specific areas or examples as appropriate</w:t>
      </w:r>
    </w:p>
    <w:p>
      <w:pPr>
        <w:spacing w:after="0" w:line="17" w:lineRule="exact"/>
        <w:rPr>
          <w:sz w:val="20"/>
          <w:szCs w:val="20"/>
          <w:color w:val="auto"/>
        </w:rPr>
      </w:pPr>
    </w:p>
    <w:p>
      <w:pPr>
        <w:ind w:firstLine="1"/>
        <w:spacing w:after="0" w:line="253" w:lineRule="auto"/>
        <w:tabs>
          <w:tab w:leader="none" w:pos="360" w:val="left"/>
        </w:tabs>
        <w:numPr>
          <w:ilvl w:val="0"/>
          <w:numId w:val="72"/>
        </w:numPr>
        <w:rPr>
          <w:rFonts w:ascii="Arial" w:cs="Arial" w:eastAsia="Arial" w:hAnsi="Arial"/>
          <w:sz w:val="17"/>
          <w:szCs w:val="17"/>
          <w:color w:val="auto"/>
          <w:highlight w:val="lightGray"/>
        </w:rPr>
      </w:pPr>
      <w:r>
        <w:rPr>
          <w:rFonts w:ascii="Arial" w:cs="Arial" w:eastAsia="Arial" w:hAnsi="Arial"/>
          <w:sz w:val="17"/>
          <w:szCs w:val="17"/>
          <w:color w:val="auto"/>
        </w:rPr>
        <w:t>Notwithstanding the foregoing, nothing herein shall prohibit Executive from owning stock of any corporation, if such stock is traded on a recognized national securities exchange.</w:t>
      </w:r>
    </w:p>
    <w:p>
      <w:pPr>
        <w:spacing w:after="0" w:line="179" w:lineRule="exact"/>
        <w:rPr>
          <w:rFonts w:ascii="Arial" w:cs="Arial" w:eastAsia="Arial" w:hAnsi="Arial"/>
          <w:sz w:val="17"/>
          <w:szCs w:val="17"/>
          <w:color w:val="auto"/>
          <w:highlight w:val="lightGray"/>
        </w:rPr>
      </w:pPr>
    </w:p>
    <w:p>
      <w:pPr>
        <w:jc w:val="both"/>
        <w:ind w:firstLine="356"/>
        <w:spacing w:after="0" w:line="250" w:lineRule="auto"/>
        <w:tabs>
          <w:tab w:leader="none" w:pos="570" w:val="left"/>
        </w:tabs>
        <w:numPr>
          <w:ilvl w:val="2"/>
          <w:numId w:val="7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For a period of twelve (12) months following the later of the &lt;&lt;</w:t>
      </w:r>
      <w:r>
        <w:rPr>
          <w:rFonts w:ascii="Arial" w:cs="Arial" w:eastAsia="Arial" w:hAnsi="Arial"/>
          <w:sz w:val="17"/>
          <w:szCs w:val="17"/>
          <w:color w:val="auto"/>
          <w:highlight w:val="lightGray"/>
        </w:rPr>
        <w:t>Termination Date” / “Retirement Date</w:t>
      </w:r>
      <w:r>
        <w:rPr>
          <w:rFonts w:ascii="Arial" w:cs="Arial" w:eastAsia="Arial" w:hAnsi="Arial"/>
          <w:sz w:val="17"/>
          <w:szCs w:val="17"/>
          <w:color w:val="auto"/>
        </w:rPr>
        <w:t>&gt;&gt; or a Change in Control (as defined in the Plan) Executive will not, directly or indirectly, knowingly and materially disparage, criticize, or otherwise make derogatory statements regarding the Company or any aspect of management policies, operations, practices, or personnel of the Company. Notwithstanding the foregoing, nothing contained herein will be deemed to restrict the Participant from providing information to any governmental or regulatory agency (or in any way limit the content of such information) to the extent the Participant is required to provide such information pursuant to applicable law or regulation; nor will the foregoing restrict the Participant from enforcing his or her rights under this Agreement or the Plan. The Company promises that its officers will not disparage Executive, and will do nothing intentionally calculated to harm the Executive’s reputation.</w:t>
      </w:r>
    </w:p>
    <w:p>
      <w:pPr>
        <w:spacing w:after="0" w:line="183" w:lineRule="exact"/>
        <w:rPr>
          <w:rFonts w:ascii="Arial" w:cs="Arial" w:eastAsia="Arial" w:hAnsi="Arial"/>
          <w:sz w:val="17"/>
          <w:szCs w:val="17"/>
          <w:color w:val="auto"/>
        </w:rPr>
      </w:pPr>
    </w:p>
    <w:p>
      <w:pPr>
        <w:jc w:val="both"/>
        <w:ind w:firstLine="302"/>
        <w:spacing w:after="0" w:line="271" w:lineRule="auto"/>
        <w:tabs>
          <w:tab w:leader="none" w:pos="561"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Non Disclosure.</w:t>
      </w:r>
      <w:r>
        <w:rPr>
          <w:rFonts w:ascii="Arial" w:cs="Arial" w:eastAsia="Arial" w:hAnsi="Arial"/>
          <w:sz w:val="16"/>
          <w:szCs w:val="16"/>
          <w:color w:val="auto"/>
        </w:rPr>
        <w:t xml:space="preserve"> Executive agrees to keep confidential all information and trade secrets to which Executive has had access during and in the course of Executive’s employment by the Company, (whether written, prepared or made by him or others), including but not limited to the terms of this Agreement, the business practices, strategies, and opportunities of the Company, and any other non-public information relating to the Company’s business. Notwithstanding the foregoing, Executive may reveal the existence of this Agreement, its terms and conditions, and the facts and circumstances leading up to this Agreement with Executive’s spouse, attorneys, accountants, tax consultants, and to state and federal tax authorities or as may be required by law.</w:t>
      </w:r>
    </w:p>
    <w:p>
      <w:pPr>
        <w:spacing w:after="0" w:line="168" w:lineRule="exact"/>
        <w:rPr>
          <w:rFonts w:ascii="Arial" w:cs="Arial" w:eastAsia="Arial" w:hAnsi="Arial"/>
          <w:sz w:val="16"/>
          <w:szCs w:val="16"/>
          <w:color w:val="auto"/>
        </w:rPr>
      </w:pPr>
    </w:p>
    <w:p>
      <w:pPr>
        <w:jc w:val="both"/>
        <w:ind w:firstLine="302"/>
        <w:spacing w:after="0" w:line="285" w:lineRule="auto"/>
        <w:tabs>
          <w:tab w:leader="none" w:pos="549"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Waiver and Release</w:t>
      </w:r>
      <w:r>
        <w:rPr>
          <w:rFonts w:ascii="Arial" w:cs="Arial" w:eastAsia="Arial" w:hAnsi="Arial"/>
          <w:sz w:val="15"/>
          <w:szCs w:val="15"/>
          <w:color w:val="auto"/>
        </w:rPr>
        <w:t>. Except with respect to Executive’s rights under this Agreement and the Plan, Executive on behalf of himself and his heirs, executors, administrators, representatives, successors and assigns, agrees to release and forever discharge ALLETE, Inc., and its affiliates, subsidiaries, predecessors, successors, related entities, insurers and the current and former officers, directors, shareholders, employees, attorneys, agents and trustees or administrators of any benefit plan of each of the foregoing (any and all of which are referred to as “Releasees”) generally from any and all charges, complaints, claims, promises, agreements, causes of actions, damages, and debts of any nature whatsoever, known or unknown (collective ly “Claims”), which Executive has, claims to have, ever had, or ever claimed to have had against Releasees up through the date of execution of this Agreement, including but not limited to any Claims under the common law or any statute. This waiver and release includes but is not limited to any rights, remedies, claims, and causes of action under the Minnesota Human Rights Act, Title VII of the Civil Rights Act of 1964, as amended, the Age Discrimination in Employment Act of 1967, the Employee Retirement Income Securities Act of 1974, as amended, (but only as to claims arising thereunder prior to the date hereof) the Older Workers Benefit Protection Act, the Americans with Disabilities Act, the Family Medical Leave Act, state unemployment compensation benefits, and any other federal, state or local discrimination or civil rights statute or any federal, state or local ordinance of any kind, any tort theory, any contract theory and any equitable theory, and all claims for back pay, front pay, vacation pay, or sick pay, excepting only:</w:t>
      </w:r>
    </w:p>
    <w:p>
      <w:pPr>
        <w:spacing w:after="0" w:line="161" w:lineRule="exact"/>
        <w:rPr>
          <w:sz w:val="20"/>
          <w:szCs w:val="20"/>
          <w:color w:val="auto"/>
        </w:rPr>
      </w:pPr>
    </w:p>
    <w:p>
      <w:pPr>
        <w:ind w:left="560" w:hanging="308"/>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rights of the Executive under this Separation Agreement and Release and the Plan;</w:t>
      </w:r>
    </w:p>
    <w:p>
      <w:pPr>
        <w:spacing w:after="0" w:line="206" w:lineRule="exact"/>
        <w:rPr>
          <w:rFonts w:ascii="Arial" w:cs="Arial" w:eastAsia="Arial" w:hAnsi="Arial"/>
          <w:sz w:val="17"/>
          <w:szCs w:val="17"/>
          <w:color w:val="auto"/>
        </w:rPr>
      </w:pPr>
    </w:p>
    <w:p>
      <w:pPr>
        <w:ind w:left="580" w:hanging="328"/>
        <w:spacing w:after="0"/>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rights of the Executive relating to equity awards held by the Executive as of his or her Termination Date (as defined in the Plan);</w:t>
      </w:r>
    </w:p>
    <w:p>
      <w:pPr>
        <w:spacing w:after="0" w:line="206" w:lineRule="exact"/>
        <w:rPr>
          <w:rFonts w:ascii="Arial" w:cs="Arial" w:eastAsia="Arial" w:hAnsi="Arial"/>
          <w:sz w:val="17"/>
          <w:szCs w:val="17"/>
          <w:color w:val="auto"/>
        </w:rPr>
      </w:pPr>
    </w:p>
    <w:p>
      <w:pPr>
        <w:ind w:left="560" w:hanging="308"/>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right of the Executive to receive COBRA continuation coverage in accordance with applicable law;</w:t>
      </w:r>
    </w:p>
    <w:p>
      <w:pPr>
        <w:spacing w:after="0" w:line="206" w:lineRule="exact"/>
        <w:rPr>
          <w:rFonts w:ascii="Arial" w:cs="Arial" w:eastAsia="Arial" w:hAnsi="Arial"/>
          <w:sz w:val="17"/>
          <w:szCs w:val="17"/>
          <w:color w:val="auto"/>
        </w:rPr>
      </w:pPr>
    </w:p>
    <w:p>
      <w:pPr>
        <w:ind w:firstLine="272"/>
        <w:spacing w:after="0" w:line="268" w:lineRule="auto"/>
        <w:tabs>
          <w:tab w:leader="none" w:pos="603" w:val="left"/>
        </w:tabs>
        <w:numPr>
          <w:ilvl w:val="2"/>
          <w:numId w:val="74"/>
        </w:numPr>
        <w:rPr>
          <w:rFonts w:ascii="Arial" w:cs="Arial" w:eastAsia="Arial" w:hAnsi="Arial"/>
          <w:sz w:val="17"/>
          <w:szCs w:val="17"/>
          <w:color w:val="auto"/>
        </w:rPr>
      </w:pPr>
      <w:r>
        <w:rPr>
          <w:rFonts w:ascii="Arial" w:cs="Arial" w:eastAsia="Arial" w:hAnsi="Arial"/>
          <w:sz w:val="17"/>
          <w:szCs w:val="17"/>
          <w:color w:val="auto"/>
        </w:rPr>
        <w:t>rights to indemnification the Executive may have (i) under applicable corporate law, (ii) under the by-laws or certificate of incorporation of any Releasee or (iii) as an insured under any director's and officer's liability insurance policy now or previously in force;</w:t>
      </w:r>
    </w:p>
    <w:p>
      <w:pPr>
        <w:spacing w:after="0" w:line="166" w:lineRule="exact"/>
        <w:rPr>
          <w:rFonts w:ascii="Arial" w:cs="Arial" w:eastAsia="Arial" w:hAnsi="Arial"/>
          <w:sz w:val="17"/>
          <w:szCs w:val="17"/>
          <w:color w:val="auto"/>
        </w:rPr>
      </w:pPr>
    </w:p>
    <w:p>
      <w:pPr>
        <w:ind w:firstLine="257"/>
        <w:spacing w:after="0" w:line="300" w:lineRule="auto"/>
        <w:tabs>
          <w:tab w:leader="none" w:pos="570" w:val="left"/>
        </w:tabs>
        <w:numPr>
          <w:ilvl w:val="1"/>
          <w:numId w:val="74"/>
        </w:numPr>
        <w:rPr>
          <w:rFonts w:ascii="Arial" w:cs="Arial" w:eastAsia="Arial" w:hAnsi="Arial"/>
          <w:sz w:val="16"/>
          <w:szCs w:val="16"/>
          <w:color w:val="auto"/>
        </w:rPr>
      </w:pPr>
      <w:r>
        <w:rPr>
          <w:rFonts w:ascii="Arial" w:cs="Arial" w:eastAsia="Arial" w:hAnsi="Arial"/>
          <w:sz w:val="16"/>
          <w:szCs w:val="16"/>
          <w:color w:val="auto"/>
        </w:rPr>
        <w:t>claims (i) for benefits under any health, disability, retirement, deferred compensation, life insurance or other, similar Executive benefit plan or arrangement of the Company and (ii) for earned but unused vacation pay through the Termination Date in accordance with applicable Company policy; and</w:t>
      </w:r>
    </w:p>
    <w:p>
      <w:pPr>
        <w:spacing w:after="0" w:line="143" w:lineRule="exact"/>
        <w:rPr>
          <w:rFonts w:ascii="Arial" w:cs="Arial" w:eastAsia="Arial" w:hAnsi="Arial"/>
          <w:sz w:val="16"/>
          <w:szCs w:val="16"/>
          <w:color w:val="auto"/>
        </w:rPr>
      </w:pPr>
    </w:p>
    <w:p>
      <w:pPr>
        <w:ind w:left="540" w:hanging="288"/>
        <w:spacing w:after="0"/>
        <w:tabs>
          <w:tab w:leader="none" w:pos="5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claims for the reimbursement of unreimbursed business expenses incurred prior to the Termination Date pursuant to applicable Company policy.</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 xml:space="preserve">Executive has been provided a period of twenty-one (21) days to consider this Agreement before executing it. Executive has had an opportunity to discuss this agreement with Executive’s attorney or other adviser </w:t>
      </w:r>
      <w:r>
        <w:rPr>
          <w:rFonts w:ascii="Arial" w:cs="Arial" w:eastAsia="Arial" w:hAnsi="Arial"/>
          <w:sz w:val="15"/>
          <w:szCs w:val="15"/>
          <w:color w:val="auto"/>
          <w:highlight w:val="lightGray"/>
        </w:rPr>
        <w:t>&lt;&lt; [he / she] &gt;&gt;</w:t>
      </w:r>
      <w:r>
        <w:rPr>
          <w:rFonts w:ascii="Arial" w:cs="Arial" w:eastAsia="Arial" w:hAnsi="Arial"/>
          <w:sz w:val="15"/>
          <w:szCs w:val="15"/>
          <w:color w:val="auto"/>
        </w:rPr>
        <w:t xml:space="preserve"> had determined to be appropriate. Executive may rescind this waiver and release of claims within fifteen</w:t>
      </w:r>
    </w:p>
    <w:p>
      <w:pPr>
        <w:ind w:firstLine="1"/>
        <w:spacing w:after="0" w:line="253" w:lineRule="auto"/>
        <w:tabs>
          <w:tab w:leader="none" w:pos="323" w:val="left"/>
        </w:tabs>
        <w:numPr>
          <w:ilvl w:val="0"/>
          <w:numId w:val="75"/>
        </w:numPr>
        <w:rPr>
          <w:rFonts w:ascii="Arial" w:cs="Arial" w:eastAsia="Arial" w:hAnsi="Arial"/>
          <w:sz w:val="17"/>
          <w:szCs w:val="17"/>
          <w:color w:val="auto"/>
        </w:rPr>
      </w:pPr>
      <w:r>
        <w:rPr>
          <w:rFonts w:ascii="Arial" w:cs="Arial" w:eastAsia="Arial" w:hAnsi="Arial"/>
          <w:sz w:val="17"/>
          <w:szCs w:val="17"/>
          <w:color w:val="auto"/>
        </w:rPr>
        <w:t>days of the date of this Agreement, (the “Reconsideration Period”) in which event the Company shall have no obligation to pay the benefits described in paragraph 1 above or otherwise provided under the Plan.</w:t>
      </w:r>
    </w:p>
    <w:p>
      <w:pPr>
        <w:spacing w:after="0" w:line="179" w:lineRule="exact"/>
        <w:rPr>
          <w:rFonts w:ascii="Arial" w:cs="Arial" w:eastAsia="Arial" w:hAnsi="Arial"/>
          <w:sz w:val="17"/>
          <w:szCs w:val="17"/>
          <w:color w:val="auto"/>
        </w:rPr>
      </w:pPr>
    </w:p>
    <w:p>
      <w:pPr>
        <w:ind w:firstLine="302"/>
        <w:spacing w:after="0" w:line="300" w:lineRule="auto"/>
        <w:tabs>
          <w:tab w:leader="none" w:pos="536"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Should any provision of this agreement be held invalid or illegal, such illegality shall not invalidate the whole of this agreement, but, rather, the agreement shall be construed as if it did not contain the illegal part, and the rights and obligations of the parties shall be construed and enforced accordingly.</w:t>
      </w:r>
    </w:p>
    <w:p>
      <w:pPr>
        <w:spacing w:after="0" w:line="143" w:lineRule="exact"/>
        <w:rPr>
          <w:rFonts w:ascii="Arial" w:cs="Arial" w:eastAsia="Arial" w:hAnsi="Arial"/>
          <w:sz w:val="16"/>
          <w:szCs w:val="16"/>
          <w:color w:val="auto"/>
        </w:rPr>
      </w:pPr>
    </w:p>
    <w:p>
      <w:pPr>
        <w:ind w:firstLine="302"/>
        <w:spacing w:after="0" w:line="268" w:lineRule="auto"/>
        <w:tabs>
          <w:tab w:leader="none" w:pos="536"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Voluntary Agreement</w:t>
      </w:r>
      <w:r>
        <w:rPr>
          <w:rFonts w:ascii="Arial" w:cs="Arial" w:eastAsia="Arial" w:hAnsi="Arial"/>
          <w:sz w:val="17"/>
          <w:szCs w:val="17"/>
          <w:color w:val="auto"/>
        </w:rPr>
        <w:t>. This Agreement is entered into on a completely voluntary basis by both Executive and Minnesota Power, and represents the complete agreement between the parties, superseding any previous agreements.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The date of this Agreement shall be dated </w:t>
      </w:r>
      <w:r>
        <w:rPr>
          <w:rFonts w:ascii="Arial" w:cs="Arial" w:eastAsia="Arial" w:hAnsi="Arial"/>
          <w:sz w:val="17"/>
          <w:szCs w:val="17"/>
          <w:color w:val="auto"/>
          <w:highlight w:val="lightGray"/>
        </w:rPr>
        <w:t>&lt;&lt; ______________________&gt;&gt;.</w:t>
      </w:r>
    </w:p>
    <w:p>
      <w:pPr>
        <w:sectPr>
          <w:pgSz w:w="11900" w:h="16838" w:orient="portrait"/>
          <w:cols w:equalWidth="0" w:num="1">
            <w:col w:w="11420"/>
          </w:cols>
          <w:pgMar w:left="240" w:top="466" w:right="239" w:bottom="0" w:gutter="0" w:footer="0" w:header="0"/>
        </w:sectPr>
      </w:pPr>
    </w:p>
    <w:bookmarkStart w:id="157" w:name="page158"/>
    <w:bookmarkEnd w:id="157"/>
    <w:p>
      <w:pPr>
        <w:spacing w:after="0"/>
        <w:rPr>
          <w:sz w:val="20"/>
          <w:szCs w:val="20"/>
          <w:color w:val="auto"/>
        </w:rPr>
      </w:pPr>
      <w:r>
        <w:rPr>
          <w:rFonts w:ascii="Arial" w:cs="Arial" w:eastAsia="Arial" w:hAnsi="Arial"/>
          <w:sz w:val="17"/>
          <w:szCs w:val="17"/>
          <w:color w:val="auto"/>
        </w:rPr>
        <w:t>EXECUTIVE: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ALLETE, Inc. </w:t>
      </w:r>
      <w:r>
        <w:rPr>
          <w:rFonts w:ascii="Arial" w:cs="Arial" w:eastAsia="Arial" w:hAnsi="Arial"/>
          <w:sz w:val="15"/>
          <w:szCs w:val="15"/>
          <w:color w:val="auto"/>
          <w:highlight w:val="lightGray"/>
        </w:rPr>
        <w:t>&lt;&lt; or applicable affiliate employer&gt;&gt;</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382905</wp:posOffset>
            </wp:positionV>
            <wp:extent cx="726059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158" w:name="page159"/>
    <w:bookmarkEnd w:id="1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7"/>
        </w:trPr>
        <w:tc>
          <w:tcPr>
            <w:tcW w:w="5400" w:type="dxa"/>
            <w:vAlign w:val="bottom"/>
            <w:vMerge w:val="restart"/>
          </w:tcPr>
          <w:p>
            <w:pPr>
              <w:spacing w:after="0"/>
              <w:rPr>
                <w:sz w:val="20"/>
                <w:szCs w:val="20"/>
                <w:color w:val="auto"/>
              </w:rPr>
            </w:pPr>
            <w:r>
              <w:rPr>
                <w:rFonts w:ascii="Arial" w:cs="Arial" w:eastAsia="Arial" w:hAnsi="Arial"/>
                <w:sz w:val="17"/>
                <w:szCs w:val="17"/>
                <w:b w:val="1"/>
                <w:bCs w:val="1"/>
                <w:color w:val="auto"/>
              </w:rPr>
              <w:t>ALLETE</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7"/>
                <w:szCs w:val="17"/>
                <w:b w:val="1"/>
                <w:bCs w:val="1"/>
                <w:color w:val="auto"/>
                <w:w w:val="89"/>
              </w:rPr>
              <w:t>Exhibit 12</w:t>
            </w:r>
          </w:p>
        </w:tc>
        <w:tc>
          <w:tcPr>
            <w:tcW w:w="0" w:type="dxa"/>
            <w:vAlign w:val="bottom"/>
          </w:tcPr>
          <w:p>
            <w:pPr>
              <w:spacing w:after="0"/>
              <w:rPr>
                <w:sz w:val="1"/>
                <w:szCs w:val="1"/>
                <w:color w:val="auto"/>
              </w:rPr>
            </w:pPr>
          </w:p>
        </w:tc>
      </w:tr>
      <w:tr>
        <w:trPr>
          <w:trHeight w:val="185"/>
        </w:trPr>
        <w:tc>
          <w:tcPr>
            <w:tcW w:w="540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7"/>
                <w:szCs w:val="17"/>
                <w:b w:val="1"/>
                <w:bCs w:val="1"/>
                <w:color w:val="auto"/>
              </w:rPr>
              <w:t>Computation of Ratios of Earnings to Fixed Charges (Unaudited)</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Year Ended December 31</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2010</w:t>
            </w:r>
          </w:p>
        </w:tc>
        <w:tc>
          <w:tcPr>
            <w:tcW w:w="11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b w:val="1"/>
                <w:bCs w:val="1"/>
                <w:color w:val="auto"/>
              </w:rPr>
              <w:t>2008</w:t>
            </w:r>
          </w:p>
        </w:tc>
        <w:tc>
          <w:tcPr>
            <w:tcW w:w="11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b w:val="1"/>
                <w:bCs w:val="1"/>
                <w:color w:val="auto"/>
              </w:rPr>
              <w:t>2007</w:t>
            </w:r>
          </w:p>
        </w:tc>
        <w:tc>
          <w:tcPr>
            <w:tcW w:w="9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2006</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Earnings, as defined:</w:t>
            </w:r>
          </w:p>
        </w:tc>
        <w:tc>
          <w:tcPr>
            <w:tcW w:w="1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tcPr>
          <w:p>
            <w:pPr>
              <w:ind w:left="160"/>
              <w:spacing w:after="0"/>
              <w:rPr>
                <w:sz w:val="20"/>
                <w:szCs w:val="20"/>
                <w:color w:val="auto"/>
              </w:rPr>
            </w:pPr>
            <w:r>
              <w:rPr>
                <w:rFonts w:ascii="Arial" w:cs="Arial" w:eastAsia="Arial" w:hAnsi="Arial"/>
                <w:sz w:val="17"/>
                <w:szCs w:val="17"/>
                <w:color w:val="auto"/>
              </w:rPr>
              <w:t>Pretax Income Before Non-Controlling Interest</w:t>
            </w:r>
          </w:p>
        </w:tc>
        <w:tc>
          <w:tcPr>
            <w:tcW w:w="1620" w:type="dxa"/>
            <w:vAlign w:val="bottom"/>
          </w:tcPr>
          <w:p>
            <w:pPr>
              <w:jc w:val="right"/>
              <w:ind w:right="216"/>
              <w:spacing w:after="0"/>
              <w:rPr>
                <w:sz w:val="20"/>
                <w:szCs w:val="20"/>
                <w:color w:val="auto"/>
              </w:rPr>
            </w:pPr>
            <w:r>
              <w:rPr>
                <w:rFonts w:ascii="Arial" w:cs="Arial" w:eastAsia="Arial" w:hAnsi="Arial"/>
                <w:sz w:val="17"/>
                <w:szCs w:val="17"/>
                <w:color w:val="auto"/>
              </w:rPr>
              <w:t>$119.1</w:t>
            </w:r>
          </w:p>
        </w:tc>
        <w:tc>
          <w:tcPr>
            <w:tcW w:w="1120" w:type="dxa"/>
            <w:vAlign w:val="bottom"/>
          </w:tcPr>
          <w:p>
            <w:pPr>
              <w:jc w:val="right"/>
              <w:ind w:right="216"/>
              <w:spacing w:after="0"/>
              <w:rPr>
                <w:sz w:val="20"/>
                <w:szCs w:val="20"/>
                <w:color w:val="auto"/>
              </w:rPr>
            </w:pPr>
            <w:r>
              <w:rPr>
                <w:rFonts w:ascii="Arial" w:cs="Arial" w:eastAsia="Arial" w:hAnsi="Arial"/>
                <w:sz w:val="17"/>
                <w:szCs w:val="17"/>
                <w:color w:val="auto"/>
              </w:rPr>
              <w:t>$91.5</w:t>
            </w: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$126.4</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$137.2</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$128.2</w:t>
            </w: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 Fixed Charges</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43.4</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38.3</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30.3</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26.6</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1"/>
        </w:trPr>
        <w:tc>
          <w:tcPr>
            <w:tcW w:w="5400" w:type="dxa"/>
            <w:vAlign w:val="bottom"/>
          </w:tcPr>
          <w:p>
            <w:pPr>
              <w:ind w:left="160"/>
              <w:spacing w:after="0"/>
              <w:rPr>
                <w:sz w:val="20"/>
                <w:szCs w:val="20"/>
                <w:color w:val="auto"/>
              </w:rPr>
            </w:pPr>
            <w:r>
              <w:rPr>
                <w:rFonts w:ascii="Arial" w:cs="Arial" w:eastAsia="Arial" w:hAnsi="Arial"/>
                <w:sz w:val="17"/>
                <w:szCs w:val="17"/>
                <w:color w:val="auto"/>
              </w:rPr>
              <w:t xml:space="preserve">Less: Non-Controlling Interest </w:t>
            </w:r>
            <w:r>
              <w:rPr>
                <w:rFonts w:ascii="Arial" w:cs="Arial" w:eastAsia="Arial" w:hAnsi="Arial"/>
                <w:sz w:val="17"/>
                <w:szCs w:val="17"/>
                <w:i w:val="1"/>
                <w:iCs w:val="1"/>
                <w:color w:val="auto"/>
              </w:rPr>
              <w:t>(a)</w:t>
            </w:r>
          </w:p>
        </w:tc>
        <w:tc>
          <w:tcPr>
            <w:tcW w:w="16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Undistributed Income from Less than 50 percent</w:t>
            </w:r>
          </w:p>
        </w:tc>
        <w:tc>
          <w:tcPr>
            <w:tcW w:w="1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Owned Equity Investment</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3.4</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3.7</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3.8</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3.3</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Total Earnings as defined</w:t>
            </w:r>
          </w:p>
        </w:tc>
        <w:tc>
          <w:tcPr>
            <w:tcW w:w="16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$159.1</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$126.1</w:t>
            </w:r>
          </w:p>
        </w:tc>
        <w:tc>
          <w:tcPr>
            <w:tcW w:w="1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$152.9</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$160.5</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$153.6</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Fixed Charges:</w:t>
            </w: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on Long-Term Debt</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$39.7</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$34.2</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$27.4</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$23.2</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1"/>
        </w:trPr>
        <w:tc>
          <w:tcPr>
            <w:tcW w:w="5400" w:type="dxa"/>
            <w:vAlign w:val="bottom"/>
          </w:tcPr>
          <w:p>
            <w:pPr>
              <w:ind w:left="160"/>
              <w:spacing w:after="0"/>
              <w:rPr>
                <w:sz w:val="20"/>
                <w:szCs w:val="20"/>
                <w:color w:val="auto"/>
              </w:rPr>
            </w:pPr>
            <w:r>
              <w:rPr>
                <w:rFonts w:ascii="Arial" w:cs="Arial" w:eastAsia="Arial" w:hAnsi="Arial"/>
                <w:sz w:val="17"/>
                <w:szCs w:val="17"/>
                <w:color w:val="auto"/>
              </w:rPr>
              <w:t>Other Interest Charges</w:t>
            </w:r>
          </w:p>
        </w:tc>
        <w:tc>
          <w:tcPr>
            <w:tcW w:w="1620" w:type="dxa"/>
            <w:vAlign w:val="bottom"/>
          </w:tcPr>
          <w:p>
            <w:pPr>
              <w:jc w:val="right"/>
              <w:ind w:right="216"/>
              <w:spacing w:after="0"/>
              <w:rPr>
                <w:sz w:val="20"/>
                <w:szCs w:val="20"/>
                <w:color w:val="auto"/>
              </w:rPr>
            </w:pPr>
            <w:r>
              <w:rPr>
                <w:rFonts w:ascii="Arial" w:cs="Arial" w:eastAsia="Arial" w:hAnsi="Arial"/>
                <w:sz w:val="17"/>
                <w:szCs w:val="17"/>
                <w:color w:val="auto"/>
              </w:rPr>
              <w:t>1.0</w:t>
            </w:r>
          </w:p>
        </w:tc>
        <w:tc>
          <w:tcPr>
            <w:tcW w:w="1120" w:type="dxa"/>
            <w:vAlign w:val="bottom"/>
          </w:tcPr>
          <w:p>
            <w:pPr>
              <w:jc w:val="right"/>
              <w:ind w:right="216"/>
              <w:spacing w:after="0"/>
              <w:rPr>
                <w:sz w:val="20"/>
                <w:szCs w:val="20"/>
                <w:color w:val="auto"/>
              </w:rPr>
            </w:pPr>
            <w:r>
              <w:rPr>
                <w:rFonts w:ascii="Arial" w:cs="Arial" w:eastAsia="Arial" w:hAnsi="Arial"/>
                <w:sz w:val="17"/>
                <w:szCs w:val="17"/>
                <w:color w:val="auto"/>
              </w:rPr>
              <w:t>1.6</w:t>
            </w:r>
          </w:p>
        </w:tc>
        <w:tc>
          <w:tcPr>
            <w:tcW w:w="1160" w:type="dxa"/>
            <w:vAlign w:val="bottom"/>
          </w:tcPr>
          <w:p>
            <w:pPr>
              <w:jc w:val="right"/>
              <w:ind w:right="176"/>
              <w:spacing w:after="0"/>
              <w:rPr>
                <w:sz w:val="20"/>
                <w:szCs w:val="20"/>
                <w:color w:val="auto"/>
              </w:rPr>
            </w:pPr>
            <w:r>
              <w:rPr>
                <w:rFonts w:ascii="Arial" w:cs="Arial" w:eastAsia="Arial" w:hAnsi="Arial"/>
                <w:sz w:val="17"/>
                <w:szCs w:val="17"/>
                <w:color w:val="auto"/>
              </w:rPr>
              <w:t>0.4</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1.5</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Interest Component of All Rentals (b)</w:t>
            </w:r>
          </w:p>
        </w:tc>
        <w:tc>
          <w:tcPr>
            <w:tcW w:w="16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2.7</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2.5</w:t>
            </w:r>
          </w:p>
        </w:tc>
        <w:tc>
          <w:tcPr>
            <w:tcW w:w="1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2.5</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1.9</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Fixed Charges</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$43.4</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$38.3</w:t>
            </w: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$30.3</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$26.6</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16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3.67</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3.29</w:t>
            </w:r>
          </w:p>
        </w:tc>
        <w:tc>
          <w:tcPr>
            <w:tcW w:w="11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5.05</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6.03</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379"/>
        <w:spacing w:after="0"/>
        <w:tabs>
          <w:tab w:leader="none" w:pos="380"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Pretax income of subsidiaries that have not incurred fixed charges.</w:t>
      </w:r>
    </w:p>
    <w:p>
      <w:pPr>
        <w:spacing w:after="0" w:line="17" w:lineRule="exact"/>
        <w:rPr>
          <w:rFonts w:ascii="Arial" w:cs="Arial" w:eastAsia="Arial" w:hAnsi="Arial"/>
          <w:sz w:val="17"/>
          <w:szCs w:val="17"/>
          <w:i w:val="1"/>
          <w:iCs w:val="1"/>
          <w:color w:val="auto"/>
        </w:rPr>
      </w:pPr>
    </w:p>
    <w:p>
      <w:pPr>
        <w:ind w:left="380" w:hanging="379"/>
        <w:spacing w:after="0"/>
        <w:tabs>
          <w:tab w:leader="none" w:pos="380"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interest portion of rents estimated at 33 1/3 percent.</w:t>
      </w:r>
    </w:p>
    <w:p>
      <w:pPr>
        <w:sectPr>
          <w:pgSz w:w="11900" w:h="16838" w:orient="portrait"/>
          <w:cols w:equalWidth="0" w:num="1">
            <w:col w:w="11420"/>
          </w:cols>
          <w:pgMar w:left="240" w:top="12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THE REGISTRANT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(Reported Under Item 601 of Regulation S-K)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gridSpan w:val="2"/>
          </w:tcPr>
          <w:p>
            <w:pPr>
              <w:ind w:left="5540"/>
              <w:spacing w:after="0"/>
              <w:rPr>
                <w:sz w:val="20"/>
                <w:szCs w:val="20"/>
                <w:color w:val="auto"/>
              </w:rPr>
            </w:pPr>
            <w:r>
              <w:rPr>
                <w:rFonts w:ascii="Arial" w:cs="Arial" w:eastAsia="Arial" w:hAnsi="Arial"/>
                <w:sz w:val="17"/>
                <w:szCs w:val="17"/>
                <w:b w:val="1"/>
                <w:bCs w:val="1"/>
                <w:color w:val="auto"/>
              </w:rPr>
              <w:t>0;</w:t>
            </w:r>
          </w:p>
        </w:tc>
        <w:tc>
          <w:tcPr>
            <w:tcW w:w="1240" w:type="dxa"/>
            <w:vAlign w:val="bottom"/>
          </w:tcPr>
          <w:p>
            <w:pPr>
              <w:spacing w:after="0"/>
              <w:rPr>
                <w:sz w:val="20"/>
                <w:szCs w:val="20"/>
                <w:color w:val="auto"/>
              </w:rPr>
            </w:pPr>
            <w:r>
              <w:rPr>
                <w:rFonts w:ascii="Arial" w:cs="Arial" w:eastAsia="Arial" w:hAnsi="Arial"/>
                <w:sz w:val="17"/>
                <w:szCs w:val="17"/>
                <w:b w:val="1"/>
                <w:bCs w:val="1"/>
                <w:color w:val="auto"/>
                <w:w w:val="91"/>
              </w:rPr>
              <w:t>State or Country</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80"/>
        </w:trPr>
        <w:tc>
          <w:tcPr>
            <w:tcW w:w="598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Name</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90"/>
        </w:trPr>
        <w:tc>
          <w:tcPr>
            <w:tcW w:w="5460" w:type="dxa"/>
            <w:vAlign w:val="bottom"/>
            <w:tcBorders>
              <w:top w:val="single" w:sz="8" w:color="auto"/>
            </w:tcBorders>
          </w:tcPr>
          <w:p>
            <w:pPr>
              <w:spacing w:after="0" w:line="181" w:lineRule="exact"/>
              <w:rPr>
                <w:sz w:val="20"/>
                <w:szCs w:val="20"/>
                <w:color w:val="auto"/>
              </w:rPr>
            </w:pPr>
            <w:r>
              <w:rPr>
                <w:rFonts w:ascii="Arial" w:cs="Arial" w:eastAsia="Arial" w:hAnsi="Arial"/>
                <w:sz w:val="17"/>
                <w:szCs w:val="17"/>
                <w:b w:val="1"/>
                <w:bCs w:val="1"/>
                <w:color w:val="auto"/>
              </w:rPr>
              <w:t>0;</w:t>
            </w: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gridSpan w:val="2"/>
          </w:tcPr>
          <w:p>
            <w:pPr>
              <w:jc w:val="right"/>
              <w:ind w:right="180"/>
              <w:spacing w:after="0" w:line="181" w:lineRule="exact"/>
              <w:rPr>
                <w:sz w:val="20"/>
                <w:szCs w:val="20"/>
                <w:color w:val="auto"/>
              </w:rPr>
            </w:pPr>
            <w:r>
              <w:rPr>
                <w:rFonts w:ascii="Arial" w:cs="Arial" w:eastAsia="Arial" w:hAnsi="Arial"/>
                <w:sz w:val="17"/>
                <w:szCs w:val="17"/>
                <w:b w:val="1"/>
                <w:bCs w:val="1"/>
                <w:color w:val="auto"/>
                <w:w w:val="99"/>
              </w:rPr>
              <w:t>&amp; #160;</w:t>
            </w:r>
          </w:p>
        </w:tc>
        <w:tc>
          <w:tcPr>
            <w:tcW w:w="3400" w:type="dxa"/>
            <w:vAlign w:val="bottom"/>
            <w:gridSpan w:val="3"/>
          </w:tcPr>
          <w:p>
            <w:pPr>
              <w:ind w:left="160"/>
              <w:spacing w:after="0" w:line="181" w:lineRule="exact"/>
              <w:rPr>
                <w:sz w:val="20"/>
                <w:szCs w:val="20"/>
                <w:color w:val="auto"/>
              </w:rPr>
            </w:pPr>
            <w:r>
              <w:rPr>
                <w:rFonts w:ascii="Arial" w:cs="Arial" w:eastAsia="Arial" w:hAnsi="Arial"/>
                <w:sz w:val="17"/>
                <w:szCs w:val="17"/>
                <w:b w:val="1"/>
                <w:bCs w:val="1"/>
                <w:color w:val="auto"/>
              </w:rPr>
              <w:t>of Organization</w:t>
            </w:r>
          </w:p>
        </w:tc>
      </w:tr>
      <w:tr>
        <w:trPr>
          <w:trHeight w:val="210"/>
        </w:trPr>
        <w:tc>
          <w:tcPr>
            <w:tcW w:w="5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 xml:space="preserve">ALLETE, Inc. </w:t>
            </w:r>
            <w:r>
              <w:rPr>
                <w:rFonts w:ascii="Arial" w:cs="Arial" w:eastAsia="Arial" w:hAnsi="Arial"/>
                <w:sz w:val="17"/>
                <w:szCs w:val="17"/>
                <w:i w:val="1"/>
                <w:iCs w:val="1"/>
                <w:color w:val="auto"/>
              </w:rPr>
              <w:t>(d.b.a. ALLETE; Minnesota Power; Minnesota Power, Inc.;</w:t>
            </w:r>
          </w:p>
        </w:tc>
        <w:tc>
          <w:tcPr>
            <w:tcW w:w="1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7"/>
                <w:szCs w:val="17"/>
                <w:i w:val="1"/>
                <w:iCs w:val="1"/>
                <w:color w:val="auto"/>
                <w:w w:val="92"/>
              </w:rPr>
              <w:t>Minnesota Power &amp; Light Company; MPEX; MPEX A Division of Minnesota Power)</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ALLETE Automotive Services,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7"/>
                <w:szCs w:val="17"/>
                <w:color w:val="auto"/>
              </w:rPr>
              <w:t>ALLETE Capital II</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Delaware</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ALLETE Capital III</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Delaware</w:t>
            </w: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7"/>
                <w:szCs w:val="17"/>
                <w:color w:val="auto"/>
              </w:rPr>
              <w:t xml:space="preserve">ALLETE Properties, LLC </w:t>
            </w:r>
            <w:r>
              <w:rPr>
                <w:rFonts w:ascii="Arial" w:cs="Arial" w:eastAsia="Arial" w:hAnsi="Arial"/>
                <w:sz w:val="17"/>
                <w:szCs w:val="17"/>
                <w:i w:val="1"/>
                <w:iCs w:val="1"/>
                <w:color w:val="auto"/>
              </w:rPr>
              <w:t>(d.b.a. ALLETE Properties)</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ALLETE Commercial,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Cape Coral Holdings,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Lake Swamp,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Lehigh Acquisition Corporation</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Delaware</w:t>
            </w:r>
          </w:p>
        </w:tc>
      </w:tr>
      <w:tr>
        <w:trPr>
          <w:trHeight w:val="201"/>
        </w:trPr>
        <w:tc>
          <w:tcPr>
            <w:tcW w:w="5980" w:type="dxa"/>
            <w:vAlign w:val="bottom"/>
            <w:gridSpan w:val="2"/>
            <w:shd w:val="clear" w:color="auto" w:fill="CCEEFF"/>
          </w:tcPr>
          <w:p>
            <w:pPr>
              <w:ind w:left="2860"/>
              <w:spacing w:after="0"/>
              <w:rPr>
                <w:sz w:val="20"/>
                <w:szCs w:val="20"/>
                <w:color w:val="auto"/>
              </w:rPr>
            </w:pPr>
            <w:r>
              <w:rPr>
                <w:rFonts w:ascii="Arial" w:cs="Arial" w:eastAsia="Arial" w:hAnsi="Arial"/>
                <w:sz w:val="17"/>
                <w:szCs w:val="17"/>
                <w:color w:val="auto"/>
              </w:rPr>
              <w:t>Florida Landmark Communities,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tcPr>
          <w:p>
            <w:pPr>
              <w:ind w:left="3980"/>
              <w:spacing w:after="0"/>
              <w:rPr>
                <w:sz w:val="20"/>
                <w:szCs w:val="20"/>
                <w:color w:val="auto"/>
              </w:rPr>
            </w:pPr>
            <w:r>
              <w:rPr>
                <w:rFonts w:ascii="Arial" w:cs="Arial" w:eastAsia="Arial" w:hAnsi="Arial"/>
                <w:sz w:val="17"/>
                <w:szCs w:val="17"/>
                <w:color w:val="auto"/>
              </w:rPr>
              <w:t>Lehigh Corporation</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3980"/>
              <w:spacing w:after="0"/>
              <w:rPr>
                <w:sz w:val="20"/>
                <w:szCs w:val="20"/>
                <w:color w:val="auto"/>
              </w:rPr>
            </w:pPr>
            <w:r>
              <w:rPr>
                <w:rFonts w:ascii="Arial" w:cs="Arial" w:eastAsia="Arial" w:hAnsi="Arial"/>
                <w:sz w:val="17"/>
                <w:szCs w:val="17"/>
                <w:color w:val="auto"/>
              </w:rPr>
              <w:t>Mardem,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201"/>
        </w:trPr>
        <w:tc>
          <w:tcPr>
            <w:tcW w:w="5980" w:type="dxa"/>
            <w:vAlign w:val="bottom"/>
            <w:gridSpan w:val="2"/>
          </w:tcPr>
          <w:p>
            <w:pPr>
              <w:ind w:left="3980"/>
              <w:spacing w:after="0"/>
              <w:rPr>
                <w:sz w:val="20"/>
                <w:szCs w:val="20"/>
                <w:color w:val="auto"/>
              </w:rPr>
            </w:pPr>
            <w:r>
              <w:rPr>
                <w:rFonts w:ascii="Arial" w:cs="Arial" w:eastAsia="Arial" w:hAnsi="Arial"/>
                <w:sz w:val="17"/>
                <w:szCs w:val="17"/>
                <w:color w:val="auto"/>
              </w:rPr>
              <w:t>Palm Coast Holdings,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3980"/>
              <w:spacing w:after="0"/>
              <w:rPr>
                <w:sz w:val="20"/>
                <w:szCs w:val="20"/>
                <w:color w:val="auto"/>
              </w:rPr>
            </w:pPr>
            <w:r>
              <w:rPr>
                <w:rFonts w:ascii="Arial" w:cs="Arial" w:eastAsia="Arial" w:hAnsi="Arial"/>
                <w:sz w:val="17"/>
                <w:szCs w:val="17"/>
                <w:color w:val="auto"/>
                <w:w w:val="96"/>
              </w:rPr>
              <w:t>Port Orange Holdings,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tcPr>
          <w:p>
            <w:pPr>
              <w:ind w:left="2860"/>
              <w:spacing w:after="0"/>
              <w:rPr>
                <w:sz w:val="20"/>
                <w:szCs w:val="20"/>
                <w:color w:val="auto"/>
              </w:rPr>
            </w:pPr>
            <w:r>
              <w:rPr>
                <w:rFonts w:ascii="Arial" w:cs="Arial" w:eastAsia="Arial" w:hAnsi="Arial"/>
                <w:sz w:val="17"/>
                <w:szCs w:val="17"/>
                <w:color w:val="auto"/>
              </w:rPr>
              <w:t>Interlachen Lakes Estates, LLC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Palm Coast Land,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Tomoka Holdings, LLC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ALLETE Water Services, Inc.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Florida Water Services Corporation</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Florida</w:t>
            </w:r>
          </w:p>
        </w:tc>
      </w:tr>
      <w:tr>
        <w:trPr>
          <w:trHeight w:val="201"/>
        </w:trPr>
        <w:tc>
          <w:tcPr>
            <w:tcW w:w="5980" w:type="dxa"/>
            <w:vAlign w:val="bottom"/>
            <w:gridSpan w:val="2"/>
            <w:shd w:val="clear" w:color="auto" w:fill="CCEEFF"/>
          </w:tcPr>
          <w:p>
            <w:pPr>
              <w:ind w:left="2280"/>
              <w:spacing w:after="0"/>
              <w:rPr>
                <w:sz w:val="20"/>
                <w:szCs w:val="20"/>
                <w:color w:val="auto"/>
              </w:rPr>
            </w:pPr>
            <w:r>
              <w:rPr>
                <w:rFonts w:ascii="Arial" w:cs="Arial" w:eastAsia="Arial" w:hAnsi="Arial"/>
                <w:sz w:val="17"/>
                <w:szCs w:val="17"/>
                <w:color w:val="auto"/>
              </w:rPr>
              <w:t>Energy Replacement Property, LLC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Georgia Water Services Corporation</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Georgia</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Energy Land, Incorporated</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Wisconsin</w:t>
            </w: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7"/>
                <w:szCs w:val="17"/>
                <w:color w:val="auto"/>
              </w:rPr>
              <w:t>Lakeview Financial Corporation I</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Lakeview Financial Corporation II</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Logistics Coal, LLC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Minnesota Power Enterprises, Inc.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ALLETE Renewable Resources,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BNI Coal, Ltd.</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North Dakota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MP Affiliate Resources,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Rainy River Energy Corporation</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Rainy River Energy Corporation - Wisconsin</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Wisconsin</w:t>
            </w:r>
          </w:p>
        </w:tc>
      </w:tr>
      <w:tr>
        <w:trPr>
          <w:trHeight w:val="201"/>
        </w:trPr>
        <w:tc>
          <w:tcPr>
            <w:tcW w:w="598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Synertec, Incorporated</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1600"/>
              <w:spacing w:after="0"/>
              <w:rPr>
                <w:sz w:val="20"/>
                <w:szCs w:val="20"/>
                <w:color w:val="auto"/>
              </w:rPr>
            </w:pPr>
            <w:r>
              <w:rPr>
                <w:rFonts w:ascii="Arial" w:cs="Arial" w:eastAsia="Arial" w:hAnsi="Arial"/>
                <w:sz w:val="17"/>
                <w:szCs w:val="17"/>
                <w:color w:val="auto"/>
              </w:rPr>
              <w:t>Upper Minnesota Properties,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7220" w:type="dxa"/>
            <w:vAlign w:val="bottom"/>
            <w:gridSpan w:val="3"/>
            <w:shd w:val="clear" w:color="auto" w:fill="CCEEFF"/>
          </w:tcPr>
          <w:p>
            <w:pPr>
              <w:ind w:left="2860"/>
              <w:spacing w:after="0"/>
              <w:rPr>
                <w:sz w:val="20"/>
                <w:szCs w:val="20"/>
                <w:color w:val="auto"/>
              </w:rPr>
            </w:pPr>
            <w:r>
              <w:rPr>
                <w:rFonts w:ascii="Arial" w:cs="Arial" w:eastAsia="Arial" w:hAnsi="Arial"/>
                <w:sz w:val="17"/>
                <w:szCs w:val="17"/>
                <w:color w:val="auto"/>
              </w:rPr>
              <w:t>Upper Minnesota Properties - Development, Inc.</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2860"/>
              <w:spacing w:after="0"/>
              <w:rPr>
                <w:sz w:val="20"/>
                <w:szCs w:val="20"/>
                <w:color w:val="auto"/>
              </w:rPr>
            </w:pPr>
            <w:r>
              <w:rPr>
                <w:rFonts w:ascii="Arial" w:cs="Arial" w:eastAsia="Arial" w:hAnsi="Arial"/>
                <w:sz w:val="17"/>
                <w:szCs w:val="17"/>
                <w:color w:val="auto"/>
              </w:rPr>
              <w:t>Upper Minnesota Properties - Irving,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7220" w:type="dxa"/>
            <w:vAlign w:val="bottom"/>
            <w:gridSpan w:val="3"/>
            <w:shd w:val="clear" w:color="auto" w:fill="CCEEFF"/>
          </w:tcPr>
          <w:p>
            <w:pPr>
              <w:ind w:left="2860"/>
              <w:spacing w:after="0"/>
              <w:rPr>
                <w:sz w:val="20"/>
                <w:szCs w:val="20"/>
                <w:color w:val="auto"/>
              </w:rPr>
            </w:pPr>
            <w:r>
              <w:rPr>
                <w:rFonts w:ascii="Arial" w:cs="Arial" w:eastAsia="Arial" w:hAnsi="Arial"/>
                <w:sz w:val="17"/>
                <w:szCs w:val="17"/>
                <w:color w:val="auto"/>
              </w:rPr>
              <w:t>Upper Minnesota Properties - Meadowlands, Inc.</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7"/>
                <w:szCs w:val="17"/>
                <w:color w:val="auto"/>
              </w:rPr>
              <w:t>MP Investments, Inc.</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Delaware</w:t>
            </w:r>
          </w:p>
        </w:tc>
      </w:tr>
      <w:tr>
        <w:trPr>
          <w:trHeight w:val="201"/>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RendField Land Company, Inc.</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Minnesota</w:t>
            </w:r>
          </w:p>
        </w:tc>
      </w:tr>
      <w:tr>
        <w:trPr>
          <w:trHeight w:val="213"/>
        </w:trPr>
        <w:tc>
          <w:tcPr>
            <w:tcW w:w="5980" w:type="dxa"/>
            <w:vAlign w:val="bottom"/>
            <w:gridSpan w:val="2"/>
          </w:tcPr>
          <w:p>
            <w:pPr>
              <w:ind w:left="220"/>
              <w:spacing w:after="0"/>
              <w:rPr>
                <w:sz w:val="20"/>
                <w:szCs w:val="20"/>
                <w:color w:val="auto"/>
              </w:rPr>
            </w:pPr>
            <w:r>
              <w:rPr>
                <w:rFonts w:ascii="Arial" w:cs="Arial" w:eastAsia="Arial" w:hAnsi="Arial"/>
                <w:sz w:val="17"/>
                <w:szCs w:val="17"/>
                <w:color w:val="auto"/>
              </w:rPr>
              <w:t>Superior Water, Light and Power Company</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ind w:left="340"/>
              <w:spacing w:after="0"/>
              <w:rPr>
                <w:sz w:val="20"/>
                <w:szCs w:val="20"/>
                <w:color w:val="auto"/>
              </w:rPr>
            </w:pPr>
            <w:r>
              <w:rPr>
                <w:rFonts w:ascii="Arial" w:cs="Arial" w:eastAsia="Arial" w:hAnsi="Arial"/>
                <w:sz w:val="17"/>
                <w:szCs w:val="17"/>
                <w:color w:val="auto"/>
              </w:rPr>
              <w:t>Wisconsin</w:t>
            </w:r>
          </w:p>
        </w:tc>
      </w:tr>
    </w:tbl>
    <w:p>
      <w:pPr>
        <w:sectPr>
          <w:pgSz w:w="11900" w:h="16838" w:orient="portrait"/>
          <w:cols w:equalWidth="0" w:num="1">
            <w:col w:w="11420"/>
          </w:cols>
          <w:pgMar w:left="240" w:top="32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23(a)</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ALLETE 2010 Form 10-K</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7"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We hereby consent to the incorporation by reference in the Registration Statement on Form S-3 (Nos. 333-166515, 333-170289) and Form S-8 (Nos. 333-16445, 333-91348, 333-105225, 333-162890) of ALLETE, Inc. of our report dated February 16, 2011, relating to the financial statements, financial statement schedule and the effectiveness of internal control over financial reporting, which appears in this Form 10-K.</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16, 2011</w:t>
      </w:r>
    </w:p>
    <w:p>
      <w:pPr>
        <w:sectPr>
          <w:pgSz w:w="11900" w:h="16838" w:orient="portrait"/>
          <w:cols w:equalWidth="0" w:num="1">
            <w:col w:w="11420"/>
          </w:cols>
          <w:pgMar w:left="240" w:top="123"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Exhibit 31(a)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I, Alan R. Hodnik, of ALLETE, Inc. (ALLETE), certify that:</w:t>
      </w:r>
    </w:p>
    <w:p>
      <w:pPr>
        <w:spacing w:after="0" w:line="207" w:lineRule="exact"/>
        <w:rPr>
          <w:sz w:val="20"/>
          <w:szCs w:val="20"/>
          <w:color w:val="auto"/>
        </w:rPr>
      </w:pPr>
    </w:p>
    <w:p>
      <w:pPr>
        <w:ind w:left="300" w:hanging="207"/>
        <w:spacing w:after="0"/>
        <w:tabs>
          <w:tab w:leader="none" w:pos="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2010, of ALLETE;</w:t>
      </w:r>
    </w:p>
    <w:p>
      <w:pPr>
        <w:spacing w:after="0" w:line="206" w:lineRule="exact"/>
        <w:rPr>
          <w:rFonts w:ascii="Arial" w:cs="Arial" w:eastAsia="Arial" w:hAnsi="Arial"/>
          <w:sz w:val="17"/>
          <w:szCs w:val="17"/>
          <w:color w:val="auto"/>
        </w:rPr>
      </w:pPr>
    </w:p>
    <w:p>
      <w:pPr>
        <w:ind w:left="300" w:hanging="207"/>
        <w:spacing w:after="0" w:line="300" w:lineRule="auto"/>
        <w:tabs>
          <w:tab w:leader="none" w:pos="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300" w:hanging="207"/>
        <w:spacing w:after="0" w:line="268" w:lineRule="auto"/>
        <w:tabs>
          <w:tab w:leader="none" w:pos="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300" w:hanging="207"/>
        <w:spacing w:after="0"/>
        <w:tabs>
          <w:tab w:leader="none" w:pos="3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06" w:lineRule="exact"/>
        <w:rPr>
          <w:rFonts w:ascii="Arial" w:cs="Arial" w:eastAsia="Arial" w:hAnsi="Arial"/>
          <w:sz w:val="15"/>
          <w:szCs w:val="15"/>
          <w:color w:val="auto"/>
        </w:rPr>
      </w:pPr>
    </w:p>
    <w:p>
      <w:pPr>
        <w:jc w:val="both"/>
        <w:ind w:left="600" w:hanging="298"/>
        <w:spacing w:after="0" w:line="257"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600" w:hanging="298"/>
        <w:spacing w:after="0" w:line="268"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00" w:hanging="207"/>
        <w:spacing w:after="0" w:line="268" w:lineRule="auto"/>
        <w:tabs>
          <w:tab w:leader="none" w:pos="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00" w:hanging="298"/>
        <w:spacing w:after="0" w:line="268"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00" w:hanging="298"/>
        <w:spacing w:after="0" w:line="268" w:lineRule="auto"/>
        <w:tabs>
          <w:tab w:leader="none" w:pos="6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20"/>
                <w:szCs w:val="20"/>
                <w:color w:val="auto"/>
              </w:rPr>
            </w:pPr>
            <w:r>
              <w:rPr>
                <w:rFonts w:ascii="Arial" w:cs="Arial" w:eastAsia="Arial" w:hAnsi="Arial"/>
                <w:sz w:val="17"/>
                <w:szCs w:val="17"/>
                <w:color w:val="auto"/>
              </w:rPr>
              <w:t>Date: February 16, 2011</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Alan R. Hodnik</w:t>
            </w:r>
          </w:p>
        </w:tc>
        <w:tc>
          <w:tcPr>
            <w:tcW w:w="6580" w:type="dxa"/>
            <w:vAlign w:val="bottom"/>
          </w:tcPr>
          <w:p>
            <w:pPr>
              <w:spacing w:after="0"/>
              <w:rPr>
                <w:sz w:val="16"/>
                <w:szCs w:val="16"/>
                <w:color w:val="auto"/>
              </w:rPr>
            </w:pPr>
          </w:p>
        </w:tc>
      </w:tr>
      <w:tr>
        <w:trPr>
          <w:trHeight w:val="206"/>
        </w:trPr>
        <w:tc>
          <w:tcPr>
            <w:tcW w:w="378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7"/>
                <w:szCs w:val="17"/>
                <w:color w:val="auto"/>
              </w:rPr>
              <w:t>Alan R. Hodnik</w:t>
            </w:r>
          </w:p>
        </w:tc>
      </w:tr>
      <w:tr>
        <w:trPr>
          <w:trHeight w:val="213"/>
        </w:trPr>
        <w:tc>
          <w:tcPr>
            <w:tcW w:w="378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r>
      <w:tr>
        <w:trPr>
          <w:trHeight w:val="575"/>
        </w:trPr>
        <w:tc>
          <w:tcPr>
            <w:tcW w:w="3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3" w:name="page164"/>
    <w:bookmarkEnd w:id="1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31(b)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I, Mark A. Schober, of ALLETE, Inc. (ALLETE), certify that:</w:t>
      </w:r>
    </w:p>
    <w:p>
      <w:pPr>
        <w:spacing w:after="0" w:line="207" w:lineRule="exact"/>
        <w:rPr>
          <w:sz w:val="20"/>
          <w:szCs w:val="20"/>
          <w:color w:val="auto"/>
        </w:rPr>
      </w:pPr>
    </w:p>
    <w:p>
      <w:pPr>
        <w:ind w:left="300" w:hanging="207"/>
        <w:spacing w:after="0"/>
        <w:tabs>
          <w:tab w:leader="none" w:pos="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2010, of ALLETE;</w:t>
      </w:r>
    </w:p>
    <w:p>
      <w:pPr>
        <w:spacing w:after="0" w:line="206" w:lineRule="exact"/>
        <w:rPr>
          <w:rFonts w:ascii="Arial" w:cs="Arial" w:eastAsia="Arial" w:hAnsi="Arial"/>
          <w:sz w:val="17"/>
          <w:szCs w:val="17"/>
          <w:color w:val="auto"/>
        </w:rPr>
      </w:pPr>
    </w:p>
    <w:p>
      <w:pPr>
        <w:ind w:left="300" w:hanging="299"/>
        <w:spacing w:after="0" w:line="300"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300" w:hanging="299"/>
        <w:spacing w:after="0" w:line="268" w:lineRule="auto"/>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300" w:hanging="299"/>
        <w:spacing w:after="0"/>
        <w:tabs>
          <w:tab w:leader="none" w:pos="3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06" w:lineRule="exact"/>
        <w:rPr>
          <w:rFonts w:ascii="Arial" w:cs="Arial" w:eastAsia="Arial" w:hAnsi="Arial"/>
          <w:sz w:val="15"/>
          <w:szCs w:val="15"/>
          <w:color w:val="auto"/>
        </w:rPr>
      </w:pPr>
    </w:p>
    <w:p>
      <w:pPr>
        <w:jc w:val="both"/>
        <w:ind w:left="600" w:hanging="298"/>
        <w:spacing w:after="0" w:line="257"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600" w:hanging="298"/>
        <w:spacing w:after="0" w:line="268"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00" w:hanging="299"/>
        <w:spacing w:after="0" w:line="268" w:lineRule="auto"/>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00" w:hanging="298"/>
        <w:spacing w:after="0" w:line="268"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00" w:hanging="298"/>
        <w:spacing w:after="0" w:line="268" w:lineRule="auto"/>
        <w:tabs>
          <w:tab w:leader="none" w:pos="6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20"/>
                <w:szCs w:val="20"/>
                <w:color w:val="auto"/>
              </w:rPr>
            </w:pPr>
            <w:r>
              <w:rPr>
                <w:rFonts w:ascii="Arial" w:cs="Arial" w:eastAsia="Arial" w:hAnsi="Arial"/>
                <w:sz w:val="17"/>
                <w:szCs w:val="17"/>
                <w:color w:val="auto"/>
              </w:rPr>
              <w:t>Date: February 16, 2011</w:t>
            </w: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Mark A. Schober</w:t>
            </w:r>
          </w:p>
        </w:tc>
        <w:tc>
          <w:tcPr>
            <w:tcW w:w="6480" w:type="dxa"/>
            <w:vAlign w:val="bottom"/>
          </w:tcPr>
          <w:p>
            <w:pPr>
              <w:spacing w:after="0"/>
              <w:rPr>
                <w:sz w:val="16"/>
                <w:szCs w:val="16"/>
                <w:color w:val="auto"/>
              </w:rPr>
            </w:pPr>
          </w:p>
        </w:tc>
      </w:tr>
      <w:tr>
        <w:trPr>
          <w:trHeight w:val="206"/>
        </w:trPr>
        <w:tc>
          <w:tcPr>
            <w:tcW w:w="378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7"/>
                <w:szCs w:val="17"/>
                <w:color w:val="auto"/>
              </w:rPr>
              <w:t>Mark A. Schober</w:t>
            </w:r>
          </w:p>
        </w:tc>
      </w:tr>
      <w:tr>
        <w:trPr>
          <w:trHeight w:val="213"/>
        </w:trPr>
        <w:tc>
          <w:tcPr>
            <w:tcW w:w="378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575"/>
        </w:trPr>
        <w:tc>
          <w:tcPr>
            <w:tcW w:w="37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5" w:name="page166"/>
    <w:bookmarkEnd w:id="1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 of Periodic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the Chief Executive Officer and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3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Section 906 of the Sarbanes-Oxley Act of 2002, 18 U.S.C. Section 1350, each of the undersigned officers of ALLETE, Inc. (ALLETE), does hereby certify that:</w:t>
      </w:r>
    </w:p>
    <w:p>
      <w:pPr>
        <w:spacing w:after="0" w:line="167" w:lineRule="exact"/>
        <w:rPr>
          <w:sz w:val="20"/>
          <w:szCs w:val="20"/>
          <w:color w:val="auto"/>
        </w:rPr>
      </w:pPr>
    </w:p>
    <w:p>
      <w:pPr>
        <w:ind w:left="300" w:hanging="207"/>
        <w:spacing w:after="0" w:line="268" w:lineRule="auto"/>
        <w:tabs>
          <w:tab w:leader="none" w:pos="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Annual Report on Form 10-K of ALLETE for the fiscal year ended December 31, 2009, (Report) fully complies with the requirements of Section 13(a) of the Securities Exchange Act of 1934 (15 U.S.C. 78m); and</w:t>
      </w:r>
    </w:p>
    <w:p>
      <w:pPr>
        <w:spacing w:after="0" w:line="166" w:lineRule="exact"/>
        <w:rPr>
          <w:rFonts w:ascii="Arial" w:cs="Arial" w:eastAsia="Arial" w:hAnsi="Arial"/>
          <w:sz w:val="17"/>
          <w:szCs w:val="17"/>
          <w:color w:val="auto"/>
        </w:rPr>
      </w:pPr>
    </w:p>
    <w:p>
      <w:pPr>
        <w:ind w:left="300" w:hanging="207"/>
        <w:spacing w:after="0"/>
        <w:tabs>
          <w:tab w:leader="none" w:pos="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20"/>
                <w:szCs w:val="20"/>
                <w:color w:val="auto"/>
              </w:rPr>
            </w:pPr>
            <w:r>
              <w:rPr>
                <w:rFonts w:ascii="Arial" w:cs="Arial" w:eastAsia="Arial" w:hAnsi="Arial"/>
                <w:sz w:val="17"/>
                <w:szCs w:val="17"/>
                <w:color w:val="auto"/>
              </w:rPr>
              <w:t>Date: February 16, 2011</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Alan R. Hodnik</w:t>
            </w:r>
          </w:p>
        </w:tc>
        <w:tc>
          <w:tcPr>
            <w:tcW w:w="1480" w:type="dxa"/>
            <w:vAlign w:val="bottom"/>
          </w:tcPr>
          <w:p>
            <w:pPr>
              <w:spacing w:after="0"/>
              <w:rPr>
                <w:sz w:val="16"/>
                <w:szCs w:val="16"/>
                <w:color w:val="auto"/>
              </w:rPr>
            </w:pPr>
          </w:p>
        </w:tc>
      </w:tr>
      <w:tr>
        <w:trPr>
          <w:trHeight w:val="206"/>
        </w:trPr>
        <w:tc>
          <w:tcPr>
            <w:tcW w:w="378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7"/>
                <w:szCs w:val="17"/>
                <w:color w:val="auto"/>
              </w:rPr>
              <w:t>Alan R. Hodnik</w:t>
            </w:r>
          </w:p>
        </w:tc>
      </w:tr>
      <w:tr>
        <w:trPr>
          <w:trHeight w:val="213"/>
        </w:trPr>
        <w:tc>
          <w:tcPr>
            <w:tcW w:w="378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7"/>
                <w:szCs w:val="17"/>
                <w:color w:val="auto"/>
                <w:w w:val="8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20"/>
                <w:szCs w:val="20"/>
                <w:color w:val="auto"/>
              </w:rPr>
            </w:pPr>
            <w:r>
              <w:rPr>
                <w:rFonts w:ascii="Arial" w:cs="Arial" w:eastAsia="Arial" w:hAnsi="Arial"/>
                <w:sz w:val="17"/>
                <w:szCs w:val="17"/>
                <w:color w:val="auto"/>
              </w:rPr>
              <w:t>Date: February 16, 2011</w:t>
            </w: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Mark A. Schober</w:t>
            </w:r>
          </w:p>
        </w:tc>
        <w:tc>
          <w:tcPr>
            <w:tcW w:w="2160" w:type="dxa"/>
            <w:vAlign w:val="bottom"/>
          </w:tcPr>
          <w:p>
            <w:pPr>
              <w:spacing w:after="0"/>
              <w:rPr>
                <w:sz w:val="16"/>
                <w:szCs w:val="16"/>
                <w:color w:val="auto"/>
              </w:rPr>
            </w:pPr>
          </w:p>
        </w:tc>
      </w:tr>
      <w:tr>
        <w:trPr>
          <w:trHeight w:val="206"/>
        </w:trPr>
        <w:tc>
          <w:tcPr>
            <w:tcW w:w="37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Mark A. Schober</w:t>
            </w:r>
          </w:p>
        </w:tc>
      </w:tr>
      <w:tr>
        <w:trPr>
          <w:trHeight w:val="213"/>
        </w:trPr>
        <w:tc>
          <w:tcPr>
            <w:tcW w:w="3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w w:val="89"/>
              </w:rPr>
              <w:t>Senior Vice President and Chief Financial Officer</w:t>
            </w:r>
          </w:p>
        </w:tc>
      </w:tr>
    </w:tbl>
    <w:p>
      <w:pPr>
        <w:spacing w:after="0" w:line="200" w:lineRule="exact"/>
        <w:rPr>
          <w:sz w:val="20"/>
          <w:szCs w:val="20"/>
          <w:color w:val="auto"/>
        </w:rPr>
      </w:pP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349250</wp:posOffset>
            </wp:positionV>
            <wp:extent cx="726059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7" w:name="page168"/>
    <w:bookmarkEnd w:id="1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spacing w:after="0" w:line="20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692275" cy="7581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92275" cy="7581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ind w:firstLine="517"/>
        <w:spacing w:after="0" w:line="295" w:lineRule="auto"/>
        <w:rPr>
          <w:sz w:val="20"/>
          <w:szCs w:val="20"/>
          <w:color w:val="auto"/>
        </w:rPr>
      </w:pPr>
      <w:r>
        <w:rPr>
          <w:rFonts w:ascii="Arial" w:cs="Arial" w:eastAsia="Arial" w:hAnsi="Arial"/>
          <w:sz w:val="15"/>
          <w:szCs w:val="15"/>
          <w:b w:val="1"/>
          <w:bCs w:val="1"/>
          <w:color w:val="auto"/>
        </w:rPr>
        <w:t xml:space="preserve">Exhibit 99 </w:t>
      </w:r>
      <w:r>
        <w:rPr>
          <w:rFonts w:ascii="Arial" w:cs="Arial" w:eastAsia="Arial" w:hAnsi="Arial"/>
          <w:sz w:val="15"/>
          <w:szCs w:val="15"/>
          <w:color w:val="auto"/>
        </w:rPr>
        <w:t>February 16, 2011 Tim Thorp 218-723-3953 tthorp@allete.com</w:t>
      </w:r>
    </w:p>
    <w:p>
      <w:pPr>
        <w:spacing w:after="0" w:line="200" w:lineRule="exact"/>
        <w:rPr>
          <w:sz w:val="20"/>
          <w:szCs w:val="20"/>
          <w:color w:val="auto"/>
        </w:rPr>
      </w:pPr>
    </w:p>
    <w:p>
      <w:pPr>
        <w:sectPr>
          <w:pgSz w:w="11900" w:h="16838" w:orient="portrait"/>
          <w:cols w:equalWidth="0" w:num="2">
            <w:col w:w="9460" w:space="720"/>
            <w:col w:w="1240"/>
          </w:cols>
          <w:pgMar w:left="240" w:top="123"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60"/>
          <w:szCs w:val="60"/>
          <w:b w:val="1"/>
          <w:bCs w:val="1"/>
          <w:i w:val="1"/>
          <w:iCs w:val="1"/>
          <w:color w:val="auto"/>
        </w:rPr>
        <w:t>NEWS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ALLETE reports 16 percent growth in 2010 earnings per share</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ALLETE, Inc. (NYSE:ALE) today reported 2010 earnings of $2.19 per share, a 16 percent increase over the $1.89 per share recorded in 2009. ALLETE’s net income in 2010 was $75.3 million on total operating revenue of $907 million, compared to $61 million of net income and revenue of $759.1 million in 2009. Excluding a nonrecurring 12 cent charge as a result of the Patient Protection and Affordable Care Act, ALLETE’s pro forma earnings were $2.31 per share in 2010. 2009 results included a 15 cent per share nonrecurring charge.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“Improved power sales to our taconite customers was a reflection of a healthier economy and positively impacted our earnings for the year,” said ALLETE President and CEO Al Hodnik. “Megawatt-hour sales to these customers increased by 104 percent from 2009 to 2010.”</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Income from </w:t>
      </w:r>
      <w:r>
        <w:rPr>
          <w:rFonts w:ascii="Arial" w:cs="Arial" w:eastAsia="Arial" w:hAnsi="Arial"/>
          <w:sz w:val="17"/>
          <w:szCs w:val="17"/>
          <w:b w:val="1"/>
          <w:bCs w:val="1"/>
          <w:color w:val="auto"/>
        </w:rPr>
        <w:t>Regulated Operations</w:t>
      </w:r>
      <w:r>
        <w:rPr>
          <w:rFonts w:ascii="Arial" w:cs="Arial" w:eastAsia="Arial" w:hAnsi="Arial"/>
          <w:sz w:val="17"/>
          <w:szCs w:val="17"/>
          <w:color w:val="auto"/>
        </w:rPr>
        <w:t xml:space="preserve"> rose to $79.8 million during 2010 from $65.9 million in the previous year. The results reflected the stronger megawatt-hour sales combined with interim rate increases for Minnesota Power retail customers, and increased transmission-related margins. These increases were significantly offset by higher operating and maintenance, depreciation, interest and income tax expenses.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Investments and Other</w:t>
      </w:r>
      <w:r>
        <w:rPr>
          <w:rFonts w:ascii="Arial" w:cs="Arial" w:eastAsia="Arial" w:hAnsi="Arial"/>
          <w:sz w:val="17"/>
          <w:szCs w:val="17"/>
          <w:color w:val="auto"/>
        </w:rPr>
        <w:t xml:space="preserve"> segment recorded a net loss of $4.5 million during the year compared to a net loss of $4.9 million in 2009.</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 increase in the average number of common shares outstanding, with issuance proceeds used to fund the company’s capital expenditure program, had a dilutive impact of 14 cents per share in 2010.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Hodnik said the company expects to earn between $2.35 and $2.55 in 2011. The company recently increased its quarterly dividend to 44.5 cents per share.</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building upon our strengths in 2011 and beyond, to the benefit of our customers and shareholders, as the overall economy improves and we continue to make capital investments in renewable and transmission assets,” Hodnik said.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The company will host a conference call and webcast at 10:00 a.m. Eastern time today to discuss details of its performance for the year. Interested parties may listen live by calling (877) 303-5852, or by accessing the webcast at </w:t>
      </w:r>
      <w:r>
        <w:rPr>
          <w:rFonts w:ascii="Arial" w:cs="Arial" w:eastAsia="Arial" w:hAnsi="Arial"/>
          <w:sz w:val="17"/>
          <w:szCs w:val="17"/>
          <w:u w:val="single" w:color="auto"/>
          <w:color w:val="auto"/>
        </w:rPr>
        <w:t>www.allete.com</w:t>
      </w:r>
      <w:r>
        <w:rPr>
          <w:rFonts w:ascii="Arial" w:cs="Arial" w:eastAsia="Arial" w:hAnsi="Arial"/>
          <w:sz w:val="17"/>
          <w:szCs w:val="17"/>
          <w:color w:val="auto"/>
        </w:rPr>
        <w:t>. A replay of the call will be available through February 20, 2011 by dialing (800) 642-1687, pass code 38206714.</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ALLETE’s corporate headquarters are in Duluth, Minnesota. In addition to its electric utilities, Minnesota Power in northeast Minnesota and Superior, Water, Light &amp; Power Co. in northwest Wisconsin, ALLETE owns BNI Coal in Center, N. D. and has an eight percent equity interest in American Transmission Co. More information about the company is available on ALLETE’s Web site at </w:t>
      </w:r>
      <w:r>
        <w:rPr>
          <w:rFonts w:ascii="Arial" w:cs="Arial" w:eastAsia="Arial" w:hAnsi="Arial"/>
          <w:sz w:val="17"/>
          <w:szCs w:val="17"/>
          <w:u w:val="single" w:color="auto"/>
          <w:color w:val="auto"/>
        </w:rPr>
        <w:t>www.allete.com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349250</wp:posOffset>
            </wp:positionV>
            <wp:extent cx="726059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69" w:name="page170"/>
    <w:bookmarkEnd w:id="169"/>
    <w:p>
      <w:pPr>
        <w:jc w:val="both"/>
        <w:spacing w:after="0" w:line="281"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726059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Pr>
          <w:p>
            <w:pPr>
              <w:jc w:val="center"/>
              <w:ind w:left="676"/>
              <w:spacing w:after="0"/>
              <w:rPr>
                <w:sz w:val="20"/>
                <w:szCs w:val="20"/>
                <w:color w:val="auto"/>
              </w:rPr>
            </w:pPr>
            <w:r>
              <w:rPr>
                <w:rFonts w:ascii="Arial" w:cs="Arial" w:eastAsia="Arial" w:hAnsi="Arial"/>
                <w:sz w:val="17"/>
                <w:szCs w:val="17"/>
                <w:b w:val="1"/>
                <w:bCs w:val="1"/>
                <w:color w:val="auto"/>
                <w:w w:val="99"/>
              </w:rPr>
              <w:t>ALLETE, Inc.</w:t>
            </w: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gridSpan w:val="2"/>
          </w:tcPr>
          <w:p>
            <w:pPr>
              <w:jc w:val="center"/>
              <w:ind w:right="1456"/>
              <w:spacing w:after="0"/>
              <w:rPr>
                <w:sz w:val="20"/>
                <w:szCs w:val="20"/>
                <w:color w:val="auto"/>
              </w:rPr>
            </w:pPr>
            <w:r>
              <w:rPr>
                <w:rFonts w:ascii="Arial" w:cs="Arial" w:eastAsia="Arial" w:hAnsi="Arial"/>
                <w:sz w:val="17"/>
                <w:szCs w:val="17"/>
                <w:b w:val="1"/>
                <w:bCs w:val="1"/>
                <w:color w:val="auto"/>
                <w:w w:val="87"/>
              </w:rPr>
              <w:t>Consolidated Statement of Income</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40" w:type="dxa"/>
            <w:vAlign w:val="bottom"/>
          </w:tcPr>
          <w:p>
            <w:pPr>
              <w:spacing w:after="0"/>
              <w:rPr>
                <w:sz w:val="17"/>
                <w:szCs w:val="17"/>
                <w:color w:val="auto"/>
              </w:rPr>
            </w:pPr>
          </w:p>
        </w:tc>
        <w:tc>
          <w:tcPr>
            <w:tcW w:w="4880" w:type="dxa"/>
            <w:vAlign w:val="bottom"/>
            <w:gridSpan w:val="3"/>
          </w:tcPr>
          <w:p>
            <w:pPr>
              <w:jc w:val="center"/>
              <w:ind w:right="656"/>
              <w:spacing w:after="0"/>
              <w:rPr>
                <w:sz w:val="20"/>
                <w:szCs w:val="20"/>
                <w:color w:val="auto"/>
              </w:rPr>
            </w:pPr>
            <w:r>
              <w:rPr>
                <w:rFonts w:ascii="Arial" w:cs="Arial" w:eastAsia="Arial" w:hAnsi="Arial"/>
                <w:sz w:val="17"/>
                <w:szCs w:val="17"/>
                <w:b w:val="1"/>
                <w:bCs w:val="1"/>
                <w:color w:val="auto"/>
                <w:w w:val="88"/>
              </w:rPr>
              <w:t>For the Periods Ended December 31, 2010 and 2009</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gridSpan w:val="2"/>
          </w:tcPr>
          <w:p>
            <w:pPr>
              <w:jc w:val="center"/>
              <w:ind w:right="1456"/>
              <w:spacing w:after="0"/>
              <w:rPr>
                <w:sz w:val="20"/>
                <w:szCs w:val="20"/>
                <w:color w:val="auto"/>
              </w:rPr>
            </w:pPr>
            <w:r>
              <w:rPr>
                <w:rFonts w:ascii="Arial" w:cs="Arial" w:eastAsia="Arial" w:hAnsi="Arial"/>
                <w:sz w:val="17"/>
                <w:szCs w:val="17"/>
                <w:color w:val="auto"/>
                <w:w w:val="90"/>
              </w:rPr>
              <w:t>Millions Except Per Share Amounts</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34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b w:val="1"/>
                <w:bCs w:val="1"/>
                <w:color w:val="auto"/>
              </w:rPr>
              <w:t>Quarter Ended</w:t>
            </w:r>
          </w:p>
        </w:tc>
        <w:tc>
          <w:tcPr>
            <w:tcW w:w="18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Year to Date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2010</w:t>
            </w: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2009</w:t>
            </w: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2010</w:t>
            </w: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ind w:left="400"/>
              <w:spacing w:after="0"/>
              <w:rPr>
                <w:sz w:val="20"/>
                <w:szCs w:val="20"/>
                <w:color w:val="auto"/>
              </w:rPr>
            </w:pPr>
            <w:r>
              <w:rPr>
                <w:rFonts w:ascii="Arial" w:cs="Arial" w:eastAsia="Arial" w:hAnsi="Arial"/>
                <w:sz w:val="17"/>
                <w:szCs w:val="17"/>
                <w:color w:val="auto"/>
              </w:rPr>
              <w:t>Operating Revenue</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jc w:val="right"/>
              <w:ind w:right="96"/>
              <w:spacing w:after="0"/>
              <w:rPr>
                <w:sz w:val="20"/>
                <w:szCs w:val="20"/>
                <w:color w:val="auto"/>
              </w:rPr>
            </w:pPr>
            <w:r>
              <w:rPr>
                <w:rFonts w:ascii="Arial" w:cs="Arial" w:eastAsia="Arial" w:hAnsi="Arial"/>
                <w:sz w:val="17"/>
                <w:szCs w:val="17"/>
                <w:color w:val="auto"/>
              </w:rPr>
              <w:t>$238.1</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$216.0</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$907.0</w:t>
            </w:r>
          </w:p>
        </w:tc>
        <w:tc>
          <w:tcPr>
            <w:tcW w:w="800" w:type="dxa"/>
            <w:vAlign w:val="bottom"/>
          </w:tcPr>
          <w:p>
            <w:pPr>
              <w:jc w:val="right"/>
              <w:spacing w:after="0"/>
              <w:rPr>
                <w:sz w:val="20"/>
                <w:szCs w:val="20"/>
                <w:color w:val="auto"/>
              </w:rPr>
            </w:pPr>
            <w:r>
              <w:rPr>
                <w:rFonts w:ascii="Arial" w:cs="Arial" w:eastAsia="Arial" w:hAnsi="Arial"/>
                <w:sz w:val="17"/>
                <w:szCs w:val="17"/>
                <w:color w:val="auto"/>
              </w:rPr>
              <w:t>$766.7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Prior Year Rate Refunds</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Total Operating Revenue</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238.1</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216.0</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907.0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Fuel and Purchased Power</w:t>
            </w: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92.0</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80.1</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325.1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ind w:left="400"/>
              <w:spacing w:after="0"/>
              <w:rPr>
                <w:sz w:val="20"/>
                <w:szCs w:val="20"/>
                <w:color w:val="auto"/>
              </w:rPr>
            </w:pPr>
            <w:r>
              <w:rPr>
                <w:rFonts w:ascii="Arial" w:cs="Arial" w:eastAsia="Arial" w:hAnsi="Arial"/>
                <w:sz w:val="17"/>
                <w:szCs w:val="17"/>
                <w:color w:val="auto"/>
              </w:rPr>
              <w:t>Operating and Maintenance</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jc w:val="right"/>
              <w:ind w:right="96"/>
              <w:spacing w:after="0"/>
              <w:rPr>
                <w:sz w:val="20"/>
                <w:szCs w:val="20"/>
                <w:color w:val="auto"/>
              </w:rPr>
            </w:pPr>
            <w:r>
              <w:rPr>
                <w:rFonts w:ascii="Arial" w:cs="Arial" w:eastAsia="Arial" w:hAnsi="Arial"/>
                <w:sz w:val="17"/>
                <w:szCs w:val="17"/>
                <w:color w:val="auto"/>
              </w:rPr>
              <w:t>102.7</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84.2</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365.6</w:t>
            </w:r>
          </w:p>
        </w:tc>
        <w:tc>
          <w:tcPr>
            <w:tcW w:w="800" w:type="dxa"/>
            <w:vAlign w:val="bottom"/>
          </w:tcPr>
          <w:p>
            <w:pPr>
              <w:jc w:val="right"/>
              <w:spacing w:after="0"/>
              <w:rPr>
                <w:sz w:val="20"/>
                <w:szCs w:val="20"/>
                <w:color w:val="auto"/>
              </w:rPr>
            </w:pPr>
            <w:r>
              <w:rPr>
                <w:rFonts w:ascii="Arial" w:cs="Arial" w:eastAsia="Arial" w:hAnsi="Arial"/>
                <w:sz w:val="17"/>
                <w:szCs w:val="17"/>
                <w:color w:val="auto"/>
              </w:rPr>
              <w:t>308.9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Depreciation</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20.7</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17.9</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80.5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Total Operating Expenses</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215.4</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182.2</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771.2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22.7</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33.8</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135.8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(11.1)</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(8.4)</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(39.2)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ind w:left="400"/>
              <w:spacing w:after="0"/>
              <w:rPr>
                <w:sz w:val="20"/>
                <w:szCs w:val="20"/>
                <w:color w:val="auto"/>
              </w:rPr>
            </w:pPr>
            <w:r>
              <w:rPr>
                <w:rFonts w:ascii="Arial" w:cs="Arial" w:eastAsia="Arial" w:hAnsi="Arial"/>
                <w:sz w:val="17"/>
                <w:szCs w:val="17"/>
                <w:color w:val="auto"/>
              </w:rPr>
              <w:t>Equity Earnings in ATC</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jc w:val="right"/>
              <w:ind w:right="96"/>
              <w:spacing w:after="0"/>
              <w:rPr>
                <w:sz w:val="20"/>
                <w:szCs w:val="20"/>
                <w:color w:val="auto"/>
              </w:rPr>
            </w:pPr>
            <w:r>
              <w:rPr>
                <w:rFonts w:ascii="Arial" w:cs="Arial" w:eastAsia="Arial" w:hAnsi="Arial"/>
                <w:sz w:val="17"/>
                <w:szCs w:val="17"/>
                <w:color w:val="auto"/>
              </w:rPr>
              <w:t>4.5</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4.6</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17.9</w:t>
            </w:r>
          </w:p>
        </w:tc>
        <w:tc>
          <w:tcPr>
            <w:tcW w:w="800" w:type="dxa"/>
            <w:vAlign w:val="bottom"/>
          </w:tcPr>
          <w:p>
            <w:pPr>
              <w:jc w:val="right"/>
              <w:spacing w:after="0"/>
              <w:rPr>
                <w:sz w:val="20"/>
                <w:szCs w:val="20"/>
                <w:color w:val="auto"/>
              </w:rPr>
            </w:pPr>
            <w:r>
              <w:rPr>
                <w:rFonts w:ascii="Arial" w:cs="Arial" w:eastAsia="Arial" w:hAnsi="Arial"/>
                <w:sz w:val="17"/>
                <w:szCs w:val="17"/>
                <w:color w:val="auto"/>
              </w:rPr>
              <w:t>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Other</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0.8</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(2.0)</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Total Other Income (Expense)</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(5.8)</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(5.8)</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(16.7)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gridSpan w:val="2"/>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gridSpan w:val="2"/>
          </w:tcPr>
          <w:p>
            <w:pPr>
              <w:spacing w:after="0"/>
              <w:rPr>
                <w:sz w:val="20"/>
                <w:szCs w:val="20"/>
                <w:color w:val="auto"/>
              </w:rPr>
            </w:pPr>
            <w:r>
              <w:rPr>
                <w:rFonts w:ascii="Arial" w:cs="Arial" w:eastAsia="Arial" w:hAnsi="Arial"/>
                <w:sz w:val="17"/>
                <w:szCs w:val="17"/>
                <w:b w:val="1"/>
                <w:bCs w:val="1"/>
                <w:color w:val="auto"/>
                <w:w w:val="93"/>
              </w:rPr>
              <w:t>Income Before Non-Controlling Interest and Income Taxes</w:t>
            </w:r>
          </w:p>
        </w:tc>
        <w:tc>
          <w:tcPr>
            <w:tcW w:w="1800" w:type="dxa"/>
            <w:vAlign w:val="bottom"/>
          </w:tcPr>
          <w:p>
            <w:pPr>
              <w:spacing w:after="0"/>
              <w:rPr>
                <w:sz w:val="17"/>
                <w:szCs w:val="17"/>
                <w:color w:val="auto"/>
              </w:rPr>
            </w:pPr>
          </w:p>
        </w:tc>
        <w:tc>
          <w:tcPr>
            <w:tcW w:w="2280" w:type="dxa"/>
            <w:vAlign w:val="bottom"/>
          </w:tcPr>
          <w:p>
            <w:pPr>
              <w:jc w:val="right"/>
              <w:ind w:right="96"/>
              <w:spacing w:after="0"/>
              <w:rPr>
                <w:sz w:val="20"/>
                <w:szCs w:val="20"/>
                <w:color w:val="auto"/>
              </w:rPr>
            </w:pPr>
            <w:r>
              <w:rPr>
                <w:rFonts w:ascii="Arial" w:cs="Arial" w:eastAsia="Arial" w:hAnsi="Arial"/>
                <w:sz w:val="17"/>
                <w:szCs w:val="17"/>
                <w:color w:val="auto"/>
              </w:rPr>
              <w:t>16.9</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28.0</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119.1</w:t>
            </w:r>
          </w:p>
        </w:tc>
        <w:tc>
          <w:tcPr>
            <w:tcW w:w="800" w:type="dxa"/>
            <w:vAlign w:val="bottom"/>
          </w:tcPr>
          <w:p>
            <w:pPr>
              <w:jc w:val="right"/>
              <w:spacing w:after="0"/>
              <w:rPr>
                <w:sz w:val="20"/>
                <w:szCs w:val="20"/>
                <w:color w:val="auto"/>
              </w:rPr>
            </w:pPr>
            <w:r>
              <w:rPr>
                <w:rFonts w:ascii="Arial" w:cs="Arial" w:eastAsia="Arial" w:hAnsi="Arial"/>
                <w:sz w:val="17"/>
                <w:szCs w:val="17"/>
                <w:color w:val="auto"/>
              </w:rPr>
              <w:t>91.5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3.8</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9.3</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44.3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13.1</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18.7</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74.8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4"/>
              </w:rPr>
              <w:t>Less: Non-Controlling Interest in Subsidiaries</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(0.2)</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(0.5)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$13.3</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$18.7</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$75.3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Basic</w:t>
            </w: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34.5</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33.4</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34.2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Diluted</w:t>
            </w: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34.7</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33.5</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34.3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b w:val="1"/>
                <w:bCs w:val="1"/>
                <w:color w:val="auto"/>
              </w:rPr>
              <w:t>Basic Earnings Per Share of Common Stock</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80" w:type="dxa"/>
            <w:vAlign w:val="bottom"/>
          </w:tcPr>
          <w:p>
            <w:pPr>
              <w:jc w:val="right"/>
              <w:ind w:right="96"/>
              <w:spacing w:after="0"/>
              <w:rPr>
                <w:sz w:val="20"/>
                <w:szCs w:val="20"/>
                <w:color w:val="auto"/>
              </w:rPr>
            </w:pPr>
            <w:r>
              <w:rPr>
                <w:rFonts w:ascii="Arial" w:cs="Arial" w:eastAsia="Arial" w:hAnsi="Arial"/>
                <w:sz w:val="17"/>
                <w:szCs w:val="17"/>
                <w:color w:val="auto"/>
              </w:rPr>
              <w:t>$0.38</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$0.56</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$2.20</w:t>
            </w:r>
          </w:p>
        </w:tc>
        <w:tc>
          <w:tcPr>
            <w:tcW w:w="800" w:type="dxa"/>
            <w:vAlign w:val="bottom"/>
          </w:tcPr>
          <w:p>
            <w:pPr>
              <w:jc w:val="right"/>
              <w:spacing w:after="0"/>
              <w:rPr>
                <w:sz w:val="20"/>
                <w:szCs w:val="20"/>
                <w:color w:val="auto"/>
              </w:rPr>
            </w:pPr>
            <w:r>
              <w:rPr>
                <w:rFonts w:ascii="Arial" w:cs="Arial" w:eastAsia="Arial" w:hAnsi="Arial"/>
                <w:sz w:val="17"/>
                <w:szCs w:val="17"/>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97"/>
              </w:rPr>
              <w:t>Diluted Earnings Per Share of Common Stock</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0.38</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0.56</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2.19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8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$0.44</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$0.44</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$1.76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gridSpan w:val="2"/>
          </w:tcPr>
          <w:p>
            <w:pPr>
              <w:jc w:val="center"/>
              <w:ind w:right="1456"/>
              <w:spacing w:after="0"/>
              <w:rPr>
                <w:sz w:val="20"/>
                <w:szCs w:val="20"/>
                <w:color w:val="auto"/>
              </w:rPr>
            </w:pPr>
            <w:r>
              <w:rPr>
                <w:rFonts w:ascii="Arial" w:cs="Arial" w:eastAsia="Arial" w:hAnsi="Arial"/>
                <w:sz w:val="17"/>
                <w:szCs w:val="17"/>
                <w:b w:val="1"/>
                <w:bCs w:val="1"/>
                <w:color w:val="auto"/>
                <w:w w:val="86"/>
              </w:rPr>
              <w:t>Consolidated Balance Sheet</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tcPr>
          <w:p>
            <w:pPr>
              <w:jc w:val="center"/>
              <w:ind w:left="676"/>
              <w:spacing w:after="0"/>
              <w:rPr>
                <w:sz w:val="20"/>
                <w:szCs w:val="20"/>
                <w:color w:val="auto"/>
              </w:rPr>
            </w:pPr>
            <w:r>
              <w:rPr>
                <w:rFonts w:ascii="Arial" w:cs="Arial" w:eastAsia="Arial" w:hAnsi="Arial"/>
                <w:sz w:val="17"/>
                <w:szCs w:val="17"/>
                <w:color w:val="auto"/>
                <w:w w:val="98"/>
              </w:rPr>
              <w:t>Millions</w:t>
            </w: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 31,</w:t>
            </w:r>
          </w:p>
        </w:tc>
        <w:tc>
          <w:tcPr>
            <w:tcW w:w="1800" w:type="dxa"/>
            <w:vAlign w:val="bottom"/>
            <w:shd w:val="clear" w:color="auto" w:fill="CCEEFF"/>
          </w:tcPr>
          <w:p>
            <w:pPr>
              <w:jc w:val="right"/>
              <w:ind w:right="776"/>
              <w:spacing w:after="0"/>
              <w:rPr>
                <w:sz w:val="20"/>
                <w:szCs w:val="20"/>
                <w:color w:val="auto"/>
              </w:rPr>
            </w:pPr>
            <w:r>
              <w:rPr>
                <w:rFonts w:ascii="Arial" w:cs="Arial" w:eastAsia="Arial" w:hAnsi="Arial"/>
                <w:sz w:val="17"/>
                <w:szCs w:val="17"/>
                <w:b w:val="1"/>
                <w:bCs w:val="1"/>
                <w:color w:val="auto"/>
              </w:rPr>
              <w:t>Dec. 31,</w:t>
            </w:r>
          </w:p>
        </w:tc>
        <w:tc>
          <w:tcPr>
            <w:tcW w:w="2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Dec. 31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w:t>
            </w:r>
          </w:p>
        </w:tc>
        <w:tc>
          <w:tcPr>
            <w:tcW w:w="180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b w:val="1"/>
                <w:bCs w:val="1"/>
                <w:color w:val="auto"/>
              </w:rPr>
              <w:t>2009</w:t>
            </w:r>
          </w:p>
        </w:tc>
        <w:tc>
          <w:tcPr>
            <w:tcW w:w="2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color w:val="auto"/>
              </w:rPr>
              <w:t>Cash and Short-Term Investments</w:t>
            </w:r>
          </w:p>
        </w:tc>
        <w:tc>
          <w:tcPr>
            <w:tcW w:w="800" w:type="dxa"/>
            <w:vAlign w:val="bottom"/>
          </w:tcPr>
          <w:p>
            <w:pPr>
              <w:jc w:val="right"/>
              <w:spacing w:after="0"/>
              <w:rPr>
                <w:sz w:val="20"/>
                <w:szCs w:val="20"/>
                <w:color w:val="auto"/>
              </w:rPr>
            </w:pPr>
            <w:r>
              <w:rPr>
                <w:rFonts w:ascii="Arial" w:cs="Arial" w:eastAsia="Arial" w:hAnsi="Arial"/>
                <w:sz w:val="17"/>
                <w:szCs w:val="17"/>
                <w:color w:val="auto"/>
              </w:rPr>
              <w:t>$51.6</w:t>
            </w:r>
          </w:p>
        </w:tc>
        <w:tc>
          <w:tcPr>
            <w:tcW w:w="1800" w:type="dxa"/>
            <w:vAlign w:val="bottom"/>
          </w:tcPr>
          <w:p>
            <w:pPr>
              <w:jc w:val="right"/>
              <w:ind w:right="776"/>
              <w:spacing w:after="0"/>
              <w:rPr>
                <w:sz w:val="20"/>
                <w:szCs w:val="20"/>
                <w:color w:val="auto"/>
              </w:rPr>
            </w:pPr>
            <w:r>
              <w:rPr>
                <w:rFonts w:ascii="Arial" w:cs="Arial" w:eastAsia="Arial" w:hAnsi="Arial"/>
                <w:sz w:val="17"/>
                <w:szCs w:val="17"/>
                <w:color w:val="auto"/>
              </w:rPr>
              <w:t>$25.7</w:t>
            </w:r>
          </w:p>
        </w:tc>
        <w:tc>
          <w:tcPr>
            <w:tcW w:w="2280" w:type="dxa"/>
            <w:vAlign w:val="bottom"/>
          </w:tcPr>
          <w:p>
            <w:pPr>
              <w:spacing w:after="0"/>
              <w:rPr>
                <w:sz w:val="20"/>
                <w:szCs w:val="20"/>
                <w:color w:val="auto"/>
              </w:rPr>
            </w:pPr>
            <w:r>
              <w:rPr>
                <w:rFonts w:ascii="Arial" w:cs="Arial" w:eastAsia="Arial" w:hAnsi="Arial"/>
                <w:sz w:val="17"/>
                <w:szCs w:val="17"/>
                <w:color w:val="auto"/>
              </w:rPr>
              <w:t>Current Liabilities</w:t>
            </w:r>
          </w:p>
        </w:tc>
        <w:tc>
          <w:tcPr>
            <w:tcW w:w="1060" w:type="dxa"/>
            <w:vAlign w:val="bottom"/>
          </w:tcPr>
          <w:p>
            <w:pPr>
              <w:spacing w:after="0"/>
              <w:rPr>
                <w:sz w:val="17"/>
                <w:szCs w:val="17"/>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$158.9</w:t>
            </w:r>
          </w:p>
        </w:tc>
        <w:tc>
          <w:tcPr>
            <w:tcW w:w="800" w:type="dxa"/>
            <w:vAlign w:val="bottom"/>
          </w:tcPr>
          <w:p>
            <w:pPr>
              <w:jc w:val="right"/>
              <w:spacing w:after="0"/>
              <w:rPr>
                <w:sz w:val="20"/>
                <w:szCs w:val="20"/>
                <w:color w:val="auto"/>
              </w:rPr>
            </w:pPr>
            <w:r>
              <w:rPr>
                <w:rFonts w:ascii="Arial" w:cs="Arial" w:eastAsia="Arial" w:hAnsi="Arial"/>
                <w:sz w:val="17"/>
                <w:szCs w:val="17"/>
                <w:color w:val="auto"/>
              </w:rPr>
              <w:t>$133.1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80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rPr>
              <w:t>199.8</w:t>
            </w: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771.6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800" w:type="dxa"/>
            <w:vAlign w:val="bottom"/>
          </w:tcPr>
          <w:p>
            <w:pPr>
              <w:jc w:val="right"/>
              <w:spacing w:after="0"/>
              <w:rPr>
                <w:sz w:val="20"/>
                <w:szCs w:val="20"/>
                <w:color w:val="auto"/>
              </w:rPr>
            </w:pPr>
            <w:r>
              <w:rPr>
                <w:rFonts w:ascii="Arial" w:cs="Arial" w:eastAsia="Arial" w:hAnsi="Arial"/>
                <w:sz w:val="17"/>
                <w:szCs w:val="17"/>
                <w:color w:val="auto"/>
              </w:rPr>
              <w:t>1,805.6</w:t>
            </w:r>
          </w:p>
        </w:tc>
        <w:tc>
          <w:tcPr>
            <w:tcW w:w="1800" w:type="dxa"/>
            <w:vAlign w:val="bottom"/>
          </w:tcPr>
          <w:p>
            <w:pPr>
              <w:jc w:val="right"/>
              <w:ind w:right="776"/>
              <w:spacing w:after="0"/>
              <w:rPr>
                <w:sz w:val="20"/>
                <w:szCs w:val="20"/>
                <w:color w:val="auto"/>
              </w:rPr>
            </w:pPr>
            <w:r>
              <w:rPr>
                <w:rFonts w:ascii="Arial" w:cs="Arial" w:eastAsia="Arial" w:hAnsi="Arial"/>
                <w:sz w:val="17"/>
                <w:szCs w:val="17"/>
                <w:color w:val="auto"/>
              </w:rPr>
              <w:t>1,622.7</w:t>
            </w:r>
          </w:p>
        </w:tc>
        <w:tc>
          <w:tcPr>
            <w:tcW w:w="2280" w:type="dxa"/>
            <w:vAlign w:val="bottom"/>
          </w:tcPr>
          <w:p>
            <w:pPr>
              <w:spacing w:after="0"/>
              <w:rPr>
                <w:sz w:val="20"/>
                <w:szCs w:val="20"/>
                <w:color w:val="auto"/>
              </w:rPr>
            </w:pPr>
            <w:r>
              <w:rPr>
                <w:rFonts w:ascii="Arial" w:cs="Arial" w:eastAsia="Arial" w:hAnsi="Arial"/>
                <w:sz w:val="17"/>
                <w:szCs w:val="17"/>
                <w:color w:val="auto"/>
              </w:rPr>
              <w:t>Other Liabilities</w:t>
            </w:r>
          </w:p>
        </w:tc>
        <w:tc>
          <w:tcPr>
            <w:tcW w:w="1060" w:type="dxa"/>
            <w:vAlign w:val="bottom"/>
          </w:tcPr>
          <w:p>
            <w:pPr>
              <w:spacing w:after="0"/>
              <w:rPr>
                <w:sz w:val="17"/>
                <w:szCs w:val="17"/>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324.8</w:t>
            </w:r>
          </w:p>
        </w:tc>
        <w:tc>
          <w:tcPr>
            <w:tcW w:w="800" w:type="dxa"/>
            <w:vAlign w:val="bottom"/>
          </w:tcPr>
          <w:p>
            <w:pPr>
              <w:jc w:val="right"/>
              <w:spacing w:after="0"/>
              <w:rPr>
                <w:sz w:val="20"/>
                <w:szCs w:val="20"/>
                <w:color w:val="auto"/>
              </w:rPr>
            </w:pPr>
            <w:r>
              <w:rPr>
                <w:rFonts w:ascii="Arial" w:cs="Arial" w:eastAsia="Arial" w:hAnsi="Arial"/>
                <w:sz w:val="17"/>
                <w:szCs w:val="17"/>
                <w:color w:val="auto"/>
              </w:rPr>
              <w:t>325.0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Regulatory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w:t>
            </w:r>
          </w:p>
        </w:tc>
        <w:tc>
          <w:tcPr>
            <w:tcW w:w="180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rPr>
              <w:t>293.2</w:t>
            </w: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Regulatory Liabilities</w:t>
            </w: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43.6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7"/>
                <w:szCs w:val="17"/>
                <w:color w:val="auto"/>
              </w:rPr>
              <w:t>Investment in ATC</w:t>
            </w:r>
          </w:p>
        </w:tc>
        <w:tc>
          <w:tcPr>
            <w:tcW w:w="800" w:type="dxa"/>
            <w:vAlign w:val="bottom"/>
          </w:tcPr>
          <w:p>
            <w:pPr>
              <w:jc w:val="right"/>
              <w:spacing w:after="0"/>
              <w:rPr>
                <w:sz w:val="20"/>
                <w:szCs w:val="20"/>
                <w:color w:val="auto"/>
              </w:rPr>
            </w:pPr>
            <w:r>
              <w:rPr>
                <w:rFonts w:ascii="Arial" w:cs="Arial" w:eastAsia="Arial" w:hAnsi="Arial"/>
                <w:sz w:val="17"/>
                <w:szCs w:val="17"/>
                <w:color w:val="auto"/>
              </w:rPr>
              <w:t>93.3</w:t>
            </w:r>
          </w:p>
        </w:tc>
        <w:tc>
          <w:tcPr>
            <w:tcW w:w="1800" w:type="dxa"/>
            <w:vAlign w:val="bottom"/>
          </w:tcPr>
          <w:p>
            <w:pPr>
              <w:jc w:val="right"/>
              <w:ind w:right="776"/>
              <w:spacing w:after="0"/>
              <w:rPr>
                <w:sz w:val="20"/>
                <w:szCs w:val="20"/>
                <w:color w:val="auto"/>
              </w:rPr>
            </w:pPr>
            <w:r>
              <w:rPr>
                <w:rFonts w:ascii="Arial" w:cs="Arial" w:eastAsia="Arial" w:hAnsi="Arial"/>
                <w:sz w:val="17"/>
                <w:szCs w:val="17"/>
                <w:color w:val="auto"/>
              </w:rPr>
              <w:t>88.4</w:t>
            </w:r>
          </w:p>
        </w:tc>
        <w:tc>
          <w:tcPr>
            <w:tcW w:w="2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60" w:type="dxa"/>
            <w:vAlign w:val="bottom"/>
          </w:tcPr>
          <w:p>
            <w:pPr>
              <w:spacing w:after="0"/>
              <w:rPr>
                <w:sz w:val="17"/>
                <w:szCs w:val="17"/>
                <w:color w:val="auto"/>
              </w:rPr>
            </w:pPr>
          </w:p>
        </w:tc>
        <w:tc>
          <w:tcPr>
            <w:tcW w:w="1040" w:type="dxa"/>
            <w:vAlign w:val="bottom"/>
          </w:tcPr>
          <w:p>
            <w:pPr>
              <w:jc w:val="right"/>
              <w:ind w:right="116"/>
              <w:spacing w:after="0"/>
              <w:rPr>
                <w:sz w:val="20"/>
                <w:szCs w:val="20"/>
                <w:color w:val="auto"/>
              </w:rPr>
            </w:pPr>
            <w:r>
              <w:rPr>
                <w:rFonts w:ascii="Arial" w:cs="Arial" w:eastAsia="Arial" w:hAnsi="Arial"/>
                <w:sz w:val="17"/>
                <w:szCs w:val="17"/>
                <w:color w:val="auto"/>
              </w:rPr>
              <w:t>325.2</w:t>
            </w:r>
          </w:p>
        </w:tc>
        <w:tc>
          <w:tcPr>
            <w:tcW w:w="800" w:type="dxa"/>
            <w:vAlign w:val="bottom"/>
          </w:tcPr>
          <w:p>
            <w:pPr>
              <w:jc w:val="right"/>
              <w:spacing w:after="0"/>
              <w:rPr>
                <w:sz w:val="20"/>
                <w:szCs w:val="20"/>
                <w:color w:val="auto"/>
              </w:rPr>
            </w:pPr>
            <w:r>
              <w:rPr>
                <w:rFonts w:ascii="Arial" w:cs="Arial" w:eastAsia="Arial" w:hAnsi="Arial"/>
                <w:sz w:val="17"/>
                <w:szCs w:val="17"/>
                <w:color w:val="auto"/>
              </w:rPr>
              <w:t>253.1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80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rPr>
              <w:t>130.5</w:t>
            </w: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985.0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180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rPr>
              <w:t>32.8</w:t>
            </w:r>
          </w:p>
        </w:tc>
        <w:tc>
          <w:tcPr>
            <w:tcW w:w="2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$2,609.1</w:t>
            </w:r>
          </w:p>
        </w:tc>
        <w:tc>
          <w:tcPr>
            <w:tcW w:w="180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7"/>
                <w:szCs w:val="17"/>
                <w:color w:val="auto"/>
              </w:rPr>
              <w:t>$2,393.1</w:t>
            </w: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10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$2,609.1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5"/>
        </w:trPr>
        <w:tc>
          <w:tcPr>
            <w:tcW w:w="36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1"/>
        </w:trPr>
        <w:tc>
          <w:tcPr>
            <w:tcW w:w="648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jc w:val="right"/>
              <w:ind w:right="696"/>
              <w:spacing w:after="0"/>
              <w:rPr>
                <w:sz w:val="20"/>
                <w:szCs w:val="20"/>
                <w:color w:val="auto"/>
              </w:rPr>
            </w:pPr>
            <w:r>
              <w:rPr>
                <w:rFonts w:ascii="Arial" w:cs="Arial" w:eastAsia="Arial" w:hAnsi="Arial"/>
                <w:sz w:val="17"/>
                <w:szCs w:val="17"/>
                <w:b w:val="1"/>
                <w:bCs w:val="1"/>
                <w:color w:val="auto"/>
              </w:rPr>
              <w:t>Quarter Ended</w:t>
            </w:r>
          </w:p>
        </w:tc>
        <w:tc>
          <w:tcPr>
            <w:tcW w:w="1660" w:type="dxa"/>
            <w:vAlign w:val="bottom"/>
            <w:gridSpan w:val="2"/>
            <w:shd w:val="clear" w:color="auto" w:fill="CCEEFF"/>
          </w:tcPr>
          <w:p>
            <w:pPr>
              <w:jc w:val="right"/>
              <w:ind w:right="376"/>
              <w:spacing w:after="0"/>
              <w:rPr>
                <w:sz w:val="20"/>
                <w:szCs w:val="20"/>
                <w:color w:val="auto"/>
              </w:rPr>
            </w:pPr>
            <w:r>
              <w:rPr>
                <w:rFonts w:ascii="Arial" w:cs="Arial" w:eastAsia="Arial" w:hAnsi="Arial"/>
                <w:sz w:val="17"/>
                <w:szCs w:val="17"/>
                <w:b w:val="1"/>
                <w:bCs w:val="1"/>
                <w:color w:val="auto"/>
              </w:rPr>
              <w:t>Year to Date</w:t>
            </w:r>
          </w:p>
        </w:tc>
        <w:tc>
          <w:tcPr>
            <w:tcW w:w="20" w:type="dxa"/>
            <w:vAlign w:val="bottom"/>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b w:val="1"/>
                <w:bCs w:val="1"/>
                <w:color w:val="auto"/>
              </w:rPr>
              <w:t>ALLETE, Inc.</w:t>
            </w:r>
          </w:p>
        </w:tc>
        <w:tc>
          <w:tcPr>
            <w:tcW w:w="3280" w:type="dxa"/>
            <w:vAlign w:val="bottom"/>
            <w:gridSpan w:val="2"/>
          </w:tcPr>
          <w:p>
            <w:pPr>
              <w:jc w:val="right"/>
              <w:ind w:right="756"/>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336"/>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(Loss)</w:t>
            </w:r>
          </w:p>
        </w:tc>
        <w:tc>
          <w:tcPr>
            <w:tcW w:w="21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2010</w:t>
            </w:r>
          </w:p>
        </w:tc>
        <w:tc>
          <w:tcPr>
            <w:tcW w:w="11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b w:val="1"/>
                <w:bCs w:val="1"/>
                <w:color w:val="auto"/>
              </w:rPr>
              <w:t>2009</w:t>
            </w:r>
          </w:p>
        </w:tc>
        <w:tc>
          <w:tcPr>
            <w:tcW w:w="9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b w:val="1"/>
                <w:bCs w:val="1"/>
                <w:color w:val="auto"/>
              </w:rPr>
              <w:t>2010</w:t>
            </w:r>
          </w:p>
        </w:tc>
        <w:tc>
          <w:tcPr>
            <w:tcW w:w="7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Millions</w:t>
            </w: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Regulated Operations</w:t>
            </w:r>
          </w:p>
        </w:tc>
        <w:tc>
          <w:tcPr>
            <w:tcW w:w="2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$14.6</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$20.9</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$79.8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Investments and Other</w:t>
            </w:r>
          </w:p>
        </w:tc>
        <w:tc>
          <w:tcPr>
            <w:tcW w:w="2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(1.3)</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(2.2)</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Net Income Attributable to ALLETE</w:t>
            </w:r>
          </w:p>
        </w:tc>
        <w:tc>
          <w:tcPr>
            <w:tcW w:w="2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$13.3</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$18.7</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$75.3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17"/>
                <w:szCs w:val="17"/>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7"/>
                <w:szCs w:val="17"/>
                <w:b w:val="1"/>
                <w:bCs w:val="1"/>
                <w:color w:val="auto"/>
              </w:rPr>
              <w:t>Diluted Earnings Per Share</w:t>
            </w:r>
          </w:p>
        </w:tc>
        <w:tc>
          <w:tcPr>
            <w:tcW w:w="2180" w:type="dxa"/>
            <w:vAlign w:val="bottom"/>
          </w:tcPr>
          <w:p>
            <w:pPr>
              <w:jc w:val="right"/>
              <w:ind w:right="136"/>
              <w:spacing w:after="0"/>
              <w:rPr>
                <w:sz w:val="20"/>
                <w:szCs w:val="20"/>
                <w:color w:val="auto"/>
              </w:rPr>
            </w:pPr>
            <w:r>
              <w:rPr>
                <w:rFonts w:ascii="Arial" w:cs="Arial" w:eastAsia="Arial" w:hAnsi="Arial"/>
                <w:sz w:val="17"/>
                <w:szCs w:val="17"/>
                <w:color w:val="auto"/>
              </w:rPr>
              <w:t>$0.38</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$0.56</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$2.19</w:t>
            </w:r>
          </w:p>
        </w:tc>
        <w:tc>
          <w:tcPr>
            <w:tcW w:w="760" w:type="dxa"/>
            <w:vAlign w:val="bottom"/>
          </w:tcPr>
          <w:p>
            <w:pPr>
              <w:jc w:val="right"/>
              <w:spacing w:after="0"/>
              <w:rPr>
                <w:sz w:val="20"/>
                <w:szCs w:val="20"/>
                <w:color w:val="auto"/>
              </w:rPr>
            </w:pPr>
            <w:r>
              <w:rPr>
                <w:rFonts w:ascii="Arial" w:cs="Arial" w:eastAsia="Arial" w:hAnsi="Arial"/>
                <w:sz w:val="17"/>
                <w:szCs w:val="17"/>
                <w:color w:val="auto"/>
              </w:rPr>
              <w:t>$1.89</w:t>
            </w:r>
          </w:p>
        </w:tc>
        <w:tc>
          <w:tcPr>
            <w:tcW w:w="20" w:type="dxa"/>
            <w:vAlign w:val="bottom"/>
          </w:tcPr>
          <w:p>
            <w:pPr>
              <w:spacing w:after="0"/>
              <w:rPr>
                <w:sz w:val="18"/>
                <w:szCs w:val="18"/>
                <w:color w:val="auto"/>
              </w:rPr>
            </w:pPr>
          </w:p>
        </w:tc>
      </w:tr>
      <w:tr>
        <w:trPr>
          <w:trHeight w:val="185"/>
        </w:trPr>
        <w:tc>
          <w:tcPr>
            <w:tcW w:w="6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Statistical Data</w:t>
            </w:r>
          </w:p>
        </w:tc>
        <w:tc>
          <w:tcPr>
            <w:tcW w:w="2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Corporate</w:t>
            </w: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Common Stock</w:t>
            </w:r>
          </w:p>
        </w:tc>
        <w:tc>
          <w:tcPr>
            <w:tcW w:w="2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tcPr>
          <w:p>
            <w:pPr>
              <w:ind w:left="1520"/>
              <w:spacing w:after="0"/>
              <w:rPr>
                <w:sz w:val="20"/>
                <w:szCs w:val="20"/>
                <w:color w:val="auto"/>
              </w:rPr>
            </w:pPr>
            <w:r>
              <w:rPr>
                <w:rFonts w:ascii="Arial" w:cs="Arial" w:eastAsia="Arial" w:hAnsi="Arial"/>
                <w:sz w:val="17"/>
                <w:szCs w:val="17"/>
                <w:color w:val="auto"/>
              </w:rPr>
              <w:t>High</w:t>
            </w:r>
          </w:p>
        </w:tc>
        <w:tc>
          <w:tcPr>
            <w:tcW w:w="2180" w:type="dxa"/>
            <w:vAlign w:val="bottom"/>
          </w:tcPr>
          <w:p>
            <w:pPr>
              <w:jc w:val="right"/>
              <w:ind w:right="116"/>
              <w:spacing w:after="0"/>
              <w:rPr>
                <w:sz w:val="20"/>
                <w:szCs w:val="20"/>
                <w:color w:val="auto"/>
              </w:rPr>
            </w:pPr>
            <w:r>
              <w:rPr>
                <w:rFonts w:ascii="Arial" w:cs="Arial" w:eastAsia="Arial" w:hAnsi="Arial"/>
                <w:sz w:val="17"/>
                <w:szCs w:val="17"/>
                <w:color w:val="auto"/>
              </w:rPr>
              <w:t>$37.95</w:t>
            </w: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$35.29</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$37.95</w:t>
            </w:r>
          </w:p>
        </w:tc>
        <w:tc>
          <w:tcPr>
            <w:tcW w:w="760" w:type="dxa"/>
            <w:vAlign w:val="bottom"/>
          </w:tcPr>
          <w:p>
            <w:pPr>
              <w:jc w:val="right"/>
              <w:spacing w:after="0"/>
              <w:rPr>
                <w:sz w:val="20"/>
                <w:szCs w:val="20"/>
                <w:color w:val="auto"/>
              </w:rPr>
            </w:pPr>
            <w:r>
              <w:rPr>
                <w:rFonts w:ascii="Arial" w:cs="Arial" w:eastAsia="Arial" w:hAnsi="Arial"/>
                <w:sz w:val="17"/>
                <w:szCs w:val="17"/>
                <w:color w:val="auto"/>
              </w:rPr>
              <w:t>$35.29</w:t>
            </w: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1520"/>
              <w:spacing w:after="0"/>
              <w:rPr>
                <w:sz w:val="20"/>
                <w:szCs w:val="20"/>
                <w:color w:val="auto"/>
              </w:rPr>
            </w:pPr>
            <w:r>
              <w:rPr>
                <w:rFonts w:ascii="Arial" w:cs="Arial" w:eastAsia="Arial" w:hAnsi="Arial"/>
                <w:sz w:val="17"/>
                <w:szCs w:val="17"/>
                <w:color w:val="auto"/>
              </w:rPr>
              <w:t>Low</w:t>
            </w:r>
          </w:p>
        </w:tc>
        <w:tc>
          <w:tcPr>
            <w:tcW w:w="2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$34.81</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$32.23</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$29.99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w:t>
            </w:r>
          </w:p>
        </w:tc>
        <w:tc>
          <w:tcPr>
            <w:tcW w:w="20" w:type="dxa"/>
            <w:vAlign w:val="bottom"/>
          </w:tcPr>
          <w:p>
            <w:pPr>
              <w:spacing w:after="0"/>
              <w:rPr>
                <w:sz w:val="17"/>
                <w:szCs w:val="17"/>
                <w:color w:val="auto"/>
              </w:rPr>
            </w:pPr>
          </w:p>
        </w:tc>
      </w:tr>
      <w:tr>
        <w:trPr>
          <w:trHeight w:val="201"/>
        </w:trPr>
        <w:tc>
          <w:tcPr>
            <w:tcW w:w="6480" w:type="dxa"/>
            <w:vAlign w:val="bottom"/>
          </w:tcPr>
          <w:p>
            <w:pPr>
              <w:ind w:left="1520"/>
              <w:spacing w:after="0"/>
              <w:rPr>
                <w:sz w:val="20"/>
                <w:szCs w:val="20"/>
                <w:color w:val="auto"/>
              </w:rPr>
            </w:pPr>
            <w:r>
              <w:rPr>
                <w:rFonts w:ascii="Arial" w:cs="Arial" w:eastAsia="Arial" w:hAnsi="Arial"/>
                <w:sz w:val="17"/>
                <w:szCs w:val="17"/>
                <w:color w:val="auto"/>
              </w:rPr>
              <w:t>Close</w:t>
            </w:r>
          </w:p>
        </w:tc>
        <w:tc>
          <w:tcPr>
            <w:tcW w:w="2180" w:type="dxa"/>
            <w:vAlign w:val="bottom"/>
          </w:tcPr>
          <w:p>
            <w:pPr>
              <w:jc w:val="right"/>
              <w:ind w:right="116"/>
              <w:spacing w:after="0"/>
              <w:rPr>
                <w:sz w:val="20"/>
                <w:szCs w:val="20"/>
                <w:color w:val="auto"/>
              </w:rPr>
            </w:pPr>
            <w:r>
              <w:rPr>
                <w:rFonts w:ascii="Arial" w:cs="Arial" w:eastAsia="Arial" w:hAnsi="Arial"/>
                <w:sz w:val="17"/>
                <w:szCs w:val="17"/>
                <w:color w:val="auto"/>
              </w:rPr>
              <w:t>$37.26</w:t>
            </w: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$32.68</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$37.26</w:t>
            </w:r>
          </w:p>
        </w:tc>
        <w:tc>
          <w:tcPr>
            <w:tcW w:w="760" w:type="dxa"/>
            <w:vAlign w:val="bottom"/>
          </w:tcPr>
          <w:p>
            <w:pPr>
              <w:jc w:val="right"/>
              <w:spacing w:after="0"/>
              <w:rPr>
                <w:sz w:val="20"/>
                <w:szCs w:val="20"/>
                <w:color w:val="auto"/>
              </w:rPr>
            </w:pPr>
            <w:r>
              <w:rPr>
                <w:rFonts w:ascii="Arial" w:cs="Arial" w:eastAsia="Arial" w:hAnsi="Arial"/>
                <w:sz w:val="17"/>
                <w:szCs w:val="17"/>
                <w:color w:val="auto"/>
              </w:rPr>
              <w:t>$32.68</w:t>
            </w: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Book Value</w:t>
            </w:r>
          </w:p>
        </w:tc>
        <w:tc>
          <w:tcPr>
            <w:tcW w:w="2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$27.25</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$26.39</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$27.25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20" w:type="dxa"/>
            <w:vAlign w:val="bottom"/>
          </w:tcPr>
          <w:p>
            <w:pPr>
              <w:spacing w:after="0"/>
              <w:rPr>
                <w:sz w:val="17"/>
                <w:szCs w:val="17"/>
                <w:color w:val="auto"/>
              </w:rPr>
            </w:pPr>
          </w:p>
        </w:tc>
      </w:tr>
      <w:tr>
        <w:trPr>
          <w:trHeight w:val="201"/>
        </w:trPr>
        <w:tc>
          <w:tcPr>
            <w:tcW w:w="6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tcPr>
          <w:p>
            <w:pPr>
              <w:spacing w:after="0"/>
              <w:rPr>
                <w:sz w:val="20"/>
                <w:szCs w:val="20"/>
                <w:color w:val="auto"/>
              </w:rPr>
            </w:pPr>
            <w:r>
              <w:rPr>
                <w:rFonts w:ascii="Arial" w:cs="Arial" w:eastAsia="Arial" w:hAnsi="Arial"/>
                <w:sz w:val="17"/>
                <w:szCs w:val="17"/>
                <w:color w:val="auto"/>
              </w:rPr>
              <w:t>Millions</w:t>
            </w: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Regulated Utility</w:t>
            </w:r>
          </w:p>
        </w:tc>
        <w:tc>
          <w:tcPr>
            <w:tcW w:w="2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tcPr>
          <w:p>
            <w:pPr>
              <w:ind w:left="1540"/>
              <w:spacing w:after="0"/>
              <w:rPr>
                <w:sz w:val="20"/>
                <w:szCs w:val="20"/>
                <w:color w:val="auto"/>
              </w:rPr>
            </w:pPr>
            <w:r>
              <w:rPr>
                <w:rFonts w:ascii="Arial" w:cs="Arial" w:eastAsia="Arial" w:hAnsi="Arial"/>
                <w:sz w:val="17"/>
                <w:szCs w:val="17"/>
                <w:color w:val="auto"/>
              </w:rPr>
              <w:t>Retail and Municipals</w:t>
            </w: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2180"/>
              <w:spacing w:after="0"/>
              <w:rPr>
                <w:sz w:val="20"/>
                <w:szCs w:val="20"/>
                <w:color w:val="auto"/>
              </w:rPr>
            </w:pPr>
            <w:r>
              <w:rPr>
                <w:rFonts w:ascii="Arial" w:cs="Arial" w:eastAsia="Arial" w:hAnsi="Arial"/>
                <w:sz w:val="17"/>
                <w:szCs w:val="17"/>
                <w:color w:val="auto"/>
              </w:rPr>
              <w:t>Residential</w:t>
            </w:r>
          </w:p>
        </w:tc>
        <w:tc>
          <w:tcPr>
            <w:tcW w:w="2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303</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308</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1,150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20" w:type="dxa"/>
            <w:vAlign w:val="bottom"/>
          </w:tcPr>
          <w:p>
            <w:pPr>
              <w:spacing w:after="0"/>
              <w:rPr>
                <w:sz w:val="17"/>
                <w:szCs w:val="17"/>
                <w:color w:val="auto"/>
              </w:rPr>
            </w:pPr>
          </w:p>
        </w:tc>
      </w:tr>
      <w:tr>
        <w:trPr>
          <w:trHeight w:val="201"/>
        </w:trPr>
        <w:tc>
          <w:tcPr>
            <w:tcW w:w="6480" w:type="dxa"/>
            <w:vAlign w:val="bottom"/>
          </w:tcPr>
          <w:p>
            <w:pPr>
              <w:ind w:left="2180"/>
              <w:spacing w:after="0"/>
              <w:rPr>
                <w:sz w:val="20"/>
                <w:szCs w:val="20"/>
                <w:color w:val="auto"/>
              </w:rPr>
            </w:pPr>
            <w:r>
              <w:rPr>
                <w:rFonts w:ascii="Arial" w:cs="Arial" w:eastAsia="Arial" w:hAnsi="Arial"/>
                <w:sz w:val="17"/>
                <w:szCs w:val="17"/>
                <w:color w:val="auto"/>
              </w:rPr>
              <w:t>Commercial</w:t>
            </w:r>
          </w:p>
        </w:tc>
        <w:tc>
          <w:tcPr>
            <w:tcW w:w="2180" w:type="dxa"/>
            <w:vAlign w:val="bottom"/>
          </w:tcPr>
          <w:p>
            <w:pPr>
              <w:jc w:val="right"/>
              <w:ind w:right="136"/>
              <w:spacing w:after="0"/>
              <w:rPr>
                <w:sz w:val="20"/>
                <w:szCs w:val="20"/>
                <w:color w:val="auto"/>
              </w:rPr>
            </w:pPr>
            <w:r>
              <w:rPr>
                <w:rFonts w:ascii="Arial" w:cs="Arial" w:eastAsia="Arial" w:hAnsi="Arial"/>
                <w:sz w:val="17"/>
                <w:szCs w:val="17"/>
                <w:color w:val="auto"/>
              </w:rPr>
              <w:t>359</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358</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1,433</w:t>
            </w:r>
          </w:p>
        </w:tc>
        <w:tc>
          <w:tcPr>
            <w:tcW w:w="760" w:type="dxa"/>
            <w:vAlign w:val="bottom"/>
          </w:tcPr>
          <w:p>
            <w:pPr>
              <w:jc w:val="right"/>
              <w:spacing w:after="0"/>
              <w:rPr>
                <w:sz w:val="20"/>
                <w:szCs w:val="20"/>
                <w:color w:val="auto"/>
              </w:rPr>
            </w:pPr>
            <w:r>
              <w:rPr>
                <w:rFonts w:ascii="Arial" w:cs="Arial" w:eastAsia="Arial" w:hAnsi="Arial"/>
                <w:sz w:val="17"/>
                <w:szCs w:val="17"/>
                <w:color w:val="auto"/>
              </w:rPr>
              <w:t>1,420</w:t>
            </w: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2180"/>
              <w:spacing w:after="0"/>
              <w:rPr>
                <w:sz w:val="20"/>
                <w:szCs w:val="20"/>
                <w:color w:val="auto"/>
              </w:rPr>
            </w:pPr>
            <w:r>
              <w:rPr>
                <w:rFonts w:ascii="Arial" w:cs="Arial" w:eastAsia="Arial" w:hAnsi="Arial"/>
                <w:sz w:val="17"/>
                <w:szCs w:val="17"/>
                <w:color w:val="auto"/>
              </w:rPr>
              <w:t>Municipals</w:t>
            </w:r>
          </w:p>
        </w:tc>
        <w:tc>
          <w:tcPr>
            <w:tcW w:w="2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260</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262</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tcPr>
          <w:p>
            <w:pPr>
              <w:ind w:left="2180"/>
              <w:spacing w:after="0"/>
              <w:rPr>
                <w:sz w:val="20"/>
                <w:szCs w:val="20"/>
                <w:color w:val="auto"/>
              </w:rPr>
            </w:pPr>
            <w:r>
              <w:rPr>
                <w:rFonts w:ascii="Arial" w:cs="Arial" w:eastAsia="Arial" w:hAnsi="Arial"/>
                <w:sz w:val="17"/>
                <w:szCs w:val="17"/>
                <w:color w:val="auto"/>
              </w:rPr>
              <w:t>Industrial</w:t>
            </w:r>
          </w:p>
        </w:tc>
        <w:tc>
          <w:tcPr>
            <w:tcW w:w="2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1,848</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1,294</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6,804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3480"/>
              <w:spacing w:after="0"/>
              <w:rPr>
                <w:sz w:val="20"/>
                <w:szCs w:val="20"/>
                <w:color w:val="auto"/>
              </w:rPr>
            </w:pPr>
            <w:r>
              <w:rPr>
                <w:rFonts w:ascii="Arial" w:cs="Arial" w:eastAsia="Arial" w:hAnsi="Arial"/>
                <w:sz w:val="17"/>
                <w:szCs w:val="17"/>
                <w:color w:val="auto"/>
              </w:rPr>
              <w:t>Total Retail and Municipal</w:t>
            </w:r>
          </w:p>
        </w:tc>
        <w:tc>
          <w:tcPr>
            <w:tcW w:w="2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2,770</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2,222</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10,393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8,051</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rPr>
              <w:t>Other Power Suppliers</w:t>
            </w:r>
          </w:p>
        </w:tc>
        <w:tc>
          <w:tcPr>
            <w:tcW w:w="2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577</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981</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2,745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4,056</w:t>
            </w:r>
          </w:p>
        </w:tc>
        <w:tc>
          <w:tcPr>
            <w:tcW w:w="20" w:type="dxa"/>
            <w:vAlign w:val="bottom"/>
          </w:tcPr>
          <w:p>
            <w:pPr>
              <w:spacing w:after="0"/>
              <w:rPr>
                <w:sz w:val="17"/>
                <w:szCs w:val="17"/>
                <w:color w:val="auto"/>
              </w:rPr>
            </w:pPr>
          </w:p>
        </w:tc>
      </w:tr>
      <w:tr>
        <w:trPr>
          <w:trHeight w:val="201"/>
        </w:trPr>
        <w:tc>
          <w:tcPr>
            <w:tcW w:w="6480" w:type="dxa"/>
            <w:vAlign w:val="bottom"/>
            <w:shd w:val="clear" w:color="auto" w:fill="CCEEFF"/>
          </w:tcPr>
          <w:p>
            <w:pPr>
              <w:ind w:left="3480"/>
              <w:spacing w:after="0"/>
              <w:rPr>
                <w:sz w:val="20"/>
                <w:szCs w:val="20"/>
                <w:color w:val="auto"/>
              </w:rPr>
            </w:pPr>
            <w:r>
              <w:rPr>
                <w:rFonts w:ascii="Arial" w:cs="Arial" w:eastAsia="Arial" w:hAnsi="Arial"/>
                <w:sz w:val="17"/>
                <w:szCs w:val="17"/>
                <w:color w:val="auto"/>
              </w:rPr>
              <w:t>Total Regulated Utility</w:t>
            </w:r>
          </w:p>
        </w:tc>
        <w:tc>
          <w:tcPr>
            <w:tcW w:w="2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3,347</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3,203</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13,138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12,107</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Non-regulated Energy Operations</w:t>
            </w:r>
          </w:p>
        </w:tc>
        <w:tc>
          <w:tcPr>
            <w:tcW w:w="2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31</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41</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20" w:type="dxa"/>
            <w:vAlign w:val="bottom"/>
          </w:tcPr>
          <w:p>
            <w:pPr>
              <w:spacing w:after="0"/>
              <w:rPr>
                <w:sz w:val="17"/>
                <w:szCs w:val="17"/>
                <w:color w:val="auto"/>
              </w:rPr>
            </w:pPr>
          </w:p>
        </w:tc>
      </w:tr>
      <w:tr>
        <w:trPr>
          <w:trHeight w:val="206"/>
        </w:trPr>
        <w:tc>
          <w:tcPr>
            <w:tcW w:w="6480" w:type="dxa"/>
            <w:vAlign w:val="bottom"/>
            <w:tcBorders>
              <w:bottom w:val="single" w:sz="8" w:color="auto"/>
            </w:tcBorders>
            <w:shd w:val="clear" w:color="auto" w:fill="CCEEFF"/>
          </w:tcPr>
          <w:p>
            <w:pPr>
              <w:ind w:left="3480"/>
              <w:spacing w:after="0"/>
              <w:rPr>
                <w:sz w:val="20"/>
                <w:szCs w:val="20"/>
                <w:color w:val="auto"/>
              </w:rPr>
            </w:pPr>
            <w:r>
              <w:rPr>
                <w:rFonts w:ascii="Arial" w:cs="Arial" w:eastAsia="Arial" w:hAnsi="Arial"/>
                <w:sz w:val="17"/>
                <w:szCs w:val="17"/>
                <w:color w:val="auto"/>
              </w:rPr>
              <w:t>Total Kilowatt-hours Sold</w:t>
            </w:r>
          </w:p>
        </w:tc>
        <w:tc>
          <w:tcPr>
            <w:tcW w:w="2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3,378</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3,244</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13,256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12,310</w:t>
            </w:r>
          </w:p>
        </w:tc>
        <w:tc>
          <w:tcPr>
            <w:tcW w:w="20" w:type="dxa"/>
            <w:vAlign w:val="bottom"/>
          </w:tcPr>
          <w:p>
            <w:pPr>
              <w:spacing w:after="0"/>
              <w:rPr>
                <w:sz w:val="17"/>
                <w:szCs w:val="17"/>
                <w:color w:val="auto"/>
              </w:rPr>
            </w:pPr>
          </w:p>
        </w:tc>
      </w:tr>
    </w:tbl>
    <w:p>
      <w:pPr>
        <w:spacing w:after="0" w:line="386" w:lineRule="exact"/>
        <w:rPr>
          <w:sz w:val="20"/>
          <w:szCs w:val="20"/>
          <w:color w:val="auto"/>
        </w:rPr>
      </w:pPr>
    </w:p>
    <w:p>
      <w:pPr>
        <w:ind w:right="560"/>
        <w:spacing w:after="0" w:line="383" w:lineRule="auto"/>
        <w:rPr>
          <w:sz w:val="20"/>
          <w:szCs w:val="20"/>
          <w:color w:val="auto"/>
        </w:rPr>
      </w:pPr>
      <w:r>
        <w:rPr>
          <w:rFonts w:ascii="Arial" w:cs="Arial" w:eastAsia="Arial" w:hAnsi="Arial"/>
          <w:sz w:val="14"/>
          <w:szCs w:val="14"/>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420"/>
          </w:cols>
          <w:pgMar w:left="240" w:top="479" w:right="239" w:bottom="1440" w:gutter="0" w:footer="0" w:header="0"/>
        </w:sectPr>
      </w:pPr>
    </w:p>
    <w:bookmarkStart w:id="172" w:name="page173"/>
    <w:bookmarkEnd w:id="1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lowerLetter"/>
      <w:start w:val="1"/>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lowerLetter"/>
      <w:start w:val="1"/>
    </w:lvl>
    <w:lvl w:ilvl="1">
      <w:lvlJc w:val="left"/>
      <w:lvlText w:val="(%2)"/>
      <w:numFmt w:val="lowerLetter"/>
      <w:start w:val="1"/>
    </w:lvl>
  </w:abstractNum>
  <w:abstractNum w:abstractNumId="10">
    <w:nsid w:val="7A6D8D3C"/>
    <w:multiLevelType w:val="hybridMultilevel"/>
    <w:lvl w:ilvl="0">
      <w:lvlJc w:val="left"/>
      <w:lvlText w:val="(%1)"/>
      <w:numFmt w:val="lowerLetter"/>
      <w:start w:val="2"/>
    </w:lvl>
    <w:lvl w:ilvl="1">
      <w:lvlJc w:val="left"/>
      <w:lvlText w:val="%2"/>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decimal"/>
      <w:start w:val="3"/>
    </w:lvl>
  </w:abstractNum>
  <w:abstractNum w:abstractNumId="20">
    <w:nsid w:val="3DC240FB"/>
    <w:multiLevelType w:val="hybridMultilevel"/>
    <w:lvl w:ilvl="0">
      <w:lvlJc w:val="left"/>
      <w:lvlText w:val="%1"/>
      <w:numFmt w:val="decimal"/>
      <w:start w:val="32"/>
    </w:lvl>
  </w:abstractNum>
  <w:abstractNum w:abstractNumId="21">
    <w:nsid w:val="1BA026FA"/>
    <w:multiLevelType w:val="hybridMultilevel"/>
    <w:lvl w:ilvl="0">
      <w:lvlJc w:val="left"/>
      <w:lvlText w:val="%1"/>
      <w:numFmt w:val="decimal"/>
      <w:start w:val="99"/>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3"/>
    </w:lvl>
    <w:lvl w:ilvl="1">
      <w:lvlJc w:val="left"/>
      <w:lvlText w:val="(%2)"/>
      <w:numFmt w:val="upperLetter"/>
      <w:start w:val="17"/>
    </w:lvl>
    <w:lvl w:ilvl="2">
      <w:lvlJc w:val="left"/>
      <w:lvlText w:val="(%3)"/>
      <w:numFmt w:val="lowerLetter"/>
      <w:start w:val="1"/>
    </w:lvl>
  </w:abstractNum>
  <w:abstractNum w:abstractNumId="38">
    <w:nsid w:val="15B5AF5C"/>
    <w:multiLevelType w:val="hybridMultilevel"/>
    <w:lvl w:ilvl="0">
      <w:lvlJc w:val="left"/>
      <w:lvlText w:val="%1."/>
      <w:numFmt w:val="decimal"/>
      <w:start w:val="4"/>
    </w:lvl>
  </w:abstractNum>
  <w:abstractNum w:abstractNumId="39">
    <w:nsid w:val="741226BB"/>
    <w:multiLevelType w:val="hybridMultilevel"/>
    <w:lvl w:ilvl="0">
      <w:lvlJc w:val="left"/>
      <w:lvlText w:val="%1."/>
      <w:numFmt w:val="decimal"/>
      <w:start w:val="5"/>
    </w:lvl>
  </w:abstractNum>
  <w:abstractNum w:abstractNumId="40">
    <w:nsid w:val="D34B6A8"/>
    <w:multiLevelType w:val="hybridMultilevel"/>
    <w:lvl w:ilvl="0">
      <w:lvlJc w:val="left"/>
      <w:lvlText w:val="%1"/>
      <w:numFmt w:val="upperLetter"/>
      <w:start w:val="35"/>
    </w:lvl>
  </w:abstractNum>
  <w:abstractNum w:abstractNumId="41">
    <w:nsid w:val="10233C99"/>
    <w:multiLevelType w:val="hybridMultilevel"/>
    <w:lvl w:ilvl="0">
      <w:lvlJc w:val="left"/>
      <w:lvlText w:val="(%1)"/>
      <w:numFmt w:val="lowerRoman"/>
      <w:start w:val="3"/>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decimal"/>
      <w:start w:val="24"/>
    </w:lvl>
  </w:abstractNum>
  <w:abstractNum w:abstractNumId="46">
    <w:nsid w:val="579BE4F1"/>
    <w:multiLevelType w:val="hybridMultilevel"/>
    <w:lvl w:ilvl="0">
      <w:lvlJc w:val="left"/>
      <w:lvlText w:val="(%1)"/>
      <w:numFmt w:val="lowerLetter"/>
      <w:start w:val="2"/>
    </w:lvl>
  </w:abstractNum>
  <w:abstractNum w:abstractNumId="47">
    <w:nsid w:val="310C50B3"/>
    <w:multiLevelType w:val="hybridMultilevel"/>
    <w:lvl w:ilvl="0">
      <w:lvlJc w:val="left"/>
      <w:lvlText w:val="(%1)"/>
      <w:numFmt w:val="lowerRoman"/>
      <w:start w:val="1"/>
    </w:lvl>
  </w:abstractNum>
  <w:abstractNum w:abstractNumId="48">
    <w:nsid w:val="5FF87E05"/>
    <w:multiLevelType w:val="hybridMultilevel"/>
    <w:lvl w:ilvl="0">
      <w:lvlJc w:val="left"/>
      <w:lvlText w:val="(%1)"/>
      <w:numFmt w:val="lowerRoman"/>
      <w:start w:val="2"/>
    </w:lvl>
  </w:abstractNum>
  <w:abstractNum w:abstractNumId="49">
    <w:nsid w:val="2F305DEF"/>
    <w:multiLevelType w:val="hybridMultilevel"/>
    <w:lvl w:ilvl="0">
      <w:lvlJc w:val="left"/>
      <w:lvlText w:val="(%1)"/>
      <w:numFmt w:val="lowerRoman"/>
      <w:start w:val="1"/>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Roman"/>
      <w:start w:val="3"/>
    </w:lvl>
  </w:abstractNum>
  <w:abstractNum w:abstractNumId="52">
    <w:nsid w:val="4AD084E9"/>
    <w:multiLevelType w:val="hybridMultilevel"/>
    <w:lvl w:ilvl="0">
      <w:lvlJc w:val="left"/>
      <w:lvlText w:val="%1."/>
      <w:numFmt w:val="decimal"/>
      <w:start w:val="5"/>
    </w:lvl>
    <w:lvl w:ilvl="1">
      <w:lvlJc w:val="left"/>
      <w:lvlText w:val="(%2)"/>
      <w:numFmt w:val="lowerLetter"/>
      <w:start w:val="2"/>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decimal"/>
      <w:start w:val="5"/>
    </w:lvl>
    <w:lvl w:ilvl="1">
      <w:lvlJc w:val="left"/>
      <w:lvlText w:val="%2."/>
      <w:numFmt w:val="decimal"/>
      <w:start w:val="6"/>
    </w:lvl>
  </w:abstractNum>
  <w:abstractNum w:abstractNumId="55">
    <w:nsid w:val="5DB70AE5"/>
    <w:multiLevelType w:val="hybridMultilevel"/>
    <w:lvl w:ilvl="0">
      <w:lvlJc w:val="left"/>
      <w:lvlText w:val="%1."/>
      <w:numFmt w:val="decimal"/>
      <w:start w:val="7"/>
    </w:lvl>
    <w:lvl w:ilvl="1">
      <w:lvlJc w:val="left"/>
      <w:lvlText w:val="%2."/>
      <w:numFmt w:val="decimal"/>
      <w:start w:val="8"/>
    </w:lvl>
  </w:abstractNum>
  <w:abstractNum w:abstractNumId="56">
    <w:nsid w:val="100F8FCA"/>
    <w:multiLevelType w:val="hybridMultilevel"/>
    <w:lvl w:ilvl="0">
      <w:lvlJc w:val="left"/>
      <w:lvlText w:val="%1."/>
      <w:numFmt w:val="decimal"/>
      <w:start w:val="9"/>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decimal"/>
      <w:start w:val="4"/>
    </w:lvl>
  </w:abstractNum>
  <w:abstractNum w:abstractNumId="60">
    <w:nsid w:val="98A3148"/>
    <w:multiLevelType w:val="hybridMultilevel"/>
    <w:lvl w:ilvl="0">
      <w:lvlJc w:val="left"/>
      <w:lvlText w:val="%1."/>
      <w:numFmt w:val="decimal"/>
      <w:start w:val="7"/>
    </w:lvl>
  </w:abstractNum>
  <w:abstractNum w:abstractNumId="61">
    <w:nsid w:val="799D0247"/>
    <w:multiLevelType w:val="hybridMultilevel"/>
    <w:lvl w:ilvl="0">
      <w:lvlJc w:val="left"/>
      <w:lvlText w:val="(%1)"/>
      <w:numFmt w:val="lowerRoman"/>
      <w:start w:val="1"/>
    </w:lvl>
  </w:abstractNum>
  <w:abstractNum w:abstractNumId="62">
    <w:nsid w:val="6B94764"/>
    <w:multiLevelType w:val="hybridMultilevel"/>
    <w:lvl w:ilvl="0">
      <w:lvlJc w:val="left"/>
      <w:lvlText w:val="(%1)"/>
      <w:numFmt w:val="lowerRoman"/>
      <w:start w:val="2"/>
    </w:lvl>
  </w:abstractNum>
  <w:abstractNum w:abstractNumId="63">
    <w:nsid w:val="42C296BD"/>
    <w:multiLevelType w:val="hybridMultilevel"/>
    <w:lvl w:ilvl="0">
      <w:lvlJc w:val="left"/>
      <w:lvlText w:val="(%1)"/>
      <w:numFmt w:val="lowerRoman"/>
      <w:start w:val="3"/>
    </w:lvl>
  </w:abstractNum>
  <w:abstractNum w:abstractNumId="64">
    <w:nsid w:val="168E121F"/>
    <w:multiLevelType w:val="hybridMultilevel"/>
    <w:lvl w:ilvl="0">
      <w:lvlJc w:val="left"/>
      <w:lvlText w:val="(%1)"/>
      <w:numFmt w:val="lowerRoman"/>
      <w:start w:val="1"/>
    </w:lvl>
  </w:abstractNum>
  <w:abstractNum w:abstractNumId="65">
    <w:nsid w:val="1EBA5D23"/>
    <w:multiLevelType w:val="hybridMultilevel"/>
    <w:lvl w:ilvl="0">
      <w:lvlJc w:val="left"/>
      <w:lvlText w:val="(%1)"/>
      <w:numFmt w:val="lowerRoman"/>
      <w:start w:val="2"/>
    </w:lvl>
    <w:lvl w:ilvl="1">
      <w:lvlJc w:val="left"/>
      <w:lvlText w:val="(%2)"/>
      <w:numFmt w:val="lowerRoman"/>
      <w:start w:val="4"/>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gt;&gt;."/>
      <w:numFmt w:val="bullet"/>
      <w:start w:val="1"/>
    </w:lvl>
    <w:lvl w:ilvl="1">
      <w:lvlJc w:val="left"/>
      <w:lvlText w:val="%2"/>
      <w:numFmt w:val="decimal"/>
      <w:start w:val="1"/>
    </w:lvl>
    <w:lvl w:ilvl="2">
      <w:lvlJc w:val="left"/>
      <w:lvlText w:val="%3."/>
      <w:numFmt w:val="decimal"/>
      <w:start w:val="4"/>
    </w:lvl>
  </w:abstractNum>
  <w:abstractNum w:abstractNumId="72">
    <w:nsid w:val="BF72B14"/>
    <w:multiLevelType w:val="hybridMultilevel"/>
    <w:lvl w:ilvl="0">
      <w:lvlJc w:val="left"/>
      <w:lvlText w:val="&gt;&gt;."/>
      <w:numFmt w:val="bullet"/>
      <w:start w:val="1"/>
    </w:lvl>
    <w:lvl w:ilvl="1">
      <w:lvlJc w:val="left"/>
      <w:lvlText w:val="%2."/>
      <w:numFmt w:val="decimal"/>
      <w:start w:val="5"/>
    </w:lvl>
    <w:lvl w:ilvl="2">
      <w:lvlJc w:val="left"/>
      <w:lvlText w:val="%3"/>
      <w:numFmt w:val="decimal"/>
      <w:start w:val="1"/>
    </w:lvl>
  </w:abstractNum>
  <w:abstractNum w:abstractNumId="73">
    <w:nsid w:val="11447B7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4"/>
    </w:lvl>
  </w:abstractNum>
  <w:abstractNum w:abstractNumId="74">
    <w:nsid w:val="42963E5A"/>
    <w:multiLevelType w:val="hybridMultilevel"/>
    <w:lvl w:ilvl="0">
      <w:lvlJc w:val="left"/>
      <w:lvlText w:val="(%1)"/>
      <w:numFmt w:val="decimal"/>
      <w:start w:val="15"/>
    </w:lvl>
    <w:lvl w:ilvl="1">
      <w:lvlJc w:val="left"/>
      <w:lvlText w:val="%2."/>
      <w:numFmt w:val="decimal"/>
      <w:start w:val="7"/>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8">
    <w:nsid w:val="3B0FD379"/>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2019-12-10T02:14:48Z</dcterms:created>
  <dcterms:modified xsi:type="dcterms:W3CDTF">2019-12-10T02:14:48Z</dcterms:modified>
</cp:coreProperties>
</file>