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December 16, 2025</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333-284981</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333-287004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7"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S-3 REGISTRATION STATEMENT NO. 333-284981</w:t>
      </w:r>
    </w:p>
    <w:p>
      <w:pPr>
        <w:spacing w:after="0" w:line="31"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S-3 REGISTRATION STATEMENT NO. 333-287004</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UNDER THE SECURITIES ACT OF 1933</w:t>
      </w:r>
    </w:p>
    <w:p>
      <w:pPr>
        <w:sectPr>
          <w:pgSz w:w="11900" w:h="16838" w:orient="portrait"/>
          <w:cols w:equalWidth="0" w:num="1">
            <w:col w:w="11240"/>
          </w:cols>
          <w:pgMar w:left="320" w:top="225" w:right="339" w:bottom="1440" w:gutter="0" w:footer="0" w:header="0"/>
        </w:sectPr>
      </w:pPr>
    </w:p>
    <w:p>
      <w:pPr>
        <w:spacing w:after="0" w:line="221" w:lineRule="exact"/>
        <w:rPr>
          <w:sz w:val="24"/>
          <w:szCs w:val="24"/>
          <w:color w:val="auto"/>
        </w:rPr>
      </w:pPr>
    </w:p>
    <w:p>
      <w:pPr>
        <w:jc w:val="center"/>
        <w:ind w:left="20"/>
        <w:spacing w:after="0"/>
        <w:rPr>
          <w:sz w:val="20"/>
          <w:szCs w:val="20"/>
          <w:color w:val="auto"/>
        </w:rPr>
      </w:pPr>
      <w:r>
        <w:rPr>
          <w:rFonts w:ascii="Times New Roman" w:cs="Times New Roman" w:eastAsia="Times New Roman" w:hAnsi="Times New Roman"/>
          <w:sz w:val="18"/>
          <w:szCs w:val="18"/>
          <w:b w:val="1"/>
          <w:bCs w:val="1"/>
          <w:color w:val="auto"/>
        </w:rPr>
        <w:t>ALLETE, Inc.</w:t>
      </w:r>
    </w:p>
    <w:p>
      <w:pPr>
        <w:spacing w:after="0" w:line="229" w:lineRule="exact"/>
        <w:rPr>
          <w:sz w:val="24"/>
          <w:szCs w:val="24"/>
          <w:color w:val="auto"/>
        </w:rPr>
      </w:pPr>
    </w:p>
    <w:p>
      <w:pPr>
        <w:jc w:val="center"/>
        <w:ind w:left="20"/>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Minnesota</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(State or other jurisdiction of incorporation or</w:t>
      </w:r>
    </w:p>
    <w:p>
      <w:pPr>
        <w:spacing w:after="0" w:line="21"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organization)</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jc w:val="center"/>
        <w:ind w:right="560"/>
        <w:spacing w:after="0" w:line="207" w:lineRule="exact"/>
        <w:rPr>
          <w:sz w:val="20"/>
          <w:szCs w:val="20"/>
          <w:color w:val="auto"/>
        </w:rPr>
      </w:pPr>
      <w:r>
        <w:rPr>
          <w:rFonts w:ascii="Times New Roman" w:cs="Times New Roman" w:eastAsia="Times New Roman" w:hAnsi="Times New Roman"/>
          <w:sz w:val="18"/>
          <w:szCs w:val="18"/>
          <w:b w:val="1"/>
          <w:bCs w:val="1"/>
          <w:color w:val="auto"/>
        </w:rPr>
        <w:t>41</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0418150</w:t>
      </w:r>
    </w:p>
    <w:p>
      <w:pPr>
        <w:spacing w:after="0" w:line="70"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414" w:lineRule="exact"/>
        <w:rPr>
          <w:sz w:val="24"/>
          <w:szCs w:val="24"/>
          <w:color w:val="auto"/>
        </w:rPr>
      </w:pPr>
    </w:p>
    <w:p>
      <w:pPr>
        <w:sectPr>
          <w:pgSz w:w="11900" w:h="16838" w:orient="portrait"/>
          <w:cols w:equalWidth="0" w:num="3">
            <w:col w:w="3720" w:space="300"/>
            <w:col w:w="3360" w:space="720"/>
            <w:col w:w="3140"/>
          </w:cols>
          <w:pgMar w:left="320" w:top="225"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 West Superior Street</w:t>
      </w:r>
    </w:p>
    <w:p>
      <w:pPr>
        <w:spacing w:after="0" w:line="31"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Duluth, Minnesota 55802</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2093</w:t>
      </w:r>
    </w:p>
    <w:p>
      <w:pPr>
        <w:spacing w:after="0" w:line="11"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(218) 279</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5000</w:t>
      </w:r>
    </w:p>
    <w:p>
      <w:pPr>
        <w:sectPr>
          <w:pgSz w:w="11900" w:h="16838" w:orient="portrait"/>
          <w:cols w:equalWidth="0" w:num="1">
            <w:col w:w="11240"/>
          </w:cols>
          <w:pgMar w:left="320" w:top="225" w:right="339" w:bottom="1440" w:gutter="0" w:footer="0" w:header="0"/>
          <w:type w:val="continuous"/>
        </w:sectPr>
      </w:pP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JULIE L. PADILLA, ESQ.</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Vice President, Chief Legal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Corporate Secretary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 West Superior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Minnesota 55802-2093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(218) 279 5000</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and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Approximate date of commencement of proposed sale to the public: Not applicable.</w:t>
      </w:r>
    </w:p>
    <w:p>
      <w:pPr>
        <w:spacing w:after="0" w:line="225" w:lineRule="exact"/>
        <w:rPr>
          <w:sz w:val="24"/>
          <w:szCs w:val="24"/>
          <w:color w:val="auto"/>
        </w:rPr>
      </w:pPr>
    </w:p>
    <w:p>
      <w:pPr>
        <w:jc w:val="both"/>
        <w:ind w:right="2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of 1933,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firstLine="648"/>
        <w:spacing w:after="0" w:line="259" w:lineRule="exact"/>
        <w:rPr>
          <w:sz w:val="20"/>
          <w:szCs w:val="20"/>
          <w:color w:val="auto"/>
        </w:rPr>
      </w:pPr>
      <w:r>
        <w:rPr>
          <w:rFonts w:ascii="Times New Roman" w:cs="Times New Roman" w:eastAsia="Times New Roman" w:hAnsi="Times New Roman"/>
          <w:sz w:val="18"/>
          <w:szCs w:val="18"/>
          <w:color w:val="auto"/>
        </w:rPr>
        <w:t>If this Form is a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effective amendment filed pursuant to Rule 462(c) under the Securities Act of 1933,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31" w:lineRule="exact"/>
        <w:rPr>
          <w:sz w:val="24"/>
          <w:szCs w:val="24"/>
          <w:color w:val="auto"/>
        </w:rPr>
      </w:pPr>
    </w:p>
    <w:p>
      <w:pPr>
        <w:jc w:val="both"/>
        <w:ind w:firstLine="648"/>
        <w:spacing w:after="0" w:line="259" w:lineRule="exact"/>
        <w:rPr>
          <w:sz w:val="20"/>
          <w:szCs w:val="20"/>
          <w:color w:val="auto"/>
        </w:rPr>
      </w:pPr>
      <w:r>
        <w:rPr>
          <w:rFonts w:ascii="Times New Roman" w:cs="Times New Roman" w:eastAsia="Times New Roman" w:hAnsi="Times New Roman"/>
          <w:sz w:val="18"/>
          <w:szCs w:val="18"/>
          <w:color w:val="auto"/>
        </w:rPr>
        <w:t>If this Form is a registration statement pursuant to General Instruction I.D. or a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effective amendment thereto that shall become effective upon filing with the Commission pursuant to Rule 462(e) under the Securities Act of 1933, check the following box. </w:t>
      </w:r>
      <w:r>
        <w:rPr>
          <w:rFonts w:ascii="MS PGothic" w:cs="MS PGothic" w:eastAsia="MS PGothic" w:hAnsi="MS PGothic"/>
          <w:sz w:val="18"/>
          <w:szCs w:val="18"/>
          <w:color w:val="auto"/>
        </w:rPr>
        <w:t>☒</w:t>
      </w:r>
    </w:p>
    <w:p>
      <w:pPr>
        <w:spacing w:after="0" w:line="131" w:lineRule="exact"/>
        <w:rPr>
          <w:sz w:val="24"/>
          <w:szCs w:val="24"/>
          <w:color w:val="auto"/>
        </w:rPr>
      </w:pPr>
    </w:p>
    <w:p>
      <w:pPr>
        <w:jc w:val="both"/>
        <w:ind w:firstLine="648"/>
        <w:spacing w:after="0" w:line="259" w:lineRule="exact"/>
        <w:rPr>
          <w:sz w:val="20"/>
          <w:szCs w:val="20"/>
          <w:color w:val="auto"/>
        </w:rPr>
      </w:pPr>
      <w:r>
        <w:rPr>
          <w:rFonts w:ascii="Times New Roman" w:cs="Times New Roman" w:eastAsia="Times New Roman" w:hAnsi="Times New Roman"/>
          <w:sz w:val="18"/>
          <w:szCs w:val="18"/>
          <w:color w:val="auto"/>
        </w:rPr>
        <w:t>If this Form is a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effective amendment to a registration statement filed pursuant to General Instruction I.D. filed to register additional securities or additional classes of securities pursuant to Rule 413(b) under the Securities Act of 1933, check the following box.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w:t>
      </w:r>
    </w:p>
    <w:p>
      <w:pPr>
        <w:sectPr>
          <w:pgSz w:w="11900" w:h="16838" w:orient="portrait"/>
          <w:cols w:equalWidth="0" w:num="1">
            <w:col w:w="11240"/>
          </w:cols>
          <w:pgMar w:left="320" w:top="225" w:right="339" w:bottom="1440" w:gutter="0" w:footer="0" w:header="0"/>
          <w:type w:val="continuous"/>
        </w:sectPr>
      </w:pPr>
    </w:p>
    <w:p>
      <w:pPr>
        <w:spacing w:after="0" w:line="13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2100" w:space="720"/>
            <w:col w:w="8420"/>
          </w:cols>
          <w:pgMar w:left="320" w:top="225" w:right="339" w:bottom="1440" w:gutter="0" w:footer="0" w:header="0"/>
          <w:type w:val="continuous"/>
        </w:sectPr>
      </w:pPr>
    </w:p>
    <w:p>
      <w:pPr>
        <w:spacing w:after="0" w:line="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2100" w:space="720"/>
            <w:col w:w="8420"/>
          </w:cols>
          <w:pgMar w:left="320" w:top="225" w:right="339" w:bottom="1440" w:gutter="0" w:footer="0" w:header="0"/>
          <w:type w:val="continuous"/>
        </w:sectPr>
      </w:pPr>
    </w:p>
    <w:p>
      <w:pPr>
        <w:spacing w:after="0" w:line="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240"/>
          </w:cols>
          <w:pgMar w:left="320" w:top="225" w:right="339" w:bottom="1440" w:gutter="0" w:footer="0" w:header="0"/>
          <w:type w:val="continuous"/>
        </w:sectPr>
      </w:pPr>
    </w:p>
    <w:p>
      <w:pPr>
        <w:spacing w:after="0" w:line="27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of 1933.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These Post-Effective Amendments (each, a “Post-Effective Amendment” and collectively, the “Post-Effective Amendments”) relate to the following registration statements filed by ALLETE, Inc. (the “Company”) with the Securities and Exchange Commission on Form S-3: Registration Statement Nos. 333-284981 and 333-287004 (each, as amended, a “Registration Statement” and collectively, the “Registration Statements”).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December 15, 2025, pursuant to the terms of the Plan of Merger, dated as of May 5, 2024, by and among the Company, Alloy Parent LLC, a Delaware limited liability company (“Parent”), and Alloy Merger Sub LLC, a Delaware limited liability company and wholly owned subsidiary of Parent (“Merger Sub”), Merger Sub merged with and into the Company (the “Merger”), with the Company continuing as the surviving corporation in the Merger and becoming a subsidiary of Parent.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result of the Merger, any and all offerings of securities registered pursuant to the Registration Statements have been terminated. In accordance with undertakings made by the Company in each Registration Statement to remove from registration, by means of a post-effective amendment, any of the securities registered under such Registration Statement that remain unsold at the termination of the offering, the Company hereby removes from registration any and all securities that remain unsold under each Registration Statement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Company certifies that it has reasonable grounds to believe that it meets all of the requirements for filing on Form S-3 and has duly caused these Post-Effective Amendments to the Registration Statements described above to be signed on its behalf by the undersigned, thereunto duly authorized, in the City of Duluth, State of Minnesota, on the 16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December, 2025.</w:t>
      </w:r>
    </w:p>
    <w:p>
      <w:pPr>
        <w:spacing w:after="0" w:line="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ALLETE, Inc.</w:t>
      </w:r>
    </w:p>
    <w:p>
      <w:pPr>
        <w:spacing w:after="0" w:line="229" w:lineRule="exact"/>
        <w:rPr>
          <w:sz w:val="20"/>
          <w:szCs w:val="20"/>
          <w:color w:val="auto"/>
        </w:rPr>
      </w:pPr>
    </w:p>
    <w:p>
      <w:pPr>
        <w:ind w:left="5980"/>
        <w:spacing w:after="0"/>
        <w:tabs>
          <w:tab w:leader="none" w:pos="8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Julie L. Padilla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jc w:val="center"/>
        <w:ind w:left="6140"/>
        <w:spacing w:after="0"/>
        <w:rPr>
          <w:sz w:val="20"/>
          <w:szCs w:val="20"/>
          <w:color w:val="auto"/>
        </w:rPr>
      </w:pPr>
      <w:r>
        <w:rPr>
          <w:rFonts w:ascii="Times New Roman" w:cs="Times New Roman" w:eastAsia="Times New Roman" w:hAnsi="Times New Roman"/>
          <w:sz w:val="18"/>
          <w:szCs w:val="18"/>
          <w:color w:val="auto"/>
        </w:rPr>
        <w:t>Julie L. Padilla</w:t>
      </w:r>
    </w:p>
    <w:p>
      <w:pPr>
        <w:spacing w:after="0" w:line="27"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Vice President, Chief Legal Officer and Corporate Secretary</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other person is required to sign these Post-Effective Amendments to the Registration Statements in reliance upon Rule 478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2025-12-16T15:58:49Z</dcterms:created>
  <dcterms:modified xsi:type="dcterms:W3CDTF">2025-12-16T15:58:49Z</dcterms:modified>
</cp:coreProperties>
</file>