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right="4180" w:firstLine="26"/>
        <w:spacing w:after="0" w:line="367" w:lineRule="auto"/>
        <w:tabs>
          <w:tab w:leader="none" w:pos="6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04" w:lineRule="exact"/>
        <w:rPr>
          <w:sz w:val="24"/>
          <w:szCs w:val="24"/>
          <w:color w:val="auto"/>
        </w:rPr>
      </w:pPr>
    </w:p>
    <w:p>
      <w:pPr>
        <w:ind w:left="660" w:right="4140" w:hanging="634"/>
        <w:spacing w:after="0" w:line="293"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039" w:right="339" w:bottom="1440" w:gutter="0" w:footer="0" w:header="0"/>
        </w:sectPr>
      </w:pPr>
    </w:p>
    <w:p>
      <w:pPr>
        <w:spacing w:after="0" w:line="14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7"/>
          <w:szCs w:val="17"/>
          <w:color w:val="auto"/>
        </w:rPr>
        <w:t>(IRS Employer Identification No.)</w:t>
      </w:r>
    </w:p>
    <w:p>
      <w:pPr>
        <w:spacing w:after="0" w:line="124" w:lineRule="exact"/>
        <w:rPr>
          <w:sz w:val="24"/>
          <w:szCs w:val="24"/>
          <w:color w:val="auto"/>
        </w:rPr>
      </w:pPr>
    </w:p>
    <w:p>
      <w:pPr>
        <w:sectPr>
          <w:pgSz w:w="11900" w:h="16838" w:orient="portrait"/>
          <w:cols w:equalWidth="0" w:num="2">
            <w:col w:w="6360" w:space="720"/>
            <w:col w:w="4160"/>
          </w:cols>
          <w:pgMar w:left="320" w:top="1039"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ectPr>
          <w:pgSz w:w="11900" w:h="16838" w:orient="portrait"/>
          <w:cols w:equalWidth="0" w:num="1">
            <w:col w:w="11240"/>
          </w:cols>
          <w:pgMar w:left="320" w:top="1039" w:right="33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039" w:right="339" w:bottom="1440" w:gutter="0" w:footer="0" w:header="0"/>
          <w:type w:val="continuous"/>
        </w:sectPr>
      </w:pPr>
    </w:p>
    <w:p>
      <w:pPr>
        <w:spacing w:after="0" w:line="73" w:lineRule="exact"/>
        <w:rPr>
          <w:sz w:val="24"/>
          <w:szCs w:val="24"/>
          <w:color w:val="auto"/>
        </w:rPr>
      </w:pPr>
    </w:p>
    <w:p>
      <w:pPr>
        <w:jc w:val="center"/>
        <w:ind w:left="2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00"/>
        <w:spacing w:after="0"/>
        <w:rPr>
          <w:sz w:val="20"/>
          <w:szCs w:val="20"/>
          <w:color w:val="auto"/>
        </w:rPr>
      </w:pPr>
      <w:r>
        <w:rPr>
          <w:rFonts w:ascii="Arial" w:cs="Arial" w:eastAsia="Arial" w:hAnsi="Arial"/>
          <w:sz w:val="16"/>
          <w:szCs w:val="16"/>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Trading symbol</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ALE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New York Stock Exchange</w:t>
      </w:r>
    </w:p>
    <w:p>
      <w:pPr>
        <w:spacing w:after="0" w:line="116" w:lineRule="exact"/>
        <w:rPr>
          <w:sz w:val="24"/>
          <w:szCs w:val="24"/>
          <w:color w:val="auto"/>
        </w:rPr>
      </w:pPr>
    </w:p>
    <w:p>
      <w:pPr>
        <w:sectPr>
          <w:pgSz w:w="11900" w:h="16838" w:orient="portrait"/>
          <w:cols w:equalWidth="0" w:num="3">
            <w:col w:w="4320" w:space="720"/>
            <w:col w:w="1620" w:space="720"/>
            <w:col w:w="3860"/>
          </w:cols>
          <w:pgMar w:left="320" w:top="1039" w:right="3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9" w:right="339" w:bottom="1440" w:gutter="0" w:footer="0" w:header="0"/>
          <w:type w:val="continuous"/>
        </w:sectPr>
      </w:pPr>
    </w:p>
    <w:p>
      <w:pPr>
        <w:spacing w:after="0" w:line="43" w:lineRule="exact"/>
        <w:rPr>
          <w:sz w:val="24"/>
          <w:szCs w:val="24"/>
          <w:color w:val="auto"/>
        </w:rPr>
      </w:pPr>
    </w:p>
    <w:p>
      <w:pPr>
        <w:ind w:left="420"/>
        <w:spacing w:after="0" w:line="25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2">
            <w:col w:w="4880" w:space="180"/>
            <w:col w:w="6180"/>
          </w:cols>
          <w:pgMar w:left="320" w:top="1039" w:right="339" w:bottom="1440" w:gutter="0" w:footer="0" w:header="0"/>
          <w:type w:val="continuous"/>
        </w:sectPr>
      </w:pPr>
    </w:p>
    <w:p>
      <w:pPr>
        <w:ind w:left="1320"/>
        <w:spacing w:after="0" w:line="196" w:lineRule="exact"/>
        <w:tabs>
          <w:tab w:leader="none" w:pos="35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52,188,909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March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6"/>
          </w:tcPr>
          <w:p>
            <w:pPr>
              <w:ind w:left="120"/>
              <w:spacing w:after="0"/>
              <w:rPr>
                <w:sz w:val="20"/>
                <w:szCs w:val="20"/>
                <w:color w:val="auto"/>
              </w:rPr>
            </w:pPr>
            <w:r>
              <w:rPr>
                <w:rFonts w:ascii="Arial" w:cs="Arial" w:eastAsia="Arial" w:hAnsi="Arial"/>
                <w:sz w:val="18"/>
                <w:szCs w:val="18"/>
                <w:b w:val="1"/>
                <w:bCs w:val="1"/>
                <w:color w:val="auto"/>
              </w:rPr>
              <w:t>Index</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860" w:type="dxa"/>
            <w:vAlign w:val="bottom"/>
            <w:gridSpan w:val="4"/>
          </w:tcPr>
          <w:p>
            <w:pPr>
              <w:spacing w:after="0"/>
              <w:rPr>
                <w:rFonts w:ascii="Arial" w:cs="Arial" w:eastAsia="Arial" w:hAnsi="Arial"/>
                <w:sz w:val="18"/>
                <w:szCs w:val="18"/>
                <w:color w:val="0000FF"/>
                <w:w w:val="97"/>
              </w:rPr>
            </w:pPr>
            <w:hyperlink w:anchor="page2">
              <w:r>
                <w:rPr>
                  <w:rFonts w:ascii="Arial" w:cs="Arial" w:eastAsia="Arial" w:hAnsi="Arial"/>
                  <w:sz w:val="18"/>
                  <w:szCs w:val="18"/>
                  <w:color w:val="0000FF"/>
                  <w:w w:val="97"/>
                </w:rPr>
                <w:t>Definitions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gridSpan w:val="3"/>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20" w:type="dxa"/>
            <w:vAlign w:val="bottom"/>
            <w:gridSpan w:val="10"/>
            <w:shd w:val="clear" w:color="auto" w:fill="CCEEFF"/>
          </w:tcPr>
          <w:p>
            <w:pPr>
              <w:spacing w:after="0" w:line="189"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Forward-Looking Statements</w:t>
              </w:r>
            </w:hyperlink>
          </w:p>
        </w:tc>
        <w:tc>
          <w:tcPr>
            <w:tcW w:w="6200" w:type="dxa"/>
            <w:vAlign w:val="bottom"/>
            <w:gridSpan w:val="27"/>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4"/>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7460" w:type="dxa"/>
            <w:vAlign w:val="bottom"/>
            <w:gridSpan w:val="33"/>
          </w:tcPr>
          <w:p>
            <w:pPr>
              <w:ind w:lef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Item 1.</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Consolidated Financial Statements - Unaudited</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22"/>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Consolidated Balance Sheet</w:t>
              </w:r>
            </w:hyperlink>
          </w:p>
        </w:tc>
        <w:tc>
          <w:tcPr>
            <w:tcW w:w="3060" w:type="dxa"/>
            <w:vAlign w:val="bottom"/>
            <w:gridSpan w:val="6"/>
          </w:tcPr>
          <w:p>
            <w:pPr>
              <w:spacing w:after="0"/>
              <w:rPr>
                <w:sz w:val="16"/>
                <w:szCs w:val="16"/>
                <w:color w:val="auto"/>
              </w:rPr>
            </w:pPr>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00" w:type="dxa"/>
            <w:vAlign w:val="bottom"/>
            <w:gridSpan w:val="18"/>
            <w:shd w:val="clear" w:color="auto" w:fill="CCEEFF"/>
          </w:tcPr>
          <w:p>
            <w:pPr>
              <w:spacing w:after="0" w:line="189"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 of Income</w:t>
              </w:r>
            </w:hyperlink>
          </w:p>
        </w:tc>
        <w:tc>
          <w:tcPr>
            <w:tcW w:w="3760" w:type="dxa"/>
            <w:vAlign w:val="bottom"/>
            <w:gridSpan w:val="10"/>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Statement of Comprehensive Income</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0" w:type="dxa"/>
            <w:vAlign w:val="bottom"/>
            <w:gridSpan w:val="19"/>
            <w:shd w:val="clear" w:color="auto" w:fill="CCEEFF"/>
          </w:tcPr>
          <w:p>
            <w:pPr>
              <w:spacing w:after="0" w:line="189" w:lineRule="exact"/>
              <w:rPr>
                <w:rFonts w:ascii="Arial" w:cs="Arial" w:eastAsia="Arial" w:hAnsi="Arial"/>
                <w:sz w:val="18"/>
                <w:szCs w:val="18"/>
                <w:color w:val="0000FF"/>
                <w:w w:val="89"/>
              </w:rPr>
            </w:pPr>
            <w:hyperlink w:anchor="page8">
              <w:r>
                <w:rPr>
                  <w:rFonts w:ascii="Arial" w:cs="Arial" w:eastAsia="Arial" w:hAnsi="Arial"/>
                  <w:sz w:val="18"/>
                  <w:szCs w:val="18"/>
                  <w:color w:val="0000FF"/>
                  <w:w w:val="89"/>
                </w:rPr>
                <w:t>Consolidated Statement of Cash Flows</w:t>
              </w:r>
            </w:hyperlink>
          </w:p>
        </w:tc>
        <w:tc>
          <w:tcPr>
            <w:tcW w:w="3460" w:type="dxa"/>
            <w:vAlign w:val="bottom"/>
            <w:gridSpan w:val="9"/>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19"/>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Consolidated Statement of Equity</w:t>
              </w:r>
            </w:hyperlink>
          </w:p>
        </w:tc>
        <w:tc>
          <w:tcPr>
            <w:tcW w:w="3460" w:type="dxa"/>
            <w:vAlign w:val="bottom"/>
            <w:gridSpan w:val="9"/>
          </w:tcPr>
          <w:p>
            <w:pPr>
              <w:spacing w:after="0"/>
              <w:rPr>
                <w:sz w:val="16"/>
                <w:szCs w:val="16"/>
                <w:color w:val="auto"/>
              </w:rPr>
            </w:pPr>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10</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Notes to Consolidated Financial Statements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Note 1. Operations and Significant Accounting Policies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Note 2. Regulatory Matters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Note 3. Equity Investments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Note 4. Fair Value</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Note 5. Short-Term and Long-Term Debt</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18</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80" w:type="dxa"/>
            <w:vAlign w:val="bottom"/>
            <w:gridSpan w:val="22"/>
            <w:shd w:val="clear" w:color="auto" w:fill="CCEEFF"/>
          </w:tcPr>
          <w:p>
            <w:pPr>
              <w:spacing w:after="0" w:line="189" w:lineRule="exact"/>
              <w:rPr>
                <w:rFonts w:ascii="Arial" w:cs="Arial" w:eastAsia="Arial" w:hAnsi="Arial"/>
                <w:sz w:val="18"/>
                <w:szCs w:val="18"/>
                <w:color w:val="0000FF"/>
                <w:w w:val="89"/>
              </w:rPr>
            </w:pPr>
            <w:hyperlink w:anchor="page18">
              <w:r>
                <w:rPr>
                  <w:rFonts w:ascii="Arial" w:cs="Arial" w:eastAsia="Arial" w:hAnsi="Arial"/>
                  <w:sz w:val="18"/>
                  <w:szCs w:val="18"/>
                  <w:color w:val="0000FF"/>
                  <w:w w:val="89"/>
                </w:rPr>
                <w:t>Note 6. Commitments, Guarantees and Contingencies</w:t>
              </w:r>
            </w:hyperlink>
          </w:p>
        </w:tc>
        <w:tc>
          <w:tcPr>
            <w:tcW w:w="2140" w:type="dxa"/>
            <w:vAlign w:val="bottom"/>
            <w:gridSpan w:val="3"/>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gridSpan w:val="22"/>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Note 7. Earnings Per Share and Common Stock</w:t>
              </w:r>
            </w:hyperlink>
          </w:p>
        </w:tc>
        <w:tc>
          <w:tcPr>
            <w:tcW w:w="2140" w:type="dxa"/>
            <w:vAlign w:val="bottom"/>
            <w:gridSpan w:val="3"/>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24</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Note 8. Income Tax Expense</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Note 9. Pension and Other Postretirement Benefit Plans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Note 10. Business Segments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Item 2.</w:t>
              </w:r>
            </w:hyperlink>
          </w:p>
        </w:tc>
        <w:tc>
          <w:tcPr>
            <w:tcW w:w="6640" w:type="dxa"/>
            <w:vAlign w:val="bottom"/>
            <w:gridSpan w:val="30"/>
          </w:tcPr>
          <w:p>
            <w:pPr>
              <w:ind w:left="180"/>
              <w:spacing w:after="0" w:line="189" w:lineRule="exact"/>
              <w:rPr>
                <w:rFonts w:ascii="Arial" w:cs="Arial" w:eastAsia="Arial" w:hAnsi="Arial"/>
                <w:sz w:val="18"/>
                <w:szCs w:val="18"/>
                <w:color w:val="0000FF"/>
                <w:w w:val="90"/>
              </w:rPr>
            </w:pPr>
            <w:hyperlink w:anchor="page27">
              <w:r>
                <w:rPr>
                  <w:rFonts w:ascii="Arial" w:cs="Arial" w:eastAsia="Arial" w:hAnsi="Arial"/>
                  <w:sz w:val="18"/>
                  <w:szCs w:val="18"/>
                  <w:color w:val="0000FF"/>
                  <w:w w:val="90"/>
                </w:rPr>
                <w:t>Management’s Discussion and Analysis of Financial Condition and Results of Operations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Comparison of the Three Months Ended</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20"/>
          </w:tcPr>
          <w:p>
            <w:pPr>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Critical Accounting Policies</w:t>
              </w:r>
            </w:hyperlink>
          </w:p>
        </w:tc>
        <w:tc>
          <w:tcPr>
            <w:tcW w:w="3360" w:type="dxa"/>
            <w:vAlign w:val="bottom"/>
            <w:gridSpan w:val="8"/>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Outlook</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Liquidity and Capital Resources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Other</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Item 3.</w:t>
              </w:r>
            </w:hyperlink>
          </w:p>
        </w:tc>
        <w:tc>
          <w:tcPr>
            <w:tcW w:w="6640" w:type="dxa"/>
            <w:vAlign w:val="bottom"/>
            <w:gridSpan w:val="30"/>
          </w:tcPr>
          <w:p>
            <w:pPr>
              <w:ind w:left="180"/>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Disclosures about Market Risk</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44">
              <w:r>
                <w:rPr>
                  <w:rFonts w:ascii="Arial" w:cs="Arial" w:eastAsia="Arial" w:hAnsi="Arial"/>
                  <w:sz w:val="18"/>
                  <w:szCs w:val="18"/>
                  <w:color w:val="0000FF"/>
                  <w:w w:val="87"/>
                </w:rPr>
                <w:t>Item 4.</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Controls and Procedures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CCEEFF"/>
            </w:tcBorders>
            <w:shd w:val="clear" w:color="auto" w:fill="0000FF"/>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Part II.</w:t>
              </w:r>
            </w:hyperlink>
          </w:p>
        </w:tc>
        <w:tc>
          <w:tcPr>
            <w:tcW w:w="7460" w:type="dxa"/>
            <w:vAlign w:val="bottom"/>
            <w:gridSpan w:val="33"/>
            <w:shd w:val="clear" w:color="auto" w:fill="CCEEFF"/>
          </w:tcPr>
          <w:p>
            <w:pPr>
              <w:ind w:left="20"/>
              <w:spacing w:after="0"/>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Item 1.</w:t>
              </w:r>
            </w:hyperlink>
          </w:p>
        </w:tc>
        <w:tc>
          <w:tcPr>
            <w:tcW w:w="6640" w:type="dxa"/>
            <w:vAlign w:val="bottom"/>
            <w:gridSpan w:val="30"/>
          </w:tcPr>
          <w:p>
            <w:pPr>
              <w:ind w:left="18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2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Item 1A.</w:t>
              </w:r>
            </w:hyperlink>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2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Item 2.</w:t>
              </w:r>
            </w:hyperlink>
          </w:p>
        </w:tc>
        <w:tc>
          <w:tcPr>
            <w:tcW w:w="180" w:type="dxa"/>
            <w:vAlign w:val="bottom"/>
          </w:tcPr>
          <w:p>
            <w:pPr>
              <w:spacing w:after="0"/>
              <w:rPr>
                <w:sz w:val="16"/>
                <w:szCs w:val="16"/>
                <w:color w:val="auto"/>
              </w:rPr>
            </w:pPr>
          </w:p>
        </w:tc>
        <w:tc>
          <w:tcPr>
            <w:tcW w:w="6640" w:type="dxa"/>
            <w:vAlign w:val="bottom"/>
            <w:gridSpan w:val="30"/>
          </w:tcPr>
          <w:p>
            <w:pPr>
              <w:ind w:left="18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Unregistered Sales of Equity Securities and Use of Proceeds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45">
              <w:r>
                <w:rPr>
                  <w:rFonts w:ascii="Arial" w:cs="Arial" w:eastAsia="Arial" w:hAnsi="Arial"/>
                  <w:sz w:val="18"/>
                  <w:szCs w:val="18"/>
                  <w:color w:val="0000FF"/>
                  <w:w w:val="87"/>
                </w:rPr>
                <w:t>Item 3.</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Defaults Upon Senior Securities</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20"/>
              <w:spacing w:after="0" w:line="189" w:lineRule="exact"/>
              <w:rPr>
                <w:rFonts w:ascii="Arial" w:cs="Arial" w:eastAsia="Arial" w:hAnsi="Arial"/>
                <w:sz w:val="18"/>
                <w:szCs w:val="18"/>
                <w:color w:val="0000FF"/>
                <w:w w:val="87"/>
              </w:rPr>
            </w:pPr>
            <w:hyperlink w:anchor="page45">
              <w:r>
                <w:rPr>
                  <w:rFonts w:ascii="Arial" w:cs="Arial" w:eastAsia="Arial" w:hAnsi="Arial"/>
                  <w:sz w:val="18"/>
                  <w:szCs w:val="18"/>
                  <w:color w:val="0000FF"/>
                  <w:w w:val="87"/>
                </w:rPr>
                <w:t>Item 4.</w:t>
              </w:r>
            </w:hyperlink>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Mine Safety Disclosures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rFonts w:ascii="Arial" w:cs="Arial" w:eastAsia="Arial" w:hAnsi="Arial"/>
                <w:sz w:val="18"/>
                <w:szCs w:val="18"/>
                <w:color w:val="0000FF"/>
                <w:w w:val="87"/>
              </w:rPr>
            </w:pPr>
            <w:hyperlink w:anchor="page45">
              <w:r>
                <w:rPr>
                  <w:rFonts w:ascii="Arial" w:cs="Arial" w:eastAsia="Arial" w:hAnsi="Arial"/>
                  <w:sz w:val="18"/>
                  <w:szCs w:val="18"/>
                  <w:color w:val="0000FF"/>
                  <w:w w:val="87"/>
                </w:rPr>
                <w:t>Item 5.</w:t>
              </w:r>
            </w:hyperlink>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20"/>
              <w:spacing w:after="0" w:line="189" w:lineRule="exact"/>
              <w:rPr>
                <w:rFonts w:ascii="Arial" w:cs="Arial" w:eastAsia="Arial" w:hAnsi="Arial"/>
                <w:sz w:val="18"/>
                <w:szCs w:val="18"/>
                <w:color w:val="0000FF"/>
                <w:w w:val="87"/>
              </w:rPr>
            </w:pPr>
            <w:hyperlink w:anchor="page45">
              <w:r>
                <w:rPr>
                  <w:rFonts w:ascii="Arial" w:cs="Arial" w:eastAsia="Arial" w:hAnsi="Arial"/>
                  <w:sz w:val="18"/>
                  <w:szCs w:val="18"/>
                  <w:color w:val="0000FF"/>
                  <w:w w:val="87"/>
                </w:rPr>
                <w:t>Item 6.</w:t>
              </w:r>
            </w:hyperlink>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2860" w:type="dxa"/>
            <w:vAlign w:val="bottom"/>
            <w:gridSpan w:val="3"/>
          </w:tcPr>
          <w:p>
            <w:pPr>
              <w:jc w:val="right"/>
              <w:ind w:right="2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4"/>
            <w:shd w:val="clear" w:color="auto" w:fill="CCEEFF"/>
          </w:tcPr>
          <w:p>
            <w:pPr>
              <w:spacing w:after="0" w:line="189" w:lineRule="exact"/>
              <w:rPr>
                <w:rFonts w:ascii="Arial" w:cs="Arial" w:eastAsia="Arial" w:hAnsi="Arial"/>
                <w:sz w:val="18"/>
                <w:szCs w:val="18"/>
                <w:color w:val="0000FF"/>
                <w:w w:val="95"/>
              </w:rPr>
            </w:pPr>
            <w:hyperlink w:anchor="page46">
              <w:r>
                <w:rPr>
                  <w:rFonts w:ascii="Arial" w:cs="Arial" w:eastAsia="Arial" w:hAnsi="Arial"/>
                  <w:sz w:val="18"/>
                  <w:szCs w:val="18"/>
                  <w:color w:val="0000FF"/>
                  <w:w w:val="95"/>
                </w:rPr>
                <w:t>Signatures</w:t>
              </w:r>
            </w:hyperlink>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47</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Abbreviation or Acronym</w:t>
            </w:r>
          </w:p>
        </w:tc>
        <w:tc>
          <w:tcPr>
            <w:tcW w:w="814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Term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AFUDC</w:t>
            </w:r>
          </w:p>
        </w:tc>
        <w:tc>
          <w:tcPr>
            <w:tcW w:w="8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Allowance for Funds Used During Construction – the cost of both debt and equity funds used to finance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Properties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Transmission Holdings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Transmission Holdings,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 S.A.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ATC</w:t>
            </w:r>
          </w:p>
        </w:tc>
        <w:tc>
          <w:tcPr>
            <w:tcW w:w="812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Bison</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BNI Energy</w:t>
            </w:r>
          </w:p>
        </w:tc>
        <w:tc>
          <w:tcPr>
            <w:tcW w:w="8120" w:type="dxa"/>
            <w:vAlign w:val="bottom"/>
            <w:gridSpan w:val="2"/>
          </w:tcPr>
          <w:p>
            <w:pPr>
              <w:spacing w:after="0"/>
              <w:rPr>
                <w:sz w:val="20"/>
                <w:szCs w:val="20"/>
                <w:color w:val="auto"/>
              </w:rPr>
            </w:pPr>
            <w:r>
              <w:rPr>
                <w:rFonts w:ascii="Arial" w:cs="Arial" w:eastAsia="Arial" w:hAnsi="Arial"/>
                <w:sz w:val="18"/>
                <w:szCs w:val="18"/>
                <w:color w:val="auto"/>
              </w:rPr>
              <w:t>BNI Energy, Inc. and its subsidiary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Boswell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Camp Ripley</w:t>
            </w:r>
          </w:p>
        </w:tc>
        <w:tc>
          <w:tcPr>
            <w:tcW w:w="8120" w:type="dxa"/>
            <w:vAlign w:val="bottom"/>
            <w:gridSpan w:val="2"/>
          </w:tcPr>
          <w:p>
            <w:pPr>
              <w:spacing w:after="0"/>
              <w:rPr>
                <w:sz w:val="20"/>
                <w:szCs w:val="20"/>
                <w:color w:val="auto"/>
              </w:rPr>
            </w:pPr>
            <w:r>
              <w:rPr>
                <w:rFonts w:ascii="Arial" w:cs="Arial" w:eastAsia="Arial" w:hAnsi="Arial"/>
                <w:sz w:val="18"/>
                <w:szCs w:val="18"/>
                <w:color w:val="auto"/>
              </w:rPr>
              <w:t>Camp Ripley Solar Array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Cliffs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Cleveland-Cliffs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COVID-19</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novel coronavirus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CSAPR</w:t>
            </w:r>
          </w:p>
        </w:tc>
        <w:tc>
          <w:tcPr>
            <w:tcW w:w="812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EIS</w:t>
            </w:r>
          </w:p>
        </w:tc>
        <w:tc>
          <w:tcPr>
            <w:tcW w:w="8120" w:type="dxa"/>
            <w:vAlign w:val="bottom"/>
            <w:gridSpan w:val="2"/>
          </w:tcPr>
          <w:p>
            <w:pPr>
              <w:spacing w:after="0"/>
              <w:rPr>
                <w:sz w:val="20"/>
                <w:szCs w:val="20"/>
                <w:color w:val="auto"/>
              </w:rPr>
            </w:pPr>
            <w:r>
              <w:rPr>
                <w:rFonts w:ascii="Arial" w:cs="Arial" w:eastAsia="Arial" w:hAnsi="Arial"/>
                <w:sz w:val="18"/>
                <w:szCs w:val="18"/>
                <w:color w:val="auto"/>
              </w:rPr>
              <w:t>Environmental Impact Statement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ESOP</w:t>
            </w:r>
          </w:p>
        </w:tc>
        <w:tc>
          <w:tcPr>
            <w:tcW w:w="812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Form 10-K</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10-Q</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GAAP</w:t>
            </w:r>
          </w:p>
        </w:tc>
        <w:tc>
          <w:tcPr>
            <w:tcW w:w="812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GHG</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GNTL</w:t>
            </w:r>
          </w:p>
        </w:tc>
        <w:tc>
          <w:tcPr>
            <w:tcW w:w="812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Hibbing Taconite</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Hibbing Taconite 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Husky Energy</w:t>
            </w:r>
          </w:p>
        </w:tc>
        <w:tc>
          <w:tcPr>
            <w:tcW w:w="8120" w:type="dxa"/>
            <w:vAlign w:val="bottom"/>
            <w:gridSpan w:val="2"/>
          </w:tcPr>
          <w:p>
            <w:pPr>
              <w:spacing w:after="0"/>
              <w:rPr>
                <w:sz w:val="20"/>
                <w:szCs w:val="20"/>
                <w:color w:val="auto"/>
              </w:rPr>
            </w:pPr>
            <w:r>
              <w:rPr>
                <w:rFonts w:ascii="Arial" w:cs="Arial" w:eastAsia="Arial" w:hAnsi="Arial"/>
                <w:sz w:val="18"/>
                <w:szCs w:val="18"/>
                <w:color w:val="auto"/>
              </w:rPr>
              <w:t>Husky Energy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 Direct</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IRP</w:t>
            </w:r>
          </w:p>
        </w:tc>
        <w:tc>
          <w:tcPr>
            <w:tcW w:w="8120" w:type="dxa"/>
            <w:vAlign w:val="bottom"/>
            <w:gridSpan w:val="2"/>
          </w:tcPr>
          <w:p>
            <w:pPr>
              <w:spacing w:after="0"/>
              <w:rPr>
                <w:sz w:val="20"/>
                <w:szCs w:val="20"/>
                <w:color w:val="auto"/>
              </w:rPr>
            </w:pPr>
            <w:r>
              <w:rPr>
                <w:rFonts w:ascii="Arial" w:cs="Arial" w:eastAsia="Arial" w:hAnsi="Arial"/>
                <w:sz w:val="18"/>
                <w:szCs w:val="18"/>
                <w:color w:val="auto"/>
              </w:rPr>
              <w:t>Integrated Resource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kV</w:t>
            </w:r>
          </w:p>
        </w:tc>
        <w:tc>
          <w:tcPr>
            <w:tcW w:w="8120" w:type="dxa"/>
            <w:vAlign w:val="bottom"/>
            <w:gridSpan w:val="2"/>
          </w:tcPr>
          <w:p>
            <w:pPr>
              <w:spacing w:after="0"/>
              <w:rPr>
                <w:sz w:val="20"/>
                <w:szCs w:val="20"/>
                <w:color w:val="auto"/>
              </w:rPr>
            </w:pPr>
            <w:r>
              <w:rPr>
                <w:rFonts w:ascii="Arial" w:cs="Arial" w:eastAsia="Arial" w:hAnsi="Arial"/>
                <w:sz w:val="18"/>
                <w:szCs w:val="18"/>
                <w:color w:val="auto"/>
              </w:rPr>
              <w:t>Kilovolt(s)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kW / kWh</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7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Laskin</w:t>
            </w:r>
          </w:p>
        </w:tc>
        <w:tc>
          <w:tcPr>
            <w:tcW w:w="8120" w:type="dxa"/>
            <w:vAlign w:val="bottom"/>
            <w:gridSpan w:val="2"/>
          </w:tcPr>
          <w:p>
            <w:pPr>
              <w:spacing w:after="0"/>
              <w:rPr>
                <w:sz w:val="20"/>
                <w:szCs w:val="20"/>
                <w:color w:val="auto"/>
              </w:rPr>
            </w:pPr>
            <w:r>
              <w:rPr>
                <w:rFonts w:ascii="Arial" w:cs="Arial" w:eastAsia="Arial" w:hAnsi="Arial"/>
                <w:sz w:val="18"/>
                <w:szCs w:val="18"/>
                <w:color w:val="auto"/>
              </w:rPr>
              <w:t>Laskin Energy Center</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Lampert Capital Markets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Lampert Capital Markets,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Manitoba Hydro</w:t>
            </w:r>
          </w:p>
        </w:tc>
        <w:tc>
          <w:tcPr>
            <w:tcW w:w="812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Minnkota Power</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MISO</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MMTP</w:t>
            </w:r>
          </w:p>
        </w:tc>
        <w:tc>
          <w:tcPr>
            <w:tcW w:w="8120" w:type="dxa"/>
            <w:vAlign w:val="bottom"/>
            <w:gridSpan w:val="2"/>
          </w:tcPr>
          <w:p>
            <w:pPr>
              <w:spacing w:after="0"/>
              <w:rPr>
                <w:sz w:val="20"/>
                <w:szCs w:val="20"/>
                <w:color w:val="auto"/>
              </w:rPr>
            </w:pPr>
            <w:r>
              <w:rPr>
                <w:rFonts w:ascii="Arial" w:cs="Arial" w:eastAsia="Arial" w:hAnsi="Arial"/>
                <w:sz w:val="18"/>
                <w:szCs w:val="18"/>
                <w:color w:val="auto"/>
              </w:rPr>
              <w:t>Manitoba-Minnesota Transmission Project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 Investors Service,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MPCA</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20" w:type="dxa"/>
            <w:vAlign w:val="bottom"/>
            <w:gridSpan w:val="2"/>
          </w:tcPr>
          <w:p>
            <w:pPr>
              <w:ind w:left="800"/>
              <w:spacing w:after="0"/>
              <w:rPr>
                <w:sz w:val="20"/>
                <w:szCs w:val="20"/>
                <w:color w:val="auto"/>
              </w:rPr>
            </w:pPr>
            <w:r>
              <w:rPr>
                <w:rFonts w:ascii="Arial" w:cs="Arial" w:eastAsia="Arial" w:hAnsi="Arial"/>
                <w:sz w:val="14"/>
                <w:szCs w:val="14"/>
                <w:color w:val="auto"/>
              </w:rPr>
              <w:t>ALLETE, Inc. First Quarter 2021 Form 10-Q</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120" w:type="dxa"/>
            <w:vAlign w:val="bottom"/>
            <w:gridSpan w:val="2"/>
          </w:tcPr>
          <w:p>
            <w:pPr>
              <w:ind w:left="248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MPUC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MW / MWh</w:t>
            </w:r>
          </w:p>
        </w:tc>
        <w:tc>
          <w:tcPr>
            <w:tcW w:w="812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NAAQS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NDPSC</w:t>
            </w:r>
          </w:p>
        </w:tc>
        <w:tc>
          <w:tcPr>
            <w:tcW w:w="812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Nobles 2</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Nobles 2 Power Partners, LLC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NOL</w:t>
            </w:r>
          </w:p>
        </w:tc>
        <w:tc>
          <w:tcPr>
            <w:tcW w:w="8120" w:type="dxa"/>
            <w:vAlign w:val="bottom"/>
            <w:gridSpan w:val="2"/>
          </w:tcPr>
          <w:p>
            <w:pPr>
              <w:spacing w:after="0"/>
              <w:rPr>
                <w:sz w:val="20"/>
                <w:szCs w:val="20"/>
                <w:color w:val="auto"/>
              </w:rPr>
            </w:pPr>
            <w:r>
              <w:rPr>
                <w:rFonts w:ascii="Arial" w:cs="Arial" w:eastAsia="Arial" w:hAnsi="Arial"/>
                <w:sz w:val="18"/>
                <w:szCs w:val="18"/>
                <w:color w:val="auto"/>
              </w:rPr>
              <w:t>Net Operating Loss</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NO</w:t>
            </w:r>
            <w:r>
              <w:rPr>
                <w:rFonts w:ascii="Arial" w:cs="Arial" w:eastAsia="Arial" w:hAnsi="Arial"/>
                <w:sz w:val="23"/>
                <w:szCs w:val="23"/>
                <w:color w:val="auto"/>
                <w:vertAlign w:val="subscript"/>
              </w:rPr>
              <w:t>X</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Northshore Mining</w:t>
            </w:r>
          </w:p>
        </w:tc>
        <w:tc>
          <w:tcPr>
            <w:tcW w:w="812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___</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NPDES</w:t>
            </w:r>
          </w:p>
        </w:tc>
        <w:tc>
          <w:tcPr>
            <w:tcW w:w="812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NTEC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Nemadji Trail Energy Center</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Oliver Wind I</w:t>
            </w:r>
          </w:p>
        </w:tc>
        <w:tc>
          <w:tcPr>
            <w:tcW w:w="812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Wind II</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PolyMet</w:t>
            </w:r>
          </w:p>
        </w:tc>
        <w:tc>
          <w:tcPr>
            <w:tcW w:w="8120" w:type="dxa"/>
            <w:vAlign w:val="bottom"/>
            <w:gridSpan w:val="2"/>
          </w:tcPr>
          <w:p>
            <w:pPr>
              <w:spacing w:after="0"/>
              <w:rPr>
                <w:sz w:val="20"/>
                <w:szCs w:val="20"/>
                <w:color w:val="auto"/>
              </w:rPr>
            </w:pPr>
            <w:r>
              <w:rPr>
                <w:rFonts w:ascii="Arial" w:cs="Arial" w:eastAsia="Arial" w:hAnsi="Arial"/>
                <w:sz w:val="18"/>
                <w:szCs w:val="18"/>
                <w:color w:val="auto"/>
              </w:rPr>
              <w:t>PolyMet Mining Corp.</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PPA / PSA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PPACA</w:t>
            </w:r>
          </w:p>
        </w:tc>
        <w:tc>
          <w:tcPr>
            <w:tcW w:w="812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PSCW</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SEC</w:t>
            </w:r>
          </w:p>
        </w:tc>
        <w:tc>
          <w:tcPr>
            <w:tcW w:w="812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Bay Power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line="230" w:lineRule="exact"/>
              <w:rPr>
                <w:sz w:val="20"/>
                <w:szCs w:val="20"/>
                <w:color w:val="auto"/>
              </w:rPr>
            </w:pPr>
            <w:r>
              <w:rPr>
                <w:rFonts w:ascii="Arial" w:cs="Arial" w:eastAsia="Arial" w:hAnsi="Arial"/>
                <w:sz w:val="18"/>
                <w:szCs w:val="18"/>
                <w:color w:val="auto"/>
              </w:rPr>
              <w:t>SO</w:t>
            </w:r>
            <w:r>
              <w:rPr>
                <w:rFonts w:ascii="Arial" w:cs="Arial" w:eastAsia="Arial" w:hAnsi="Arial"/>
                <w:sz w:val="23"/>
                <w:szCs w:val="23"/>
                <w:color w:val="auto"/>
                <w:vertAlign w:val="subscript"/>
              </w:rPr>
              <w:t>2</w:t>
            </w:r>
          </w:p>
        </w:tc>
        <w:tc>
          <w:tcPr>
            <w:tcW w:w="812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Butte</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SWL&amp;P</w:t>
            </w:r>
          </w:p>
        </w:tc>
        <w:tc>
          <w:tcPr>
            <w:tcW w:w="812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Town Center District</w:t>
            </w:r>
          </w:p>
        </w:tc>
        <w:tc>
          <w:tcPr>
            <w:tcW w:w="812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USS Corporation</w:t>
            </w:r>
          </w:p>
        </w:tc>
        <w:tc>
          <w:tcPr>
            <w:tcW w:w="812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WTG</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 Turbine Generator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 including the ongoing COVID-19 pandemic;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bank financing and other financing 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businesses of climate change and future regulation to restrict the emissions of GHG;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efforts to realize value from, invest in, and develop new opportunities.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Part I, Item 1A. Risk Factors of our 2020 Form 10-K and Part II, Item 1A. Risk Factors of this Form 10-Q.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26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1"/>
        </w:trPr>
        <w:tc>
          <w:tcPr>
            <w:tcW w:w="8260" w:type="dxa"/>
            <w:vAlign w:val="bottom"/>
          </w:tcPr>
          <w:p>
            <w:pPr>
              <w:jc w:val="center"/>
              <w:ind w:left="2890"/>
              <w:spacing w:after="0"/>
              <w:rPr>
                <w:sz w:val="20"/>
                <w:szCs w:val="20"/>
                <w:color w:val="auto"/>
              </w:rPr>
            </w:pPr>
            <w:r>
              <w:rPr>
                <w:rFonts w:ascii="Arial" w:cs="Arial" w:eastAsia="Arial" w:hAnsi="Arial"/>
                <w:sz w:val="18"/>
                <w:szCs w:val="18"/>
                <w:b w:val="1"/>
                <w:bCs w:val="1"/>
                <w:color w:val="auto"/>
              </w:rPr>
              <w:t>ALLETE</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8260" w:type="dxa"/>
            <w:vAlign w:val="bottom"/>
          </w:tcPr>
          <w:p>
            <w:pPr>
              <w:jc w:val="center"/>
              <w:ind w:left="2910"/>
              <w:spacing w:after="0"/>
              <w:rPr>
                <w:sz w:val="20"/>
                <w:szCs w:val="20"/>
                <w:color w:val="auto"/>
              </w:rPr>
            </w:pPr>
            <w:r>
              <w:rPr>
                <w:rFonts w:ascii="Arial" w:cs="Arial" w:eastAsia="Arial" w:hAnsi="Arial"/>
                <w:sz w:val="18"/>
                <w:szCs w:val="18"/>
                <w:b w:val="1"/>
                <w:bCs w:val="1"/>
                <w:color w:val="auto"/>
                <w:w w:val="99"/>
              </w:rPr>
              <w:t>CONSOLIDATED BALANCE SHEET</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8260" w:type="dxa"/>
            <w:vAlign w:val="bottom"/>
          </w:tcPr>
          <w:p>
            <w:pPr>
              <w:jc w:val="center"/>
              <w:ind w:left="2890"/>
              <w:spacing w:after="0"/>
              <w:rPr>
                <w:sz w:val="20"/>
                <w:szCs w:val="20"/>
                <w:color w:val="auto"/>
              </w:rPr>
            </w:pPr>
            <w:r>
              <w:rPr>
                <w:rFonts w:ascii="Arial" w:cs="Arial" w:eastAsia="Arial" w:hAnsi="Arial"/>
                <w:sz w:val="18"/>
                <w:szCs w:val="18"/>
                <w:b w:val="1"/>
                <w:bCs w:val="1"/>
                <w:color w:val="auto"/>
                <w:w w:val="90"/>
              </w:rPr>
              <w:t>Unaudited</w:t>
            </w: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260" w:type="dxa"/>
            <w:vAlign w:val="bottom"/>
          </w:tcPr>
          <w:p>
            <w:pPr>
              <w:spacing w:after="0"/>
              <w:rPr>
                <w:sz w:val="24"/>
                <w:szCs w:val="24"/>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8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$159.0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Accounts Receivable (Less Allowance of $2.6 and $2.5)</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113.5</w:t>
            </w:r>
          </w:p>
        </w:tc>
        <w:tc>
          <w:tcPr>
            <w:tcW w:w="136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 Net</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74.0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29"/>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Prepayments and Other</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31.9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378.4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4,930.6</w:t>
            </w:r>
          </w:p>
        </w:tc>
        <w:tc>
          <w:tcPr>
            <w:tcW w:w="1360" w:type="dxa"/>
            <w:vAlign w:val="bottom"/>
          </w:tcPr>
          <w:p>
            <w:pPr>
              <w:jc w:val="right"/>
              <w:spacing w:after="0"/>
              <w:rPr>
                <w:sz w:val="20"/>
                <w:szCs w:val="20"/>
                <w:color w:val="auto"/>
              </w:rPr>
            </w:pPr>
            <w:r>
              <w:rPr>
                <w:rFonts w:ascii="Arial" w:cs="Arial" w:eastAsia="Arial" w:hAnsi="Arial"/>
                <w:sz w:val="18"/>
                <w:szCs w:val="18"/>
                <w:color w:val="auto"/>
              </w:rPr>
              <w:t>4,840.8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472.7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301.5</w:t>
            </w:r>
          </w:p>
        </w:tc>
        <w:tc>
          <w:tcPr>
            <w:tcW w:w="1360" w:type="dxa"/>
            <w:vAlign w:val="bottom"/>
          </w:tcPr>
          <w:p>
            <w:pPr>
              <w:jc w:val="right"/>
              <w:spacing w:after="0"/>
              <w:rPr>
                <w:sz w:val="20"/>
                <w:szCs w:val="20"/>
                <w:color w:val="auto"/>
              </w:rPr>
            </w:pPr>
            <w:r>
              <w:rPr>
                <w:rFonts w:ascii="Arial" w:cs="Arial" w:eastAsia="Arial" w:hAnsi="Arial"/>
                <w:sz w:val="18"/>
                <w:szCs w:val="18"/>
                <w:color w:val="auto"/>
              </w:rPr>
              <w:t>301.2</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191.3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$6,274.5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$6,084.6</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$107.0</w:t>
            </w:r>
          </w:p>
        </w:tc>
        <w:tc>
          <w:tcPr>
            <w:tcW w:w="13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75.2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15.3</w:t>
            </w:r>
          </w:p>
        </w:tc>
        <w:tc>
          <w:tcPr>
            <w:tcW w:w="13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Due Within One Year</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298.5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r>
      <w:tr>
        <w:trPr>
          <w:trHeight w:val="230"/>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78.9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574.9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1,652.4</w:t>
            </w:r>
          </w:p>
        </w:tc>
        <w:tc>
          <w:tcPr>
            <w:tcW w:w="1360" w:type="dxa"/>
            <w:vAlign w:val="bottom"/>
          </w:tcPr>
          <w:p>
            <w:pPr>
              <w:jc w:val="right"/>
              <w:spacing w:after="0"/>
              <w:rPr>
                <w:sz w:val="20"/>
                <w:szCs w:val="20"/>
                <w:color w:val="auto"/>
              </w:rPr>
            </w:pPr>
            <w:r>
              <w:rPr>
                <w:rFonts w:ascii="Arial" w:cs="Arial" w:eastAsia="Arial" w:hAnsi="Arial"/>
                <w:sz w:val="18"/>
                <w:szCs w:val="18"/>
                <w:color w:val="auto"/>
              </w:rPr>
              <w:t>1,593.2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190.2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Regulatory Liabilities</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517.9</w:t>
            </w:r>
          </w:p>
        </w:tc>
        <w:tc>
          <w:tcPr>
            <w:tcW w:w="1360" w:type="dxa"/>
            <w:vAlign w:val="bottom"/>
          </w:tcPr>
          <w:p>
            <w:pPr>
              <w:jc w:val="right"/>
              <w:spacing w:after="0"/>
              <w:rPr>
                <w:sz w:val="20"/>
                <w:szCs w:val="20"/>
                <w:color w:val="auto"/>
              </w:rPr>
            </w:pPr>
            <w:r>
              <w:rPr>
                <w:rFonts w:ascii="Arial" w:cs="Arial" w:eastAsia="Arial" w:hAnsi="Arial"/>
                <w:sz w:val="18"/>
                <w:szCs w:val="18"/>
                <w:color w:val="auto"/>
              </w:rPr>
              <w:t>524.8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Other Postretirement Benefit Plans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212.5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r>
      <w:tr>
        <w:trPr>
          <w:trHeight w:val="230"/>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280.2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r>
      <w:tr>
        <w:trPr>
          <w:trHeight w:val="223"/>
        </w:trPr>
        <w:tc>
          <w:tcPr>
            <w:tcW w:w="82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3,428.1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3,284.4</w:t>
            </w: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Commitments, Guarantees and Contingencies (Note 6)</w:t>
            </w:r>
          </w:p>
        </w:tc>
        <w:tc>
          <w:tcPr>
            <w:tcW w:w="1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ALLETE Equity</w:t>
            </w: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Common Stock Without Par Value, 80.0 Shares Authorized, 52.2 and 52.1 Shares Issued and Outstanding</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1,467.6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(30.7)</w:t>
            </w:r>
          </w:p>
        </w:tc>
        <w:tc>
          <w:tcPr>
            <w:tcW w:w="136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82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883.8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864.8</w:t>
            </w: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ALLETE Equity</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2,320.7</w:t>
            </w:r>
          </w:p>
        </w:tc>
        <w:tc>
          <w:tcPr>
            <w:tcW w:w="1360" w:type="dxa"/>
            <w:vAlign w:val="bottom"/>
          </w:tcPr>
          <w:p>
            <w:pPr>
              <w:jc w:val="right"/>
              <w:spacing w:after="0"/>
              <w:rPr>
                <w:sz w:val="20"/>
                <w:szCs w:val="20"/>
                <w:color w:val="auto"/>
              </w:rPr>
            </w:pPr>
            <w:r>
              <w:rPr>
                <w:rFonts w:ascii="Arial" w:cs="Arial" w:eastAsia="Arial" w:hAnsi="Arial"/>
                <w:sz w:val="18"/>
                <w:szCs w:val="18"/>
                <w:color w:val="auto"/>
              </w:rPr>
              <w:t>2,294.6</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525.7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r>
      <w:tr>
        <w:trPr>
          <w:trHeight w:val="223"/>
        </w:trPr>
        <w:tc>
          <w:tcPr>
            <w:tcW w:w="82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Equity</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2,846.4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2,800.2</w:t>
            </w: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$6,274.5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$6,084.6</w:t>
            </w:r>
          </w:p>
        </w:tc>
      </w:tr>
    </w:tbl>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19"/>
                <w:szCs w:val="19"/>
                <w:color w:val="auto"/>
              </w:rPr>
            </w:pPr>
          </w:p>
        </w:tc>
        <w:tc>
          <w:tcPr>
            <w:tcW w:w="45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6720" w:type="dxa"/>
            <w:vAlign w:val="bottom"/>
          </w:tcPr>
          <w:p>
            <w:pPr>
              <w:spacing w:after="0"/>
              <w:rPr>
                <w:sz w:val="19"/>
                <w:szCs w:val="19"/>
                <w:color w:val="auto"/>
              </w:rPr>
            </w:pPr>
          </w:p>
        </w:tc>
        <w:tc>
          <w:tcPr>
            <w:tcW w:w="45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7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36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3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Contracts with Customers – Utility</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$293.0</w:t>
            </w:r>
          </w:p>
        </w:tc>
        <w:tc>
          <w:tcPr>
            <w:tcW w:w="860" w:type="dxa"/>
            <w:vAlign w:val="bottom"/>
          </w:tcPr>
          <w:p>
            <w:pPr>
              <w:jc w:val="right"/>
              <w:spacing w:after="0"/>
              <w:rPr>
                <w:sz w:val="20"/>
                <w:szCs w:val="20"/>
                <w:color w:val="auto"/>
              </w:rPr>
            </w:pPr>
            <w:r>
              <w:rPr>
                <w:rFonts w:ascii="Arial" w:cs="Arial" w:eastAsia="Arial" w:hAnsi="Arial"/>
                <w:sz w:val="18"/>
                <w:szCs w:val="18"/>
                <w:color w:val="auto"/>
              </w:rPr>
              <w:t>$265.3</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Non-utility</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29"/>
        </w:trPr>
        <w:tc>
          <w:tcPr>
            <w:tcW w:w="6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 Non-utility</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Revenue</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339.2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Purchased Power and Gas – Utility</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Transmission Services – Utility</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17.7</w:t>
            </w:r>
          </w:p>
        </w:tc>
        <w:tc>
          <w:tcPr>
            <w:tcW w:w="8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Non-utility</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Operating and Maintenance</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66.3</w:t>
            </w:r>
          </w:p>
        </w:tc>
        <w:tc>
          <w:tcPr>
            <w:tcW w:w="86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30"/>
        </w:trPr>
        <w:tc>
          <w:tcPr>
            <w:tcW w:w="6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Taxes Other than Income Taxes</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6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297.2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r>
      <w:tr>
        <w:trPr>
          <w:trHeight w:val="22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660" w:type="dxa"/>
            <w:vAlign w:val="bottom"/>
          </w:tcPr>
          <w:p>
            <w:pPr>
              <w:jc w:val="right"/>
              <w:ind w:right="90"/>
              <w:spacing w:after="0"/>
              <w:rPr>
                <w:sz w:val="20"/>
                <w:szCs w:val="20"/>
                <w:color w:val="auto"/>
              </w:rPr>
            </w:pPr>
            <w:r>
              <w:rPr>
                <w:rFonts w:ascii="Arial" w:cs="Arial" w:eastAsia="Arial" w:hAnsi="Arial"/>
                <w:sz w:val="18"/>
                <w:szCs w:val="18"/>
                <w:color w:val="auto"/>
              </w:rPr>
              <w:t>(17.1)</w:t>
            </w: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w:t>
            </w:r>
          </w:p>
        </w:tc>
        <w:tc>
          <w:tcPr>
            <w:tcW w:w="3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Other Expense</w:t>
            </w:r>
          </w:p>
        </w:tc>
        <w:tc>
          <w:tcPr>
            <w:tcW w:w="3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33.0</w:t>
            </w:r>
          </w:p>
        </w:tc>
        <w:tc>
          <w:tcPr>
            <w:tcW w:w="86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3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r>
      <w:tr>
        <w:trPr>
          <w:trHeight w:val="223"/>
        </w:trPr>
        <w:tc>
          <w:tcPr>
            <w:tcW w:w="6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3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3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3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Basic</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52.1</w:t>
            </w:r>
          </w:p>
        </w:tc>
        <w:tc>
          <w:tcPr>
            <w:tcW w:w="86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30"/>
        </w:trPr>
        <w:tc>
          <w:tcPr>
            <w:tcW w:w="6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$0.99</w:t>
            </w: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3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$0.99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19"/>
                <w:szCs w:val="19"/>
                <w:color w:val="auto"/>
              </w:rPr>
            </w:pPr>
          </w:p>
        </w:tc>
        <w:tc>
          <w:tcPr>
            <w:tcW w:w="41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70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00" w:type="dxa"/>
            <w:vAlign w:val="bottom"/>
          </w:tcPr>
          <w:p>
            <w:pPr>
              <w:spacing w:after="0"/>
              <w:rPr>
                <w:sz w:val="19"/>
                <w:szCs w:val="19"/>
                <w:color w:val="auto"/>
              </w:rPr>
            </w:pPr>
          </w:p>
        </w:tc>
      </w:tr>
      <w:tr>
        <w:trPr>
          <w:trHeight w:val="234"/>
        </w:trPr>
        <w:tc>
          <w:tcPr>
            <w:tcW w:w="70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2020</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4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$43.4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Securities</w:t>
            </w:r>
          </w:p>
        </w:tc>
        <w:tc>
          <w:tcPr>
            <w:tcW w:w="3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Net of Income Tax Benefit of $– and $(0.1)</w:t>
            </w:r>
          </w:p>
        </w:tc>
        <w:tc>
          <w:tcPr>
            <w:tcW w:w="3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Pension and Other Postretirement Benefit Plans</w:t>
            </w:r>
          </w:p>
        </w:tc>
        <w:tc>
          <w:tcPr>
            <w:tcW w:w="3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7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of Income Tax Expense of $0.1 and $0.1</w:t>
            </w:r>
          </w:p>
        </w:tc>
        <w:tc>
          <w:tcPr>
            <w:tcW w:w="3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0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 (Loss)</w:t>
            </w:r>
          </w:p>
        </w:tc>
        <w:tc>
          <w:tcPr>
            <w:tcW w:w="34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480" w:type="dxa"/>
            <w:vAlign w:val="bottom"/>
          </w:tcPr>
          <w:p>
            <w:pPr>
              <w:jc w:val="right"/>
              <w:ind w:right="430"/>
              <w:spacing w:after="0"/>
              <w:rPr>
                <w:sz w:val="20"/>
                <w:szCs w:val="20"/>
                <w:color w:val="auto"/>
              </w:rPr>
            </w:pPr>
            <w:r>
              <w:rPr>
                <w:rFonts w:ascii="Arial" w:cs="Arial" w:eastAsia="Arial" w:hAnsi="Arial"/>
                <w:sz w:val="18"/>
                <w:szCs w:val="18"/>
                <w:color w:val="auto"/>
              </w:rPr>
              <w:t>43.8</w:t>
            </w:r>
          </w:p>
        </w:tc>
        <w:tc>
          <w:tcPr>
            <w:tcW w:w="70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29"/>
        </w:trPr>
        <w:tc>
          <w:tcPr>
            <w:tcW w:w="70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34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(8.4)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3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$52.2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3360" w:type="dxa"/>
            <w:vAlign w:val="bottom"/>
            <w:gridSpan w:val="2"/>
          </w:tcPr>
          <w:p>
            <w:pPr>
              <w:jc w:val="right"/>
              <w:ind w:right="155"/>
              <w:spacing w:after="0"/>
              <w:rPr>
                <w:sz w:val="20"/>
                <w:szCs w:val="20"/>
                <w:color w:val="auto"/>
              </w:rPr>
            </w:pPr>
            <w:r>
              <w:rPr>
                <w:rFonts w:ascii="Arial" w:cs="Arial" w:eastAsia="Arial" w:hAnsi="Arial"/>
                <w:sz w:val="17"/>
                <w:szCs w:val="17"/>
                <w:b w:val="1"/>
                <w:bCs w:val="1"/>
                <w:color w:val="auto"/>
              </w:rPr>
              <w:t>Three Months Ended</w:t>
            </w:r>
          </w:p>
        </w:tc>
      </w:tr>
      <w:tr>
        <w:trPr>
          <w:trHeight w:val="216"/>
        </w:trPr>
        <w:tc>
          <w:tcPr>
            <w:tcW w:w="7840" w:type="dxa"/>
            <w:vAlign w:val="bottom"/>
          </w:tcPr>
          <w:p>
            <w:pPr>
              <w:spacing w:after="0"/>
              <w:rPr>
                <w:sz w:val="18"/>
                <w:szCs w:val="18"/>
                <w:color w:val="auto"/>
              </w:rPr>
            </w:pPr>
          </w:p>
        </w:tc>
        <w:tc>
          <w:tcPr>
            <w:tcW w:w="3360" w:type="dxa"/>
            <w:vAlign w:val="bottom"/>
            <w:gridSpan w:val="2"/>
          </w:tcPr>
          <w:p>
            <w:pPr>
              <w:jc w:val="right"/>
              <w:ind w:right="575"/>
              <w:spacing w:after="0"/>
              <w:rPr>
                <w:sz w:val="20"/>
                <w:szCs w:val="20"/>
                <w:color w:val="auto"/>
              </w:rPr>
            </w:pPr>
            <w:r>
              <w:rPr>
                <w:rFonts w:ascii="Arial" w:cs="Arial" w:eastAsia="Arial" w:hAnsi="Arial"/>
                <w:sz w:val="17"/>
                <w:szCs w:val="17"/>
                <w:b w:val="1"/>
                <w:bCs w:val="1"/>
                <w:color w:val="auto"/>
              </w:rPr>
              <w:t>March 31,</w:t>
            </w:r>
          </w:p>
        </w:tc>
      </w:tr>
      <w:tr>
        <w:trPr>
          <w:trHeight w:val="222"/>
        </w:trPr>
        <w:tc>
          <w:tcPr>
            <w:tcW w:w="78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2021</w:t>
            </w: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r>
      <w:tr>
        <w:trPr>
          <w:trHeight w:val="212"/>
        </w:trPr>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Millions</w:t>
            </w:r>
          </w:p>
        </w:tc>
        <w:tc>
          <w:tcPr>
            <w:tcW w:w="2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2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2480" w:type="dxa"/>
            <w:vAlign w:val="bottom"/>
          </w:tcPr>
          <w:p>
            <w:pPr>
              <w:jc w:val="right"/>
              <w:ind w:right="195"/>
              <w:spacing w:after="0"/>
              <w:rPr>
                <w:sz w:val="20"/>
                <w:szCs w:val="20"/>
                <w:color w:val="auto"/>
              </w:rPr>
            </w:pPr>
            <w:r>
              <w:rPr>
                <w:rFonts w:ascii="Arial" w:cs="Arial" w:eastAsia="Arial" w:hAnsi="Arial"/>
                <w:sz w:val="17"/>
                <w:szCs w:val="17"/>
                <w:color w:val="auto"/>
              </w:rPr>
              <w:t>$43.4</w:t>
            </w:r>
          </w:p>
        </w:tc>
        <w:tc>
          <w:tcPr>
            <w:tcW w:w="880" w:type="dxa"/>
            <w:vAlign w:val="bottom"/>
          </w:tcPr>
          <w:p>
            <w:pPr>
              <w:jc w:val="right"/>
              <w:spacing w:after="0"/>
              <w:rPr>
                <w:sz w:val="20"/>
                <w:szCs w:val="20"/>
                <w:color w:val="auto"/>
              </w:rPr>
            </w:pPr>
            <w:r>
              <w:rPr>
                <w:rFonts w:ascii="Arial" w:cs="Arial" w:eastAsia="Arial" w:hAnsi="Arial"/>
                <w:sz w:val="17"/>
                <w:szCs w:val="17"/>
                <w:color w:val="auto"/>
              </w:rPr>
              <w:t>$64.5</w:t>
            </w: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AFUDC – Equity</w:t>
            </w:r>
          </w:p>
        </w:tc>
        <w:tc>
          <w:tcPr>
            <w:tcW w:w="24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Income from Equity Investments – Net of Dividends</w:t>
            </w:r>
          </w:p>
        </w:tc>
        <w:tc>
          <w:tcPr>
            <w:tcW w:w="2480" w:type="dxa"/>
            <w:vAlign w:val="bottom"/>
          </w:tcPr>
          <w:p>
            <w:pPr>
              <w:jc w:val="right"/>
              <w:ind w:right="195"/>
              <w:spacing w:after="0"/>
              <w:rPr>
                <w:sz w:val="20"/>
                <w:szCs w:val="20"/>
                <w:color w:val="auto"/>
              </w:rPr>
            </w:pPr>
            <w:r>
              <w:rPr>
                <w:rFonts w:ascii="Arial" w:cs="Arial" w:eastAsia="Arial" w:hAnsi="Arial"/>
                <w:sz w:val="17"/>
                <w:szCs w:val="17"/>
                <w:color w:val="auto"/>
              </w:rPr>
              <w:t>1.0</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Realized and Unrealized Gain (Loss) on Investments and Property, Plant and Equipment</w:t>
            </w:r>
          </w:p>
        </w:tc>
        <w:tc>
          <w:tcPr>
            <w:tcW w:w="24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Depreciation Expense</w:t>
            </w:r>
          </w:p>
        </w:tc>
        <w:tc>
          <w:tcPr>
            <w:tcW w:w="2480" w:type="dxa"/>
            <w:vAlign w:val="bottom"/>
          </w:tcPr>
          <w:p>
            <w:pPr>
              <w:jc w:val="right"/>
              <w:ind w:right="195"/>
              <w:spacing w:after="0"/>
              <w:rPr>
                <w:sz w:val="20"/>
                <w:szCs w:val="20"/>
                <w:color w:val="auto"/>
              </w:rPr>
            </w:pPr>
            <w:r>
              <w:rPr>
                <w:rFonts w:ascii="Arial" w:cs="Arial" w:eastAsia="Arial" w:hAnsi="Arial"/>
                <w:sz w:val="17"/>
                <w:szCs w:val="17"/>
                <w:color w:val="auto"/>
              </w:rPr>
              <w:t>58.0</w:t>
            </w:r>
          </w:p>
        </w:tc>
        <w:tc>
          <w:tcPr>
            <w:tcW w:w="880" w:type="dxa"/>
            <w:vAlign w:val="bottom"/>
          </w:tcPr>
          <w:p>
            <w:pPr>
              <w:jc w:val="right"/>
              <w:spacing w:after="0"/>
              <w:rPr>
                <w:sz w:val="20"/>
                <w:szCs w:val="20"/>
                <w:color w:val="auto"/>
              </w:rPr>
            </w:pPr>
            <w:r>
              <w:rPr>
                <w:rFonts w:ascii="Arial" w:cs="Arial" w:eastAsia="Arial" w:hAnsi="Arial"/>
                <w:sz w:val="17"/>
                <w:szCs w:val="17"/>
                <w:color w:val="auto"/>
              </w:rPr>
              <w:t>53.4</w:t>
            </w: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PSAs</w:t>
            </w:r>
          </w:p>
        </w:tc>
        <w:tc>
          <w:tcPr>
            <w:tcW w:w="24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Amortization of Other Intangible Assets and Other Assets</w:t>
            </w:r>
          </w:p>
        </w:tc>
        <w:tc>
          <w:tcPr>
            <w:tcW w:w="2480" w:type="dxa"/>
            <w:vAlign w:val="bottom"/>
          </w:tcPr>
          <w:p>
            <w:pPr>
              <w:jc w:val="right"/>
              <w:ind w:right="195"/>
              <w:spacing w:after="0"/>
              <w:rPr>
                <w:sz w:val="20"/>
                <w:szCs w:val="20"/>
                <w:color w:val="auto"/>
              </w:rPr>
            </w:pPr>
            <w:r>
              <w:rPr>
                <w:rFonts w:ascii="Arial" w:cs="Arial" w:eastAsia="Arial" w:hAnsi="Arial"/>
                <w:sz w:val="17"/>
                <w:szCs w:val="17"/>
                <w:color w:val="auto"/>
              </w:rPr>
              <w:t>2.5</w:t>
            </w:r>
          </w:p>
        </w:tc>
        <w:tc>
          <w:tcPr>
            <w:tcW w:w="8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 Benefit</w:t>
            </w:r>
          </w:p>
        </w:tc>
        <w:tc>
          <w:tcPr>
            <w:tcW w:w="24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Share-Based and ESOP Compensation Expense</w:t>
            </w:r>
          </w:p>
        </w:tc>
        <w:tc>
          <w:tcPr>
            <w:tcW w:w="2480" w:type="dxa"/>
            <w:vAlign w:val="bottom"/>
          </w:tcPr>
          <w:p>
            <w:pPr>
              <w:jc w:val="right"/>
              <w:ind w:right="195"/>
              <w:spacing w:after="0"/>
              <w:rPr>
                <w:sz w:val="20"/>
                <w:szCs w:val="20"/>
                <w:color w:val="auto"/>
              </w:rPr>
            </w:pPr>
            <w:r>
              <w:rPr>
                <w:rFonts w:ascii="Arial" w:cs="Arial" w:eastAsia="Arial" w:hAnsi="Arial"/>
                <w:sz w:val="17"/>
                <w:szCs w:val="17"/>
                <w:color w:val="auto"/>
              </w:rPr>
              <w:t>1.7</w:t>
            </w:r>
          </w:p>
        </w:tc>
        <w:tc>
          <w:tcPr>
            <w:tcW w:w="8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Defined Benefit Pension and Postretirement Benefit Expense</w:t>
            </w:r>
          </w:p>
        </w:tc>
        <w:tc>
          <w:tcPr>
            <w:tcW w:w="24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Bad Debt Expense</w:t>
            </w:r>
          </w:p>
        </w:tc>
        <w:tc>
          <w:tcPr>
            <w:tcW w:w="2480" w:type="dxa"/>
            <w:vAlign w:val="bottom"/>
          </w:tcPr>
          <w:p>
            <w:pPr>
              <w:jc w:val="right"/>
              <w:ind w:right="195"/>
              <w:spacing w:after="0"/>
              <w:rPr>
                <w:sz w:val="20"/>
                <w:szCs w:val="20"/>
                <w:color w:val="auto"/>
              </w:rPr>
            </w:pPr>
            <w:r>
              <w:rPr>
                <w:rFonts w:ascii="Arial" w:cs="Arial" w:eastAsia="Arial" w:hAnsi="Arial"/>
                <w:sz w:val="17"/>
                <w:szCs w:val="17"/>
                <w:color w:val="auto"/>
              </w:rPr>
              <w:t>0.4</w:t>
            </w:r>
          </w:p>
        </w:tc>
        <w:tc>
          <w:tcPr>
            <w:tcW w:w="88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2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840" w:type="dxa"/>
            <w:vAlign w:val="bottom"/>
          </w:tcPr>
          <w:p>
            <w:pPr>
              <w:ind w:left="460"/>
              <w:spacing w:after="0"/>
              <w:rPr>
                <w:sz w:val="20"/>
                <w:szCs w:val="20"/>
                <w:color w:val="auto"/>
              </w:rPr>
            </w:pPr>
            <w:r>
              <w:rPr>
                <w:rFonts w:ascii="Arial" w:cs="Arial" w:eastAsia="Arial" w:hAnsi="Arial"/>
                <w:sz w:val="17"/>
                <w:szCs w:val="17"/>
                <w:color w:val="auto"/>
              </w:rPr>
              <w:t>Accounts Receivable</w:t>
            </w:r>
          </w:p>
        </w:tc>
        <w:tc>
          <w:tcPr>
            <w:tcW w:w="2480" w:type="dxa"/>
            <w:vAlign w:val="bottom"/>
          </w:tcPr>
          <w:p>
            <w:pPr>
              <w:jc w:val="right"/>
              <w:ind w:right="155"/>
              <w:spacing w:after="0"/>
              <w:rPr>
                <w:sz w:val="20"/>
                <w:szCs w:val="20"/>
                <w:color w:val="auto"/>
              </w:rPr>
            </w:pPr>
            <w:r>
              <w:rPr>
                <w:rFonts w:ascii="Arial" w:cs="Arial" w:eastAsia="Arial" w:hAnsi="Arial"/>
                <w:sz w:val="17"/>
                <w:szCs w:val="17"/>
                <w:color w:val="auto"/>
              </w:rPr>
              <w:t>(2.2)</w:t>
            </w: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16"/>
        </w:trPr>
        <w:tc>
          <w:tcPr>
            <w:tcW w:w="78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Inventories</w:t>
            </w:r>
          </w:p>
        </w:tc>
        <w:tc>
          <w:tcPr>
            <w:tcW w:w="24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0.2</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6"/>
        </w:trPr>
        <w:tc>
          <w:tcPr>
            <w:tcW w:w="7840" w:type="dxa"/>
            <w:vAlign w:val="bottom"/>
          </w:tcPr>
          <w:p>
            <w:pPr>
              <w:ind w:left="460"/>
              <w:spacing w:after="0"/>
              <w:rPr>
                <w:sz w:val="20"/>
                <w:szCs w:val="20"/>
                <w:color w:val="auto"/>
              </w:rPr>
            </w:pPr>
            <w:r>
              <w:rPr>
                <w:rFonts w:ascii="Arial" w:cs="Arial" w:eastAsia="Arial" w:hAnsi="Arial"/>
                <w:sz w:val="17"/>
                <w:szCs w:val="17"/>
                <w:color w:val="auto"/>
              </w:rPr>
              <w:t>Prepayments and Other</w:t>
            </w:r>
          </w:p>
        </w:tc>
        <w:tc>
          <w:tcPr>
            <w:tcW w:w="2480" w:type="dxa"/>
            <w:vAlign w:val="bottom"/>
          </w:tcPr>
          <w:p>
            <w:pPr>
              <w:jc w:val="right"/>
              <w:ind w:right="155"/>
              <w:spacing w:after="0"/>
              <w:rPr>
                <w:sz w:val="20"/>
                <w:szCs w:val="20"/>
                <w:color w:val="auto"/>
              </w:rPr>
            </w:pPr>
            <w:r>
              <w:rPr>
                <w:rFonts w:ascii="Arial" w:cs="Arial" w:eastAsia="Arial" w:hAnsi="Arial"/>
                <w:sz w:val="17"/>
                <w:szCs w:val="17"/>
                <w:color w:val="auto"/>
              </w:rPr>
              <w:t>(1.3)</w:t>
            </w:r>
          </w:p>
        </w:tc>
        <w:tc>
          <w:tcPr>
            <w:tcW w:w="8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6"/>
        </w:trPr>
        <w:tc>
          <w:tcPr>
            <w:tcW w:w="78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Payable</w:t>
            </w:r>
          </w:p>
        </w:tc>
        <w:tc>
          <w:tcPr>
            <w:tcW w:w="24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(8.6)</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16"/>
        </w:trPr>
        <w:tc>
          <w:tcPr>
            <w:tcW w:w="7840" w:type="dxa"/>
            <w:vAlign w:val="bottom"/>
          </w:tcPr>
          <w:p>
            <w:pPr>
              <w:ind w:left="460"/>
              <w:spacing w:after="0"/>
              <w:rPr>
                <w:sz w:val="20"/>
                <w:szCs w:val="20"/>
                <w:color w:val="auto"/>
              </w:rPr>
            </w:pPr>
            <w:r>
              <w:rPr>
                <w:rFonts w:ascii="Arial" w:cs="Arial" w:eastAsia="Arial" w:hAnsi="Arial"/>
                <w:sz w:val="17"/>
                <w:szCs w:val="17"/>
                <w:color w:val="auto"/>
              </w:rPr>
              <w:t>Other Current Liabilities</w:t>
            </w:r>
          </w:p>
        </w:tc>
        <w:tc>
          <w:tcPr>
            <w:tcW w:w="2480" w:type="dxa"/>
            <w:vAlign w:val="bottom"/>
          </w:tcPr>
          <w:p>
            <w:pPr>
              <w:jc w:val="right"/>
              <w:ind w:right="195"/>
              <w:spacing w:after="0"/>
              <w:rPr>
                <w:sz w:val="20"/>
                <w:szCs w:val="20"/>
                <w:color w:val="auto"/>
              </w:rPr>
            </w:pPr>
            <w:r>
              <w:rPr>
                <w:rFonts w:ascii="Arial" w:cs="Arial" w:eastAsia="Arial" w:hAnsi="Arial"/>
                <w:sz w:val="17"/>
                <w:szCs w:val="17"/>
                <w:color w:val="auto"/>
              </w:rPr>
              <w:t>23.5</w:t>
            </w:r>
          </w:p>
        </w:tc>
        <w:tc>
          <w:tcPr>
            <w:tcW w:w="8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Contributions to Defined Benefit Pension Plans</w:t>
            </w:r>
          </w:p>
        </w:tc>
        <w:tc>
          <w:tcPr>
            <w:tcW w:w="24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Changes in Regulatory and Other Non-Current Assets</w:t>
            </w:r>
          </w:p>
        </w:tc>
        <w:tc>
          <w:tcPr>
            <w:tcW w:w="2480" w:type="dxa"/>
            <w:vAlign w:val="bottom"/>
          </w:tcPr>
          <w:p>
            <w:pPr>
              <w:jc w:val="right"/>
              <w:ind w:right="155"/>
              <w:spacing w:after="0"/>
              <w:rPr>
                <w:sz w:val="20"/>
                <w:szCs w:val="20"/>
                <w:color w:val="auto"/>
              </w:rPr>
            </w:pPr>
            <w:r>
              <w:rPr>
                <w:rFonts w:ascii="Arial" w:cs="Arial" w:eastAsia="Arial" w:hAnsi="Arial"/>
                <w:sz w:val="17"/>
                <w:szCs w:val="17"/>
                <w:color w:val="auto"/>
              </w:rPr>
              <w:t>(0.6)</w:t>
            </w:r>
          </w:p>
        </w:tc>
        <w:tc>
          <w:tcPr>
            <w:tcW w:w="88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Changes in Regulatory and Other Non-Current Liabilities</w:t>
            </w:r>
          </w:p>
        </w:tc>
        <w:tc>
          <w:tcPr>
            <w:tcW w:w="24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(6.1)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0"/>
        </w:trPr>
        <w:tc>
          <w:tcPr>
            <w:tcW w:w="78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from Operating Activities</w:t>
            </w:r>
          </w:p>
        </w:tc>
        <w:tc>
          <w:tcPr>
            <w:tcW w:w="2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88.5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Proceeds from Sale of Available-for-sale Securities</w:t>
            </w:r>
          </w:p>
        </w:tc>
        <w:tc>
          <w:tcPr>
            <w:tcW w:w="2480" w:type="dxa"/>
            <w:vAlign w:val="bottom"/>
          </w:tcPr>
          <w:p>
            <w:pPr>
              <w:jc w:val="right"/>
              <w:ind w:right="195"/>
              <w:spacing w:after="0"/>
              <w:rPr>
                <w:sz w:val="20"/>
                <w:szCs w:val="20"/>
                <w:color w:val="auto"/>
              </w:rPr>
            </w:pPr>
            <w:r>
              <w:rPr>
                <w:rFonts w:ascii="Arial" w:cs="Arial" w:eastAsia="Arial" w:hAnsi="Arial"/>
                <w:sz w:val="17"/>
                <w:szCs w:val="17"/>
                <w:color w:val="auto"/>
              </w:rPr>
              <w:t>1.2</w:t>
            </w:r>
          </w:p>
        </w:tc>
        <w:tc>
          <w:tcPr>
            <w:tcW w:w="88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Purchase of Available-for-sale Securities</w:t>
            </w:r>
          </w:p>
        </w:tc>
        <w:tc>
          <w:tcPr>
            <w:tcW w:w="24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(0.6)</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Payments for Equity Investments</w:t>
            </w:r>
          </w:p>
        </w:tc>
        <w:tc>
          <w:tcPr>
            <w:tcW w:w="2480" w:type="dxa"/>
            <w:vAlign w:val="bottom"/>
          </w:tcPr>
          <w:p>
            <w:pPr>
              <w:jc w:val="right"/>
              <w:ind w:right="155"/>
              <w:spacing w:after="0"/>
              <w:rPr>
                <w:sz w:val="20"/>
                <w:szCs w:val="20"/>
                <w:color w:val="auto"/>
              </w:rPr>
            </w:pPr>
            <w:r>
              <w:rPr>
                <w:rFonts w:ascii="Arial" w:cs="Arial" w:eastAsia="Arial" w:hAnsi="Arial"/>
                <w:sz w:val="17"/>
                <w:szCs w:val="17"/>
                <w:color w:val="auto"/>
              </w:rPr>
              <w:t>(1.0)</w:t>
            </w:r>
          </w:p>
        </w:tc>
        <w:tc>
          <w:tcPr>
            <w:tcW w:w="880" w:type="dxa"/>
            <w:vAlign w:val="bottom"/>
          </w:tcPr>
          <w:p>
            <w:pPr>
              <w:jc w:val="right"/>
              <w:spacing w:after="0"/>
              <w:rPr>
                <w:sz w:val="20"/>
                <w:szCs w:val="20"/>
                <w:color w:val="auto"/>
              </w:rPr>
            </w:pPr>
            <w:r>
              <w:rPr>
                <w:rFonts w:ascii="Arial" w:cs="Arial" w:eastAsia="Arial" w:hAnsi="Arial"/>
                <w:sz w:val="17"/>
                <w:szCs w:val="17"/>
                <w:color w:val="auto"/>
              </w:rPr>
              <w:t>(27.8)</w:t>
            </w: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Additions to Property, Plant and Equipment</w:t>
            </w:r>
          </w:p>
        </w:tc>
        <w:tc>
          <w:tcPr>
            <w:tcW w:w="24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(134.4)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w:t>
            </w:r>
          </w:p>
        </w:tc>
      </w:tr>
      <w:tr>
        <w:trPr>
          <w:trHeight w:val="216"/>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Investing Activities</w:t>
            </w:r>
          </w:p>
        </w:tc>
        <w:tc>
          <w:tcPr>
            <w:tcW w:w="2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3.9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r>
      <w:tr>
        <w:trPr>
          <w:trHeight w:val="210"/>
        </w:trPr>
        <w:tc>
          <w:tcPr>
            <w:tcW w:w="78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for Investing Activities</w:t>
            </w:r>
          </w:p>
        </w:tc>
        <w:tc>
          <w:tcPr>
            <w:tcW w:w="24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(130.9)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(181.9)</w:t>
            </w:r>
          </w:p>
        </w:tc>
      </w:tr>
      <w:tr>
        <w:trPr>
          <w:trHeight w:val="210"/>
        </w:trPr>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w:t>
            </w:r>
          </w:p>
        </w:tc>
        <w:tc>
          <w:tcPr>
            <w:tcW w:w="24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5.0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Proceeds from Issuance of Short-Term and Long-Term Debt</w:t>
            </w:r>
          </w:p>
        </w:tc>
        <w:tc>
          <w:tcPr>
            <w:tcW w:w="2480" w:type="dxa"/>
            <w:vAlign w:val="bottom"/>
          </w:tcPr>
          <w:p>
            <w:pPr>
              <w:jc w:val="right"/>
              <w:ind w:right="195"/>
              <w:spacing w:after="0"/>
              <w:rPr>
                <w:sz w:val="20"/>
                <w:szCs w:val="20"/>
                <w:color w:val="auto"/>
              </w:rPr>
            </w:pPr>
            <w:r>
              <w:rPr>
                <w:rFonts w:ascii="Arial" w:cs="Arial" w:eastAsia="Arial" w:hAnsi="Arial"/>
                <w:sz w:val="17"/>
                <w:szCs w:val="17"/>
                <w:color w:val="auto"/>
              </w:rPr>
              <w:t>194.9</w:t>
            </w:r>
          </w:p>
        </w:tc>
        <w:tc>
          <w:tcPr>
            <w:tcW w:w="880" w:type="dxa"/>
            <w:vAlign w:val="bottom"/>
          </w:tcPr>
          <w:p>
            <w:pPr>
              <w:jc w:val="right"/>
              <w:spacing w:after="0"/>
              <w:rPr>
                <w:sz w:val="20"/>
                <w:szCs w:val="20"/>
                <w:color w:val="auto"/>
              </w:rPr>
            </w:pPr>
            <w:r>
              <w:rPr>
                <w:rFonts w:ascii="Arial" w:cs="Arial" w:eastAsia="Arial" w:hAnsi="Arial"/>
                <w:sz w:val="17"/>
                <w:szCs w:val="17"/>
                <w:color w:val="auto"/>
              </w:rPr>
              <w:t>110.0</w:t>
            </w: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Repayments of Long-Term Debt</w:t>
            </w:r>
          </w:p>
        </w:tc>
        <w:tc>
          <w:tcPr>
            <w:tcW w:w="24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(41.4)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Proceeds from Non-Controlling Interest in Subsidiaries</w:t>
            </w:r>
          </w:p>
        </w:tc>
        <w:tc>
          <w:tcPr>
            <w:tcW w:w="2480" w:type="dxa"/>
            <w:vAlign w:val="bottom"/>
          </w:tcPr>
          <w:p>
            <w:pPr>
              <w:jc w:val="right"/>
              <w:ind w:right="195"/>
              <w:spacing w:after="0"/>
              <w:rPr>
                <w:sz w:val="20"/>
                <w:szCs w:val="20"/>
                <w:color w:val="auto"/>
              </w:rPr>
            </w:pPr>
            <w:r>
              <w:rPr>
                <w:rFonts w:ascii="Arial" w:cs="Arial" w:eastAsia="Arial" w:hAnsi="Arial"/>
                <w:sz w:val="17"/>
                <w:szCs w:val="17"/>
                <w:color w:val="auto"/>
              </w:rPr>
              <w:t>28.9</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on Common Stock</w:t>
            </w:r>
          </w:p>
        </w:tc>
        <w:tc>
          <w:tcPr>
            <w:tcW w:w="24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(32.8)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r>
      <w:tr>
        <w:trPr>
          <w:trHeight w:val="216"/>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Financing Activities</w:t>
            </w:r>
          </w:p>
        </w:tc>
        <w:tc>
          <w:tcPr>
            <w:tcW w:w="24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(0.4)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10"/>
        </w:trPr>
        <w:tc>
          <w:tcPr>
            <w:tcW w:w="78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Cash from Financing Activities</w:t>
            </w:r>
          </w:p>
        </w:tc>
        <w:tc>
          <w:tcPr>
            <w:tcW w:w="24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154.2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w:t>
            </w:r>
          </w:p>
        </w:tc>
      </w:tr>
      <w:tr>
        <w:trPr>
          <w:trHeight w:val="209"/>
        </w:trPr>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2480" w:type="dxa"/>
            <w:vAlign w:val="bottom"/>
          </w:tcPr>
          <w:p>
            <w:pPr>
              <w:jc w:val="right"/>
              <w:ind w:right="195"/>
              <w:spacing w:after="0"/>
              <w:rPr>
                <w:sz w:val="20"/>
                <w:szCs w:val="20"/>
                <w:color w:val="auto"/>
              </w:rPr>
            </w:pPr>
            <w:r>
              <w:rPr>
                <w:rFonts w:ascii="Arial" w:cs="Arial" w:eastAsia="Arial" w:hAnsi="Arial"/>
                <w:sz w:val="17"/>
                <w:szCs w:val="17"/>
                <w:color w:val="auto"/>
              </w:rPr>
              <w:t>111.8</w:t>
            </w:r>
          </w:p>
        </w:tc>
        <w:tc>
          <w:tcPr>
            <w:tcW w:w="88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16"/>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24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65.2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w:t>
            </w:r>
          </w:p>
        </w:tc>
      </w:tr>
      <w:tr>
        <w:trPr>
          <w:trHeight w:val="20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$177.0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0" w:type="dxa"/>
            <w:vAlign w:val="bottom"/>
          </w:tcPr>
          <w:p>
            <w:pPr>
              <w:spacing w:after="0"/>
              <w:rPr>
                <w:sz w:val="19"/>
                <w:szCs w:val="19"/>
                <w:color w:val="auto"/>
              </w:rPr>
            </w:pPr>
          </w:p>
        </w:tc>
        <w:tc>
          <w:tcPr>
            <w:tcW w:w="26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8600" w:type="dxa"/>
            <w:vAlign w:val="bottom"/>
          </w:tcPr>
          <w:p>
            <w:pPr>
              <w:spacing w:after="0"/>
              <w:rPr>
                <w:sz w:val="19"/>
                <w:szCs w:val="19"/>
                <w:color w:val="auto"/>
              </w:rPr>
            </w:pPr>
          </w:p>
        </w:tc>
        <w:tc>
          <w:tcPr>
            <w:tcW w:w="26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6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$1,460.9</w:t>
            </w:r>
          </w:p>
        </w:tc>
        <w:tc>
          <w:tcPr>
            <w:tcW w:w="920" w:type="dxa"/>
            <w:vAlign w:val="bottom"/>
          </w:tcPr>
          <w:p>
            <w:pPr>
              <w:jc w:val="right"/>
              <w:spacing w:after="0"/>
              <w:rPr>
                <w:sz w:val="20"/>
                <w:szCs w:val="20"/>
                <w:color w:val="auto"/>
              </w:rPr>
            </w:pPr>
            <w:r>
              <w:rPr>
                <w:rFonts w:ascii="Arial" w:cs="Arial" w:eastAsia="Arial" w:hAnsi="Arial"/>
                <w:sz w:val="18"/>
                <w:szCs w:val="18"/>
                <w:color w:val="auto"/>
              </w:rPr>
              <w:t>$1,436.7</w:t>
            </w:r>
          </w:p>
        </w:tc>
      </w:tr>
      <w:tr>
        <w:trPr>
          <w:trHeight w:val="230"/>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1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8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1,467.6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1,441.7</w:t>
            </w:r>
          </w:p>
        </w:tc>
      </w:tr>
      <w:tr>
        <w:trPr>
          <w:trHeight w:val="250"/>
        </w:trPr>
        <w:tc>
          <w:tcPr>
            <w:tcW w:w="86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Other Comprehensive Income - Net of Income Taxes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Debt Securities</w:t>
            </w:r>
          </w:p>
        </w:tc>
        <w:tc>
          <w:tcPr>
            <w:tcW w:w="1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8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1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(30.7)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50"/>
        </w:trPr>
        <w:tc>
          <w:tcPr>
            <w:tcW w:w="86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864.8</w:t>
            </w:r>
          </w:p>
        </w:tc>
        <w:tc>
          <w:tcPr>
            <w:tcW w:w="920" w:type="dxa"/>
            <w:vAlign w:val="bottom"/>
          </w:tcPr>
          <w:p>
            <w:pPr>
              <w:jc w:val="right"/>
              <w:spacing w:after="0"/>
              <w:rPr>
                <w:sz w:val="20"/>
                <w:szCs w:val="20"/>
                <w:color w:val="auto"/>
              </w:rPr>
            </w:pPr>
            <w:r>
              <w:rPr>
                <w:rFonts w:ascii="Arial" w:cs="Arial" w:eastAsia="Arial" w:hAnsi="Arial"/>
                <w:sz w:val="18"/>
                <w:szCs w:val="18"/>
                <w:color w:val="auto"/>
              </w:rPr>
              <w:t>818.8</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1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Common Stock Dividends</w:t>
            </w:r>
          </w:p>
        </w:tc>
        <w:tc>
          <w:tcPr>
            <w:tcW w:w="1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23"/>
        </w:trPr>
        <w:tc>
          <w:tcPr>
            <w:tcW w:w="8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1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883.8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w:t>
            </w:r>
          </w:p>
        </w:tc>
      </w:tr>
      <w:tr>
        <w:trPr>
          <w:trHeight w:val="250"/>
        </w:trPr>
        <w:tc>
          <w:tcPr>
            <w:tcW w:w="86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 in Subsidiaries</w:t>
            </w: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505.6</w:t>
            </w:r>
          </w:p>
        </w:tc>
        <w:tc>
          <w:tcPr>
            <w:tcW w:w="920" w:type="dxa"/>
            <w:vAlign w:val="bottom"/>
          </w:tcPr>
          <w:p>
            <w:pPr>
              <w:jc w:val="right"/>
              <w:spacing w:after="0"/>
              <w:rPr>
                <w:sz w:val="20"/>
                <w:szCs w:val="20"/>
                <w:color w:val="auto"/>
              </w:rPr>
            </w:pPr>
            <w:r>
              <w:rPr>
                <w:rFonts w:ascii="Arial" w:cs="Arial" w:eastAsia="Arial" w:hAnsi="Arial"/>
                <w:sz w:val="18"/>
                <w:szCs w:val="18"/>
                <w:color w:val="auto"/>
              </w:rPr>
              <w:t>103.7</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Non-Controlling Interest in Subsidiaries</w:t>
            </w:r>
          </w:p>
        </w:tc>
        <w:tc>
          <w:tcPr>
            <w:tcW w:w="1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w:t>
            </w:r>
          </w:p>
        </w:tc>
        <w:tc>
          <w:tcPr>
            <w:tcW w:w="1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525.7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r>
      <w:tr>
        <w:trPr>
          <w:trHeight w:val="250"/>
        </w:trPr>
        <w:tc>
          <w:tcPr>
            <w:tcW w:w="86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r>
      <w:tr>
        <w:trPr>
          <w:trHeight w:val="22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$2,846.4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$2,373.0</w:t>
            </w:r>
          </w:p>
        </w:tc>
      </w:tr>
      <w:tr>
        <w:trPr>
          <w:trHeight w:val="250"/>
        </w:trPr>
        <w:tc>
          <w:tcPr>
            <w:tcW w:w="86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Dividends Per Share of Common Stock</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$0.63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$0.6175</w:t>
            </w:r>
          </w:p>
        </w:tc>
      </w:tr>
      <w:tr>
        <w:trPr>
          <w:trHeight w:val="318"/>
        </w:trPr>
        <w:tc>
          <w:tcPr>
            <w:tcW w:w="8600" w:type="dxa"/>
            <w:vAlign w:val="bottom"/>
          </w:tcPr>
          <w:p>
            <w:pPr>
              <w:ind w:left="32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2020,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three months ended March 31, 2021, are not necessarily indicative of results that may be expected for any other interim period or for the year ending December 31, 2021. For further information, refer to the Consolidated Financial Statements and notes included in our 2020 Form 10-K.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Cash, Cash Equivalents and Restricted Cash. </w:t>
      </w:r>
      <w:r>
        <w:rPr>
          <w:rFonts w:ascii="Arial" w:cs="Arial" w:eastAsia="Arial" w:hAnsi="Arial"/>
          <w:sz w:val="18"/>
          <w:szCs w:val="18"/>
          <w:color w:val="auto"/>
        </w:rPr>
        <w:t>We consider all investments purchased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As of March 31, 2021, restricted cash amounts included in Prepayments and Other on the Consolidated Balance Sheet include collateral deposits required under an ALLETE Clean Energy loan agreement. The restricted cash amounts included in Other Non-Current Assets represent collateral deposits required under ALLETE Clean Energy loan and tax equity financing agreements as well as PSAs. The following table provides a reconciliation of cash, cash equivalents and restricted cash reported within the Consolidated Balance Sheet that aggregate to the amounts presented in the Consolidated Statement of Cash Flows.</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$159.0</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$44.3</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7.1</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0.8</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6.1</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10.9</w:t>
            </w:r>
          </w:p>
        </w:tc>
        <w:tc>
          <w:tcPr>
            <w:tcW w:w="17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20.1</w:t>
            </w: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line="169" w:lineRule="exact"/>
              <w:rPr>
                <w:sz w:val="20"/>
                <w:szCs w:val="20"/>
                <w:color w:val="auto"/>
              </w:rPr>
            </w:pPr>
            <w:r>
              <w:rPr>
                <w:rFonts w:ascii="Arial" w:cs="Arial" w:eastAsia="Arial" w:hAnsi="Arial"/>
                <w:sz w:val="18"/>
                <w:szCs w:val="18"/>
                <w:color w:val="auto"/>
                <w:w w:val="98"/>
              </w:rPr>
              <w:t>Cash, Cash Equivalents and Restricted Cash on the Consolidated</w:t>
            </w:r>
          </w:p>
        </w:tc>
        <w:tc>
          <w:tcPr>
            <w:tcW w:w="1540" w:type="dxa"/>
            <w:vAlign w:val="bottom"/>
            <w:vMerge w:val="restart"/>
          </w:tcPr>
          <w:p>
            <w:pPr>
              <w:jc w:val="right"/>
              <w:ind w:right="190"/>
              <w:spacing w:after="0"/>
              <w:rPr>
                <w:sz w:val="20"/>
                <w:szCs w:val="20"/>
                <w:color w:val="auto"/>
              </w:rPr>
            </w:pPr>
            <w:r>
              <w:rPr>
                <w:rFonts w:ascii="Arial" w:cs="Arial" w:eastAsia="Arial" w:hAnsi="Arial"/>
                <w:sz w:val="18"/>
                <w:szCs w:val="18"/>
                <w:color w:val="auto"/>
              </w:rPr>
              <w:t>$177.0</w:t>
            </w:r>
          </w:p>
        </w:tc>
        <w:tc>
          <w:tcPr>
            <w:tcW w:w="1700" w:type="dxa"/>
            <w:vAlign w:val="bottom"/>
            <w:vMerge w:val="restart"/>
          </w:tcPr>
          <w:p>
            <w:pPr>
              <w:jc w:val="right"/>
              <w:ind w:right="370"/>
              <w:spacing w:after="0"/>
              <w:rPr>
                <w:sz w:val="20"/>
                <w:szCs w:val="20"/>
                <w:color w:val="auto"/>
              </w:rPr>
            </w:pPr>
            <w:r>
              <w:rPr>
                <w:rFonts w:ascii="Arial" w:cs="Arial" w:eastAsia="Arial" w:hAnsi="Arial"/>
                <w:sz w:val="18"/>
                <w:szCs w:val="18"/>
                <w:color w:val="auto"/>
              </w:rPr>
              <w:t>$65.2</w:t>
            </w: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color w:val="auto"/>
              </w:rPr>
              <w:t>$78.9</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Statement of Cash Flows</w:t>
            </w:r>
          </w:p>
        </w:tc>
        <w:tc>
          <w:tcPr>
            <w:tcW w:w="154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Inventories – Net</w:t>
            </w:r>
          </w:p>
        </w:tc>
        <w:tc>
          <w:tcPr>
            <w:tcW w:w="328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tcBorders>
            <w:gridSpan w:val="2"/>
            <w:vMerge w:val="continue"/>
          </w:tcPr>
          <w:p>
            <w:pPr>
              <w:spacing w:after="0"/>
              <w:rPr>
                <w:sz w:val="19"/>
                <w:szCs w:val="19"/>
                <w:color w:val="auto"/>
              </w:rPr>
            </w:pPr>
          </w:p>
        </w:tc>
        <w:tc>
          <w:tcPr>
            <w:tcW w:w="3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620" w:type="dxa"/>
            <w:vAlign w:val="bottom"/>
            <w:gridSpan w:val="2"/>
          </w:tcPr>
          <w:p>
            <w:pPr>
              <w:ind w:left="20"/>
              <w:spacing w:after="0"/>
              <w:rPr>
                <w:sz w:val="20"/>
                <w:szCs w:val="20"/>
                <w:color w:val="auto"/>
              </w:rPr>
            </w:pPr>
            <w:r>
              <w:rPr>
                <w:rFonts w:ascii="Arial" w:cs="Arial" w:eastAsia="Arial" w:hAnsi="Arial"/>
                <w:sz w:val="18"/>
                <w:szCs w:val="18"/>
                <w:b w:val="1"/>
                <w:bCs w:val="1"/>
                <w:color w:val="auto"/>
              </w:rPr>
              <w:t>Millions</w:t>
            </w:r>
          </w:p>
        </w:tc>
        <w:tc>
          <w:tcPr>
            <w:tcW w:w="3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Materials and Supplies</w:t>
            </w:r>
          </w:p>
        </w:tc>
        <w:tc>
          <w:tcPr>
            <w:tcW w:w="3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53.6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Inventories – Net</w:t>
            </w:r>
          </w:p>
        </w:tc>
        <w:tc>
          <w:tcPr>
            <w:tcW w:w="3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$74.0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98"/>
        </w:trPr>
        <w:tc>
          <w:tcPr>
            <w:tcW w:w="6620" w:type="dxa"/>
            <w:vAlign w:val="bottom"/>
            <w:gridSpan w:val="2"/>
          </w:tcPr>
          <w:p>
            <w:pPr>
              <w:spacing w:after="0"/>
              <w:rPr>
                <w:sz w:val="20"/>
                <w:szCs w:val="20"/>
                <w:color w:val="auto"/>
              </w:rPr>
            </w:pPr>
            <w:r>
              <w:rPr>
                <w:rFonts w:ascii="Arial" w:cs="Arial" w:eastAsia="Arial" w:hAnsi="Arial"/>
                <w:sz w:val="16"/>
                <w:szCs w:val="16"/>
                <w:i w:val="1"/>
                <w:iCs w:val="1"/>
                <w:color w:val="auto"/>
              </w:rPr>
              <w:t>(a)  Fuel consists primarily of coal inventory at Minnesota Power.</w:t>
            </w:r>
          </w:p>
        </w:tc>
        <w:tc>
          <w:tcPr>
            <w:tcW w:w="3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Other Non-Current Assets</w:t>
            </w:r>
          </w:p>
        </w:tc>
        <w:tc>
          <w:tcPr>
            <w:tcW w:w="328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580" w:type="dxa"/>
            <w:vAlign w:val="bottom"/>
            <w:tcBorders>
              <w:bottom w:val="single" w:sz="8" w:color="auto"/>
            </w:tcBorders>
            <w:vMerge w:val="continue"/>
          </w:tcPr>
          <w:p>
            <w:pPr>
              <w:spacing w:after="0"/>
              <w:rPr>
                <w:sz w:val="19"/>
                <w:szCs w:val="19"/>
                <w:color w:val="auto"/>
              </w:rPr>
            </w:pPr>
          </w:p>
        </w:tc>
        <w:tc>
          <w:tcPr>
            <w:tcW w:w="3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3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280" w:type="dxa"/>
            <w:vAlign w:val="bottom"/>
          </w:tcPr>
          <w:p>
            <w:pPr>
              <w:jc w:val="right"/>
              <w:ind w:right="210"/>
              <w:spacing w:after="0"/>
              <w:rPr>
                <w:sz w:val="20"/>
                <w:szCs w:val="20"/>
                <w:color w:val="auto"/>
              </w:rPr>
            </w:pPr>
            <w:r>
              <w:rPr>
                <w:rFonts w:ascii="Arial" w:cs="Arial" w:eastAsia="Arial" w:hAnsi="Arial"/>
                <w:sz w:val="18"/>
                <w:szCs w:val="18"/>
                <w:color w:val="auto"/>
              </w:rPr>
              <w:t>20.2</w:t>
            </w:r>
          </w:p>
        </w:tc>
        <w:tc>
          <w:tcPr>
            <w:tcW w:w="132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ALLETE Properties</w:t>
            </w:r>
          </w:p>
        </w:tc>
        <w:tc>
          <w:tcPr>
            <w:tcW w:w="3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Restricted Cash</w:t>
            </w:r>
          </w:p>
        </w:tc>
        <w:tc>
          <w:tcPr>
            <w:tcW w:w="3280" w:type="dxa"/>
            <w:vAlign w:val="bottom"/>
          </w:tcPr>
          <w:p>
            <w:pPr>
              <w:jc w:val="right"/>
              <w:ind w:right="210"/>
              <w:spacing w:after="0"/>
              <w:rPr>
                <w:sz w:val="20"/>
                <w:szCs w:val="20"/>
                <w:color w:val="auto"/>
              </w:rPr>
            </w:pPr>
            <w:r>
              <w:rPr>
                <w:rFonts w:ascii="Arial" w:cs="Arial" w:eastAsia="Arial" w:hAnsi="Arial"/>
                <w:sz w:val="18"/>
                <w:szCs w:val="18"/>
                <w:color w:val="auto"/>
              </w:rPr>
              <w:t>10.9</w:t>
            </w:r>
          </w:p>
        </w:tc>
        <w:tc>
          <w:tcPr>
            <w:tcW w:w="132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Postretirement Benefit Plans</w:t>
            </w:r>
          </w:p>
        </w:tc>
        <w:tc>
          <w:tcPr>
            <w:tcW w:w="3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82.5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Non-Current Assets</w:t>
            </w:r>
          </w:p>
        </w:tc>
        <w:tc>
          <w:tcPr>
            <w:tcW w:w="3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$191.3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line="275" w:lineRule="auto"/>
        <w:tabs>
          <w:tab w:leader="none" w:pos="394"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consist of payments made to customers as an incentive to execute or extend service agreements. The contract payments are being amortized over the term of the respective agreements as a reduction to revenue.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Current Liabilities</w:t>
            </w:r>
          </w:p>
        </w:tc>
        <w:tc>
          <w:tcPr>
            <w:tcW w:w="208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PSAs</w:t>
            </w:r>
          </w:p>
        </w:tc>
        <w:tc>
          <w:tcPr>
            <w:tcW w:w="2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Fuel Adjustment Clause</w:t>
            </w:r>
          </w:p>
        </w:tc>
        <w:tc>
          <w:tcPr>
            <w:tcW w:w="2080" w:type="dxa"/>
            <w:vAlign w:val="bottom"/>
          </w:tcPr>
          <w:p>
            <w:pPr>
              <w:jc w:val="right"/>
              <w:ind w:right="210"/>
              <w:spacing w:after="0"/>
              <w:rPr>
                <w:sz w:val="20"/>
                <w:szCs w:val="20"/>
                <w:color w:val="auto"/>
              </w:rPr>
            </w:pPr>
            <w:r>
              <w:rPr>
                <w:rFonts w:ascii="Arial" w:cs="Arial" w:eastAsia="Arial" w:hAnsi="Arial"/>
                <w:sz w:val="18"/>
                <w:szCs w:val="18"/>
                <w:color w:val="auto"/>
              </w:rPr>
              <w:t>1.8</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58.9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Liabilities</w:t>
            </w:r>
          </w:p>
        </w:tc>
        <w:tc>
          <w:tcPr>
            <w:tcW w:w="2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$78.9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418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vMerge w:val="continue"/>
          </w:tcPr>
          <w:p>
            <w:pPr>
              <w:spacing w:after="0"/>
              <w:rPr>
                <w:sz w:val="19"/>
                <w:szCs w:val="19"/>
                <w:color w:val="auto"/>
              </w:rPr>
            </w:pPr>
          </w:p>
        </w:tc>
        <w:tc>
          <w:tcPr>
            <w:tcW w:w="4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Retirement Obligation </w:t>
            </w:r>
            <w:r>
              <w:rPr>
                <w:rFonts w:ascii="Arial" w:cs="Arial" w:eastAsia="Arial" w:hAnsi="Arial"/>
                <w:sz w:val="16"/>
                <w:szCs w:val="16"/>
                <w:i w:val="1"/>
                <w:iCs w:val="1"/>
                <w:color w:val="auto"/>
              </w:rPr>
              <w:t>(a)</w:t>
            </w:r>
          </w:p>
        </w:tc>
        <w:tc>
          <w:tcPr>
            <w:tcW w:w="4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$170.8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PSAs</w:t>
            </w:r>
          </w:p>
        </w:tc>
        <w:tc>
          <w:tcPr>
            <w:tcW w:w="4180" w:type="dxa"/>
            <w:vAlign w:val="bottom"/>
          </w:tcPr>
          <w:p>
            <w:pPr>
              <w:jc w:val="right"/>
              <w:ind w:right="210"/>
              <w:spacing w:after="0"/>
              <w:rPr>
                <w:sz w:val="20"/>
                <w:szCs w:val="20"/>
                <w:color w:val="auto"/>
              </w:rPr>
            </w:pPr>
            <w:r>
              <w:rPr>
                <w:rFonts w:ascii="Arial" w:cs="Arial" w:eastAsia="Arial" w:hAnsi="Arial"/>
                <w:sz w:val="18"/>
                <w:szCs w:val="18"/>
                <w:color w:val="auto"/>
              </w:rPr>
              <w:t>48.9</w:t>
            </w:r>
          </w:p>
        </w:tc>
        <w:tc>
          <w:tcPr>
            <w:tcW w:w="132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46.0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Non-Current Liabilities</w:t>
            </w:r>
          </w:p>
        </w:tc>
        <w:tc>
          <w:tcPr>
            <w:tcW w:w="4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$280.2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340" w:hanging="332"/>
        <w:spacing w:after="0" w:line="261"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$25.0 million in Other Non-Current Assets on the Consolidated Balance Sheet as of March 31, 2021 and December 31, 2020.</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Other Income</w:t>
            </w:r>
          </w:p>
        </w:tc>
        <w:tc>
          <w:tcPr>
            <w:tcW w:w="30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02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Pension and Other Postretirement Benefit Plan Non-Service Credits </w:t>
            </w:r>
            <w:r>
              <w:rPr>
                <w:rFonts w:ascii="Arial" w:cs="Arial" w:eastAsia="Arial" w:hAnsi="Arial"/>
                <w:sz w:val="16"/>
                <w:szCs w:val="16"/>
                <w:i w:val="1"/>
                <w:iCs w:val="1"/>
                <w:color w:val="auto"/>
              </w:rPr>
              <w:t>(a)</w:t>
            </w:r>
          </w:p>
        </w:tc>
        <w:tc>
          <w:tcPr>
            <w:tcW w:w="3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Interest and Investment Income (Loss)</w:t>
            </w:r>
          </w:p>
        </w:tc>
        <w:tc>
          <w:tcPr>
            <w:tcW w:w="3020" w:type="dxa"/>
            <w:vAlign w:val="bottom"/>
          </w:tcPr>
          <w:p>
            <w:pPr>
              <w:jc w:val="right"/>
              <w:ind w:right="530"/>
              <w:spacing w:after="0"/>
              <w:rPr>
                <w:sz w:val="20"/>
                <w:szCs w:val="20"/>
                <w:color w:val="auto"/>
              </w:rPr>
            </w:pPr>
            <w:r>
              <w:rPr>
                <w:rFonts w:ascii="Arial" w:cs="Arial" w:eastAsia="Arial" w:hAnsi="Arial"/>
                <w:sz w:val="18"/>
                <w:szCs w:val="18"/>
                <w:color w:val="auto"/>
              </w:rPr>
              <w:t>1.1</w:t>
            </w:r>
          </w:p>
        </w:tc>
        <w:tc>
          <w:tcPr>
            <w:tcW w:w="960" w:type="dxa"/>
            <w:vAlign w:val="bottom"/>
          </w:tcPr>
          <w:p>
            <w:pPr>
              <w:ind w:left="600"/>
              <w:spacing w:after="0"/>
              <w:rPr>
                <w:sz w:val="20"/>
                <w:szCs w:val="20"/>
                <w:color w:val="auto"/>
              </w:rPr>
            </w:pPr>
            <w:r>
              <w:rPr>
                <w:rFonts w:ascii="Arial" w:cs="Arial" w:eastAsia="Arial" w:hAnsi="Arial"/>
                <w:sz w:val="18"/>
                <w:szCs w:val="18"/>
                <w:color w:val="auto"/>
                <w:w w:val="91"/>
              </w:rPr>
              <w:t>(2.6)</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 Equity</w:t>
            </w:r>
          </w:p>
        </w:tc>
        <w:tc>
          <w:tcPr>
            <w:tcW w:w="3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Gain on Land Sales</w:t>
            </w:r>
          </w:p>
        </w:tc>
        <w:tc>
          <w:tcPr>
            <w:tcW w:w="30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8"/>
                <w:szCs w:val="18"/>
                <w:color w:val="auto"/>
              </w:rPr>
              <w:t>(0.2)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Income</w:t>
            </w:r>
          </w:p>
        </w:tc>
        <w:tc>
          <w:tcPr>
            <w:tcW w:w="3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$3.3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bl>
    <w:p>
      <w:pPr>
        <w:spacing w:after="0" w:line="98" w:lineRule="exact"/>
        <w:rPr>
          <w:sz w:val="20"/>
          <w:szCs w:val="20"/>
          <w:color w:val="auto"/>
        </w:rPr>
      </w:pPr>
    </w:p>
    <w:p>
      <w:pPr>
        <w:ind w:left="340" w:hanging="332"/>
        <w:spacing w:after="0" w:line="275"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components of net periodic pension and other postretirement benefit cost other than service cost. (See Note 9. Pension and Other Postretirement Benefit Plans.)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 Net of Amounts Capitalized</w:t>
            </w:r>
          </w:p>
        </w:tc>
        <w:tc>
          <w:tcPr>
            <w:tcW w:w="24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Accounts Payable for Capital Additions to Property, Plant and Equipment</w:t>
            </w:r>
          </w:p>
        </w:tc>
        <w:tc>
          <w:tcPr>
            <w:tcW w:w="24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Capitalized Asset Retirement Costs</w:t>
            </w:r>
          </w:p>
        </w:tc>
        <w:tc>
          <w:tcPr>
            <w:tcW w:w="2420" w:type="dxa"/>
            <w:vAlign w:val="bottom"/>
          </w:tcPr>
          <w:p>
            <w:pPr>
              <w:jc w:val="right"/>
              <w:ind w:right="350"/>
              <w:spacing w:after="0"/>
              <w:rPr>
                <w:sz w:val="20"/>
                <w:szCs w:val="20"/>
                <w:color w:val="auto"/>
              </w:rPr>
            </w:pPr>
            <w:r>
              <w:rPr>
                <w:rFonts w:ascii="Arial" w:cs="Arial" w:eastAsia="Arial" w:hAnsi="Arial"/>
                <w:sz w:val="18"/>
                <w:szCs w:val="18"/>
                <w:color w:val="auto"/>
              </w:rPr>
              <w:t>$3.5</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AFUDC–Equity</w:t>
            </w:r>
          </w:p>
        </w:tc>
        <w:tc>
          <w:tcPr>
            <w:tcW w:w="24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bl>
    <w:p>
      <w:pPr>
        <w:spacing w:after="0" w:line="3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Non-Controlling Interest in Subsidiaries. </w:t>
      </w:r>
      <w:r>
        <w:rPr>
          <w:rFonts w:ascii="Arial" w:cs="Arial" w:eastAsia="Arial" w:hAnsi="Arial"/>
          <w:sz w:val="18"/>
          <w:szCs w:val="18"/>
          <w:color w:val="auto"/>
        </w:rPr>
        <w:t>Non-controlling interest in subsidiaries on the Consolidated Balance Sheet and net loss attributable to non-controlling interest on the Consolidated Statement of Income represent the portion of equity ownership and earnings, respectively, of subsidiaries that are not attributable to equity holders of ALLETE. These amounts as of and during the quarter ended March 31, 2021, are primarily related to the tax equity financing structure for ALLETE Clean Energy’s 106 MW Glen Ullin, 80 MW South Peak and 303 MW Diamond Spring wind energy facilities as well as ALLETE’s equity investment in the 250 MW Nobles 2 wind energy facility.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REGULATORY MATTERS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Regulatory matters are summarized in Note 4. Regulatory Matters to the Consolidated Financial Statements in our 2020 Form 10-K, with additional disclosure provided in the following paragraphs.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Electric Rates. </w:t>
      </w:r>
      <w:r>
        <w:rPr>
          <w:rFonts w:ascii="Arial" w:cs="Arial" w:eastAsia="Arial" w:hAnsi="Arial"/>
          <w:sz w:val="17"/>
          <w:szCs w:val="17"/>
          <w:color w:val="auto"/>
        </w:rPr>
        <w:t>Entities within our Regulated Operations segment file for periodic rate revisions with the MPUC, PSCW or FERC. As authorized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MPUC, Minnesota Power also recognizes revenue under cost recovery riders for transmission, renewable, and environmental investments and expenditures. Revenue from cost recovery riders was $9.6 million for the three months ended March 31, 2021 and 2020.</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2020 Minnesota General Rate Case. </w:t>
      </w:r>
      <w:r>
        <w:rPr>
          <w:rFonts w:ascii="Arial" w:cs="Arial" w:eastAsia="Arial" w:hAnsi="Arial"/>
          <w:sz w:val="17"/>
          <w:szCs w:val="17"/>
          <w:color w:val="auto"/>
        </w:rPr>
        <w:t>In November 2019, Minnesota Power filed a retail rate increase request with the MPUC seeking an average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10.6 percent for retail customers. The rate filing sought a return on equity of 10.05 percent and a 53.81 percent equity ratio. On an annualized basis, the requested final rate increase would have generated approximately $66 million in additional revenue. In December 2019 orders, the MPUC accepted the filing as complete and authorized an annual interim rate increase of $36.1 million beginning January 1, 2020.</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2020, Minnesota Power filed a request with the MPUC that proposed a resolution of Minnesota Power’s 2020 general rate case. Key components of our proposal included removing the power marketing margin credit in base rates and reflecting actual power marketing margins in the fuel adjustment clause effective May 1, 2020; refunding to customers interim rates collected through April 2020; increasing customer rates 4.1 percent compared to the 5.8 percent increase reflected in interim rates; and a provision that Minnesota Power would not file another rate case until at least November 1, 2021, unless certain events occur. In a June 2020 order, the MPUC approved Minnesota Power’s petition and proposal to resolve and withdraw the general rate case. Effective May 1, 2020, customer rates were set at an increase of 4.1 percent with the removal of the power marketing margin credit from base rates. Actual power marketing margins will be reflected in the fuel adjustment clause. Reserves for interim rates of $11.7 million were recorded in the second quarter of 2020 and refunded in the third and fourth quarters of 2020.</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Environmental Improvement Rider</w:t>
      </w:r>
      <w:r>
        <w:rPr>
          <w:rFonts w:ascii="Arial" w:cs="Arial" w:eastAsia="Arial" w:hAnsi="Arial"/>
          <w:sz w:val="18"/>
          <w:szCs w:val="18"/>
          <w:color w:val="auto"/>
        </w:rPr>
        <w:t>. Minnesota Power has an approved environmental improvement rider for investments and expenditures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of the Boswell Unit 4 mercury emissions reduction plan completed in 2015. Updated customer billing rates for the environmental improvement rider were approved by the MPUC in a November 2018 order. On January 19, 2021, Minnesota Power filed a petition seeking MPUC approval to end the environmental improvement rider, which was approved in an order dated April 20, 2021.</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Solar Cost Recovery Rider</w:t>
      </w:r>
      <w:r>
        <w:rPr>
          <w:rFonts w:ascii="Arial" w:cs="Arial" w:eastAsia="Arial" w:hAnsi="Arial"/>
          <w:sz w:val="18"/>
          <w:szCs w:val="18"/>
          <w:color w:val="auto"/>
        </w:rPr>
        <w:t>. In June 2020, Minnesota Power filed a petition seeking MPUC approval of a customer billing rate for solar costs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expenditures for meeting the state of Minnesota’s solar energy standard, which was approved by the MPUC in an order dated April 20, 2021.</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Electric Vehicle Charging Infrastructure Petition. </w:t>
      </w:r>
      <w:r>
        <w:rPr>
          <w:rFonts w:ascii="Arial" w:cs="Arial" w:eastAsia="Arial" w:hAnsi="Arial"/>
          <w:sz w:val="18"/>
          <w:szCs w:val="18"/>
          <w:color w:val="auto"/>
        </w:rPr>
        <w:t>On April 8, 2021, Minnesota Power filed a petition seeking approval to install and own DC fast charger</w:t>
      </w:r>
      <w:r>
        <w:rPr>
          <w:rFonts w:ascii="Arial" w:cs="Arial" w:eastAsia="Arial" w:hAnsi="Arial"/>
          <w:sz w:val="18"/>
          <w:szCs w:val="18"/>
          <w:i w:val="1"/>
          <w:iCs w:val="1"/>
          <w:color w:val="auto"/>
        </w:rPr>
        <w:t xml:space="preserve"> </w:t>
      </w:r>
      <w:r>
        <w:rPr>
          <w:rFonts w:ascii="Arial" w:cs="Arial" w:eastAsia="Arial" w:hAnsi="Arial"/>
          <w:sz w:val="18"/>
          <w:szCs w:val="18"/>
          <w:color w:val="auto"/>
        </w:rPr>
        <w:t>stations for electric vehicles across its service territory, implement accompanying rates for those stations, and track and recover investments and expenses for the project.</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COVID-19 Related Deferred Accounting</w:t>
      </w:r>
      <w:r>
        <w:rPr>
          <w:rFonts w:ascii="Arial" w:cs="Arial" w:eastAsia="Arial" w:hAnsi="Arial"/>
          <w:sz w:val="16"/>
          <w:szCs w:val="16"/>
          <w:color w:val="auto"/>
        </w:rPr>
        <w:t>. In an order dated March 24, 2020, the PSCW authorized public utilities, including SWL&amp;P, to defer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by the utility resulting from its compliance with state government or regulator orders during Wisconsin’s declared public health emergency for COVID-19. On April 20, 2020, Minnesota Power along with other regulated electric and natural gas service providers in Minnesota filed a joint petition to request MPUC authorization to track incremental costs and expenses incurred as a result of the COVID-19 pandemic, and to defer and record such costs as a regulatory asset, subject to recovery in a future proceeding. In an order dated May 22, 2020, the MPUC approved the joint petition requiring the joint petitioners to track cost and revenue impacts resulting from the COVID-19 pandemic with review for recovery in a future rate proceeding. As of March 31, 2021, Minnesota Power has not deferred any costs or lost revenue, and SWL&amp;P has deferred an immaterial amount of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Minnesota Power submitted a petition in November 2020 to the MPUC requesting authority to track and record as a regulatory asset lost large industrial customer revenue resulting from the idling of USS Corporation’s Keetac plant and Verso Corporation’s paper mill in Duluth, Minnesota. Keetac and Verso represent revenue of approximately $30 million annually, net of associated expense savings such as fuel costs. Minnesota Power proposed in this petition to defer any lost revenue related to the idling of the Keetac facility and the Verso paper mill to its next general rate case or other proceeding for review for recovery by the MPUC. At a hearing on April 1, 2021, the MPUC denied Minnesota Power’s request.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Fuel Adjustment Clause</w:t>
      </w:r>
      <w:r>
        <w:rPr>
          <w:rFonts w:ascii="Arial" w:cs="Arial" w:eastAsia="Arial" w:hAnsi="Arial"/>
          <w:sz w:val="18"/>
          <w:szCs w:val="18"/>
          <w:color w:val="auto"/>
        </w:rPr>
        <w:t>. In March 2020, Minnesota Power filed its fuel adjustment clause report covering the period July 2018 through December 2019. In</w:t>
      </w:r>
      <w:r>
        <w:rPr>
          <w:rFonts w:ascii="Arial" w:cs="Arial" w:eastAsia="Arial" w:hAnsi="Arial"/>
          <w:sz w:val="18"/>
          <w:szCs w:val="18"/>
          <w:i w:val="1"/>
          <w:iCs w:val="1"/>
          <w:color w:val="auto"/>
        </w:rPr>
        <w:t xml:space="preserve"> </w:t>
      </w:r>
      <w:r>
        <w:rPr>
          <w:rFonts w:ascii="Arial" w:cs="Arial" w:eastAsia="Arial" w:hAnsi="Arial"/>
          <w:sz w:val="18"/>
          <w:szCs w:val="18"/>
          <w:color w:val="auto"/>
        </w:rPr>
        <w:t>a September 2020 order, the MPUC referred the review of Minnesota Power’s forced outage costs during the period of the report, which totaled approximately $8 million, to an administrative law judge for a contested case hearing to recommend to the MPUC if any of those costs should be returned to customers. A recommendation by the administrative law judge is expected in the third quarter of 2021. We cannot predict the outcome of this proceeding.</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Conservation Improvement Program. </w:t>
      </w:r>
      <w:r>
        <w:rPr>
          <w:rFonts w:ascii="Arial" w:cs="Arial" w:eastAsia="Arial" w:hAnsi="Arial"/>
          <w:sz w:val="18"/>
          <w:szCs w:val="18"/>
          <w:color w:val="auto"/>
        </w:rPr>
        <w:t>On April 1, 2021, Minnesota Power submitted its 2020 consolidated filing detailing Minnesota Power’s CIP</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results and requesting a CIP financial incentive of $2.4 million based upon MPUC procedures. CIP financial incentives are recognized in the period in which the MPUC approves the filing.</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2021 Integrated Resource Plan. </w:t>
      </w:r>
      <w:r>
        <w:rPr>
          <w:rFonts w:ascii="Arial" w:cs="Arial" w:eastAsia="Arial" w:hAnsi="Arial"/>
          <w:sz w:val="18"/>
          <w:szCs w:val="18"/>
          <w:color w:val="auto"/>
        </w:rPr>
        <w:t>On February 1, 2021, Minnesota Power filed its latest IRP with the MPUC, which outlines its clean-energy transition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through 2035. These plans include expanding its renewable energy supply, achieving coal-free operations at its facilities by 2035, and investing in a resilient and flexible transmission and distribution grid.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late 2021.</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Nemadji Trail Energy Center. </w:t>
      </w:r>
      <w:r>
        <w:rPr>
          <w:rFonts w:ascii="Arial" w:cs="Arial" w:eastAsia="Arial" w:hAnsi="Arial"/>
          <w:sz w:val="17"/>
          <w:szCs w:val="17"/>
          <w:color w:val="auto"/>
        </w:rPr>
        <w:t>In 2017, Minnesota Power submitted a resource package to the MPUC which included requesting approval of a 250 MW</w:t>
      </w:r>
      <w:r>
        <w:rPr>
          <w:rFonts w:ascii="Arial" w:cs="Arial" w:eastAsia="Arial" w:hAnsi="Arial"/>
          <w:sz w:val="17"/>
          <w:szCs w:val="17"/>
          <w:b w:val="1"/>
          <w:bCs w:val="1"/>
          <w:color w:val="auto"/>
        </w:rPr>
        <w:t xml:space="preserve"> </w:t>
      </w:r>
      <w:r>
        <w:rPr>
          <w:rFonts w:ascii="Arial" w:cs="Arial" w:eastAsia="Arial" w:hAnsi="Arial"/>
          <w:sz w:val="17"/>
          <w:szCs w:val="17"/>
          <w:color w:val="auto"/>
        </w:rPr>
        <w:t>natural gas capacity dedication and other affiliated-interest agreements for NTEC, a proposed 525 MW to 550 MW combined-cycle natural gas-fired generating facility which will be jointly owned by Dairyland Power Cooperative and a subsidiary of ALLETE. Minnesota Power would purchase approximately 50 percent of the facility's output starting in 2025. In a January 2019 order, the MPUC approved Minnesota Power’s request for approval of the NTEC natural gas capacity dedication and other affiliated-interest agreements. In 2019, the Minnesota Court of Appeals reversed and remanded the MPUC’s decision to approve certain affiliated-interest agreements. The MPUC was ordered to determine whether NTEC may have the potential for significant environmental effects and, if so, to prepare an environmental assessment before reassessing the agreements. On January 22, 2020, Minnesota Power filed a petition for further review with the Minnesota Supreme Court requesting that it review and overturn the Minnesota Court of Appeals decision. On April 21, 2021, the Minnesota Supreme Court reversed the Minnesota Court of Appeal’s decision by ruling that the MPUC is not required to conduct review under the Minnesota Environmental Policy Act before approving affiliated-interest agreements that govern construction and operation of a Wisconsin power plant by a Minnesota utility, and remanded the case back to the Minnesota Court of Appeals for review of remaining issues on appeal. In January 2019, an application for a certificate of public convenience and necessity for NTEC was submitted to the PSCW, which was approved by the PSCW at a hearing in January 2020. Construction of NTEC is subject to obtaining additional permits from local, state and federal authorities. The total project cost is estimated to be approximately $700 million, of which ALLETE’s portion is expected to be approximately $350 million. ALLETE’s portion of NTEC project costs incurred through March 31, 2021, is approximately $15 million.</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accounting guidance for the effect of certain types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Assets and Liabilities (Continued)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302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3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$255.3</w:t>
            </w:r>
          </w:p>
        </w:tc>
        <w:tc>
          <w:tcPr>
            <w:tcW w:w="1460" w:type="dxa"/>
            <w:vAlign w:val="bottom"/>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110.7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Cost Recovery Riders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57.5</w:t>
            </w:r>
          </w:p>
        </w:tc>
        <w:tc>
          <w:tcPr>
            <w:tcW w:w="146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Retirement Obligations</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31.5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Manufactured Gas Plant</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5.8</w:t>
            </w:r>
          </w:p>
        </w:tc>
        <w:tc>
          <w:tcPr>
            <w:tcW w:w="14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Boswell Units 1 and 2 Net Plant and Equipment</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PPACA Income Tax Deferral</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4.5</w:t>
            </w:r>
          </w:p>
        </w:tc>
        <w:tc>
          <w:tcPr>
            <w:tcW w:w="14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Non-Current Regulatory Assets</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$472.7</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(a)</w:t>
            </w:r>
          </w:p>
        </w:tc>
        <w:tc>
          <w:tcPr>
            <w:tcW w:w="3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Adjustment Clause</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Transmission Formula Rates Refund</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2.4</w:t>
            </w: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Regulatory Liabilities</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4.6</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3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367.8</w:t>
            </w:r>
          </w:p>
        </w:tc>
        <w:tc>
          <w:tcPr>
            <w:tcW w:w="1460" w:type="dxa"/>
            <w:vAlign w:val="bottom"/>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Wholesale and Retail Contra AFUDC</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85.9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Plant Removal Obligations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43.0</w:t>
            </w:r>
          </w:p>
        </w:tc>
        <w:tc>
          <w:tcPr>
            <w:tcW w:w="146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North Dakota Investment Tax Credits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12.4</w:t>
            </w:r>
          </w:p>
        </w:tc>
        <w:tc>
          <w:tcPr>
            <w:tcW w:w="14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Conservation Improvement Program</w:t>
            </w:r>
          </w:p>
        </w:tc>
        <w:tc>
          <w:tcPr>
            <w:tcW w:w="3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3.7</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Non-Current Regulatory Liabilities</w:t>
            </w:r>
          </w:p>
        </w:tc>
        <w:tc>
          <w:tcPr>
            <w:tcW w:w="30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517.9</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Regulatory Liabilities</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$522.5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16"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b w:val="1"/>
          <w:bCs w:val="1"/>
          <w:color w:val="auto"/>
        </w:rPr>
        <w:t>NOTE 3. EQUITY INVESTMENTS</w:t>
      </w:r>
    </w:p>
    <w:p>
      <w:pPr>
        <w:spacing w:after="0" w:line="23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Investment in ATC</w:t>
      </w:r>
      <w:r>
        <w:rPr>
          <w:rFonts w:ascii="Arial" w:cs="Arial" w:eastAsia="Arial" w:hAnsi="Arial"/>
          <w:sz w:val="18"/>
          <w:szCs w:val="18"/>
          <w:color w:val="auto"/>
        </w:rPr>
        <w:t>. Our wholly-owned subsidiary, ALLETE Transmission Holdings, owns approximately 8 percent of ATC, a Wisconsin-based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portions of Wisconsin, Michigan, Minnesota and Illinois. We account for our investment in ATC under the equity method of accounting. We expect to make cash investments of approximately $2.0 million in 2021.</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ATC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Borders>
              <w:top w:val="single" w:sz="8" w:color="auto"/>
            </w:tcBorders>
          </w:tcPr>
          <w:p>
            <w:pPr>
              <w:spacing w:after="0"/>
              <w:rPr>
                <w:sz w:val="19"/>
                <w:szCs w:val="19"/>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2020</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Equity in ATC Earnings</w:t>
            </w:r>
          </w:p>
        </w:tc>
        <w:tc>
          <w:tcPr>
            <w:tcW w:w="36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Distributed ATC Earnings</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the Remeasurement of Deferred Income Taxes</w:t>
            </w: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March 31, 2021</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ATC’s authorized return on equity is 10.02 percent, or 10.52 percent including an incentive adder for participation in a regional transmission organization, based on a May 2020 FERC order that granted rehearing of a 2019 FERC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EQUITY INVESTMENTS (Continued)</w:t>
      </w:r>
    </w:p>
    <w:p>
      <w:pPr>
        <w:spacing w:after="0" w:line="306"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subsidiary, ALLETE South Wind, owns 49 percent of Nobles 2, the entity that owns and operates the 250 MW wind energy</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in southwestern Minnesota pursuant to a 20-year PPA with Minnesota Power. We account for our investment in Nobles 2 under the equity method of accounting.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Nobles 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4000" w:type="dxa"/>
            <w:vAlign w:val="bottom"/>
            <w:tcBorders>
              <w:top w:val="single" w:sz="8" w:color="auto"/>
            </w:tcBorders>
          </w:tcPr>
          <w:p>
            <w:pPr>
              <w:spacing w:after="0"/>
              <w:rPr>
                <w:sz w:val="19"/>
                <w:szCs w:val="19"/>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2020</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Cash Investments</w:t>
            </w:r>
          </w:p>
        </w:tc>
        <w:tc>
          <w:tcPr>
            <w:tcW w:w="4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Equity in Nobles 2 Earnings </w:t>
            </w:r>
            <w:r>
              <w:rPr>
                <w:rFonts w:ascii="Arial" w:cs="Arial" w:eastAsia="Arial" w:hAnsi="Arial"/>
                <w:sz w:val="16"/>
                <w:szCs w:val="16"/>
                <w:i w:val="1"/>
                <w:iCs w:val="1"/>
                <w:color w:val="auto"/>
              </w:rPr>
              <w:t>(a)</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Distributed Nobles 2 Earnings</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March 31, 2021</w:t>
            </w:r>
          </w:p>
        </w:tc>
        <w:tc>
          <w:tcPr>
            <w:tcW w:w="4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Company also recorded net loss attributable to non-controlling interest of $1.4 million related to its investment in Nobles 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6. Fair Value to the Consolidated Financial Statements in our 2020 Form 10-K.</w:t>
      </w:r>
    </w:p>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March 31, 2021, and December 31, 2020.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NOTE 4. FAIR VALUE (Continued)</w:t>
            </w: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46"/>
        </w:trPr>
        <w:tc>
          <w:tcPr>
            <w:tcW w:w="6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Arial" w:cs="Arial" w:eastAsia="Arial" w:hAnsi="Arial"/>
                <w:sz w:val="18"/>
                <w:szCs w:val="18"/>
                <w:b w:val="1"/>
                <w:bCs w:val="1"/>
                <w:color w:val="auto"/>
                <w:w w:val="99"/>
              </w:rPr>
              <w:t>Fair Value as of March 31, 2021</w:t>
            </w:r>
          </w:p>
        </w:tc>
        <w:tc>
          <w:tcPr>
            <w:tcW w:w="740" w:type="dxa"/>
            <w:vAlign w:val="bottom"/>
          </w:tcPr>
          <w:p>
            <w:pPr>
              <w:spacing w:after="0"/>
              <w:rPr>
                <w:sz w:val="24"/>
                <w:szCs w:val="24"/>
                <w:color w:val="auto"/>
              </w:rPr>
            </w:pPr>
          </w:p>
        </w:tc>
      </w:tr>
      <w:tr>
        <w:trPr>
          <w:trHeight w:val="23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$9.3</w:t>
            </w:r>
          </w:p>
        </w:tc>
        <w:tc>
          <w:tcPr>
            <w:tcW w:w="1220" w:type="dxa"/>
            <w:vAlign w:val="bottom"/>
          </w:tcPr>
          <w:p>
            <w:pPr>
              <w:ind w:left="6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6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$9.3</w:t>
            </w: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196"/>
        </w:trPr>
        <w:tc>
          <w:tcPr>
            <w:tcW w:w="6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$21.0</w:t>
            </w:r>
          </w:p>
        </w:tc>
        <w:tc>
          <w:tcPr>
            <w:tcW w:w="12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$21.0</w:t>
            </w: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Fair Value of Assets (Liabilities)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$(11.7)</w:t>
            </w:r>
          </w:p>
        </w:tc>
        <w:tc>
          <w:tcPr>
            <w:tcW w:w="12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00" w:type="dxa"/>
            <w:vAlign w:val="bottom"/>
          </w:tcPr>
          <w:p>
            <w:pPr>
              <w:spacing w:after="0"/>
              <w:rPr>
                <w:sz w:val="19"/>
                <w:szCs w:val="19"/>
                <w:color w:val="auto"/>
              </w:rPr>
            </w:pPr>
          </w:p>
        </w:tc>
        <w:tc>
          <w:tcPr>
            <w:tcW w:w="4460" w:type="dxa"/>
            <w:vAlign w:val="bottom"/>
            <w:gridSpan w:val="3"/>
          </w:tcPr>
          <w:p>
            <w:pPr>
              <w:ind w:left="1560"/>
              <w:spacing w:after="0"/>
              <w:rPr>
                <w:sz w:val="20"/>
                <w:szCs w:val="20"/>
                <w:color w:val="auto"/>
              </w:rPr>
            </w:pPr>
            <w:r>
              <w:rPr>
                <w:rFonts w:ascii="Arial" w:cs="Arial" w:eastAsia="Arial" w:hAnsi="Arial"/>
                <w:sz w:val="18"/>
                <w:szCs w:val="18"/>
                <w:b w:val="1"/>
                <w:bCs w:val="1"/>
                <w:color w:val="auto"/>
                <w:w w:val="95"/>
              </w:rPr>
              <w:t>Fair Value as of December 31, 2020</w:t>
            </w:r>
          </w:p>
        </w:tc>
        <w:tc>
          <w:tcPr>
            <w:tcW w:w="660" w:type="dxa"/>
            <w:vAlign w:val="bottom"/>
          </w:tcPr>
          <w:p>
            <w:pPr>
              <w:spacing w:after="0"/>
              <w:rPr>
                <w:sz w:val="19"/>
                <w:szCs w:val="19"/>
                <w:color w:val="auto"/>
              </w:rPr>
            </w:pPr>
          </w:p>
        </w:tc>
      </w:tr>
      <w:tr>
        <w:trPr>
          <w:trHeight w:val="234"/>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9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$7.2</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Available-for-sale – Corporate and Governmental Debt Securities</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$10.4</w:t>
            </w:r>
          </w:p>
        </w:tc>
        <w:tc>
          <w:tcPr>
            <w:tcW w:w="1300" w:type="dxa"/>
            <w:vAlign w:val="bottom"/>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6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5.5</w:t>
            </w:r>
          </w:p>
        </w:tc>
        <w:tc>
          <w:tcPr>
            <w:tcW w:w="12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$12.7</w:t>
            </w: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$10.4</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196"/>
        </w:trPr>
        <w:tc>
          <w:tcPr>
            <w:tcW w:w="610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$21.0</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$21.0</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Fair Value of Assets (Liabilities)</w:t>
            </w:r>
          </w:p>
        </w:tc>
        <w:tc>
          <w:tcPr>
            <w:tcW w:w="1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$12.7</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$(10.6)</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9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hanging="332"/>
        <w:spacing w:after="0" w:line="262" w:lineRule="auto"/>
        <w:tabs>
          <w:tab w:leader="none" w:pos="34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As of March 31, 2021, the aggregate amount of available-for-sale corporate and governmental debt securities maturing in one year or less was $2.5 million, in one year to less than three years was $2.8 million, in three years to less than five years was $3.7 million and in five or more years was $0.3 million.</w:t>
      </w:r>
    </w:p>
    <w:p>
      <w:pPr>
        <w:spacing w:after="0" w:line="1" w:lineRule="exact"/>
        <w:rPr>
          <w:rFonts w:ascii="Arial" w:cs="Arial" w:eastAsia="Arial" w:hAnsi="Arial"/>
          <w:sz w:val="15"/>
          <w:szCs w:val="15"/>
          <w:i w:val="1"/>
          <w:iCs w:val="1"/>
          <w:color w:val="auto"/>
        </w:rPr>
      </w:pPr>
    </w:p>
    <w:p>
      <w:pPr>
        <w:ind w:left="320" w:hanging="312"/>
        <w:spacing w:after="0"/>
        <w:tabs>
          <w:tab w:leader="none" w:pos="32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of the item listed in the following table was based on quoted market prices for the same or similar instruments (Level 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Instruments</w:t>
            </w:r>
          </w:p>
        </w:tc>
        <w:tc>
          <w:tcPr>
            <w:tcW w:w="4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Carrying Amount</w:t>
            </w: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4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4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March 31, 2021</w:t>
            </w:r>
          </w:p>
        </w:tc>
        <w:tc>
          <w:tcPr>
            <w:tcW w:w="4420" w:type="dxa"/>
            <w:vAlign w:val="bottom"/>
          </w:tcPr>
          <w:p>
            <w:pPr>
              <w:jc w:val="right"/>
              <w:ind w:right="230"/>
              <w:spacing w:after="0"/>
              <w:rPr>
                <w:sz w:val="20"/>
                <w:szCs w:val="20"/>
                <w:color w:val="auto"/>
              </w:rPr>
            </w:pPr>
            <w:r>
              <w:rPr>
                <w:rFonts w:ascii="Arial" w:cs="Arial" w:eastAsia="Arial" w:hAnsi="Arial"/>
                <w:sz w:val="18"/>
                <w:szCs w:val="18"/>
                <w:color w:val="auto"/>
              </w:rPr>
              <w:t>$1,960.1</w:t>
            </w:r>
          </w:p>
        </w:tc>
        <w:tc>
          <w:tcPr>
            <w:tcW w:w="1660" w:type="dxa"/>
            <w:vAlign w:val="bottom"/>
          </w:tcPr>
          <w:p>
            <w:pPr>
              <w:jc w:val="right"/>
              <w:spacing w:after="0"/>
              <w:rPr>
                <w:sz w:val="20"/>
                <w:szCs w:val="20"/>
                <w:color w:val="auto"/>
              </w:rPr>
            </w:pPr>
            <w:r>
              <w:rPr>
                <w:rFonts w:ascii="Arial" w:cs="Arial" w:eastAsia="Arial" w:hAnsi="Arial"/>
                <w:sz w:val="18"/>
                <w:szCs w:val="18"/>
                <w:color w:val="auto"/>
              </w:rPr>
              <w:t>$2,150.7</w:t>
            </w:r>
          </w:p>
        </w:tc>
      </w:tr>
      <w:tr>
        <w:trPr>
          <w:trHeight w:val="230"/>
        </w:trPr>
        <w:tc>
          <w:tcPr>
            <w:tcW w:w="5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December 31, 2020</w:t>
            </w:r>
          </w:p>
        </w:tc>
        <w:tc>
          <w:tcPr>
            <w:tcW w:w="4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$1,806.4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$2,122.0</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Excludes unamortized debt issuance costs.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land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are measured at fair value when there is an indicator of impairment and recorded at fair value only when an impairment is recognized. For the three months ended March 31, 2021, and the year ended December 31, 2020, there were no indicators of impairment for these non-financial assets.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monitor changes in the broader energy markets that could indicate impairment at ALLETE Clean Energy wind energy facilities upon contract expirations. A continued decline in energy prices could result in a future impairment.</w:t>
      </w:r>
    </w:p>
    <w:p>
      <w:pPr>
        <w:sectPr>
          <w:pgSz w:w="11900" w:h="16838" w:orient="portrait"/>
          <w:cols w:equalWidth="0" w:num="1">
            <w:col w:w="11240"/>
          </w:cols>
          <w:pgMar w:left="320" w:top="891"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2021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NOTE 5. SHORT-TERM AND LONG-TERM DEBT</w:t>
            </w:r>
          </w:p>
        </w:tc>
        <w:tc>
          <w:tcPr>
            <w:tcW w:w="2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880" w:type="dxa"/>
            <w:vAlign w:val="bottom"/>
            <w:gridSpan w:val="3"/>
          </w:tcPr>
          <w:p>
            <w:pPr>
              <w:spacing w:after="0"/>
              <w:rPr>
                <w:sz w:val="20"/>
                <w:szCs w:val="20"/>
                <w:color w:val="auto"/>
              </w:rPr>
            </w:pPr>
            <w:r>
              <w:rPr>
                <w:rFonts w:ascii="Arial" w:cs="Arial" w:eastAsia="Arial" w:hAnsi="Arial"/>
                <w:sz w:val="18"/>
                <w:szCs w:val="18"/>
                <w:color w:val="auto"/>
              </w:rPr>
              <w:t>The following tables present the Company’s short-term and long-term debt as of March 31, 2021, and December 31, 2020: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March 31, 2021</w:t>
            </w:r>
          </w:p>
        </w:tc>
        <w:tc>
          <w:tcPr>
            <w:tcW w:w="2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$298.8</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1,661.3</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1,652.4</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$1,960.1</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$(9.2)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0" w:type="dxa"/>
            <w:vAlign w:val="bottom"/>
          </w:tcPr>
          <w:p>
            <w:pPr>
              <w:spacing w:after="0"/>
              <w:rPr>
                <w:sz w:val="1"/>
                <w:szCs w:val="1"/>
                <w:color w:val="auto"/>
              </w:rPr>
            </w:pPr>
          </w:p>
        </w:tc>
      </w:tr>
      <w:tr>
        <w:trPr>
          <w:trHeight w:val="304"/>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2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$204.0</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1,602.4</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(9.2)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$1,806.4</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$(9.5)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$1,796.9</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$24.3 million outstanding in standby letters of credit and $60.0 million outstanding draws under our lines of credit as of March 31, 2021 ($22.3 million in standby letters of credit and no outstanding draws as of December 31, 2020).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2021, ALLETE entered into a $150 million unsecured term loan agreement (Term Loan) and borrowed $100 million upon execution. The Term Loan provides for an additional draw of $50 million on or before May 29, 2021. The Term Loan is due March 24, 2022, and may be repaid at any time. Interest is payable monthly at a rate per annum equal to LIBOR plus 0.75 percent. Proceeds from the Term Loan were used for general corporate purposes.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21, 2021, ALLETE agreed to sell $100 million of its First Mortgage Bonds (Bonds) to certain institutional buyers in the private placement market. The Bonds, which will be issued on or before September 1, 2021, will bear interest at 2.79 percent. The Bonds will mature in September 2031 and pay interest semi-annually in March and September of each year, commencing on March 1, 2022. ALLETE has the option to prepay all or a portion of the Bonds at its discretion, subject to a make-whole provision. The Bonds are subject to additional terms and conditions which are customary for these types of transactions. ALLETE intends to use the proceeds from the sale of the Bonds to fund utility capital investment and for general corporate purposes. The Bonds were sold in reliance on an exemption from registration under Section 4(a)(2) of the Securities Act of 1933, as amended, to institutional accredited investors.</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March 31, 2021, our ratio was approximately 0.42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March 31, 2021,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COMMITMENTS, GUARANTEES AND CONTINGENCIES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8. Commitments, Guarantees and Contingencies to the Consolidated Financial Statements in our 2020 Form 10-K, with additional disclosure provided in the following paragraphs.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As of March 31, 2021, Square Butte had total debt outstanding of $265.4 million. Fuel expenses are recoverable through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fuel adjustment clause and include the cost of coal purchased from BNI Energy under a long-term contract. Minnesota Power’s cost of power purchased from Square Butte during the three months ended March 31, 2021, was $19.6 million ($20.1 million for the same period in 2020). This reflects Minnesota Power’s pro rata share of total Square Butte costs based on the 50 percent output entitlement. Included in this amount was Minnesota Power’s pro rata share of interest expense of $1.5 million ($1.9 million for the same period in 2020). Minnesota Power’s payments to Square Butte are approved as a purchased power expense for ratemaking purposes by both the MPUC and the FERC.</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2021 and in 2020.</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through December 2021. Minnesota Power also has coal transportation agreements in place for the delivery of a significant portion of its coal requirements through December 2021. The costs of fuel and related transportation costs for Minnesota Power’s generation are recoverable from Minnesota Power’s retail and municipal utility customers through the fuel adjustment clause.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thermal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baghouses and low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 xml:space="preserve">Cross-State Air Pollution Rule (CSAPR). </w:t>
      </w:r>
      <w:r>
        <w:rPr>
          <w:rFonts w:ascii="Arial" w:cs="Arial" w:eastAsia="Arial" w:hAnsi="Arial"/>
          <w:sz w:val="16"/>
          <w:szCs w:val="16"/>
          <w:color w:val="auto"/>
        </w:rPr>
        <w:t>The CSAPR requires certain states in the eastern half of the U.S., including Minnesota, to reduce power plant</w:t>
      </w:r>
      <w:r>
        <w:rPr>
          <w:rFonts w:ascii="Arial" w:cs="Arial" w:eastAsia="Arial" w:hAnsi="Arial"/>
          <w:sz w:val="16"/>
          <w:szCs w:val="16"/>
          <w:i w:val="1"/>
          <w:iCs w:val="1"/>
          <w:color w:val="auto"/>
        </w:rPr>
        <w:t xml:space="preserve"> </w:t>
      </w:r>
      <w:r>
        <w:rPr>
          <w:rFonts w:ascii="Arial" w:cs="Arial" w:eastAsia="Arial" w:hAnsi="Arial"/>
          <w:sz w:val="16"/>
          <w:szCs w:val="16"/>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and SO</w:t>
      </w:r>
      <w:r>
        <w:rPr>
          <w:rFonts w:ascii="Arial" w:cs="Arial" w:eastAsia="Arial" w:hAnsi="Arial"/>
          <w:sz w:val="20"/>
          <w:szCs w:val="20"/>
          <w:color w:val="auto"/>
          <w:vertAlign w:val="subscript"/>
        </w:rPr>
        <w:t>2</w:t>
      </w:r>
      <w:r>
        <w:rPr>
          <w:rFonts w:ascii="Arial" w:cs="Arial" w:eastAsia="Arial" w:hAnsi="Arial"/>
          <w:sz w:val="16"/>
          <w:szCs w:val="16"/>
          <w:color w:val="auto"/>
        </w:rPr>
        <w:t xml:space="preserve"> allowances issued and pending issuance, we currently expect generation levels and emission rates will result in continued compliance with the CSAPR. The ongoing CSAPR “good neighbor” provision and interstate transport litigation is also not currently projected to affect Minnesota Power’s CSAPR compliance. The State of Minnesota has not been identified by the downwind litigant states as a culpable upwind source, and previous EPA air quality modeling has demonstrated that Minnesota is not a significant contributor to downwind air quality attainment challenges. Minnesota Power also does not currently anticipate being materially affected by the EPA’s recent rulemaking to address the remand of certain CSAPR aspects. Minnesota Power will continue to monitor ongoing CSAPR rulemakings and compliance implementation.</w:t>
      </w:r>
    </w:p>
    <w:p>
      <w:pPr>
        <w:spacing w:after="0" w:line="20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National Ambient Air Quality Standards (NAAQS). </w:t>
      </w:r>
      <w:r>
        <w:rPr>
          <w:rFonts w:ascii="Arial" w:cs="Arial" w:eastAsia="Arial" w:hAnsi="Arial"/>
          <w:sz w:val="16"/>
          <w:szCs w:val="16"/>
          <w:color w:val="auto"/>
        </w:rPr>
        <w:t>The EPA is required to review the NAAQS every five years. If the EPA determines that a state’s air</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is not in compliance with the NAAQS, the state is required to adopt plans describing how it will reduce emissions to attain the NAAQS. Minnesota Power actively monitors NAAQS developments and compliance costs for existing standards or proposed NAAQS revisions are not expected to be material. Minnesota is not among the states expected to be impacted by the EPA’s March 15, 2021 final rule to revise the 2016 CSAPR Update for the 2008 ozone NAAQS in response to the U.S. Court of Appeals for the District of Columbia Circuit (D.C. Circuit) remand of the CSAPR Update Rule.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increased or other changes in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EPA Regulation of GHG Emissions. </w:t>
      </w:r>
      <w:r>
        <w:rPr>
          <w:rFonts w:ascii="Arial" w:cs="Arial" w:eastAsia="Arial" w:hAnsi="Arial"/>
          <w:sz w:val="16"/>
          <w:szCs w:val="16"/>
          <w:color w:val="auto"/>
        </w:rPr>
        <w:t>In 2019, the EPA finalized several separate rulemakings regarding regulating carbon emissions from electric utility</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generating units. These rulemakings included repealing the Clean Power Plan (CPP) and adopting the Affordable Clean Energy Rule under Section 111(d) of the Clean Air Act (CAA) to regulate CO2 emissions at existing coal-fired power plants. The CPP was first announced as a proposed rule under Section 111(d) of the CAA for existing power plants entitled “Carbon Pollution Emission Guidelines for Existing Stationary Sources: Electric Generating Units”. The Affordable Clean Energy Rule established emissions guidelines for states to use when developing plans to limit CO2 coal-fired power plants. The EPA also published regulations for the state implementation of the Affordable Clean Energy Rule and other Section 111(d) rules. Affected facilities for Minnesota Power included Boswell Units 3 and 4, and Taconite Harbor Units 1 and 2, which are currently economically idled.</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19, 2021, the D.C. Circuit issued an opinion vacating the Affordable Clean Energy Rule and remanded the Affordable Clean Energy Rule back to the EPA for further consideration, consistent with the D.C. Circuit’s finding that the EPA erred in interpreting the CAA, pending rehearing or appeal.</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22, 2021, the Biden Administration announced a goal to reach 100 percent carbon pollution-free electricity by 2035 as part of the U.S.’s Nationally Determined Contributions pledge, which is part of an international effort to limit global warming. At this time, no specific regulatory pathway to achieve these reductions has been proposed. Minnesota Power will continue to monitor these developments.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Minnesota had already initiated several measures consistent with those called for under the now repealed CPP and vacated Affordable Clean Energy Rule. Minnesota Power continues implementing its EnergyForward strategic plan that provides for significant emission reductions and diversifying its electricity generation mix to include more renewable and natural gas energy. We are unable to predict the GHG emission compliance costs we might incur as a result of a replacement for the Affordable Clean Energy Rule or other future laws, regulations or administrative policies; however, the costs could be material. Minnesota Power would seek recovery of additional costs through a rate proceeding.</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on January 13, 2021, the EPA issued a rulemaking to apply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 New Source Performance Standards (NSPS) to new, modified and reconstructed fossil fuel-fired electric generating units under Section 111(b) of the CAA. Minnesota Power is monitoring the NSPS final rule and any further Section 111(b) developments including their potential impact to the Company. The Company’s proposed combined-cycle natural gas-fired generating facility, NTEC, is expected to meet these NSPS requirements.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Steam Electric Power Generating Effluent Limitations Guidelines. </w:t>
      </w:r>
      <w:r>
        <w:rPr>
          <w:rFonts w:ascii="Arial" w:cs="Arial" w:eastAsia="Arial" w:hAnsi="Arial"/>
          <w:sz w:val="17"/>
          <w:szCs w:val="17"/>
          <w:color w:val="auto"/>
        </w:rPr>
        <w:t>In 2015, the EPA issued revised federal effluent limitation guidelines (ELG)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reconsidered the bottom ash transport water and FGD wastewater provisions. On April 12, 2019, the U.S. Court of Appeals for the Fifth Circuit vacated and remanded back to the EPA portions of the ELG that allowed for continued discharge of legacy wastewater and leachate. On October 13, 2020, the EPA published a final ELG Rule allowing re-use of bottom ash transport water in FGD scrubber systems with limited discharges related to maintaining system water balance. The rule sets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2023, or December 31, 2028, in some specific cases. The rule also establishes new subcategories for retiring high-flow and low-utilization units, and establishes a voluntary incentives program for FGD wastewater.</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ELG's potential impact on Minnesota Power operations is primarily at Boswell. Boswell currently discharges bottom ash contact water through its NPDES permit, and also has a closed-loop FGD system that does not discharge to surface waters, but may do so in the future. With Boswell’s planned conversion to dry FGD handling and storage, ongoing FGD water generation will be reduced, and the majority of FGD waters will be legacy waters to be dewatered from existing impoundments. Re-use and onsite consumption for the majority of FGD waters is planned at Boswell.</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new ELG rule, most bottom ash transport water discharge to surface waters must cease no later than December 31, 2025, except for small discharges needed to retain water balance. The majority of bottom ash transport water will either need to be re-used in a closed-loop process or routed to a FGD scrubber. At Boswell, the bottom ash handling systems are planned to be converted to a dry process, which will eliminate bottom ash transport water.</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EPA’s additional reconsideration of legacy wastewater discharge requirements have the potential to reduce timelines for dewatering Boswell’s existing bottom ash pond. The timing of a draft rule addressing legacy wastewater and leachate is currently unknown.</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this time, we estimate that the planned dry conversion of bottom ash handling and storage at Boswell in response to the CCR revisions requiring closure of clay-lined impoundments, as well as other water re-use practices, will reduce or eliminate the need for additional significant compliance costs for ELG bottom ash water and FGD requirements. Compliance costs we might incur related to other ELG waste streams (e.g. legacy leachate) or other potential future water discharge regulations cannot be estimated; however, the costs could be material, including costs associated with wastewater treatment and re-use.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Permitted Water Discharges – Sulfate</w:t>
      </w:r>
      <w:r>
        <w:rPr>
          <w:rFonts w:ascii="Arial" w:cs="Arial" w:eastAsia="Arial" w:hAnsi="Arial"/>
          <w:sz w:val="16"/>
          <w:szCs w:val="16"/>
          <w:color w:val="auto"/>
        </w:rPr>
        <w:t>. In 2017, the MPCA released a draft water quality standard in an attempt to update Minnesota’s existing 10 mg/L</w:t>
      </w:r>
      <w:r>
        <w:rPr>
          <w:rFonts w:ascii="Arial" w:cs="Arial" w:eastAsia="Arial" w:hAnsi="Arial"/>
          <w:sz w:val="16"/>
          <w:szCs w:val="16"/>
          <w:i w:val="1"/>
          <w:iCs w:val="1"/>
          <w:color w:val="auto"/>
        </w:rPr>
        <w:t xml:space="preserve"> </w:t>
      </w:r>
      <w:r>
        <w:rPr>
          <w:rFonts w:ascii="Arial" w:cs="Arial" w:eastAsia="Arial" w:hAnsi="Arial"/>
          <w:sz w:val="16"/>
          <w:szCs w:val="16"/>
          <w:color w:val="auto"/>
        </w:rPr>
        <w:t>sulfate limit for waters used for the production of wild rice with the proposed rulemaking heard before an Administrative Law Judge (ALJ). In 2018, the ALJ rejected significant portions of the proposed rulemaking and the MPCA subsequently withdrew the rulemaking. The remaining 10 mg/L standard remains in place, but the MPCA is currently prohibited under state law from listing wild rice waters as impaired or requiring sulfate reduction technology.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2021, the MPCA’s proposed list of impaired waters was partially rejected by EPA due to the absence of wild rice waters listed for sulfate impairment. The EPA subsequently proposed a list of 30 wild rice waters for public comment in a separate listing process on April 29, 2021, with public comment through May 31, 2021. A final impaired waters listing is expected to follow the public comment period, which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if any. Minnesota Power would seek recovery of additional costs through a rate proceeding.</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Solid and Hazardous Waste. </w:t>
      </w:r>
      <w:r>
        <w:rPr>
          <w:rFonts w:ascii="Arial" w:cs="Arial" w:eastAsia="Arial" w:hAnsi="Arial"/>
          <w:sz w:val="18"/>
          <w:szCs w:val="18"/>
          <w:color w:val="auto"/>
        </w:rPr>
        <w:t>The Resource Conservation and Recovery Act of 1976 regulates the management and disposal of solid and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wastes. We are required to notify the EPA of hazardous waste activity and, consequently, routinely submit reports to the EPA.</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produces the majority of its coal ash at Boswell, with small amounts of ash generated at Hibbard</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Coal Combustion Residuals from Electric Utilities (CCR). </w:t>
      </w:r>
      <w:r>
        <w:rPr>
          <w:rFonts w:ascii="Arial" w:cs="Arial" w:eastAsia="Arial" w:hAnsi="Arial"/>
          <w:sz w:val="17"/>
          <w:szCs w:val="17"/>
          <w:color w:val="auto"/>
        </w:rPr>
        <w:t>In 2015, the EPA published the final rule regulating CCR as nonhazardous waste under Subtitle</w:t>
      </w:r>
      <w:r>
        <w:rPr>
          <w:rFonts w:ascii="Arial" w:cs="Arial" w:eastAsia="Arial" w:hAnsi="Arial"/>
          <w:sz w:val="17"/>
          <w:szCs w:val="17"/>
          <w:i w:val="1"/>
          <w:iCs w:val="1"/>
          <w:color w:val="auto"/>
        </w:rPr>
        <w:t xml:space="preserve"> </w:t>
      </w:r>
      <w:r>
        <w:rPr>
          <w:rFonts w:ascii="Arial" w:cs="Arial" w:eastAsia="Arial" w:hAnsi="Arial"/>
          <w:sz w:val="17"/>
          <w:szCs w:val="17"/>
          <w:color w:val="auto"/>
        </w:rPr>
        <w:t>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occur primarily over the next 15 years and be between approximately $65 million and $120 million. Compliance costs for CCR at Taconite Harbor are not expected to be material. Minnesota Power would seek recovery of additional costs through a rate proceeding.</w:t>
      </w:r>
    </w:p>
    <w:p>
      <w:pPr>
        <w:spacing w:after="0" w:line="2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Minnesota Power continues to work on minimizing costs through evaluation of beneficial re-use and recycling of CCR and CCR-related waters. In 2017, the EPA announced its intention to formally reconsider the CCR rule under Subtitle D of the RCRA. In March 2018, the EPA published the first phase of the proposed rule revisions in the Federal Register. In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2018, a U.S. District Court for the District of Columbia decision vacated specific provisions of the CCR rule. The court decision resulted in a change to the status of three existing clay-lined impoundments at Boswell that must now be considered unlined. The EPA proposed additional rule revisions in 2019 to address outstanding issues from litigation and closure timelines for unlined impoundments, respectively. The first of these rules, CCR Rule Part A, was finalized in September 2020. The Part A Rule revision requires unlined impoundments to cease disposal of waste as soon as technically feasible but no later than April 11, 2021, which tolls forward if the EPA does not make a determination on a variance application by that date. Minnesota Power sought EPA approval to extend the closure date for the two active Boswell impoundments in November 2020, and continues to operate the impoundments pending a final determination by the EPA. Additionally, the EPA released a proposed Part B rulemaking in February 2020 that addressed options for beneficial reuse of CCR materials, alternative liner demonstrations, and other CCR regulatory revisions. Portions of the Part B Rule addressing alternative liner equivalency standards were finalized in November 2020. According to the EPA’s current regulatory agenda, the remainder of the proposed Part B Rule is expected to be finalized in mid-2021. Expected compliance costs at Boswell due to the court decision and subsequent rule revisions are reflected in our estimate of compliance costs for the CCR rule noted previously.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Manufactured Gas Plant Site. </w:t>
      </w:r>
      <w:r>
        <w:rPr>
          <w:rFonts w:ascii="Arial" w:cs="Arial" w:eastAsia="Arial" w:hAnsi="Arial"/>
          <w:sz w:val="16"/>
          <w:szCs w:val="16"/>
          <w:color w:val="auto"/>
        </w:rPr>
        <w:t>We are reviewing and addressing environmental conditions at a former manufactured gas plant site located in Superior,</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and formerly operated by SWL&amp;P. SWL&amp;P has been working with the Wisconsin Department of Natural Resources (WDNR) in determining the extent and location of contamination at the site and surrounding properties. In January 2021, SWL&amp;P submitted a final remedial actions options report to the WDNR with remedial site design expected to be completed in 2021. As of March 31, 2021, we have recorded a liability of approximately $7 million for remediation costs at this site (approximately $7 million as of December 31, 2020); however, SWL&amp;P continues to work with the WDNR on the extent of contamination which may result in additional remediation costs being identified. SWL&amp;P has also recorded an associated regulatory asset as we expect recovery of these remediation costs to be allowed by the PSCW. Remediation costs are expected to be incurred through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and Surety Bonds.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multiple credit facility agreements in place that provide the ability to issue standby letters of credit to satisfy our contractual security requirements across our businesses. As of March 31, 2021, we had $119.0 million of outstanding letters of credit issued, including those issued under our revolving credit facility.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Regulated Operations. </w:t>
      </w:r>
      <w:r>
        <w:rPr>
          <w:rFonts w:ascii="Arial" w:cs="Arial" w:eastAsia="Arial" w:hAnsi="Arial"/>
          <w:sz w:val="18"/>
          <w:szCs w:val="18"/>
          <w:color w:val="auto"/>
        </w:rPr>
        <w:t>As of March 31, 2021, we had $30.8 million outstanding in standby letters of credit at our Regulated Operations which are pledged</w:t>
      </w:r>
      <w:r>
        <w:rPr>
          <w:rFonts w:ascii="Arial" w:cs="Arial" w:eastAsia="Arial" w:hAnsi="Arial"/>
          <w:sz w:val="18"/>
          <w:szCs w:val="18"/>
          <w:i w:val="1"/>
          <w:iCs w:val="1"/>
          <w:color w:val="auto"/>
        </w:rPr>
        <w:t xml:space="preserve"> </w:t>
      </w:r>
      <w:r>
        <w:rPr>
          <w:rFonts w:ascii="Arial" w:cs="Arial" w:eastAsia="Arial" w:hAnsi="Arial"/>
          <w:sz w:val="18"/>
          <w:szCs w:val="18"/>
          <w:color w:val="auto"/>
        </w:rPr>
        <w:t>as security for MISO and state agency agreements as well as energy facilities under development.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2039. As of March 31, 2021, ALLETE Clean Energy has $74.4 million outstanding in standby letters of credit, the majority of which are pledged as security under these PSAs and PSAs for wind energy facilities under development. ALLETE Clean Energy does not believe it is likely that any of these outstanding letters of credit will be drawn upon.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Investment in Nobles 2</w:t>
      </w:r>
      <w:r>
        <w:rPr>
          <w:rFonts w:ascii="Arial" w:cs="Arial" w:eastAsia="Arial" w:hAnsi="Arial"/>
          <w:sz w:val="18"/>
          <w:szCs w:val="18"/>
          <w:color w:val="auto"/>
        </w:rPr>
        <w:t>. Construction of the Nobles 2 wind energy facility requires standby letters of credit as security for certain contractual obligations. As of March 31, 2021, ALLETE South Wind has $13.8 million outstanding in standby letters of credit, related to its portion of the security requirements relative to its ownership in Nobles 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BNI Energy</w:t>
      </w:r>
      <w:r>
        <w:rPr>
          <w:rFonts w:ascii="Arial" w:cs="Arial" w:eastAsia="Arial" w:hAnsi="Arial"/>
          <w:sz w:val="18"/>
          <w:szCs w:val="18"/>
          <w:color w:val="auto"/>
        </w:rPr>
        <w:t>. As of March 31, 2021, BNI Energy had surety bonds outstanding of $71.2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$70.7 million. BNI Energy does not believe it is likely that any of these outstanding surety bonds will be drawn upon.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ALLETE Properties</w:t>
      </w:r>
      <w:r>
        <w:rPr>
          <w:rFonts w:ascii="Arial" w:cs="Arial" w:eastAsia="Arial" w:hAnsi="Arial"/>
          <w:sz w:val="17"/>
          <w:szCs w:val="17"/>
          <w:color w:val="auto"/>
        </w:rPr>
        <w:t>. As of March 31, 2021, ALLETE Properties had surety bonds outstanding and letters of credit to governmental entities totaling $2.0 million primarily related to development and maintenance obligations for various projects. The estimated cost of the remaining development work is $1.0 million. ALLETE Properties does not believe it is likely that any of these outstanding surety bonds or letters of credit will be drawn upon.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Community Development District Obligations. </w:t>
      </w:r>
      <w:r>
        <w:rPr>
          <w:rFonts w:ascii="Arial" w:cs="Arial" w:eastAsia="Arial" w:hAnsi="Arial"/>
          <w:sz w:val="18"/>
          <w:szCs w:val="18"/>
          <w:color w:val="auto"/>
        </w:rPr>
        <w:t>As of March 31, 2021, we owned 48 percent of the assessable land in the Town Center District (48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2020). As of March 31, 2021, ownership levels, our annual assessments related to capital improvement and special assessment bonds for the ALLETE Properties project within the district is approximately $1.8 million. As we sell property at this project, the obligation to pay special assessments will pass to the new landowners. In accordance with accounting guidance, these bonds are not reflected as debt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 AND COMMON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Reconciliation of Basic and Diluted</w:t>
            </w: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Dilutive</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Diluted</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Securities</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$51.8</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$66.3</w:t>
            </w:r>
          </w:p>
        </w:tc>
        <w:tc>
          <w:tcPr>
            <w:tcW w:w="1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52.1</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51.7</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$0.99</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$1.28</w:t>
            </w:r>
          </w:p>
        </w:tc>
        <w:tc>
          <w:tcPr>
            <w:tcW w:w="1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804"/>
        </w:trPr>
        <w:tc>
          <w:tcPr>
            <w:tcW w:w="4080" w:type="dxa"/>
            <w:vAlign w:val="bottom"/>
          </w:tcPr>
          <w:p>
            <w:pPr>
              <w:spacing w:after="0"/>
              <w:rPr>
                <w:sz w:val="20"/>
                <w:szCs w:val="20"/>
                <w:color w:val="auto"/>
              </w:rPr>
            </w:pPr>
            <w:r>
              <w:rPr>
                <w:rFonts w:ascii="Arial" w:cs="Arial" w:eastAsia="Arial" w:hAnsi="Arial"/>
                <w:sz w:val="18"/>
                <w:szCs w:val="18"/>
                <w:b w:val="1"/>
                <w:bCs w:val="1"/>
                <w:color w:val="auto"/>
              </w:rPr>
              <w:t>NOTE 8. INCOME TAX EXPENSE</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2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Income Tax Expense</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$(14.1)</w:t>
            </w:r>
          </w:p>
        </w:tc>
        <w:tc>
          <w:tcPr>
            <w:tcW w:w="104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 Tax Credit Amortization</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Deferred Income Tax Benefit</w:t>
            </w:r>
          </w:p>
        </w:tc>
        <w:tc>
          <w:tcPr>
            <w:tcW w:w="1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Benefit</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line="255"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three months ended March 31, 2021 and 2020, the federal and state current tax expense was minimal due to NOLs which resulted from the bonus depreciation provisions of certain tax legislation. Federal and state NOLs are being carried forward to offset current and future taxable income.</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three months ended March 31, 2021 and 2020, the federal income tax benefit is primarily due to production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8. INCOME TAX EXPENSE (Continued)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45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19"/>
                <w:szCs w:val="19"/>
                <w:color w:val="auto"/>
              </w:rPr>
            </w:pPr>
          </w:p>
        </w:tc>
      </w:tr>
      <w:tr>
        <w:trPr>
          <w:trHeight w:val="23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Rate to Total Income Tax Expense</w:t>
            </w:r>
          </w:p>
        </w:tc>
        <w:tc>
          <w:tcPr>
            <w:tcW w:w="36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8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$33.0</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$50.7</w:t>
            </w:r>
          </w:p>
        </w:tc>
      </w:tr>
      <w:tr>
        <w:trPr>
          <w:trHeight w:val="22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Statutory Federal Income Tax Rate</w:t>
            </w:r>
          </w:p>
        </w:tc>
        <w:tc>
          <w:tcPr>
            <w:tcW w:w="3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21 %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Computed at Statutory Federal Rate</w:t>
            </w:r>
          </w:p>
        </w:tc>
        <w:tc>
          <w:tcPr>
            <w:tcW w:w="36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$6.9</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Increase (Decrease) in Income Tax Due to:</w:t>
            </w:r>
          </w:p>
        </w:tc>
        <w:tc>
          <w:tcPr>
            <w:tcW w:w="36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Income Taxes – Net of Federal Income Tax Benefit</w:t>
            </w:r>
          </w:p>
        </w:tc>
        <w:tc>
          <w:tcPr>
            <w:tcW w:w="36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3.1</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Production Tax Credits</w:t>
            </w:r>
          </w:p>
        </w:tc>
        <w:tc>
          <w:tcPr>
            <w:tcW w:w="3680" w:type="dxa"/>
            <w:vAlign w:val="bottom"/>
          </w:tcPr>
          <w:p>
            <w:pPr>
              <w:jc w:val="right"/>
              <w:ind w:right="570"/>
              <w:spacing w:after="0"/>
              <w:rPr>
                <w:sz w:val="20"/>
                <w:szCs w:val="20"/>
                <w:color w:val="auto"/>
              </w:rPr>
            </w:pPr>
            <w:r>
              <w:rPr>
                <w:rFonts w:ascii="Arial" w:cs="Arial" w:eastAsia="Arial" w:hAnsi="Arial"/>
                <w:sz w:val="18"/>
                <w:szCs w:val="18"/>
                <w:color w:val="auto"/>
              </w:rPr>
              <w:t>(18.6)</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(23.8)</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Differences – Excess Deferred Tax</w:t>
            </w:r>
          </w:p>
        </w:tc>
        <w:tc>
          <w:tcPr>
            <w:tcW w:w="36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(3.2)</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Non-Controlling Interest in Subsidiaries</w:t>
            </w:r>
          </w:p>
        </w:tc>
        <w:tc>
          <w:tcPr>
            <w:tcW w:w="3680" w:type="dxa"/>
            <w:vAlign w:val="bottom"/>
          </w:tcPr>
          <w:p>
            <w:pPr>
              <w:jc w:val="right"/>
              <w:ind w:right="630"/>
              <w:spacing w:after="0"/>
              <w:rPr>
                <w:sz w:val="20"/>
                <w:szCs w:val="20"/>
                <w:color w:val="auto"/>
              </w:rPr>
            </w:pPr>
            <w:r>
              <w:rPr>
                <w:rFonts w:ascii="Arial" w:cs="Arial" w:eastAsia="Arial" w:hAnsi="Arial"/>
                <w:sz w:val="18"/>
                <w:szCs w:val="18"/>
                <w:color w:val="auto"/>
              </w:rPr>
              <w:t>1.8</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0.4</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36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0.5</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30"/>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6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(0.9)</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0.3</w:t>
            </w:r>
          </w:p>
        </w:tc>
      </w:tr>
      <w:tr>
        <w:trPr>
          <w:trHeight w:val="223"/>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Income Tax Benefit</w:t>
            </w:r>
          </w:p>
        </w:tc>
        <w:tc>
          <w:tcPr>
            <w:tcW w:w="36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$(10.4)</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the effective tax rate was a benefit of 31.5 percent (benefit of 27.2 percent for the three months ended March 31, 2020). The effective tax rate for 2020 and 2021 was primarily impacted by production tax credits.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March 31, 2021, we had gross unrecognized tax benefits of $1.5 million ($1.4 million as of December 31, 2020).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gross unrecognized tax benefits, $0.6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and its subsidiaries file a consolidated federal income tax return as well as combined and separate state income tax returns in various jurisdictions. ALLETE has no open federal or state audits, and is no longer subject to federal examination for years before 2017, or state examination for years before 2016.</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NOTE 9. PENSION AND OTHER POSTRETIREMENT BENEFIT PLANS</w:t>
            </w: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560" w:type="dxa"/>
            <w:vAlign w:val="bottom"/>
          </w:tcPr>
          <w:p>
            <w:pPr>
              <w:spacing w:after="0"/>
              <w:rPr>
                <w:sz w:val="24"/>
                <w:szCs w:val="2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Pension</w:t>
            </w: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2020</w:t>
            </w: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$2.7</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$2.6</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$0.9</w:t>
            </w: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6.1</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7.0</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1.1</w:t>
            </w: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(10.8)</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Amortization of Prior Service Credits</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(1.9)</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Net Loss</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4.7</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 (Credit)</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$2.7</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benefit cost (credit) are included in the line item “Other” under Other Income (Expense) on the Consolidated Statement of Income.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2021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9. PENSION AND OTHER POSTRETIREMENT BENEFIT PLANS (Continued)</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three months ended March 31, 2021, we contributed $10.3 million in cash to the defined benefit pension plans</w:t>
      </w:r>
      <w:r>
        <w:rPr>
          <w:rFonts w:ascii="Arial" w:cs="Arial" w:eastAsia="Arial" w:hAnsi="Arial"/>
          <w:sz w:val="18"/>
          <w:szCs w:val="18"/>
          <w:b w:val="1"/>
          <w:bCs w:val="1"/>
          <w:color w:val="auto"/>
        </w:rPr>
        <w:t xml:space="preserve"> </w:t>
      </w:r>
      <w:r>
        <w:rPr>
          <w:rFonts w:ascii="Arial" w:cs="Arial" w:eastAsia="Arial" w:hAnsi="Arial"/>
          <w:sz w:val="18"/>
          <w:szCs w:val="18"/>
          <w:color w:val="auto"/>
        </w:rPr>
        <w:t>($10.7 million for the three months ended March 31, 2020); we do not expect to make additional contributions to our defined benefit pension plans in 2021. For the three months ended March 31, 2021 and 2020, we made no contributions to our other postretirement benefit plans; we do not expect to make any contributions to our other postretirement benefit plans in 2021.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two reportable segments: Regulated Operations and ALLETE Clean Energy. We measure performance of our operations through budgeting and monitoring of contributions to consolidated net income by each business segment.</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two operating segments, BNI Energy, our coal mining operations in North Dakota, and ALLETE Properties, our legacy Florida real estate investment, along with our investment in Nobles 2, other business development and corporate expenditures, unallocated interest expense, a small amount of non-rate base generation, approximately 4,000 acres of land in Minnesota, and earnings on cash and investments.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00" w:type="dxa"/>
            <w:vAlign w:val="bottom"/>
          </w:tcPr>
          <w:p>
            <w:pPr>
              <w:spacing w:after="0"/>
              <w:rPr>
                <w:sz w:val="19"/>
                <w:szCs w:val="19"/>
                <w:color w:val="auto"/>
              </w:rPr>
            </w:pPr>
          </w:p>
        </w:tc>
        <w:tc>
          <w:tcPr>
            <w:tcW w:w="47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6500" w:type="dxa"/>
            <w:vAlign w:val="bottom"/>
          </w:tcPr>
          <w:p>
            <w:pPr>
              <w:spacing w:after="0"/>
              <w:rPr>
                <w:sz w:val="19"/>
                <w:szCs w:val="19"/>
                <w:color w:val="auto"/>
              </w:rPr>
            </w:pPr>
          </w:p>
        </w:tc>
        <w:tc>
          <w:tcPr>
            <w:tcW w:w="47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5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3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Regulated Operations</w:t>
            </w:r>
          </w:p>
        </w:tc>
        <w:tc>
          <w:tcPr>
            <w:tcW w:w="3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3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650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3840" w:type="dxa"/>
            <w:vAlign w:val="bottom"/>
          </w:tcPr>
          <w:p>
            <w:pPr>
              <w:jc w:val="right"/>
              <w:ind w:right="150"/>
              <w:spacing w:after="0"/>
              <w:rPr>
                <w:sz w:val="20"/>
                <w:szCs w:val="20"/>
                <w:color w:val="auto"/>
              </w:rPr>
            </w:pPr>
            <w:r>
              <w:rPr>
                <w:rFonts w:ascii="Arial" w:cs="Arial" w:eastAsia="Arial" w:hAnsi="Arial"/>
                <w:sz w:val="18"/>
                <w:szCs w:val="18"/>
                <w:color w:val="auto"/>
              </w:rPr>
              <w:t>39.7</w:t>
            </w:r>
          </w:p>
        </w:tc>
        <w:tc>
          <w:tcPr>
            <w:tcW w:w="90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29"/>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w:t>
            </w:r>
          </w:p>
        </w:tc>
        <w:tc>
          <w:tcPr>
            <w:tcW w:w="3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50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3840" w:type="dxa"/>
            <w:vAlign w:val="bottom"/>
          </w:tcPr>
          <w:p>
            <w:pPr>
              <w:jc w:val="right"/>
              <w:ind w:right="150"/>
              <w:spacing w:after="0"/>
              <w:rPr>
                <w:sz w:val="20"/>
                <w:szCs w:val="20"/>
                <w:color w:val="auto"/>
              </w:rPr>
            </w:pPr>
            <w:r>
              <w:rPr>
                <w:rFonts w:ascii="Arial" w:cs="Arial" w:eastAsia="Arial" w:hAnsi="Arial"/>
                <w:sz w:val="18"/>
                <w:szCs w:val="18"/>
                <w:color w:val="auto"/>
              </w:rPr>
              <w:t>129.0</w:t>
            </w:r>
          </w:p>
        </w:tc>
        <w:tc>
          <w:tcPr>
            <w:tcW w:w="90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30"/>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Power Suppliers</w:t>
            </w:r>
          </w:p>
        </w:tc>
        <w:tc>
          <w:tcPr>
            <w:tcW w:w="3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6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23"/>
        </w:trPr>
        <w:tc>
          <w:tcPr>
            <w:tcW w:w="6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Regulated Operations</w:t>
            </w:r>
          </w:p>
        </w:tc>
        <w:tc>
          <w:tcPr>
            <w:tcW w:w="3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293.0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r>
      <w:tr>
        <w:trPr>
          <w:trHeight w:val="196"/>
        </w:trPr>
        <w:tc>
          <w:tcPr>
            <w:tcW w:w="65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ALLETE Clean Energy</w:t>
            </w:r>
          </w:p>
        </w:tc>
        <w:tc>
          <w:tcPr>
            <w:tcW w:w="3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500" w:type="dxa"/>
            <w:vAlign w:val="bottom"/>
          </w:tcPr>
          <w:p>
            <w:pPr>
              <w:ind w:left="220"/>
              <w:spacing w:after="0"/>
              <w:rPr>
                <w:sz w:val="20"/>
                <w:szCs w:val="20"/>
                <w:color w:val="auto"/>
              </w:rPr>
            </w:pPr>
            <w:r>
              <w:rPr>
                <w:rFonts w:ascii="Arial" w:cs="Arial" w:eastAsia="Arial" w:hAnsi="Arial"/>
                <w:sz w:val="18"/>
                <w:szCs w:val="18"/>
                <w:color w:val="auto"/>
              </w:rPr>
              <w:t>Long-term PSA</w:t>
            </w:r>
          </w:p>
        </w:tc>
        <w:tc>
          <w:tcPr>
            <w:tcW w:w="3840" w:type="dxa"/>
            <w:vAlign w:val="bottom"/>
          </w:tcPr>
          <w:p>
            <w:pPr>
              <w:jc w:val="right"/>
              <w:ind w:right="150"/>
              <w:spacing w:after="0"/>
              <w:rPr>
                <w:sz w:val="20"/>
                <w:szCs w:val="20"/>
                <w:color w:val="auto"/>
              </w:rPr>
            </w:pPr>
            <w:r>
              <w:rPr>
                <w:rFonts w:ascii="Arial" w:cs="Arial" w:eastAsia="Arial" w:hAnsi="Arial"/>
                <w:sz w:val="18"/>
                <w:szCs w:val="18"/>
                <w:color w:val="auto"/>
              </w:rPr>
              <w:t>18.1</w:t>
            </w: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5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ALLETE Clean Energy</w:t>
            </w:r>
          </w:p>
        </w:tc>
        <w:tc>
          <w:tcPr>
            <w:tcW w:w="3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196"/>
        </w:trPr>
        <w:tc>
          <w:tcPr>
            <w:tcW w:w="6500" w:type="dxa"/>
            <w:vAlign w:val="bottom"/>
            <w:tcBorders>
              <w:bottom w:val="single" w:sz="8" w:color="auto"/>
            </w:tcBorders>
            <w:shd w:val="clear" w:color="auto" w:fill="CCEEFF"/>
          </w:tcPr>
          <w:p>
            <w:pPr>
              <w:spacing w:after="0"/>
              <w:rPr>
                <w:sz w:val="17"/>
                <w:szCs w:val="17"/>
                <w:color w:val="auto"/>
              </w:rPr>
            </w:pPr>
          </w:p>
        </w:tc>
        <w:tc>
          <w:tcPr>
            <w:tcW w:w="38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r>
      <w:tr>
        <w:trPr>
          <w:trHeight w:val="196"/>
        </w:trPr>
        <w:tc>
          <w:tcPr>
            <w:tcW w:w="65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500" w:type="dxa"/>
            <w:vAlign w:val="bottom"/>
          </w:tcPr>
          <w:p>
            <w:pPr>
              <w:ind w:left="220"/>
              <w:spacing w:after="0"/>
              <w:rPr>
                <w:sz w:val="20"/>
                <w:szCs w:val="20"/>
                <w:color w:val="auto"/>
              </w:rPr>
            </w:pPr>
            <w:r>
              <w:rPr>
                <w:rFonts w:ascii="Arial" w:cs="Arial" w:eastAsia="Arial" w:hAnsi="Arial"/>
                <w:sz w:val="18"/>
                <w:szCs w:val="18"/>
                <w:color w:val="auto"/>
              </w:rPr>
              <w:t>Long-term Contract</w:t>
            </w:r>
          </w:p>
        </w:tc>
        <w:tc>
          <w:tcPr>
            <w:tcW w:w="3840" w:type="dxa"/>
            <w:vAlign w:val="bottom"/>
          </w:tcPr>
          <w:p>
            <w:pPr>
              <w:jc w:val="right"/>
              <w:ind w:right="150"/>
              <w:spacing w:after="0"/>
              <w:rPr>
                <w:sz w:val="20"/>
                <w:szCs w:val="20"/>
                <w:color w:val="auto"/>
              </w:rPr>
            </w:pPr>
            <w:r>
              <w:rPr>
                <w:rFonts w:ascii="Arial" w:cs="Arial" w:eastAsia="Arial" w:hAnsi="Arial"/>
                <w:sz w:val="18"/>
                <w:szCs w:val="18"/>
                <w:color w:val="auto"/>
              </w:rPr>
              <w:t>21.7</w:t>
            </w:r>
          </w:p>
        </w:tc>
        <w:tc>
          <w:tcPr>
            <w:tcW w:w="9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6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65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Corporate and Other</w:t>
            </w:r>
          </w:p>
        </w:tc>
        <w:tc>
          <w:tcPr>
            <w:tcW w:w="3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65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Operating Revenue</w:t>
            </w:r>
          </w:p>
        </w:tc>
        <w:tc>
          <w:tcPr>
            <w:tcW w:w="3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$339.2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ALLETE</w:t>
            </w:r>
          </w:p>
        </w:tc>
        <w:tc>
          <w:tcPr>
            <w:tcW w:w="3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Regulated Operations</w:t>
            </w:r>
          </w:p>
        </w:tc>
        <w:tc>
          <w:tcPr>
            <w:tcW w:w="3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16"/>
        </w:trPr>
        <w:tc>
          <w:tcPr>
            <w:tcW w:w="6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Clean Energy</w:t>
            </w:r>
          </w:p>
        </w:tc>
        <w:tc>
          <w:tcPr>
            <w:tcW w:w="3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6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6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3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Total Net Income Attributable to ALLETE</w:t>
            </w:r>
          </w:p>
        </w:tc>
        <w:tc>
          <w:tcPr>
            <w:tcW w:w="3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2021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NOTE 10. BUSINESS SEGMENTS (Continued)</w:t>
            </w:r>
          </w:p>
        </w:tc>
        <w:tc>
          <w:tcPr>
            <w:tcW w:w="36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97"/>
        </w:trPr>
        <w:tc>
          <w:tcPr>
            <w:tcW w:w="6320" w:type="dxa"/>
            <w:vAlign w:val="bottom"/>
          </w:tcPr>
          <w:p>
            <w:pPr>
              <w:spacing w:after="0"/>
              <w:rPr>
                <w:sz w:val="24"/>
                <w:szCs w:val="24"/>
                <w:color w:val="auto"/>
              </w:rPr>
            </w:pPr>
          </w:p>
        </w:tc>
        <w:tc>
          <w:tcPr>
            <w:tcW w:w="3600" w:type="dxa"/>
            <w:vAlign w:val="bottom"/>
          </w:tcPr>
          <w:p>
            <w:pPr>
              <w:jc w:val="right"/>
              <w:ind w:right="110"/>
              <w:spacing w:after="0"/>
              <w:rPr>
                <w:sz w:val="20"/>
                <w:szCs w:val="20"/>
                <w:color w:val="auto"/>
              </w:rPr>
            </w:pPr>
            <w:r>
              <w:rPr>
                <w:rFonts w:ascii="Arial" w:cs="Arial" w:eastAsia="Arial" w:hAnsi="Arial"/>
                <w:sz w:val="18"/>
                <w:szCs w:val="18"/>
                <w:b w:val="1"/>
                <w:bCs w:val="1"/>
                <w:color w:val="auto"/>
              </w:rPr>
              <w:t>March 31,</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29"/>
        </w:trPr>
        <w:tc>
          <w:tcPr>
            <w:tcW w:w="632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32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3600" w:type="dxa"/>
            <w:vAlign w:val="bottom"/>
          </w:tcPr>
          <w:p>
            <w:pPr>
              <w:jc w:val="right"/>
              <w:ind w:right="170"/>
              <w:spacing w:after="0"/>
              <w:rPr>
                <w:sz w:val="20"/>
                <w:szCs w:val="20"/>
                <w:color w:val="auto"/>
              </w:rPr>
            </w:pPr>
            <w:r>
              <w:rPr>
                <w:rFonts w:ascii="Arial" w:cs="Arial" w:eastAsia="Arial" w:hAnsi="Arial"/>
                <w:sz w:val="18"/>
                <w:szCs w:val="18"/>
                <w:color w:val="auto"/>
              </w:rPr>
              <w:t>$4,184.1</w:t>
            </w:r>
          </w:p>
        </w:tc>
        <w:tc>
          <w:tcPr>
            <w:tcW w:w="1280" w:type="dxa"/>
            <w:vAlign w:val="bottom"/>
          </w:tcPr>
          <w:p>
            <w:pPr>
              <w:jc w:val="right"/>
              <w:spacing w:after="0"/>
              <w:rPr>
                <w:sz w:val="20"/>
                <w:szCs w:val="20"/>
                <w:color w:val="auto"/>
              </w:rPr>
            </w:pPr>
            <w:r>
              <w:rPr>
                <w:rFonts w:ascii="Arial" w:cs="Arial" w:eastAsia="Arial" w:hAnsi="Arial"/>
                <w:sz w:val="18"/>
                <w:szCs w:val="18"/>
                <w:color w:val="auto"/>
              </w:rPr>
              <w:t>$4,196.8</w:t>
            </w:r>
          </w:p>
        </w:tc>
      </w:tr>
      <w:tr>
        <w:trPr>
          <w:trHeight w:val="216"/>
        </w:trPr>
        <w:tc>
          <w:tcPr>
            <w:tcW w:w="63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320" w:type="dxa"/>
            <w:vAlign w:val="bottom"/>
          </w:tcPr>
          <w:p>
            <w:pPr>
              <w:ind w:left="220"/>
              <w:spacing w:after="0"/>
              <w:rPr>
                <w:sz w:val="20"/>
                <w:szCs w:val="20"/>
                <w:color w:val="auto"/>
              </w:rPr>
            </w:pPr>
            <w:r>
              <w:rPr>
                <w:rFonts w:ascii="Arial" w:cs="Arial" w:eastAsia="Arial" w:hAnsi="Arial"/>
                <w:sz w:val="18"/>
                <w:szCs w:val="18"/>
                <w:color w:val="auto"/>
              </w:rPr>
              <w:t>ALLETE Clean Energy</w:t>
            </w:r>
          </w:p>
        </w:tc>
        <w:tc>
          <w:tcPr>
            <w:tcW w:w="3600" w:type="dxa"/>
            <w:vAlign w:val="bottom"/>
          </w:tcPr>
          <w:p>
            <w:pPr>
              <w:jc w:val="right"/>
              <w:ind w:right="170"/>
              <w:spacing w:after="0"/>
              <w:rPr>
                <w:sz w:val="20"/>
                <w:szCs w:val="20"/>
                <w:color w:val="auto"/>
              </w:rPr>
            </w:pPr>
            <w:r>
              <w:rPr>
                <w:rFonts w:ascii="Arial" w:cs="Arial" w:eastAsia="Arial" w:hAnsi="Arial"/>
                <w:sz w:val="18"/>
                <w:szCs w:val="18"/>
                <w:color w:val="auto"/>
              </w:rPr>
              <w:t>1,596.6</w:t>
            </w:r>
          </w:p>
        </w:tc>
        <w:tc>
          <w:tcPr>
            <w:tcW w:w="1280" w:type="dxa"/>
            <w:vAlign w:val="bottom"/>
          </w:tcPr>
          <w:p>
            <w:pPr>
              <w:jc w:val="right"/>
              <w:spacing w:after="0"/>
              <w:rPr>
                <w:sz w:val="20"/>
                <w:szCs w:val="20"/>
                <w:color w:val="auto"/>
              </w:rPr>
            </w:pPr>
            <w:r>
              <w:rPr>
                <w:rFonts w:ascii="Arial" w:cs="Arial" w:eastAsia="Arial" w:hAnsi="Arial"/>
                <w:sz w:val="18"/>
                <w:szCs w:val="18"/>
                <w:color w:val="auto"/>
              </w:rPr>
              <w:t>1,483.3</w:t>
            </w:r>
          </w:p>
        </w:tc>
      </w:tr>
      <w:tr>
        <w:trPr>
          <w:trHeight w:val="216"/>
        </w:trPr>
        <w:tc>
          <w:tcPr>
            <w:tcW w:w="63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Corporate and Other</w:t>
            </w:r>
          </w:p>
        </w:tc>
        <w:tc>
          <w:tcPr>
            <w:tcW w:w="3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493.8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w:t>
            </w:r>
          </w:p>
        </w:tc>
      </w:tr>
      <w:tr>
        <w:trPr>
          <w:trHeight w:val="223"/>
        </w:trPr>
        <w:tc>
          <w:tcPr>
            <w:tcW w:w="63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36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$6,274.5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$6,084.6</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notes to those statements, Management’s Discussion and Analysis of Financial Condition and Results of Operations from our 2020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including Part II, Item 1A Risk Factors, and our 2020 Form 10-K under the headings: “Forward-Looking Statements” located on page 6 and “Risk Factors” located in Part I, Item 1A, beginning on page 23 of our 2020 Form 10-K. The risks and uncertainties described in this Form 10-Q and our 2020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has resulted in widespread impacts on the global economy and on our employees, customers, contractors, and suppliers. There is considerable uncertainty regarding the duration of the COVID-19 pandemic and the extent and duration of measures to try to contain the virus, such as travel and other restrictions (including those in effect in areas our businesses operate). Additional disclosures in this Form 10-Q regarding the impacts of the ongoing COVID-19 pandemic are located in Outlook – Regulated Operations – Industrial Customers and Prospective Additional Load as well as in our 2020 Form 10-K located in Outlook – Regulated Operations – Industrial Customers and Prospective Additional Load, Liquidity and Capital Resources – Liquidity Position and Part I, Item 1A. Risk Factors.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145,000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2. Regulatory Matters.)</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focuses on developing, acquiring, and operating clean and renewable energy projects. ALLETE Clean Energy currently owns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operates, in seven states, more than 1,000 MW of nameplate capacity wind energy generation that is contracted under PSAs of various durations. In addition, ALLETE Clean Energy currently has approximately 300 MW of wind energy facilities under construction. ALLETE Clean Energy also engages in the development of wind energy facilities to operate under long-term PSAs or for sale to others upon completion.</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our investment in Nobles 2, an entity that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a 250 MW wind energy facility in southwestern Minnesota; ALLETE Properties, our legacy Florida real estate investment; other business development and corporate expenditures; unallocated interest expense; a small amount of non-rate base generation; approximately 4,000 acres of land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2021, unless otherwise indicated. All subsidiaries are wholly-owned unless otherwise specifically indicated. References in this report to “we,” “us” and “our” are to ALLETE and its subsidiaries, collectively.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net income discussion summarizes a comparison of the three months ended March 31, 2021, to the three months ended March 31, 2020.</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Net income attributable to ALLETE for the three months ended March 31, 2021, was $51.8 million, or $0.99 per diluted share, compared to $66.3 million, or $1.28 per diluted share, for the same period in 2020. Net income in 2021 included an approximately $5 million after-tax, or $0.10 per share, negative impact related to ALLETE Clean Energy’s Diamond Spring wind energy facility due to an extreme winter storm event in the southern United States in February 2021. This winter storm event caused volatility in power prices in the regional power market resulting in losses being incurred under one of the facility’s power sales agreements during portions of the winter storm event. Net income in 2021 also included additional income tax expense of $3.3 million after-tax, or $0.06 per share, related to timing which is expected to reverse during the year. Net income in 2020 included margins of $7.7 million after-tax, or $0.15 per share, in Regulated Operations for sales under a 100 MW PSA which expired in April 2020.</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$45.0 million for the three months ended March 31, 2021, compared to $57.5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2020. Net income at Minnesota Power was lower than 2020 primarily due to: lower margins from Other Power Suppliers resulting from the expiration of a PSA; lower kWh sales to industrial customers; higher operating and maintenance, property tax and depreciation expenses; and the timing of income taxes. These decreases were partially offset by increased earnings related to the GNTL. Net income at SWL&amp;P and our after-tax equity earnings in ATC were similar to 2020.</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$7.4 million for the three months ended March 31, 2021, compared to $11.7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2020. Net income in 2021 included an approximately $5 million after-tax negative impact related to ALLETE Clean Energy’s Diamond Spring wind energy facility due to an extreme winter storm event in the southern United States in February 2021 as well as a lower income tax benefit due to the timing of income taxes. These decreases were partially offset by earnings from the South Peak wind energy facility, which commenced operations in April 2020.</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loss attributable to ALLETE was $0.6 million for the three months ended March 31, 2021, compared to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$2.9 million for the same period in 2020. The net loss in 2021 included higher earnings from marketable equity securities held in benefit trusts and earnings from our investment in Nobles 2, which commenced operations in December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tc>
        <w:tc>
          <w:tcPr>
            <w:tcW w:w="2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8000" w:type="dxa"/>
            <w:vAlign w:val="bottom"/>
            <w:gridSpan w:val="2"/>
          </w:tcPr>
          <w:p>
            <w:pPr>
              <w:spacing w:after="0"/>
              <w:rPr>
                <w:sz w:val="20"/>
                <w:szCs w:val="20"/>
                <w:color w:val="auto"/>
              </w:rPr>
            </w:pPr>
            <w:r>
              <w:rPr>
                <w:rFonts w:ascii="Arial" w:cs="Arial" w:eastAsia="Arial" w:hAnsi="Arial"/>
                <w:sz w:val="18"/>
                <w:szCs w:val="18"/>
                <w:color w:val="auto"/>
              </w:rPr>
              <w:t>(See Note 10. Business Segments for financial results by segment.)</w:t>
            </w: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r>
      <w:tr>
        <w:trPr>
          <w:trHeight w:val="230"/>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120.4</w:t>
            </w:r>
          </w:p>
        </w:tc>
        <w:tc>
          <w:tcPr>
            <w:tcW w:w="84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29"/>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50.4</w:t>
            </w:r>
          </w:p>
        </w:tc>
        <w:tc>
          <w:tcPr>
            <w:tcW w:w="84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9"/>
        </w:trPr>
        <w:tc>
          <w:tcPr>
            <w:tcW w:w="440" w:type="dxa"/>
            <w:vAlign w:val="bottom"/>
          </w:tcPr>
          <w:p>
            <w:pPr>
              <w:spacing w:after="0"/>
              <w:rPr>
                <w:sz w:val="19"/>
                <w:szCs w:val="19"/>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440" w:type="dxa"/>
            <w:vAlign w:val="bottom"/>
          </w:tcPr>
          <w:p>
            <w:pPr>
              <w:spacing w:after="0"/>
              <w:rPr>
                <w:sz w:val="19"/>
                <w:szCs w:val="19"/>
                <w:color w:val="auto"/>
              </w:rPr>
            </w:pPr>
          </w:p>
        </w:tc>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45.8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9"/>
        </w:trPr>
        <w:tc>
          <w:tcPr>
            <w:tcW w:w="440" w:type="dxa"/>
            <w:vAlign w:val="bottom"/>
          </w:tcPr>
          <w:p>
            <w:pPr>
              <w:spacing w:after="0"/>
              <w:rPr>
                <w:sz w:val="19"/>
                <w:szCs w:val="19"/>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(14.2)</w:t>
            </w: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440" w:type="dxa"/>
            <w:vAlign w:val="bottom"/>
          </w:tcPr>
          <w:p>
            <w:pPr>
              <w:spacing w:after="0"/>
              <w:rPr>
                <w:sz w:val="19"/>
                <w:szCs w:val="19"/>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440" w:type="dxa"/>
            <w:vAlign w:val="bottom"/>
          </w:tcPr>
          <w:p>
            <w:pPr>
              <w:spacing w:after="0"/>
              <w:rPr>
                <w:sz w:val="19"/>
                <w:szCs w:val="19"/>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440" w:type="dxa"/>
            <w:vAlign w:val="bottom"/>
          </w:tcPr>
          <w:p>
            <w:pPr>
              <w:spacing w:after="0"/>
              <w:rPr>
                <w:sz w:val="19"/>
                <w:szCs w:val="19"/>
                <w:color w:val="auto"/>
              </w:rPr>
            </w:pPr>
          </w:p>
        </w:tc>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39.3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440" w:type="dxa"/>
            <w:vAlign w:val="bottom"/>
          </w:tcPr>
          <w:p>
            <w:pPr>
              <w:spacing w:after="0"/>
              <w:rPr>
                <w:sz w:val="19"/>
                <w:szCs w:val="19"/>
                <w:color w:val="auto"/>
              </w:rPr>
            </w:pPr>
          </w:p>
        </w:tc>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440" w:type="dxa"/>
            <w:vAlign w:val="bottom"/>
          </w:tcPr>
          <w:p>
            <w:pPr>
              <w:spacing w:after="0"/>
              <w:rPr>
                <w:sz w:val="19"/>
                <w:szCs w:val="19"/>
                <w:color w:val="auto"/>
              </w:rPr>
            </w:pPr>
          </w:p>
        </w:tc>
        <w:tc>
          <w:tcPr>
            <w:tcW w:w="7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$45.0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bl>
    <w:p>
      <w:pPr>
        <w:spacing w:after="0" w:line="333"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increased $27.7 million from 2020 primarily due to higher fuel adjustment clause recoveries, increased revenue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GNTL, higher FERC formula-based rates and increased gas sales.</w:t>
      </w:r>
    </w:p>
    <w:p>
      <w:pPr>
        <w:spacing w:after="0" w:line="19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Fuel adjustment clause revenue increased $17.6 million due to higher fuel and purchased power costs attributable to retail and municipal customers.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recovery rider and transmission revenue related to GNTL increased $7.1 million primarily due to recovery of related expenses resulting from the GNTL being placed into service in June 2020 and additional expenditures for property, plant and equipment.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increased $2.4 million primarily due to higher rates.</w:t>
      </w:r>
    </w:p>
    <w:p>
      <w:pPr>
        <w:spacing w:after="0" w:line="25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Gas sales at SWL&amp;P increased $1.6 million as a result of colder weather and higher gas prices in the first quarter of 2021 compared to 2020.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Revenue from kWh sales was similar to 2020 reflecting lower sales to commercial and industrial customers as well as the expiration of a 100 MW PSA in April 2020, mostly offset by higher sales to residential customers, municipal customers and other power suppliers. Sales to commercial and industrial customers decreased primarily due to the adverse impact of the COVID-19 pandemic on customer operations. Some commercial and industrial customers operated at reduced levels or were temporarily closed or idled during the first quarter of 2021 as a result of the COVID-19 pandemic and related governmental responses while the pandemic had not yet fully impacted customers in the first quarter of 2020. In addition, Verso Corporation indefinitely idled its paper mill in Duluth, Minnesota, in June 2020, which remains idled. (See Outlook – Regulated Operations – Industrial Customers and Prospective Additional Load.) Sales to residential and municipal customers increased from 2020 primarily due to the impact of COVID-19 and colder weather in the first quarter of 2021 compared to 2020. Sales to other power suppliers, which are sold at market-based prices into the MISO market on a daily basis or through PSAs of various durations, increased primarily due to additional kWh sales made to mitigate the uncertainty of customers’ energy needs and potential load loss due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COMPARISON OF THE THREE MONTHS ENDED MARCH 31, 2021 AND 2020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331</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321</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492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341</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352</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(11)</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1,798</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1,902</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160</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156</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223"/>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2,630</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2,731</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1,248</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822</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426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51.8 %</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3,878</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3,553</w:t>
            </w:r>
          </w:p>
        </w:tc>
        <w:tc>
          <w:tcPr>
            <w:tcW w:w="14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325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bl>
    <w:p>
      <w:pPr>
        <w:spacing w:after="0" w:line="33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31 percent of regulated operating revenue in 2021 (30 percent in 2020). Revenue from electric sales to paper, pulp and secondary wood product customers accounted for 4 percent of regulated operating revenue in 2021 (6 percent in 2020). Revenue from electric sales to pipelines and other industrial customers accounted for 9 percent of regulated operating revenue in 2021 (9 percent in 2020).</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$37.4 million, or 18 percent, from 2020.</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$31.4 million, or 35 percent, from 2020 primarily due to higher kWh sales,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power prices and fuel costs as well as increased gas sales and higher gas prices at SWL&amp;P. Fuel and purchased power expense related to our retail and municipal customers is recovered through the fuel adjustment clause.</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$1.1 million, or 2 percent, from 2020 primarily due to an increase in labor and benefit expenses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higher contract and professional services, partially offset by a decrease in conservation improvement program expenses and the absence of rate case expenses in 2021.</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$1.3 million, or 3 percent, from 2020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resulting from the GNTL being placed into service in June 2020.</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$4.4 million, or 39 percent, from 2020 primarily due to higher property tax expense resulting from the GNTL</w:t>
      </w:r>
      <w:r>
        <w:rPr>
          <w:rFonts w:ascii="Arial" w:cs="Arial" w:eastAsia="Arial" w:hAnsi="Arial"/>
          <w:sz w:val="18"/>
          <w:szCs w:val="18"/>
          <w:i w:val="1"/>
          <w:iCs w:val="1"/>
          <w:color w:val="auto"/>
        </w:rPr>
        <w:t xml:space="preserve"> </w:t>
      </w:r>
      <w:r>
        <w:rPr>
          <w:rFonts w:ascii="Arial" w:cs="Arial" w:eastAsia="Arial" w:hAnsi="Arial"/>
          <w:sz w:val="18"/>
          <w:szCs w:val="18"/>
          <w:color w:val="auto"/>
        </w:rPr>
        <w:t>being placed into service in June 2020.</w:t>
      </w:r>
    </w:p>
    <w:p>
      <w:pPr>
        <w:spacing w:after="0" w:line="19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$2.3 million from 2020 primarily due to the timing of income taxes in 2021 compared to 2020 and lower production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credits, partially offset by lower pre-tax income. The income tax benefit in 2021 included additional income tax expense recorded in 2021 as GAAP requires the recognition of income taxes at the estimated annual effective tax rate.</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expect the annual effective tax rate for Regulated Operations in 2021 to be a lower income tax benefit than in 2020 primarily due to lower production tax credits.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THREE MONTHS ENDED MARCH 31, 2021 AND 2020 (Continued)</w:t>
            </w:r>
          </w:p>
        </w:tc>
        <w:tc>
          <w:tcPr>
            <w:tcW w:w="19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19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760" w:type="dxa"/>
            <w:vAlign w:val="bottom"/>
          </w:tcPr>
          <w:p>
            <w:pPr>
              <w:spacing w:after="0"/>
              <w:rPr>
                <w:sz w:val="24"/>
                <w:szCs w:val="24"/>
                <w:color w:val="auto"/>
              </w:rPr>
            </w:pP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Three Months Ended March 31,</w:t>
            </w:r>
          </w:p>
        </w:tc>
        <w:tc>
          <w:tcPr>
            <w:tcW w:w="190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76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1900" w:type="dxa"/>
            <w:vAlign w:val="bottom"/>
          </w:tcPr>
          <w:p>
            <w:pPr>
              <w:jc w:val="right"/>
              <w:ind w:right="210"/>
              <w:spacing w:after="0"/>
              <w:rPr>
                <w:sz w:val="20"/>
                <w:szCs w:val="20"/>
                <w:color w:val="auto"/>
              </w:rPr>
            </w:pPr>
            <w:r>
              <w:rPr>
                <w:rFonts w:ascii="Arial" w:cs="Arial" w:eastAsia="Arial" w:hAnsi="Arial"/>
                <w:sz w:val="18"/>
                <w:szCs w:val="18"/>
                <w:color w:val="auto"/>
              </w:rPr>
              <w:t>$18.1</w:t>
            </w: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760" w:type="dxa"/>
            <w:vAlign w:val="bottom"/>
          </w:tcPr>
          <w:p>
            <w:pPr>
              <w:spacing w:after="0"/>
              <w:rPr>
                <w:sz w:val="19"/>
                <w:szCs w:val="19"/>
                <w:color w:val="auto"/>
              </w:rPr>
            </w:pPr>
          </w:p>
        </w:tc>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1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6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Operating and Maintenance</w:t>
            </w:r>
          </w:p>
        </w:tc>
        <w:tc>
          <w:tcPr>
            <w:tcW w:w="1900" w:type="dxa"/>
            <w:vAlign w:val="bottom"/>
          </w:tcPr>
          <w:p>
            <w:pPr>
              <w:jc w:val="right"/>
              <w:ind w:right="270"/>
              <w:spacing w:after="0"/>
              <w:rPr>
                <w:sz w:val="20"/>
                <w:szCs w:val="20"/>
                <w:color w:val="auto"/>
              </w:rPr>
            </w:pPr>
            <w:r>
              <w:rPr>
                <w:rFonts w:ascii="Arial" w:cs="Arial" w:eastAsia="Arial" w:hAnsi="Arial"/>
                <w:sz w:val="18"/>
                <w:szCs w:val="18"/>
                <w:color w:val="auto"/>
              </w:rPr>
              <w:t>12.2</w:t>
            </w: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760" w:type="dxa"/>
            <w:vAlign w:val="bottom"/>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760" w:type="dxa"/>
            <w:vAlign w:val="bottom"/>
          </w:tcPr>
          <w:p>
            <w:pPr>
              <w:spacing w:after="0"/>
              <w:rPr>
                <w:sz w:val="19"/>
                <w:szCs w:val="19"/>
                <w:color w:val="auto"/>
              </w:rPr>
            </w:pP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Taxes Other than Income Taxes</w:t>
            </w:r>
          </w:p>
        </w:tc>
        <w:tc>
          <w:tcPr>
            <w:tcW w:w="1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760" w:type="dxa"/>
            <w:vAlign w:val="bottom"/>
          </w:tcPr>
          <w:p>
            <w:pPr>
              <w:spacing w:after="0"/>
              <w:rPr>
                <w:sz w:val="19"/>
                <w:szCs w:val="19"/>
                <w:color w:val="auto"/>
              </w:rPr>
            </w:pPr>
          </w:p>
        </w:tc>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19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(5.3)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6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Interest Expense</w:t>
            </w:r>
          </w:p>
        </w:tc>
        <w:tc>
          <w:tcPr>
            <w:tcW w:w="1900" w:type="dxa"/>
            <w:vAlign w:val="bottom"/>
          </w:tcPr>
          <w:p>
            <w:pPr>
              <w:ind w:left="1240"/>
              <w:spacing w:after="0"/>
              <w:rPr>
                <w:sz w:val="20"/>
                <w:szCs w:val="20"/>
                <w:color w:val="auto"/>
              </w:rPr>
            </w:pPr>
            <w:r>
              <w:rPr>
                <w:rFonts w:ascii="Arial" w:cs="Arial" w:eastAsia="Arial" w:hAnsi="Arial"/>
                <w:sz w:val="18"/>
                <w:szCs w:val="18"/>
                <w:color w:val="auto"/>
              </w:rPr>
              <w:t>(0.4)</w:t>
            </w:r>
          </w:p>
        </w:tc>
        <w:tc>
          <w:tcPr>
            <w:tcW w:w="760" w:type="dxa"/>
            <w:vAlign w:val="bottom"/>
          </w:tcPr>
          <w:p>
            <w:pPr>
              <w:ind w:left="380"/>
              <w:spacing w:after="0"/>
              <w:rPr>
                <w:sz w:val="20"/>
                <w:szCs w:val="20"/>
                <w:color w:val="auto"/>
              </w:rPr>
            </w:pPr>
            <w:r>
              <w:rPr>
                <w:rFonts w:ascii="Arial" w:cs="Arial" w:eastAsia="Arial" w:hAnsi="Arial"/>
                <w:sz w:val="18"/>
                <w:szCs w:val="18"/>
                <w:color w:val="auto"/>
                <w:w w:val="97"/>
              </w:rPr>
              <w:t>(0.5)</w:t>
            </w:r>
          </w:p>
        </w:tc>
      </w:tr>
      <w:tr>
        <w:trPr>
          <w:trHeight w:val="230"/>
        </w:trPr>
        <w:tc>
          <w:tcPr>
            <w:tcW w:w="760" w:type="dxa"/>
            <w:vAlign w:val="bottom"/>
          </w:tcPr>
          <w:p>
            <w:pPr>
              <w:spacing w:after="0"/>
              <w:rPr>
                <w:sz w:val="19"/>
                <w:szCs w:val="19"/>
                <w:color w:val="auto"/>
              </w:rPr>
            </w:pPr>
          </w:p>
        </w:tc>
        <w:tc>
          <w:tcPr>
            <w:tcW w:w="7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9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60" w:type="dxa"/>
            <w:vAlign w:val="bottom"/>
          </w:tcPr>
          <w:p>
            <w:pPr>
              <w:spacing w:after="0"/>
              <w:rPr>
                <w:sz w:val="19"/>
                <w:szCs w:val="19"/>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rPr>
              <w:t>Income (Loss) Before Income Taxes</w:t>
            </w:r>
          </w:p>
        </w:tc>
        <w:tc>
          <w:tcPr>
            <w:tcW w:w="1900" w:type="dxa"/>
            <w:vAlign w:val="bottom"/>
          </w:tcPr>
          <w:p>
            <w:pPr>
              <w:ind w:left="1240"/>
              <w:spacing w:after="0"/>
              <w:rPr>
                <w:sz w:val="20"/>
                <w:szCs w:val="20"/>
                <w:color w:val="auto"/>
              </w:rPr>
            </w:pPr>
            <w:r>
              <w:rPr>
                <w:rFonts w:ascii="Arial" w:cs="Arial" w:eastAsia="Arial" w:hAnsi="Arial"/>
                <w:sz w:val="18"/>
                <w:szCs w:val="18"/>
                <w:color w:val="auto"/>
              </w:rPr>
              <w:t>(5.5)</w:t>
            </w: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60" w:type="dxa"/>
            <w:vAlign w:val="bottom"/>
          </w:tcPr>
          <w:p>
            <w:pPr>
              <w:spacing w:after="0"/>
              <w:rPr>
                <w:sz w:val="19"/>
                <w:szCs w:val="19"/>
                <w:color w:val="auto"/>
              </w:rPr>
            </w:pPr>
          </w:p>
        </w:tc>
        <w:tc>
          <w:tcPr>
            <w:tcW w:w="7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90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(5.9)</w:t>
            </w:r>
          </w:p>
        </w:tc>
        <w:tc>
          <w:tcPr>
            <w:tcW w:w="7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7"/>
              </w:rPr>
              <w:t>(7.2)</w:t>
            </w:r>
          </w:p>
        </w:tc>
      </w:tr>
      <w:tr>
        <w:trPr>
          <w:trHeight w:val="223"/>
        </w:trPr>
        <w:tc>
          <w:tcPr>
            <w:tcW w:w="760" w:type="dxa"/>
            <w:vAlign w:val="bottom"/>
          </w:tcPr>
          <w:p>
            <w:pPr>
              <w:spacing w:after="0"/>
              <w:rPr>
                <w:sz w:val="19"/>
                <w:szCs w:val="19"/>
                <w:color w:val="auto"/>
              </w:rPr>
            </w:pPr>
          </w:p>
        </w:tc>
        <w:tc>
          <w:tcPr>
            <w:tcW w:w="7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w:t>
            </w:r>
          </w:p>
        </w:tc>
        <w:tc>
          <w:tcPr>
            <w:tcW w:w="1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760" w:type="dxa"/>
            <w:vAlign w:val="bottom"/>
          </w:tcPr>
          <w:p>
            <w:pPr>
              <w:spacing w:after="0"/>
              <w:rPr>
                <w:sz w:val="19"/>
                <w:szCs w:val="19"/>
                <w:color w:val="auto"/>
              </w:rPr>
            </w:pPr>
          </w:p>
        </w:tc>
        <w:tc>
          <w:tcPr>
            <w:tcW w:w="7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90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(7.0)</w:t>
            </w:r>
          </w:p>
        </w:tc>
        <w:tc>
          <w:tcPr>
            <w:tcW w:w="7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7"/>
              </w:rPr>
              <w:t>(1.8)</w:t>
            </w:r>
          </w:p>
        </w:tc>
      </w:tr>
      <w:tr>
        <w:trPr>
          <w:trHeight w:val="223"/>
        </w:trPr>
        <w:tc>
          <w:tcPr>
            <w:tcW w:w="760" w:type="dxa"/>
            <w:vAlign w:val="bottom"/>
          </w:tcPr>
          <w:p>
            <w:pPr>
              <w:spacing w:after="0"/>
              <w:rPr>
                <w:sz w:val="19"/>
                <w:szCs w:val="19"/>
                <w:color w:val="auto"/>
              </w:rPr>
            </w:pPr>
          </w:p>
        </w:tc>
        <w:tc>
          <w:tcPr>
            <w:tcW w:w="7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Attributable to ALLETE</w:t>
            </w:r>
          </w:p>
        </w:tc>
        <w:tc>
          <w:tcPr>
            <w:tcW w:w="1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4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$0.8 million, or 4 percent, from 2020 primarily due to revenue from the South Peak wind energy facility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commenced operations in April 2020, partially offset by the negative impact related to ALLETE Clean Energy’s Diamond Spring wind energy facility due to an extreme winter storm event in the southern United States in February 2021.</w:t>
      </w:r>
    </w:p>
    <w:p>
      <w:pPr>
        <w:spacing w:after="0" w:line="8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40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Three Months Ended March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Revenue</w:t>
            </w: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East</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79.4</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$7.2</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78.6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240.1</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8.4</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244.4</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 xml:space="preserve">South </w:t>
            </w:r>
            <w:r>
              <w:rPr>
                <w:rFonts w:ascii="Arial" w:cs="Arial" w:eastAsia="Arial" w:hAnsi="Arial"/>
                <w:sz w:val="16"/>
                <w:szCs w:val="16"/>
                <w:i w:val="1"/>
                <w:iCs w:val="1"/>
                <w:color w:val="auto"/>
              </w:rPr>
              <w:t>(a)</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276.4</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(0.8)</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West</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221.8</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6.1</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141.8</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Production and Operating Revenue</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817.7</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$20.9</w:t>
            </w: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464.8</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60" w:hanging="328"/>
        <w:spacing w:after="0" w:line="275" w:lineRule="auto"/>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Negative revenue during the three months ended March 31, 2021, resulted from the impact related to ALLETE Clean Energy’s Diamond Spring wind energy facility due to an extreme winter storm event in the southern United States in February 2021.</w:t>
      </w:r>
    </w:p>
    <w:p>
      <w:pPr>
        <w:spacing w:after="0" w:line="19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increased $4.0 million, or 49 percent, from 2020 primarily due to operating and maintenance expenses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South Peak and Diamond Spring wind energy facilities.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$3.9 million, or 48 percent, from 2020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South Peak and Diamond Spring wind energy facilities.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Taxes Other than Income Taxes </w:t>
      </w:r>
      <w:r>
        <w:rPr>
          <w:rFonts w:ascii="Arial" w:cs="Arial" w:eastAsia="Arial" w:hAnsi="Arial"/>
          <w:sz w:val="18"/>
          <w:szCs w:val="18"/>
          <w:color w:val="auto"/>
        </w:rPr>
        <w:t>increased $1.2 million from 2020 primarily due to higher property tax expense related to the South Peak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Diamond Spring wind energy facilities.</w:t>
      </w:r>
    </w:p>
    <w:p>
      <w:pPr>
        <w:spacing w:after="0" w:line="19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$1.3 million from 2020 primarily due to the timing of income taxes in 2021 compared to 2020. The income tax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2021 included additional income tax expense recorded in 2021 as GAAP requires the recognition of income taxes at the estimated annual effective tax rate.</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increased $5.2 million in 2021 reflecting net losses attributable to non-controlling interest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South Peak and Diamond Spring wind energy facilities.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2021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COMPARISON OF THE THREE MONTHS ENDED MARCH 31, 2021 AND 2020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$0.9 million, or 3 percent, from 2020 primarily due to lower revenue at BNI Energy, which operates under cost-plus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fee contracts, as a result of lower expenses in 2021 compared to 2020 and fewer tons sold as well as lower land sales at ALLETE Properties.</w:t>
      </w:r>
    </w:p>
    <w:p>
      <w:pPr>
        <w:spacing w:after="0" w:line="15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was $0.6 million in 2021 compared to a net loss of $2.9 million in 2020. The net loss in 2021 included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from marketable equity securities held in benefit trusts and earnings from our investment in Nobles 2, which commenced operations in December 2020. Net income at BNI Energy was $1.6 million in 2021 compared to net income of $0.7 million in 2020. The net loss at ALLETE Properties was $0.6 million in 2021 compared to a net loss of $0.5 million in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5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the three months ended March 31, 2021, the effective tax rate was a benefit of 31.5 percent (benefit of 27.2 percent for the three months ended March 31, 2020). The effective tax rate for 2021 was a higher benefit primarily due to lower pre-tax income.</w:t>
      </w:r>
    </w:p>
    <w:p>
      <w:pPr>
        <w:spacing w:after="0" w:line="197"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We expect our annual effective tax rate in 2021 to be a higher benefit as compared to 2020 primarily due to lower pre-tax income. The effective rate deviated from the combined statutory rate of approximately 28 percent primarily due to production tax credits. (See Note 8. Income Tax Expense.)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2020 Form 10-K.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2020 Form 10-K.</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long-term objective of achieving consolidated average annual earnings per share growth of 5 percent to 7 percent; with a Regulated Operations growth objective of 4 percent to 5 percent, and an ALLETE Clean Energy and Corporate and Other businesses growth objective of at least 15 percent over the long-term. We have made steady progress over the past several quarters in the evolution of our ALLETE Clean Energy strategy as we position the business to provide more comprehensive clean energy solutions. We believe that the renewable energy industry continues to have tremendous potential driven by societal demands for climate action and fulfilling ESG commitments. ALLETE Clean Energy’s existing platform provides a strong foundation for growth as we seek to expand our product offerings, further diversify our portfolio and deliver financial returns within our expected criteria over the long-term. Our current projection of ALLETE’s consolidated average annual earnings per share growth rate, using 2019 as a base year, is in line with our stated long-term (5-year) growth objective of 5 percent to 7 percent; with a Regulated Operations growth projection of approximately 3 percent, and an ALLETE Clean Energy and Corporate and Other businesses growth projection of approximately 30 percent to 40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OUTLOOK (Continued)</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earnings during the year ended December 31, 2020, and quarter ended March 31, 2021, were negatively impacted by the ongoing COVID-19 pandemic and related disruptions. COVID-19 has had a material impact on Minnesota Power’s industrial customers and, as a result, our sales to these customers. Multiple taconite facilities were idled for portions of the year in 2020 and Verso Corporation idled its paper mill in Duluth, Minnesota. The Verso Corporation paper mill remains indefinitely idled; however, Verso Corporation has disclosed it is considering options for the paper mill, including marketing for a sale. In addition, many of our commercial, municipal, and small industrial customers are operating at reduced levels, or are temporarily closed. We expect our earnings to continue to be impacted in 2021 due to the ongoing COVID-19 pandemic, with lower sales to some industrial customers than historical levels, Verso Corporation remaining indefinitely idled, and some of our commercial, municipal, and small industrial customers operating at reduced levels throughout the year. Our 2021 consolidated ALLETE earnings are expected to be lower than 2020, primarily due to lower earnings at our Regulated Operations.</w:t>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response to these lower sales in 2020, and in anticipation of potentially lower sales in 2021, Minnesota Power submitted a petition in November 2020 to the MPUC requesting authority to track and record as a regulatory asset lost large industrial customer revenue resulting from the idling of USS Corporation’s Keetac facility and Verso Corporation’s paper mill in Duluth, Minnesota. Keetac and Verso represent revenue of approximately $30 million annually, net of associated expense savings such as fuel costs. Minnesota Power proposed in this petition to defer any lost revenue related to the idling of the Keetac facility and the Verso paper mill to its next general rate case or other proceeding for review for recovery by the MPUC. At a hearing on April 1, 2021, the MPUC denied Minnesota Power’s request. Minnesota Power anticipates filing a general rate case in November 2021 with a 2022 test year.</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Minnesota Power also submitted its IRP with the MPUC on February 1, 2021. The outcome of this IRP is likely to be instrumental in the evolution of our </w:t>
      </w:r>
      <w:r>
        <w:rPr>
          <w:rFonts w:ascii="Arial" w:cs="Arial" w:eastAsia="Arial" w:hAnsi="Arial"/>
          <w:sz w:val="18"/>
          <w:szCs w:val="18"/>
          <w:i w:val="1"/>
          <w:iCs w:val="1"/>
          <w:color w:val="auto"/>
        </w:rPr>
        <w:t xml:space="preserve">EnergyForward </w:t>
      </w:r>
      <w:r>
        <w:rPr>
          <w:rFonts w:ascii="Arial" w:cs="Arial" w:eastAsia="Arial" w:hAnsi="Arial"/>
          <w:sz w:val="18"/>
          <w:szCs w:val="18"/>
          <w:color w:val="auto"/>
        </w:rPr>
        <w:t>strategic plan that provides for significant emission reductions and diversifying our electricity generation mix to include more renewables,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is expected to provide potential earnings growth over the long-term. (See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Portions of our ALLETE Clean Energy business is experiencing return pressures on our earnings per share growth from increased competition, and lower forward price curves, as a growing amount of investment capital is being directed into wind generation opportunities. In addition, current and potential new project developments can be negatively affected by a lower ALLETE stock price, which may result in such projects not being accretive, or otherwise unable to satisfy our financial objectives criteria to proceed. In response to these market pressures, we are actively evaluating additional growth opportunities to deliver more comprehensive clean energy solutions for customers at ALLETE Clean Energy, which may include solar, storage solutions, and related energy infrastructure investments and services. We believe that the renewable energy industry is entering a new phase of growth and that we are well-positioned to serve customers and drive future growth at ALLETE. ALLETE Clean Energy will continue to optimize its existing wind energy facility portfolio, seek development of its remaining safe harbor inventory of tax credit qualified turbines, and explore other renewable energy opportunities to expand its service offerings to further enhance its growth and profitability.</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ALLETE Clean Energy and our Corporate and Other businesses to complement its regulated businesses, balance exposure to the utility’s industrial customers, and provide potential long-term earnings growth. ALLETE expects net income from Regulated Operations to be approximately 80 percent of total consolidated net income in 2021. Over the next several years, the contribution of ALLETE Clean Energy and our Corporate and Other businesses to net income is expected to increase as ALLETE grows these operations. ALLETE expects its businesses to provide regulated, contracted or recurring revenues, and to support sustained growth in net income and cash flow.</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Minnesota Power has a goal of delivering 100 percent carbon-free energy by 2050. (See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OUTLOOK (Continued)</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Industrial Customers. </w:t>
      </w:r>
      <w:r>
        <w:rPr>
          <w:rFonts w:ascii="Arial" w:cs="Arial" w:eastAsia="Arial" w:hAnsi="Arial"/>
          <w:sz w:val="16"/>
          <w:szCs w:val="16"/>
          <w:color w:val="auto"/>
        </w:rPr>
        <w:t>Electric power is one of several key inputs in the taconite mining, paper, pulp and secondary wood products, pipeline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Approximately 46 percent of our regulated utility kWh sales in the three months ended March 31, 2021, were made to our industrial customers (54 percent in the three months ended March 31, 2020). These customers and their markets have been impacted by the ongoing COVID-19 pandemic.</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ongoing COVID-19 pandemic and related governmental responses has led to a disruption of economic activity, and could result in a continued disruption of economic activity. This disruption has resulted in reduced sales and revenue from industrial customers as many industrial customers operated at reduced levels or were temporarily closed or idled during 2020. In addition, Verso Corporation indefinitely idled its paper mill in Duluth, Minnesota. (See </w:t>
      </w:r>
      <w:r>
        <w:rPr>
          <w:rFonts w:ascii="Arial" w:cs="Arial" w:eastAsia="Arial" w:hAnsi="Arial"/>
          <w:sz w:val="16"/>
          <w:szCs w:val="16"/>
          <w:i w:val="1"/>
          <w:iCs w:val="1"/>
          <w:color w:val="auto"/>
        </w:rPr>
        <w:t>Verso Corporation</w:t>
      </w:r>
      <w:r>
        <w:rPr>
          <w:rFonts w:ascii="Arial" w:cs="Arial" w:eastAsia="Arial" w:hAnsi="Arial"/>
          <w:sz w:val="16"/>
          <w:szCs w:val="16"/>
          <w:color w:val="auto"/>
        </w:rPr>
        <w:t>.) The current disruption of economic activity or an extended disruption of economic activity may lead to additional adverse impacts on our taconite and paper, pulp and secondary wood products, pipeline and other industrial customers’ operations including further reduced production or the temporary idling or indefinite shutdown of other facilities, which would result in lower sales and revenue from these customers.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Taconite</w:t>
      </w:r>
      <w:r>
        <w:rPr>
          <w:rFonts w:ascii="Arial" w:cs="Arial" w:eastAsia="Arial" w:hAnsi="Arial"/>
          <w:sz w:val="18"/>
          <w:szCs w:val="18"/>
          <w:color w:val="auto"/>
        </w:rPr>
        <w:t>. Minnesota Power’s taconite customers are capable of producing up to approximately 41 million tons of taconite pellets annually. Taconite pellets produced in Minnesota are primarily shipped to North American steel making facilities that are part of the integrated steel industry, which continue to lead the world in environmental performance among steelmaking countries. According to the U.S. Department of Energy, steel production in the U.S. is the most energy efficient of any major steel producing country. Steel produced from these North American facilities is used primarily in the manufacture of automobiles, appliances, tubular applications for all industries, and in the construction industry. Steel is also a critical component of the clean energy transformation underway today. The demand for more renewable energy and the need for additional infrastructure to transport green energy from the point of generation to the end user all requires steel. Historically, less than 10 percent of Minnesota taconite production has been exported outside of North America.</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77 percent of capacity during the first three months of 2021 compared to 79 percent in the first three months of 2020. The World Steel Association, an association of steel producers, national and regional steel industry associations, and steel research institutes representing approximately 85 percent of world steel production, projected in April 2021 that U.S. steel consumption will increase in 2021 by approximately 8 percent compared to 2020.</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Northshore Mining</w:t>
      </w:r>
      <w:r>
        <w:rPr>
          <w:rFonts w:ascii="Arial" w:cs="Arial" w:eastAsia="Arial" w:hAnsi="Arial"/>
          <w:sz w:val="18"/>
          <w:szCs w:val="18"/>
          <w:i w:val="1"/>
          <w:iCs w:val="1"/>
          <w:color w:val="auto"/>
        </w:rPr>
        <w:t xml:space="preserve">. </w:t>
      </w:r>
      <w:r>
        <w:rPr>
          <w:rFonts w:ascii="Arial" w:cs="Arial" w:eastAsia="Arial" w:hAnsi="Arial"/>
          <w:sz w:val="18"/>
          <w:szCs w:val="18"/>
          <w:color w:val="auto"/>
        </w:rPr>
        <w:t>Cliffs completed construction of a hot briquetted iron production plant in Toledo, Ohio, in 2020, which utilizes direct reduced-grade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pellets from Northshore Mining. In April 2020, Cliffs announced that, based on market conditions, it would be temporarily idling Northshore Mining. Cliffs idled production at Northshore Mining in April 2020 and resumed normal production at the facility in August 2020. Northshore Mining has the capability to produce approximately 6 million tons annually. Minnesota Power has a PSA through 2031 with Silver Bay Power, which provides the majority of the electric service requirements for Northshore Mining. (See </w:t>
      </w:r>
      <w:r>
        <w:rPr>
          <w:rFonts w:ascii="Arial" w:cs="Arial" w:eastAsia="Arial" w:hAnsi="Arial"/>
          <w:sz w:val="18"/>
          <w:szCs w:val="18"/>
          <w:i w:val="1"/>
          <w:iCs w:val="1"/>
          <w:color w:val="auto"/>
        </w:rPr>
        <w:t>Silver Bay Power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Silver Bay Power</w:t>
      </w:r>
      <w:r>
        <w:rPr>
          <w:rFonts w:ascii="Arial" w:cs="Arial" w:eastAsia="Arial" w:hAnsi="Arial"/>
          <w:sz w:val="17"/>
          <w:szCs w:val="17"/>
          <w:i w:val="1"/>
          <w:iCs w:val="1"/>
          <w:color w:val="auto"/>
        </w:rPr>
        <w:t xml:space="preserve">. </w:t>
      </w:r>
      <w:r>
        <w:rPr>
          <w:rFonts w:ascii="Arial" w:cs="Arial" w:eastAsia="Arial" w:hAnsi="Arial"/>
          <w:sz w:val="17"/>
          <w:szCs w:val="17"/>
          <w:color w:val="auto"/>
        </w:rPr>
        <w:t>In 2016, Minnesota Power and Silver Bay Power entered into a PSA through 2031. Silver Bay Power supplies approximately 90 MW of</w:t>
      </w:r>
      <w:r>
        <w:rPr>
          <w:rFonts w:ascii="Arial" w:cs="Arial" w:eastAsia="Arial" w:hAnsi="Arial"/>
          <w:sz w:val="17"/>
          <w:szCs w:val="17"/>
          <w:i w:val="1"/>
          <w:iCs w:val="1"/>
          <w:color w:val="auto"/>
        </w:rPr>
        <w:t xml:space="preserve"> </w:t>
      </w:r>
      <w:r>
        <w:rPr>
          <w:rFonts w:ascii="Arial" w:cs="Arial" w:eastAsia="Arial" w:hAnsi="Arial"/>
          <w:sz w:val="17"/>
          <w:szCs w:val="17"/>
          <w:color w:val="auto"/>
        </w:rPr>
        <w:t>load to Northshore Mining, an affiliate of Silver Bay Power, which had previously been served predominately through self-generation by Silver Bay Power. Starting in 2016, Minnesota Power supplied Silver Bay Power with at least 50 MW of energy and Silver Bay Power had the option to purchase additional energy from Minnesota Power as it transitioned away from self-generation. In the third quarter of 2019, Silver Bay Power ceased self-generation and Minnesota Power began supplying the full energy requirements for Silver Bay Power.</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USS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April 2020, USS Corporation stated it would idle its Keetac facility in Keewatin, Minnesota, in response to the sudden and dramatic</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in business conditions resulting from the COVID-19 pandemic. In addition, in May 2020, USS Corporation announced that production was expected to be temporarily reduced at its Minntac Plant in Mountain Iron, Minnesota. USS Corporation resumed normal production at its Minntac Plant beginning in late July 2020 and resumed operations at its Keetac facility in December 2020. USS Corporation has the capability to produce approximately 15 million and 5 million tons annually at its Minntac and Keetac plants, respectively.</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Hibbing Taconite</w:t>
      </w:r>
      <w:r>
        <w:rPr>
          <w:rFonts w:ascii="Arial" w:cs="Arial" w:eastAsia="Arial" w:hAnsi="Arial"/>
          <w:sz w:val="18"/>
          <w:szCs w:val="18"/>
          <w:color w:val="auto"/>
        </w:rPr>
        <w:t>. In April 2020, ArcelorMittal announced that Hibbing Taconite in Hibbing, Minnesota, would idle production due to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Hibbing Taconite resumed normal production in August 2020. Hibbing Taconite’s current mineable ore reserves are expected to be exhausted in 2025. Cliffs, which in December 2020 became majority owner and resumed management of Hibbing Taconite, has stated that it has a plan to extend the mine life of Hibbing Taconite with ore reserves already under control of Cliffs. There are ample ore reserves in northeastern Minnesota that could supply operations for decades to come, and Minnesota Power’s taconite customers routinely develop and extend their mine plans to optimize assets. Hibbing Taconite has the capability to produce approximately 8 million tons annually.</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Cliffs Acquisition</w:t>
      </w:r>
      <w:r>
        <w:rPr>
          <w:rFonts w:ascii="Arial" w:cs="Arial" w:eastAsia="Arial" w:hAnsi="Arial"/>
          <w:sz w:val="18"/>
          <w:szCs w:val="18"/>
          <w:color w:val="auto"/>
        </w:rPr>
        <w:t>. In December 2020, Cliffs announced that it had completed the previously announced acquisition of substantially all of the operations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ArcelorMittal USA LLC and its subsidiaries. Cliffs had stated that upon closure of the acquisition Cliffs would be the largest flat-rolled steel producer and the largest iron ore pellet producer in North America. The acquisition included ArcelorMittal’s Minorca mine in Virginia, Minnesota, and its ownership share of Hibbing Taconite in Hibbing, Minnesota, which are both large industrial customers of Minnesota Power. Cliffs is now Minnesota Power’s largest customer. The acquisition has increased customer concentration risk for the Company and could lead to further capacity consolidation for both steel blast furnaces and the related Minnesota iron ore production.</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Minnesota Sulfate Wild Rice Water Quality Standard</w:t>
      </w:r>
      <w:r>
        <w:rPr>
          <w:rFonts w:ascii="Arial" w:cs="Arial" w:eastAsia="Arial" w:hAnsi="Arial"/>
          <w:sz w:val="18"/>
          <w:szCs w:val="18"/>
          <w:color w:val="auto"/>
        </w:rPr>
        <w:t>. On April 29, 2021, the EPA identified rivers and lakes in Minnesota that grow wild rice and have</w:t>
      </w:r>
      <w:r>
        <w:rPr>
          <w:rFonts w:ascii="Arial" w:cs="Arial" w:eastAsia="Arial" w:hAnsi="Arial"/>
          <w:sz w:val="18"/>
          <w:szCs w:val="18"/>
          <w:i w:val="1"/>
          <w:iCs w:val="1"/>
          <w:color w:val="auto"/>
        </w:rPr>
        <w:t xml:space="preserve"> </w:t>
      </w:r>
      <w:r>
        <w:rPr>
          <w:rFonts w:ascii="Arial" w:cs="Arial" w:eastAsia="Arial" w:hAnsi="Arial"/>
          <w:sz w:val="18"/>
          <w:szCs w:val="18"/>
          <w:color w:val="auto"/>
        </w:rPr>
        <w:t>sulfate levels that exceed Minnesota’s sulfate limit for wild rice waters. The EPA directed the MPCA to add these rivers and lakes to its list of impaired waters which can be used to set limits in discharge permits for industrial activities such as mining. Minnesota Power’s taconite customers could be adversely impacted if they are required to significantly reduce sulfate discharges.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Paper, Pulp and Secondary Wood Products</w:t>
      </w:r>
      <w:r>
        <w:rPr>
          <w:rFonts w:ascii="Arial" w:cs="Arial" w:eastAsia="Arial" w:hAnsi="Arial"/>
          <w:sz w:val="18"/>
          <w:szCs w:val="18"/>
          <w:color w:val="auto"/>
        </w:rPr>
        <w:t xml:space="preserve">. The North American paper and pulp industry faces declining demand due to the impact of electronic substitution for print and changing customer needs. As a result, certain paper and pulp customers have reduced their existing operations in recent years and have pursued or are pursuing product changes in response to the declining demand. We expect operating levels in 2021 at the four major paper and pulp mills we serve to be lower than 2020 primarily due to the indefinite idling of Verso Corporation’s paper mill in Duluth, Minnesota. (See </w:t>
      </w:r>
      <w:r>
        <w:rPr>
          <w:rFonts w:ascii="Arial" w:cs="Arial" w:eastAsia="Arial" w:hAnsi="Arial"/>
          <w:sz w:val="18"/>
          <w:szCs w:val="18"/>
          <w:i w:val="1"/>
          <w:iCs w:val="1"/>
          <w:color w:val="auto"/>
        </w:rPr>
        <w:t>Verso</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w:t>
      </w:r>
      <w:r>
        <w:rPr>
          <w:rFonts w:ascii="Arial" w:cs="Arial" w:eastAsia="Arial" w:hAnsi="Arial"/>
          <w:sz w:val="18"/>
          <w:szCs w:val="18"/>
          <w:color w:val="auto"/>
        </w:rPr>
        <w:t>.)</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Verso Corporation</w:t>
      </w:r>
      <w:r>
        <w:rPr>
          <w:rFonts w:ascii="Arial" w:cs="Arial" w:eastAsia="Arial" w:hAnsi="Arial"/>
          <w:sz w:val="17"/>
          <w:szCs w:val="17"/>
          <w:color w:val="auto"/>
        </w:rPr>
        <w:t>. In June 2020, Verso Corporation indefinitely idled its paper mill in Duluth, Minnesota (Duluth Mill). Verso Corporation stated the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 was due to the accelerated decline in graphic paper demand resulting from the COVID-19 pandemic and has disclosed it is considering options for the Duluth Mill, including marketing for a sale. On January 29, 2021, Verso Corporation provided notice of termination for its contract effective in January 2025, with no demand charge expected after February 2023 (minimal demand charge through January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r>
        <w:rPr>
          <w:rFonts w:ascii="Arial" w:cs="Arial" w:eastAsia="Arial" w:hAnsi="Arial"/>
          <w:sz w:val="18"/>
          <w:szCs w:val="18"/>
          <w:color w:val="auto"/>
        </w:rPr>
        <w: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Husky Energy</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2018, a fire at Husky Energy’s refinery in Superior, Wisconsin, disrupted operations at the facility. Under normal operating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SWL&amp;P provides approximately 14 MW of average monthly demand to Husky Energy in addition to water service. In 2019, Husky Energy announced that it had received the required permit approvals to begin reconstruction. In June 2020, Husky Energy announced that rebuild construction at the refinery had resumed following a suspension in March 2020 due to the COVID-19 pandemic. The facility remains at minimal operations, and the refinery is not expected to resume normal operations until 2023. In October 2020, Husky Energy announced a transaction to combine with Cenovus Energy Inc., which closed in the first quarter of 2021.</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in northeastern Minnesota continue to progress in the development of natural resource-based projects that represent long-term growth potential and load diversity for Minnesota Power. We cannot predict the outcome of these projects.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and the U.S. Army Corps of Engineers have both issued final Records of Decision, finding the final EIS adequate.</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PolyMet was issued all necessary permits to construct and operate its new mining operation; however, in early 2020, the Minnesota Court of Appeals reversed decisions granting PolyMet’s permit to mine, dam-safety permits and air permits. PolyMet filed petitions for further review with the Minnesota Supreme Court seeking to overturn the Minnesota Court of Appeals decisions. In February 2021, the Minnesota Supreme Court ruled in PolyMet's favor and overturned a decision by the Minnesota Court of Appeals that had remanded the air permit back to the MPCA. The court returned the case to the Minnesota Court of Appeals to resolve a limited number of items the lower court did not specifically address in its original decision. On March 8, 2021, the U.S. District Court of Minnesota granted an EPA request to conduct a 90-day review of downstream water quality under Section 401(a)(2) of the Clean Water Act. Given the EPA's downstream water quality determination is necessary for PolyMet's federal Section 404 wetlands permit, on March 17, 2021, the U.S Army Corps of Engineers notified PolyMet it had suspended the permit for the duration of the EPA's review. On April 28, 2021, the Minnesota Supreme Court reversed the Minnesota Court of Appeals decision on the dam-safety permits while also upholding its decision on PolyMet’s permit to mine. The decision requires the DNR to hold a contested case hearing regarding the effectiveness of bentonite clay capping for eventual closure of PolyMet’s planned tailings basin and to also determine a fixed term for the permit to mine. Minnesota Power could supply between 45 MW and 50 MW of load under a 10-year power supply contract with PolyMet that would begin upon start-up of operations.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EnergyForward. </w:t>
      </w:r>
      <w:r>
        <w:rPr>
          <w:rFonts w:ascii="Arial" w:cs="Arial" w:eastAsia="Arial" w:hAnsi="Arial"/>
          <w:sz w:val="18"/>
          <w:szCs w:val="18"/>
          <w:color w:val="auto"/>
        </w:rPr>
        <w:t>Minnesota Power is executing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EnergyForward</w:t>
      </w:r>
      <w:r>
        <w:rPr>
          <w:rFonts w:ascii="Arial" w:cs="Arial" w:eastAsia="Arial" w:hAnsi="Arial"/>
          <w:sz w:val="18"/>
          <w:szCs w:val="18"/>
          <w:color w:val="auto"/>
        </w:rPr>
        <w:t>, its strategy assuring reliability, protecting affordability and further improving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environmental performance. The plan includes completed and planned investments in wind, solar, natural gas and hydroelectric power, construction of additional transmission capacity, the installation of emissions control technology and the idling and retirement of certain coal-fired generating facilities. Minnesota Power has a vision to deliver 100 percent carbon-free energy to customers by 2050, continuing its commitment to climate, customers and communities through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strategy. This vision builds on Minnesota Power’s recent achievement of now providing 50 percent renewable energy to its customers.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2021 Integrated Resource Plan. </w:t>
      </w:r>
      <w:r>
        <w:rPr>
          <w:rFonts w:ascii="Arial" w:cs="Arial" w:eastAsia="Arial" w:hAnsi="Arial"/>
          <w:sz w:val="18"/>
          <w:szCs w:val="18"/>
          <w:color w:val="auto"/>
        </w:rPr>
        <w:t>On February 1, 2021, Minnesota Power filed its latest IRP with the MPUC, which outlines its clean-energy transition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2035. These plans include expanding its renewable energy supply to 70 percent by 2030, achieving coal-free operations at its facilities by 2035, and investing in a resilient and flexible transmission and distribution grid. Minnesota Power has also set a target to achieve an 80 percent reduction in carbon emissions by 2035 compared to 2005 levels.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late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Minnesota Power has transformed its energy supply from more than a 95 percent reliance on coal to become a leader in the nation’s clean-energy transformation. Since 2013, the company has closed or converted seven of its nine coal-fired units and added nearly 900 megawatts of renewable energy sources. Additionally, Minnesota Power has been a leader in energy conservation, surpassing the state’s conservation goals each year for the past decade.</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Nemadji Trail Energy Center. </w:t>
      </w:r>
      <w:r>
        <w:rPr>
          <w:rFonts w:ascii="Arial" w:cs="Arial" w:eastAsia="Arial" w:hAnsi="Arial"/>
          <w:sz w:val="17"/>
          <w:szCs w:val="17"/>
          <w:color w:val="auto"/>
        </w:rPr>
        <w:t>In 2017, Minnesota Power submitted a resource package to the MPUC which included requesting approval of a 250 MW</w:t>
      </w:r>
      <w:r>
        <w:rPr>
          <w:rFonts w:ascii="Arial" w:cs="Arial" w:eastAsia="Arial" w:hAnsi="Arial"/>
          <w:sz w:val="17"/>
          <w:szCs w:val="17"/>
          <w:i w:val="1"/>
          <w:iCs w:val="1"/>
          <w:color w:val="auto"/>
        </w:rPr>
        <w:t xml:space="preserve"> </w:t>
      </w:r>
      <w:r>
        <w:rPr>
          <w:rFonts w:ascii="Arial" w:cs="Arial" w:eastAsia="Arial" w:hAnsi="Arial"/>
          <w:sz w:val="17"/>
          <w:szCs w:val="17"/>
          <w:color w:val="auto"/>
        </w:rPr>
        <w:t>natural gas capacity dedication and other affiliated-interest agreements for NTEC, a proposed 525 MW to 550 MW combined-cycle natural gas-fired generating facility which will be jointly owned by Dairyland Power Cooperative and a subsidiary of ALLETE. Minnesota Power would purchase approximately 50 percent of the facility's output starting in 2025. In a January 2019 order, the MPUC approved Minnesota Power’s request for approval of the NTEC natural gas capacity dedication and other affiliated-interest agreements. In 2019, the Minnesota Court of Appeals reversed and remanded the MPUC’s decision to approve certain affiliated-interest agreements. The MPUC was ordered to determine whether NTEC may have the potential for significant environmental effects and, if so, to prepare an environmental assessment before reassessing the agreements. On January 22, 2020, Minnesota Power filed a petition for further review with the Minnesota Supreme Court requesting that it review and overturn the Minnesota Court of Appeals decision. On April 21, 2021, the Minnesota Supreme Court reversed the Minnesota Court of Appeal’s decision by ruling that the MPUC is not required to conduct review under the Minnesota Environmental Policy Act before approving affiliated-interest agreements that govern construction and operation of a Wisconsin power plant by a Minnesota utility, and remanded the case back to the Minnesota Court of Appeals for review of remaining issues on appeal. In January 2019, an application for a certificate of public convenience and necessity for NTEC was submitted to the PSCW, which was approved by the PSCW at a hearing in January 2020. Construction of NTEC is subject to obtaining additional permits from local, state and federal authorities. The total project cost is estimated to be approximately $700 million, of which ALLETE’s portion is expected to be approximately $350 million. ALLETE’s portion of NTEC project costs incurred through March 31, 2021, is approximately $15 million.</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 continues to execute its renewable energy strategy and expects approximately 50 percent of its energy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supplied by renewable energy sources in 2021. Minnesota Power also has a goal of delivering 100 percent carbon-free energy by 2050. (See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wind energy from North Dakota while gradually phasing out coal-based electricity delivered to its system over this transmission line from Square Butte’s lignite coal-fired generating unit. Minnesota Power is currently pursuing a modernization and capacity upgrade of its DC transmission system to continue providing reliable operations and additional system capabilities.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has an approved cost recovery rider for certain renewable investments and expenditures. The cost recovery rider allows Minnesota Power to charge retail customers on a current basis for the costs of certain renewable investments plus a return on the capital invested. Updated customer billing rates were approved by the MPUC in an order dated December 10, 2020.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Nobles 2 PPA</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a long-term PPA with Nobles 2 that provides for Minnesota Power to purchase the energy and associated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a 250 MW wind energy facility in southwestern Minnesota through 2040. The agreement provides for the purchase of output from the facility at fixed energy prices. There are no fixed capacity charges, and Minnesota Power will only pay for energy as it is delivered. (See </w:t>
      </w:r>
      <w:r>
        <w:rPr>
          <w:rFonts w:ascii="Arial" w:cs="Arial" w:eastAsia="Arial" w:hAnsi="Arial"/>
          <w:sz w:val="18"/>
          <w:szCs w:val="18"/>
          <w:i w:val="1"/>
          <w:iCs w:val="1"/>
          <w:color w:val="auto"/>
        </w:rPr>
        <w:t>Corporate and Other –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in Nobles 2</w:t>
      </w:r>
      <w:r>
        <w:rPr>
          <w:rFonts w:ascii="Arial" w:cs="Arial" w:eastAsia="Arial" w:hAnsi="Arial"/>
          <w:sz w:val="18"/>
          <w:szCs w:val="18"/>
          <w:color w:val="auto"/>
        </w:rPr>
        <w:t>.)</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Manitoba Hydro</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has three long-term PPAs with Manitoba Hydro. Under the first PPA, Minnesota Power is purchasing surplus energy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April 2022. This energy-only agreement primarily consists of surplus hydro energy on Manitoba Hydro’s system that is delivered to Minnesota Power on a non-firm basis. Under this agreement, Minnesota Power will purchase at least one million MWh of energy over the contract term. The second PPA provides for Minnesota Power to purchase 250 MW of capacity and energy from Manitoba Hydro through May 2035. The third PPA provides for Minnesota Power to purchase up to 133 MW of energy from Manitoba Hydro through June 2040.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Solar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solar energy supply consists of Camp Ripley, a 10 MW solar energy facility at the Camp Ripley Minnesota Army</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Guard base and training facility near Little Falls, Minnesota, and a community solar garden in northeastern Minnesota, which is comprised of a 1 MW solar array owned and operated by a third party with the output purchased by Minnesota Power and a 40 kW solar array that is owned and operated by Minnesota Power. SWL&amp;P also plans to construct a 470 kW solar array in 2021 as part of a community solar garden in Superior, Wisconsin, which was approved by the PSCW in October 2020.</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2020, Minnesota Power filed a proposal with the MPUC to accelerate plans for solar energy with an estimated $40 million investment in approximately 20 MW of solar energy projects in Minnesota.</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Minnesota Power has approval for current cost recovery of investments and expenditures related to compliance with the Minnesota Solar Energy Standard. In June 2020, Minnesota Power filed a petition seeking MPUC approval of a customer billing rate for solar costs related to investments and expenditures for meeting the state of Minnesota’s solar energy standard, which were approved by the MPUC at a hearing on April 14, 2021.</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9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 MW long-term PPA entered into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was required. As a result, Minnesota Power constructed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 In June 2020, Minnesota Power placed the GNTL into service with project costs of approximately $310 million incurred by Minnesota Power. Total project costs, including those costs contributed by a subsidiary of Manitoba Hydro, totaled approximately $660 million. Also in June 2020, Manitoba Hydro placed the MMTP into service. The 250 MW PPA with Manitoba Hydro commenced when the GNTL was placed into service.</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Our wholly-owned subsidiary, ALLETE Transmission Holdings, owns approximately 8 percent of ATC, a Wisconsin-based utility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and maintains electric transmission assets in portions of Wisconsin, Michigan, Minnesota and Illinois. We account for our investment in ATC under the equity method of accounting. (See Note 3. Equity Investments.) As of March 31, 2021, our equity investment in ATC was $150.3 million ($149.0 million as of December 31, 2020).</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ATC’s authorized return on equity is 10.02 percent, or 10.52 percent including an incentive adder for participation in a regional transmission organization, based on a May 2020 FERC order that granted rehearing of a 2019 FERC order.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2020 through 2029, identifies a need for between $2.9 billion and $3.5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focuses on developing, acquiring, and operating clean and renewable energy projects. ALLETE Clean Energy currently owns and operates, in seven states, more than 1,000 MW of nameplate capacity wind energy generation that is contracted under PSAs of various durations. In addition, ALLETE Clean Energy currently has approximately 300 MW of wind energy facilities under construction. ALLETE Clean Energy also engages in the development of wind energy facilities to operate under long-term PSAs or for sale to others upon completion.</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such as the extension of production tax credit and investment tax credits, societal expectations and continual technology advances. State renewable portfolio standards, state or federal regulations to limit GHG emissions and the extension of production tax credit and investment tax credits are examples of environmental regulation or public policy that we believe will drive renewable energy development.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production tax credit requalification of existing facilities or the sale of facilities.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expects acquisitions or development of new facilities will be primarily wind, solar, energy storage or storage ready facilities across North America. ALLETE Clean Energy is also targeting the development of new facilities up to 300 MW each, which will have long-term PSAs in place for the output or may be sold upon completion.</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Federal production tax credit qualification is important to the economics of project development, and ALLETE Clean Energy has invested in equipment to meet production tax credit safe harbor provisions which provides an opportunity to seek development of its remaining safe harbor production tax credit qualified equipment through 2024. ALLETE Clean Energy has completed its investment of approximately $80 million for production tax credit requalification of approximately 470 WTGs at its Storm Lake I, Storm Lake II, Lake Benton and Condon wind energy facilities. We anticipate annual production tax credits relating to these projects of approximately $20 million annually through 2027 and decreasing thereafter through 2030. Disruptions in our supply chains or a lack of available financing resulting from the ongoing COVID-19 pandemic, if they occur, could jeopardize our ability to complete certain capital projects in time to qualify them for production tax credits. To date we have not experienced disruptions in our supply chains related to the COVID-19 pandemic.</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2020, ALLETE Clean Energy acquired the rights to the approximately 300 MW Caddo wind development project in Oklahoma from Apex Clean Energy. The Caddo wind project is fully contracted to sell wind power under long-term power sales agreements. Construction is expected to be completed in late 2021.</w:t>
      </w:r>
    </w:p>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February 4, 2021, ALLETE Clean Energy entered into a purchase and sale agreement with a subsidiary of Xcel Energy Inc. to sell a 120 MW wind energy facility for approximately $210 million. ALLETE Clean Energy will repower and expand its Northern Wind project, consisting of its 98 MW Chanarambie and Viking wind energy facilities located in southwest Minnesota, as part of the transaction. Construction is expected to begin in late 2021 with the Northern Wind project expected to continue operating until early 2022. The sale is expected to close in late 2022, subject to receipt of regulatory approvals and permits.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5, 2021, ALLETE Clean Energy announced it has acquired the rights to the approximately 92 MW Red Barn wind development project and the approximately 68 MW Whitetail renewable development project in southwestern Wisconsin. ALLETE Clean Energy also signed an asset sale agreement for the completed Red Barn wind project with Wisconsin Public Service Corporation and Madison Gas and Electric Company. Construction and sale of the Red Barn wind project are expected to be completed in late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operating portfolio is subject to typical variations in seasonal wind with higher wind resources typically available in the winter months. The majority of its planned maintenance leverages this seasonality and is performed during lower wind periods. ALLETE Clean Energy’s current operating portfolio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Region</w:t>
            </w:r>
          </w:p>
        </w:tc>
        <w:tc>
          <w:tcPr>
            <w:tcW w:w="36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Wind Energy Facility</w:t>
            </w:r>
          </w:p>
        </w:tc>
        <w:tc>
          <w:tcPr>
            <w:tcW w:w="290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Capacity MW</w:t>
            </w:r>
          </w:p>
        </w:tc>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PSA MW</w:t>
            </w:r>
          </w:p>
        </w:tc>
        <w:tc>
          <w:tcPr>
            <w:tcW w:w="18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PSA Expiration</w:t>
            </w:r>
          </w:p>
        </w:tc>
      </w:tr>
      <w:tr>
        <w:trPr>
          <w:trHeight w:val="223"/>
        </w:trPr>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w:t>
            </w:r>
          </w:p>
        </w:tc>
        <w:tc>
          <w:tcPr>
            <w:tcW w:w="3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Armenia Mountain</w:t>
            </w:r>
          </w:p>
        </w:tc>
        <w:tc>
          <w:tcPr>
            <w:tcW w:w="290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93"/>
              </w:rPr>
              <w:t>101</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2024</w:t>
            </w: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Midwest</w:t>
            </w:r>
          </w:p>
        </w:tc>
        <w:tc>
          <w:tcPr>
            <w:tcW w:w="3680" w:type="dxa"/>
            <w:vAlign w:val="bottom"/>
          </w:tcPr>
          <w:p>
            <w:pPr>
              <w:ind w:left="540"/>
              <w:spacing w:after="0"/>
              <w:rPr>
                <w:sz w:val="20"/>
                <w:szCs w:val="20"/>
                <w:color w:val="auto"/>
              </w:rPr>
            </w:pPr>
            <w:r>
              <w:rPr>
                <w:rFonts w:ascii="Arial" w:cs="Arial" w:eastAsia="Arial" w:hAnsi="Arial"/>
                <w:sz w:val="18"/>
                <w:szCs w:val="18"/>
                <w:color w:val="auto"/>
              </w:rPr>
              <w:t xml:space="preserve">Chanarambie/Viking </w:t>
            </w:r>
            <w:r>
              <w:rPr>
                <w:rFonts w:ascii="Arial" w:cs="Arial" w:eastAsia="Arial" w:hAnsi="Arial"/>
                <w:sz w:val="16"/>
                <w:szCs w:val="16"/>
                <w:i w:val="1"/>
                <w:iCs w:val="1"/>
                <w:color w:val="auto"/>
              </w:rPr>
              <w:t>(a)</w:t>
            </w:r>
          </w:p>
        </w:tc>
        <w:tc>
          <w:tcPr>
            <w:tcW w:w="2900" w:type="dxa"/>
            <w:vAlign w:val="bottom"/>
          </w:tcPr>
          <w:p>
            <w:pPr>
              <w:jc w:val="center"/>
              <w:ind w:left="870"/>
              <w:spacing w:after="0"/>
              <w:rPr>
                <w:sz w:val="20"/>
                <w:szCs w:val="20"/>
                <w:color w:val="auto"/>
              </w:rPr>
            </w:pPr>
            <w:r>
              <w:rPr>
                <w:rFonts w:ascii="Arial" w:cs="Arial" w:eastAsia="Arial" w:hAnsi="Arial"/>
                <w:sz w:val="18"/>
                <w:szCs w:val="18"/>
                <w:color w:val="auto"/>
                <w:w w:val="89"/>
              </w:rPr>
              <w:t>98</w:t>
            </w: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 xml:space="preserve">PSA 1 </w:t>
            </w:r>
            <w:r>
              <w:rPr>
                <w:rFonts w:ascii="Arial" w:cs="Arial" w:eastAsia="Arial" w:hAnsi="Arial"/>
                <w:sz w:val="16"/>
                <w:szCs w:val="16"/>
                <w:i w:val="1"/>
                <w:iCs w:val="1"/>
                <w:color w:val="auto"/>
              </w:rPr>
              <w:t>(b)</w:t>
            </w:r>
          </w:p>
        </w:tc>
        <w:tc>
          <w:tcPr>
            <w:tcW w:w="29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2023</w:t>
            </w:r>
          </w:p>
        </w:tc>
      </w:tr>
      <w:tr>
        <w:trPr>
          <w:trHeight w:val="229"/>
        </w:trPr>
        <w:tc>
          <w:tcPr>
            <w:tcW w:w="1220" w:type="dxa"/>
            <w:vAlign w:val="bottom"/>
          </w:tcPr>
          <w:p>
            <w:pPr>
              <w:spacing w:after="0"/>
              <w:rPr>
                <w:sz w:val="19"/>
                <w:szCs w:val="19"/>
                <w:color w:val="auto"/>
              </w:rPr>
            </w:pPr>
          </w:p>
        </w:tc>
        <w:tc>
          <w:tcPr>
            <w:tcW w:w="3680" w:type="dxa"/>
            <w:vAlign w:val="bottom"/>
          </w:tcPr>
          <w:p>
            <w:pPr>
              <w:ind w:left="860"/>
              <w:spacing w:after="0"/>
              <w:rPr>
                <w:sz w:val="20"/>
                <w:szCs w:val="20"/>
                <w:color w:val="auto"/>
              </w:rPr>
            </w:pPr>
            <w:r>
              <w:rPr>
                <w:rFonts w:ascii="Arial" w:cs="Arial" w:eastAsia="Arial" w:hAnsi="Arial"/>
                <w:sz w:val="18"/>
                <w:szCs w:val="18"/>
                <w:color w:val="auto"/>
              </w:rPr>
              <w:t>PSA 2</w:t>
            </w:r>
          </w:p>
        </w:tc>
        <w:tc>
          <w:tcPr>
            <w:tcW w:w="29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2023</w:t>
            </w:r>
          </w:p>
        </w:tc>
      </w:tr>
      <w:tr>
        <w:trPr>
          <w:trHeight w:val="230"/>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Lake Benton</w:t>
            </w:r>
          </w:p>
        </w:tc>
        <w:tc>
          <w:tcPr>
            <w:tcW w:w="290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3"/>
              </w:rPr>
              <w:t>104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2028</w:t>
            </w:r>
          </w:p>
        </w:tc>
      </w:tr>
      <w:tr>
        <w:trPr>
          <w:trHeight w:val="229"/>
        </w:trPr>
        <w:tc>
          <w:tcPr>
            <w:tcW w:w="1220" w:type="dxa"/>
            <w:vAlign w:val="bottom"/>
          </w:tcPr>
          <w:p>
            <w:pPr>
              <w:spacing w:after="0"/>
              <w:rPr>
                <w:sz w:val="19"/>
                <w:szCs w:val="19"/>
                <w:color w:val="auto"/>
              </w:rPr>
            </w:pPr>
          </w:p>
        </w:tc>
        <w:tc>
          <w:tcPr>
            <w:tcW w:w="3680" w:type="dxa"/>
            <w:vAlign w:val="bottom"/>
          </w:tcPr>
          <w:p>
            <w:pPr>
              <w:ind w:left="540"/>
              <w:spacing w:after="0"/>
              <w:rPr>
                <w:sz w:val="20"/>
                <w:szCs w:val="20"/>
                <w:color w:val="auto"/>
              </w:rPr>
            </w:pPr>
            <w:r>
              <w:rPr>
                <w:rFonts w:ascii="Arial" w:cs="Arial" w:eastAsia="Arial" w:hAnsi="Arial"/>
                <w:sz w:val="18"/>
                <w:szCs w:val="18"/>
                <w:color w:val="auto"/>
              </w:rPr>
              <w:t>Storm Lake I</w:t>
            </w:r>
          </w:p>
        </w:tc>
        <w:tc>
          <w:tcPr>
            <w:tcW w:w="2900" w:type="dxa"/>
            <w:vAlign w:val="bottom"/>
          </w:tcPr>
          <w:p>
            <w:pPr>
              <w:jc w:val="center"/>
              <w:ind w:left="890"/>
              <w:spacing w:after="0"/>
              <w:rPr>
                <w:sz w:val="20"/>
                <w:szCs w:val="20"/>
                <w:color w:val="auto"/>
              </w:rPr>
            </w:pPr>
            <w:r>
              <w:rPr>
                <w:rFonts w:ascii="Arial" w:cs="Arial" w:eastAsia="Arial" w:hAnsi="Arial"/>
                <w:sz w:val="18"/>
                <w:szCs w:val="18"/>
                <w:color w:val="auto"/>
                <w:w w:val="93"/>
              </w:rPr>
              <w:t>108</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2027</w:t>
            </w:r>
          </w:p>
        </w:tc>
      </w:tr>
      <w:tr>
        <w:trPr>
          <w:trHeight w:val="230"/>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Storm Lake II</w:t>
            </w:r>
          </w:p>
        </w:tc>
        <w:tc>
          <w:tcPr>
            <w:tcW w:w="290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9"/>
              </w:rPr>
              <w:t>77</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680" w:type="dxa"/>
            <w:vAlign w:val="bottom"/>
          </w:tcPr>
          <w:p>
            <w:pPr>
              <w:ind w:left="860"/>
              <w:spacing w:after="0"/>
              <w:rPr>
                <w:sz w:val="20"/>
                <w:szCs w:val="20"/>
                <w:color w:val="auto"/>
              </w:rPr>
            </w:pPr>
            <w:r>
              <w:rPr>
                <w:rFonts w:ascii="Arial" w:cs="Arial" w:eastAsia="Arial" w:hAnsi="Arial"/>
                <w:sz w:val="18"/>
                <w:szCs w:val="18"/>
                <w:color w:val="auto"/>
              </w:rPr>
              <w:t>PSA 1</w:t>
            </w:r>
          </w:p>
        </w:tc>
        <w:tc>
          <w:tcPr>
            <w:tcW w:w="29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90%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2022</w:t>
            </w:r>
          </w:p>
        </w:tc>
      </w:tr>
      <w:tr>
        <w:trPr>
          <w:trHeight w:val="229"/>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2</w:t>
            </w:r>
          </w:p>
        </w:tc>
        <w:tc>
          <w:tcPr>
            <w:tcW w:w="29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2032</w:t>
            </w:r>
          </w:p>
        </w:tc>
      </w:tr>
      <w:tr>
        <w:trPr>
          <w:trHeight w:val="230"/>
        </w:trPr>
        <w:tc>
          <w:tcPr>
            <w:tcW w:w="12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9"/>
              </w:rPr>
              <w:t>17</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2028</w:t>
            </w:r>
          </w:p>
        </w:tc>
      </w:tr>
      <w:tr>
        <w:trPr>
          <w:trHeight w:val="223"/>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t>
            </w:r>
          </w:p>
        </w:tc>
        <w:tc>
          <w:tcPr>
            <w:tcW w:w="3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Diamond Spring</w:t>
            </w:r>
          </w:p>
        </w:tc>
        <w:tc>
          <w:tcPr>
            <w:tcW w:w="290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3"/>
              </w:rPr>
              <w:t>303</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680" w:type="dxa"/>
            <w:vAlign w:val="bottom"/>
          </w:tcPr>
          <w:p>
            <w:pPr>
              <w:ind w:left="860"/>
              <w:spacing w:after="0"/>
              <w:rPr>
                <w:sz w:val="20"/>
                <w:szCs w:val="20"/>
                <w:color w:val="auto"/>
              </w:rPr>
            </w:pPr>
            <w:r>
              <w:rPr>
                <w:rFonts w:ascii="Arial" w:cs="Arial" w:eastAsia="Arial" w:hAnsi="Arial"/>
                <w:sz w:val="18"/>
                <w:szCs w:val="18"/>
                <w:color w:val="auto"/>
              </w:rPr>
              <w:t>PSA 1</w:t>
            </w:r>
          </w:p>
        </w:tc>
        <w:tc>
          <w:tcPr>
            <w:tcW w:w="29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58%</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2035</w:t>
            </w:r>
          </w:p>
        </w:tc>
      </w:tr>
      <w:tr>
        <w:trPr>
          <w:trHeight w:val="229"/>
        </w:trPr>
        <w:tc>
          <w:tcPr>
            <w:tcW w:w="1220" w:type="dxa"/>
            <w:vAlign w:val="bottom"/>
            <w:shd w:val="clear" w:color="auto" w:fill="CCEEFF"/>
          </w:tcPr>
          <w:p>
            <w:pPr>
              <w:spacing w:after="0"/>
              <w:rPr>
                <w:sz w:val="19"/>
                <w:szCs w:val="19"/>
                <w:color w:val="auto"/>
              </w:rPr>
            </w:pPr>
          </w:p>
        </w:tc>
        <w:tc>
          <w:tcPr>
            <w:tcW w:w="3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2</w:t>
            </w:r>
          </w:p>
        </w:tc>
        <w:tc>
          <w:tcPr>
            <w:tcW w:w="29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2032</w:t>
            </w:r>
          </w:p>
        </w:tc>
      </w:tr>
      <w:tr>
        <w:trPr>
          <w:trHeight w:val="229"/>
        </w:trPr>
        <w:tc>
          <w:tcPr>
            <w:tcW w:w="12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PSA 3</w:t>
            </w:r>
          </w:p>
        </w:tc>
        <w:tc>
          <w:tcPr>
            <w:tcW w:w="29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16%</w:t>
            </w:r>
          </w:p>
        </w:tc>
        <w:tc>
          <w:tcPr>
            <w:tcW w:w="1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2035</w:t>
            </w:r>
          </w:p>
        </w:tc>
      </w:tr>
      <w:tr>
        <w:trPr>
          <w:trHeight w:val="223"/>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w:t>
            </w:r>
          </w:p>
        </w:tc>
        <w:tc>
          <w:tcPr>
            <w:tcW w:w="3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Condon</w:t>
            </w:r>
          </w:p>
        </w:tc>
        <w:tc>
          <w:tcPr>
            <w:tcW w:w="290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9"/>
              </w:rPr>
              <w:t>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2022</w:t>
            </w:r>
          </w:p>
        </w:tc>
      </w:tr>
      <w:tr>
        <w:trPr>
          <w:trHeight w:val="229"/>
        </w:trPr>
        <w:tc>
          <w:tcPr>
            <w:tcW w:w="1220" w:type="dxa"/>
            <w:vAlign w:val="bottom"/>
          </w:tcPr>
          <w:p>
            <w:pPr>
              <w:spacing w:after="0"/>
              <w:rPr>
                <w:sz w:val="19"/>
                <w:szCs w:val="19"/>
                <w:color w:val="auto"/>
              </w:rPr>
            </w:pPr>
          </w:p>
        </w:tc>
        <w:tc>
          <w:tcPr>
            <w:tcW w:w="3680" w:type="dxa"/>
            <w:vAlign w:val="bottom"/>
          </w:tcPr>
          <w:p>
            <w:pPr>
              <w:ind w:left="540"/>
              <w:spacing w:after="0"/>
              <w:rPr>
                <w:sz w:val="20"/>
                <w:szCs w:val="20"/>
                <w:color w:val="auto"/>
              </w:rPr>
            </w:pPr>
            <w:r>
              <w:rPr>
                <w:rFonts w:ascii="Arial" w:cs="Arial" w:eastAsia="Arial" w:hAnsi="Arial"/>
                <w:sz w:val="18"/>
                <w:szCs w:val="18"/>
                <w:color w:val="auto"/>
              </w:rPr>
              <w:t>Glen Ullin</w:t>
            </w:r>
          </w:p>
        </w:tc>
        <w:tc>
          <w:tcPr>
            <w:tcW w:w="2900" w:type="dxa"/>
            <w:vAlign w:val="bottom"/>
          </w:tcPr>
          <w:p>
            <w:pPr>
              <w:jc w:val="center"/>
              <w:ind w:left="890"/>
              <w:spacing w:after="0"/>
              <w:rPr>
                <w:sz w:val="20"/>
                <w:szCs w:val="20"/>
                <w:color w:val="auto"/>
              </w:rPr>
            </w:pPr>
            <w:r>
              <w:rPr>
                <w:rFonts w:ascii="Arial" w:cs="Arial" w:eastAsia="Arial" w:hAnsi="Arial"/>
                <w:sz w:val="18"/>
                <w:szCs w:val="18"/>
                <w:color w:val="auto"/>
                <w:w w:val="93"/>
              </w:rPr>
              <w:t>106</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2039</w:t>
            </w:r>
          </w:p>
        </w:tc>
      </w:tr>
      <w:tr>
        <w:trPr>
          <w:trHeight w:val="230"/>
        </w:trPr>
        <w:tc>
          <w:tcPr>
            <w:tcW w:w="1220" w:type="dxa"/>
            <w:vAlign w:val="bottom"/>
            <w:tcBorders>
              <w:bottom w:val="single" w:sz="8" w:color="auto"/>
            </w:tcBorders>
            <w:shd w:val="clear" w:color="auto" w:fill="CCEEFF"/>
          </w:tcPr>
          <w:p>
            <w:pPr>
              <w:spacing w:after="0"/>
              <w:rPr>
                <w:sz w:val="19"/>
                <w:szCs w:val="19"/>
                <w:color w:val="auto"/>
              </w:rPr>
            </w:pPr>
          </w:p>
        </w:tc>
        <w:tc>
          <w:tcPr>
            <w:tcW w:w="3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South Peak</w:t>
            </w:r>
          </w:p>
        </w:tc>
        <w:tc>
          <w:tcPr>
            <w:tcW w:w="290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89"/>
              </w:rPr>
              <w:t>80</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2035</w:t>
            </w:r>
          </w:p>
        </w:tc>
      </w:tr>
    </w:tbl>
    <w:p>
      <w:pPr>
        <w:spacing w:after="0" w:line="98" w:lineRule="exact"/>
        <w:rPr>
          <w:sz w:val="20"/>
          <w:szCs w:val="20"/>
          <w:color w:val="auto"/>
        </w:rPr>
      </w:pPr>
    </w:p>
    <w:p>
      <w:pPr>
        <w:ind w:left="340" w:hanging="332"/>
        <w:spacing w:after="0" w:line="255"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Under contract for sale to a subsidiary of Xcel Energy Inc. The sale is expected to close in late 2022, subject to receipt of regulatory approvals and permits. ALLETE Clean Energy will repower and expand the wind energy facilities as part of the transaction.</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The PSA expiration assumes the exercise of four one-year renewal options that ALLETE Clean Energy has the sole right to exercise.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3.8 million tons of lignite coal in 2021 (4.2 million tons were sold in 2020) and has sold 1.0 million tons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2021 (1.2 million tons were sold for the three months ended March 31, 2020). BNI Energy operates under cost-plus fixed fee agreements extending through December 31, 2037.</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Investment in Nobles 2</w:t>
      </w:r>
      <w:r>
        <w:rPr>
          <w:rFonts w:ascii="Arial" w:cs="Arial" w:eastAsia="Arial" w:hAnsi="Arial"/>
          <w:sz w:val="18"/>
          <w:szCs w:val="18"/>
          <w:color w:val="auto"/>
        </w:rPr>
        <w:t>. Our subsidiary, ALLETE South Wind, owns a 49 percent equity interest in Nobles 2, the entity that owns and operates the 250 MW</w:t>
      </w:r>
      <w:r>
        <w:rPr>
          <w:rFonts w:ascii="Arial" w:cs="Arial" w:eastAsia="Arial" w:hAnsi="Arial"/>
          <w:sz w:val="18"/>
          <w:szCs w:val="18"/>
          <w:i w:val="1"/>
          <w:iCs w:val="1"/>
          <w:color w:val="auto"/>
        </w:rPr>
        <w:t xml:space="preserve"> </w:t>
      </w:r>
      <w:r>
        <w:rPr>
          <w:rFonts w:ascii="Arial" w:cs="Arial" w:eastAsia="Arial" w:hAnsi="Arial"/>
          <w:sz w:val="18"/>
          <w:szCs w:val="18"/>
          <w:color w:val="auto"/>
        </w:rPr>
        <w:t>wind energy facility in southwestern Minnesota pursuant to a 20-year PPA with Minnesota Power. We account for our investment in Nobles 2 under the equity method of accounting. (See Note 3. Equity Investments.) As of March 31, 2021, our equity investment in Nobles 2 was $151.2 million ($152.2 million at December 31, 2020).</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legacy Florida real estate investment. ALLETE Properties’ primary project in Florida is Town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at Palm Coast, with approximately 600 acres of land available for sale. In addition to this project, ALLETE Properties has approximately 600 acres of other land available for sale. Market conditions can impact land sales and could result in our inability to cover our cost basis and operating expenses including fixed carrying costs such as community development district assessments and property taxes.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strategy incorporates the possibility of a bulk sale of the entire ALLETE Properties portfolio. Proceeds from a bulk sale would be strategically deployed to support growth initiatives at our Regulated Operations and ALLETE Clean Energy. ALLETE Properties also continues to pursue sales of individual parcels over time and will continue to maintain key entitlements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ALLETE’s aggregate federal and multi-state statutory tax rate is approximately 28 percent for 2021. ALLETE also has tax credits and other tax adjustments that reduce the combined statutory rate to the effective tax rate. These tax credits and adjustments historically have included items such as investment tax credits, production tax credits, AFUDC-Equity,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30 percent for 2021 primarily due to federal production tax credits as a result of wind energy generation. We also expect that our effective tax rate will be lower than the combined statutory rate over the next 10 years due to production tax credits attributable to our wind energy generation.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Liquidity Position. </w:t>
      </w:r>
      <w:r>
        <w:rPr>
          <w:rFonts w:ascii="Arial" w:cs="Arial" w:eastAsia="Arial" w:hAnsi="Arial"/>
          <w:sz w:val="16"/>
          <w:szCs w:val="16"/>
          <w:color w:val="auto"/>
        </w:rPr>
        <w:t>ALLETE is well-positioned to meet the Company’s liquidity needs; however, the Company is monitoring capital markets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financing sources in light of the ongoing COVID-19 pandemic. (See Part II, Item 1A. Risk Factors.) A disruption in capital markets could lead to increased borrowing costs or adversely impact our ability to access capital markets or other financing sources. If we are not able to access capital on acceptable terms in sufficient amounts and when needed, or at all, the ability to maintain our businesses or to implement our business plans would be adversely affected.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March 31, 2021, we had cash and cash equivalents of $159.0 million, $322.7 million in available consolidated lines of credit, 2.9 million original issue shares of common stock available for issuance through a distribution agreement with Lampert Capital Markets and a debt-to-capital ratio of 41 percent. (See </w:t>
      </w:r>
      <w:r>
        <w:rPr>
          <w:rFonts w:ascii="Arial" w:cs="Arial" w:eastAsia="Arial" w:hAnsi="Arial"/>
          <w:sz w:val="18"/>
          <w:szCs w:val="18"/>
          <w:i w:val="1"/>
          <w:iCs w:val="1"/>
          <w:color w:val="auto"/>
        </w:rPr>
        <w:t>Working Capital</w:t>
      </w:r>
      <w:r>
        <w:rPr>
          <w:rFonts w:ascii="Arial" w:cs="Arial" w:eastAsia="Arial" w:hAnsi="Arial"/>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880" w:type="dxa"/>
            <w:vAlign w:val="bottom"/>
          </w:tcPr>
          <w:p>
            <w:pPr>
              <w:spacing w:after="0"/>
              <w:rPr>
                <w:sz w:val="24"/>
                <w:szCs w:val="24"/>
                <w:color w:val="auto"/>
              </w:rPr>
            </w:pPr>
          </w:p>
        </w:tc>
        <w:tc>
          <w:tcPr>
            <w:tcW w:w="206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9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2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$2,320.7</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48</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$2,294.6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525.7</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11</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505.6</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2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1,960.1</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41</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1,806.4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$4,806.5</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100</w:t>
            </w: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$4,606.6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5880" w:type="dxa"/>
            <w:vAlign w:val="bottom"/>
          </w:tcPr>
          <w:p>
            <w:pPr>
              <w:spacing w:after="0"/>
              <w:rPr>
                <w:sz w:val="20"/>
                <w:szCs w:val="20"/>
                <w:color w:val="auto"/>
              </w:rPr>
            </w:pPr>
            <w:r>
              <w:rPr>
                <w:rFonts w:ascii="Arial" w:cs="Arial" w:eastAsia="Arial" w:hAnsi="Arial"/>
                <w:sz w:val="16"/>
                <w:szCs w:val="16"/>
                <w:i w:val="1"/>
                <w:iCs w:val="1"/>
                <w:color w:val="auto"/>
              </w:rPr>
              <w:t>(a)  Excludes unamortized debt issuance costs.</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20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$65.2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Cash Flows from (used for)</w:t>
            </w: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88.5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color w:val="auto"/>
              </w:rPr>
              <w:t>(130.9)</w:t>
            </w:r>
          </w:p>
        </w:tc>
        <w:tc>
          <w:tcPr>
            <w:tcW w:w="740" w:type="dxa"/>
            <w:vAlign w:val="bottom"/>
          </w:tcPr>
          <w:p>
            <w:pPr>
              <w:jc w:val="right"/>
              <w:spacing w:after="0"/>
              <w:rPr>
                <w:sz w:val="20"/>
                <w:szCs w:val="20"/>
                <w:color w:val="auto"/>
              </w:rPr>
            </w:pPr>
            <w:r>
              <w:rPr>
                <w:rFonts w:ascii="Arial" w:cs="Arial" w:eastAsia="Arial" w:hAnsi="Arial"/>
                <w:sz w:val="18"/>
                <w:szCs w:val="18"/>
                <w:color w:val="auto"/>
              </w:rPr>
              <w:t>(181.9)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2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154.2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Change in Cash, Cash Equivalents and Restricted Cash</w:t>
            </w:r>
          </w:p>
        </w:tc>
        <w:tc>
          <w:tcPr>
            <w:tcW w:w="2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111.8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$177.0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in 2021 was similar to 2020. Cash from operating activities in 2021 included lower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2020, offset by the timing of customer settlement payments at ALLETE Clean Energy’s Diamond Spring wind energy facility related to an extreme winter storm event in the southern United States in February 2021.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lower in 2021 compared to 2020. Cash used for investing activities in 2021 reflected lower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additions to property, plant and equipment and fewer payments for equity method investments compared to 2020.</w:t>
      </w:r>
    </w:p>
    <w:p>
      <w:pPr>
        <w:sectPr>
          <w:pgSz w:w="11900" w:h="16838" w:orient="portrait"/>
          <w:cols w:equalWidth="0" w:num="1">
            <w:col w:w="11240"/>
          </w:cols>
          <w:pgMar w:left="320" w:top="891"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2021 Form 10-Q</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higher in 2021 compared to 2020 primarily due to higher proceeds from the issuance of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and long-term debt, and proceeds from non-controlling interest in subsidiaries. These increases were partially offset by higher repayments of long-term debt in 2020.</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Working Capital. </w:t>
      </w:r>
      <w:r>
        <w:rPr>
          <w:rFonts w:ascii="Arial" w:cs="Arial" w:eastAsia="Arial" w:hAnsi="Arial"/>
          <w:sz w:val="17"/>
          <w:szCs w:val="17"/>
          <w:color w:val="auto"/>
        </w:rPr>
        <w:t>Additional working capital, if and when needed, generally is provided by consolidated bank lines of credit and the issuance of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long-term debt, common stock and commercial paper. As of March 31, 2021, we had consolidated bank lines of credit aggregating $407.0 million ($407.0 million as of December 31, 2020), the majority of which expire in January 2024. We had $24.3 million outstanding in standby letters of credit and $60.0 million outstanding draws under our lines of credit as of March 31, 2021 ($22.3 million in standby letters of credit and no outstanding draws as of December 31, 2020). We also have other credit facility agreements in place that provide the ability to issue up to $100.0 million in standby letters of credit. As of March 31, 2021, we had $82.7 million outstanding in standby letters of credit under these agreements.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as of March 31, 2021, we had 3.3 million original issue shares of our common stock available for issuance through Invest Direct, our direct stock purchase and dividend reinvestment plan, and 2.9 million original issue shares of common stock available for issuance through a distribution agreement with Lampert Capital Markets, as amended most recently in May 2020. The amount and timing of future sales of our securities will depend upon market conditions and our specific needs. In 2019, we filed Registration Statement No. 333-232905, pursuant to which the remaining shares under this agreement will continue to be offered for sale, from time to time.</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During the three months ended March 31, 2021, we issued 0.1 million shares of common stock through Invest Direct, the Employee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Plan, and the Retirement Savings and Stock Ownership Plan, resulting in net proceeds of $5.0 million (0.1 million shares were issued for the three months ended March 31, 2020, resulting in net proceeds of $3.3 million). These shares of common stock were registered under Registration Statement Nos. 333-231030, 333-183051 and 333-162890.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5. Short-Term and Long-Term Debt for information regarding our financial covenants.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actuarially determined minimum contribution requirements and contributions required to avoid benefit restrictions for the defined benefit pension plans. (See Note 9. Pension and Other Postretirement Benefit Plans.)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2020 Form 10-K, with additional disclosure in Note 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Credit Ratings</w:t>
            </w:r>
          </w:p>
        </w:tc>
        <w:tc>
          <w:tcPr>
            <w:tcW w:w="4280" w:type="dxa"/>
            <w:vAlign w:val="bottom"/>
          </w:tcPr>
          <w:p>
            <w:pPr>
              <w:jc w:val="center"/>
              <w:ind w:left="2732"/>
              <w:spacing w:after="0"/>
              <w:rPr>
                <w:sz w:val="20"/>
                <w:szCs w:val="20"/>
                <w:color w:val="auto"/>
              </w:rPr>
            </w:pPr>
            <w:r>
              <w:rPr>
                <w:rFonts w:ascii="Arial" w:cs="Arial" w:eastAsia="Arial" w:hAnsi="Arial"/>
                <w:sz w:val="18"/>
                <w:szCs w:val="18"/>
                <w:b w:val="1"/>
                <w:bCs w:val="1"/>
                <w:color w:val="auto"/>
                <w:w w:val="95"/>
              </w:rPr>
              <w:t>S&amp;P Global</w:t>
            </w: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Moody’s</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auto"/>
            </w:tcBorders>
            <w:vMerge w:val="continue"/>
          </w:tcPr>
          <w:p>
            <w:pPr>
              <w:spacing w:after="0"/>
              <w:rPr>
                <w:sz w:val="19"/>
                <w:szCs w:val="19"/>
                <w:color w:val="auto"/>
              </w:rPr>
            </w:pPr>
          </w:p>
        </w:tc>
        <w:tc>
          <w:tcPr>
            <w:tcW w:w="4280" w:type="dxa"/>
            <w:vAlign w:val="bottom"/>
            <w:tcBorders>
              <w:bottom w:val="single" w:sz="8" w:color="auto"/>
            </w:tcBorders>
          </w:tcPr>
          <w:p>
            <w:pPr>
              <w:jc w:val="center"/>
              <w:ind w:left="2732"/>
              <w:spacing w:after="0"/>
              <w:rPr>
                <w:sz w:val="20"/>
                <w:szCs w:val="20"/>
                <w:color w:val="auto"/>
              </w:rPr>
            </w:pPr>
            <w:r>
              <w:rPr>
                <w:rFonts w:ascii="Arial" w:cs="Arial" w:eastAsia="Arial" w:hAnsi="Arial"/>
                <w:sz w:val="18"/>
                <w:szCs w:val="18"/>
                <w:b w:val="1"/>
                <w:bCs w:val="1"/>
                <w:color w:val="auto"/>
                <w:w w:val="87"/>
              </w:rPr>
              <w:t>Ratings</w:t>
            </w: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280" w:type="dxa"/>
            <w:vAlign w:val="bottom"/>
            <w:shd w:val="clear" w:color="auto" w:fill="CCEEFF"/>
          </w:tcPr>
          <w:p>
            <w:pPr>
              <w:jc w:val="center"/>
              <w:ind w:left="2712"/>
              <w:spacing w:after="0"/>
              <w:rPr>
                <w:sz w:val="20"/>
                <w:szCs w:val="20"/>
                <w:color w:val="auto"/>
              </w:rPr>
            </w:pPr>
            <w:r>
              <w:rPr>
                <w:rFonts w:ascii="Arial" w:cs="Arial" w:eastAsia="Arial" w:hAnsi="Arial"/>
                <w:sz w:val="18"/>
                <w:szCs w:val="18"/>
                <w:color w:val="auto"/>
                <w:w w:val="99"/>
              </w:rPr>
              <w:t>BBB</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280" w:type="dxa"/>
            <w:vAlign w:val="bottom"/>
          </w:tcPr>
          <w:p>
            <w:pPr>
              <w:jc w:val="center"/>
              <w:ind w:left="2712"/>
              <w:spacing w:after="0"/>
              <w:rPr>
                <w:sz w:val="20"/>
                <w:szCs w:val="20"/>
                <w:color w:val="auto"/>
              </w:rPr>
            </w:pPr>
            <w:r>
              <w:rPr>
                <w:rFonts w:ascii="Arial" w:cs="Arial" w:eastAsia="Arial" w:hAnsi="Arial"/>
                <w:sz w:val="18"/>
                <w:szCs w:val="18"/>
                <w:color w:val="auto"/>
                <w:w w:val="99"/>
              </w:rPr>
              <w:t>A-2</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P-2</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280" w:type="dxa"/>
            <w:vAlign w:val="bottom"/>
            <w:tcBorders>
              <w:bottom w:val="single" w:sz="8" w:color="auto"/>
            </w:tcBorders>
            <w:shd w:val="clear" w:color="auto" w:fill="CCEEFF"/>
          </w:tcPr>
          <w:p>
            <w:pPr>
              <w:jc w:val="center"/>
              <w:ind w:left="2732"/>
              <w:spacing w:after="0"/>
              <w:rPr>
                <w:sz w:val="20"/>
                <w:szCs w:val="20"/>
                <w:color w:val="auto"/>
              </w:rPr>
            </w:pPr>
            <w:r>
              <w:rPr>
                <w:rFonts w:ascii="Arial" w:cs="Arial" w:eastAsia="Arial" w:hAnsi="Arial"/>
                <w:sz w:val="16"/>
                <w:szCs w:val="16"/>
                <w:i w:val="1"/>
                <w:iCs w:val="1"/>
                <w:color w:val="auto"/>
                <w:w w:val="91"/>
              </w:rPr>
              <w:t>(a)</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98"/>
        </w:trPr>
        <w:tc>
          <w:tcPr>
            <w:tcW w:w="5680" w:type="dxa"/>
            <w:vAlign w:val="bottom"/>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4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2021 are expected to be approximately $490 million. For the three months ended March 31, 2021,</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totaled $141.7 million ($161.8 million for the three months ended March 31, 2020). The expenditures were primarily made in the ALLETE Clean Energy segment.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ALLETE had 1,345 employees, of which 1,326 were full-time.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and SWL&amp;P have an aggregate of 459 employees covered under collective bargaining agreements, of which most are members of International Brotherhood of Electrical Workers (IBEW) Local 31. The current labor agreements with IBEW Local 31 expire on April 30, 2023, for Minnesota Power and on January 31, 2022, for SWL&amp;P.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Energy has 183 employees, of which 136 are subject to a labor agreement with IBEW Local 1593. The current labor agreement with IBEW Local 1593 expires on March 31,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March 31, 2021,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March 31, 2021, an increase of 100 basis points in interest rates would impact the amount of pre-tax interest expense by $2.9 million. This amount was determined by considering the impact of a hypothetical 100 basis point increase to the average variable interest rate on the variable rate debt outstanding as of March 31, 2021.</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2021, evaluations were performed, under the supervision and with the participation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8. Commitments, Guarantees and Contingencies to the Consolidated Financial Statements in our 2020 Form 10-K and Note 2. Regulatory Matters and Note 6. Commitments, Guarantees and Contingencies herein.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2020 Form 10-K includes a detailed discussion of our risk factors. The information presented below updates, and should be read in conjunction with, the risk factors disclosed in Part I, Item 1A. Risk Factors of our 2020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ALLETE Clean Energy / Corporate and Other Risks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price of electricity may be volatile, which may impact results of operations at ALLETE Clean Energy wind energy facilities under contracts with customer and industrial (C&amp;I) customers.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Unusual, adverse weather conditions or other natural events can cause volatility in market prices for electricity and adversely affect our financial position, results of operations and cash flows. ALLETE Clean Energy’s power sales agreements with its three C&amp;I customers at its Diamond Spring wind energy facility are contracts for differences where power is delivered to the market, and a fixed price is paid by the customers to ALLETE Clean Energy, and differences between the market price and the fixed price are paid to or received from the customers. One of these power sales agreements settles with the customer based on day-ahead electricity prices, while deliveries to the market are settled based on real-time electricity prices. This settlement provision can result in an adverse impact to the Company when market prices are extremely volatile as happened in February 2021 during an extreme winter weather event in the southern United States. This winter weather event caused extreme volatility, with large differences in the day-ahead and real-time market prices; the settlement provision resulted in an approximately $5 million after-tax negative impact related to the Diamond Spring wind energy facility.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270"/>
        </w:trPr>
        <w:tc>
          <w:tcPr>
            <w:tcW w:w="20" w:type="dxa"/>
            <w:vAlign w:val="bottom"/>
          </w:tcPr>
          <w:p>
            <w:pPr>
              <w:spacing w:after="0"/>
              <w:rPr>
                <w:sz w:val="23"/>
                <w:szCs w:val="23"/>
                <w:color w:val="auto"/>
              </w:rPr>
            </w:pP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w w:val="99"/>
              </w:rPr>
              <w:t>Number</w:t>
            </w:r>
          </w:p>
        </w:tc>
        <w:tc>
          <w:tcPr>
            <w:tcW w:w="9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31(a)</w:t>
              </w:r>
            </w:hyperlink>
          </w:p>
        </w:tc>
        <w:tc>
          <w:tcPr>
            <w:tcW w:w="1860" w:type="dxa"/>
            <w:vAlign w:val="bottom"/>
            <w:shd w:val="clear" w:color="auto" w:fill="CCEEFF"/>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Rule 13a-14(a)/15d-14(a)</w:t>
              </w:r>
            </w:hyperlink>
          </w:p>
        </w:tc>
        <w:tc>
          <w:tcPr>
            <w:tcW w:w="8140" w:type="dxa"/>
            <w:vAlign w:val="bottom"/>
            <w:gridSpan w:val="3"/>
            <w:shd w:val="clear" w:color="auto" w:fill="CCEEFF"/>
          </w:tcPr>
          <w:p>
            <w:pPr>
              <w:ind w:left="20"/>
              <w:spacing w:after="0"/>
              <w:rPr>
                <w:rFonts w:ascii="Arial" w:cs="Arial" w:eastAsia="Arial" w:hAnsi="Arial"/>
                <w:sz w:val="18"/>
                <w:szCs w:val="18"/>
                <w:color w:val="0000FF"/>
                <w:w w:val="98"/>
              </w:rPr>
            </w:pPr>
            <w:hyperlink w:anchor="page48">
              <w:r>
                <w:rPr>
                  <w:rFonts w:ascii="Arial" w:cs="Arial" w:eastAsia="Arial" w:hAnsi="Arial"/>
                  <w:sz w:val="18"/>
                  <w:szCs w:val="18"/>
                  <w:color w:val="0000FF"/>
                  <w:w w:val="98"/>
                </w:rPr>
                <w:t>Certification by the Chief Executive Officer Pursuant to Section 302 of the Sarbanes-Oxley Act of 2002.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7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line="189" w:lineRule="exact"/>
              <w:rPr>
                <w:rFonts w:ascii="Arial" w:cs="Arial" w:eastAsia="Arial" w:hAnsi="Arial"/>
                <w:sz w:val="18"/>
                <w:szCs w:val="18"/>
                <w:color w:val="0000FF"/>
                <w:w w:val="85"/>
              </w:rPr>
            </w:pPr>
            <w:hyperlink w:anchor="page49">
              <w:r>
                <w:rPr>
                  <w:rFonts w:ascii="Arial" w:cs="Arial" w:eastAsia="Arial" w:hAnsi="Arial"/>
                  <w:sz w:val="18"/>
                  <w:szCs w:val="18"/>
                  <w:color w:val="0000FF"/>
                  <w:w w:val="85"/>
                </w:rPr>
                <w:t>31(b)</w:t>
              </w:r>
            </w:hyperlink>
          </w:p>
        </w:tc>
        <w:tc>
          <w:tcPr>
            <w:tcW w:w="800" w:type="dxa"/>
            <w:vAlign w:val="bottom"/>
          </w:tcPr>
          <w:p>
            <w:pPr>
              <w:spacing w:after="0"/>
              <w:rPr>
                <w:sz w:val="16"/>
                <w:szCs w:val="16"/>
                <w:color w:val="auto"/>
              </w:rPr>
            </w:pPr>
          </w:p>
        </w:tc>
        <w:tc>
          <w:tcPr>
            <w:tcW w:w="1860" w:type="dxa"/>
            <w:vAlign w:val="bottom"/>
          </w:tcPr>
          <w:p>
            <w:pPr>
              <w:spacing w:after="0" w:line="189"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Rule 13a-14(a)/15d-14(a)</w:t>
              </w:r>
            </w:hyperlink>
          </w:p>
        </w:tc>
        <w:tc>
          <w:tcPr>
            <w:tcW w:w="8140" w:type="dxa"/>
            <w:vAlign w:val="bottom"/>
            <w:gridSpan w:val="3"/>
          </w:tcPr>
          <w:p>
            <w:pPr>
              <w:ind w:left="20"/>
              <w:spacing w:after="0" w:line="189" w:lineRule="exact"/>
              <w:rPr>
                <w:rFonts w:ascii="Arial" w:cs="Arial" w:eastAsia="Arial" w:hAnsi="Arial"/>
                <w:sz w:val="18"/>
                <w:szCs w:val="18"/>
                <w:color w:val="0000FF"/>
                <w:w w:val="99"/>
              </w:rPr>
            </w:pPr>
            <w:hyperlink w:anchor="page49">
              <w:r>
                <w:rPr>
                  <w:rFonts w:ascii="Arial" w:cs="Arial" w:eastAsia="Arial" w:hAnsi="Arial"/>
                  <w:sz w:val="18"/>
                  <w:szCs w:val="18"/>
                  <w:color w:val="0000FF"/>
                  <w:w w:val="99"/>
                </w:rPr>
                <w:t>Certification by the Chief Financial Officer Pursuant to Section 302 of the Sarbanes-Oxley Act of 2002.</w:t>
              </w:r>
            </w:hyperlink>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7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6" w:lineRule="exact"/>
        <w:rPr>
          <w:sz w:val="20"/>
          <w:szCs w:val="20"/>
          <w:color w:val="auto"/>
        </w:rPr>
      </w:pPr>
    </w:p>
    <w:p>
      <w:pPr>
        <w:ind w:left="1220" w:right="40" w:hanging="1194"/>
        <w:spacing w:after="0" w:line="235" w:lineRule="auto"/>
        <w:tabs>
          <w:tab w:leader="none" w:pos="1220" w:val="left"/>
        </w:tabs>
        <w:numPr>
          <w:ilvl w:val="0"/>
          <w:numId w:val="13"/>
        </w:numPr>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Section 1350 Certification of Periodic Report by the Chief Executive Officer and the Chief Financial Officer Pursuant to Section 906 of</w:t>
        </w:r>
      </w:hyperlink>
      <w:r>
        <w:rPr>
          <w:rFonts w:ascii="Arial" w:cs="Arial" w:eastAsia="Arial" w:hAnsi="Arial"/>
          <w:sz w:val="18"/>
          <w:szCs w:val="18"/>
          <w:u w:val="single" w:color="auto"/>
          <w:color w:val="0000FF"/>
        </w:rPr>
        <w:t xml:space="preserve"> </w:t>
      </w:r>
      <w:hyperlink w:anchor="page50">
        <w:r>
          <w:rPr>
            <w:rFonts w:ascii="Arial" w:cs="Arial" w:eastAsia="Arial" w:hAnsi="Arial"/>
            <w:sz w:val="18"/>
            <w:szCs w:val="18"/>
            <w:u w:val="single" w:color="auto"/>
            <w:color w:val="0000FF"/>
          </w:rPr>
          <w:t>the 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15175" cy="257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ind w:left="20"/>
        <w:spacing w:after="0"/>
        <w:tabs>
          <w:tab w:leader="none" w:pos="12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95</w:t>
      </w:r>
      <w:r>
        <w:rPr>
          <w:sz w:val="20"/>
          <w:szCs w:val="20"/>
          <w:color w:val="auto"/>
        </w:rPr>
        <w:tab/>
      </w:r>
      <w:hyperlink w:anchor="page51">
        <w:r>
          <w:rPr>
            <w:rFonts w:ascii="Arial" w:cs="Arial" w:eastAsia="Arial" w:hAnsi="Arial"/>
            <w:sz w:val="18"/>
            <w:szCs w:val="18"/>
            <w:u w:val="single" w:color="auto"/>
            <w:color w:val="0000FF"/>
          </w:rPr>
          <w:t>Mine Safety.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368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368300"/>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jc w:val="both"/>
        <w:ind w:left="1220" w:right="60" w:hanging="1194"/>
        <w:spacing w:after="0" w:line="252" w:lineRule="auto"/>
        <w:tabs>
          <w:tab w:leader="none" w:pos="1220" w:val="left"/>
        </w:tabs>
        <w:numPr>
          <w:ilvl w:val="0"/>
          <w:numId w:val="14"/>
        </w:numPr>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ALLETE News Release dated May 6, 2021, announcing 2021 first quarter earnings. (This exhibit has been furnished and shall not</w:t>
        </w:r>
      </w:hyperlink>
      <w:r>
        <w:rPr>
          <w:rFonts w:ascii="Arial" w:cs="Arial" w:eastAsia="Arial" w:hAnsi="Arial"/>
          <w:sz w:val="16"/>
          <w:szCs w:val="16"/>
          <w:b w:val="1"/>
          <w:bCs w:val="1"/>
          <w:u w:val="single" w:color="auto"/>
          <w:color w:val="0000FF"/>
        </w:rPr>
        <w:t xml:space="preserve"> </w:t>
      </w:r>
      <w:hyperlink w:anchor="page52">
        <w:r>
          <w:rPr>
            <w:rFonts w:ascii="Arial" w:cs="Arial" w:eastAsia="Arial" w:hAnsi="Arial"/>
            <w:sz w:val="16"/>
            <w:szCs w:val="16"/>
            <w:b w:val="1"/>
            <w:bCs w:val="1"/>
            <w:u w:val="single" w:color="auto"/>
            <w:color w:val="0000FF"/>
          </w:rPr>
          <w:t>be deemed “filed” for purposes of Section 18 of the Securities Exchange Act of 1934, nor shall it be deemed incorporated by</w:t>
        </w:r>
      </w:hyperlink>
      <w:r>
        <w:rPr>
          <w:rFonts w:ascii="Arial" w:cs="Arial" w:eastAsia="Arial" w:hAnsi="Arial"/>
          <w:sz w:val="16"/>
          <w:szCs w:val="16"/>
          <w:b w:val="1"/>
          <w:bCs w:val="1"/>
          <w:u w:val="single" w:color="auto"/>
          <w:color w:val="0000FF"/>
        </w:rPr>
        <w:t xml:space="preserve"> </w:t>
      </w:r>
      <w:hyperlink w:anchor="page52">
        <w:r>
          <w:rPr>
            <w:rFonts w:ascii="Arial" w:cs="Arial" w:eastAsia="Arial" w:hAnsi="Arial"/>
            <w:sz w:val="16"/>
            <w:szCs w:val="16"/>
            <w:b w:val="1"/>
            <w:bCs w:val="1"/>
            <w:u w:val="single" w:color="auto"/>
            <w:color w:val="0000FF"/>
          </w:rPr>
          <w:t>reference in any filing under the Securities Act of 1933, except as shall be expressly set forth by specific reference in such filing.)</w:t>
        </w:r>
      </w:hyperlink>
    </w:p>
    <w:tbl>
      <w:tblPr>
        <w:tblLayout w:type="fixed"/>
        <w:tblInd w:w="0" w:type="dxa"/>
        <w:tblCellMar>
          <w:top w:w="0" w:type="dxa"/>
          <w:left w:w="0" w:type="dxa"/>
          <w:bottom w:w="0" w:type="dxa"/>
          <w:right w:w="0" w:type="dxa"/>
        </w:tblCellMar>
      </w:tblPr>
      <w:tr>
        <w:trPr>
          <w:trHeight w:val="176"/>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10260" w:type="dxa"/>
            <w:vAlign w:val="bottom"/>
          </w:tcPr>
          <w:p>
            <w:pPr>
              <w:ind w:left="260"/>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29"/>
        </w:trPr>
        <w:tc>
          <w:tcPr>
            <w:tcW w:w="9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within the Inline XBRL document.</w:t>
            </w:r>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Schema</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101.CAL</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Calculation</w:t>
            </w:r>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Definition</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101.LAB</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Label</w:t>
            </w:r>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Presentation</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10260" w:type="dxa"/>
            <w:vAlign w:val="bottom"/>
          </w:tcPr>
          <w:p>
            <w:pPr>
              <w:ind w:left="2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93" w:lineRule="exact"/>
        <w:rPr>
          <w:rFonts w:ascii="Arial" w:cs="Arial" w:eastAsia="Arial" w:hAnsi="Arial"/>
          <w:sz w:val="16"/>
          <w:szCs w:val="16"/>
          <w:b w:val="1"/>
          <w:bCs w:val="1"/>
          <w:u w:val="single" w:color="auto"/>
          <w:color w:val="0000FF"/>
        </w:rPr>
      </w:pPr>
    </w:p>
    <w:p>
      <w:pPr>
        <w:jc w:val="both"/>
        <w:spacing w:after="0" w:line="277" w:lineRule="auto"/>
        <w:rPr>
          <w:sz w:val="20"/>
          <w:szCs w:val="20"/>
          <w:color w:val="auto"/>
        </w:rPr>
      </w:pPr>
      <w:r>
        <w:rPr>
          <w:rFonts w:ascii="Arial" w:cs="Arial" w:eastAsia="Arial" w:hAnsi="Arial"/>
          <w:sz w:val="18"/>
          <w:szCs w:val="18"/>
          <w:color w:val="auto"/>
        </w:rPr>
        <w:t>ALLETE agrees to furnish to the SEC upon request any instrument with respect to long-term debt that ALLETE has not filed as an exhibit pursuant to the exemption provided by Item 601(b)(4)(iii)(A) of Regulation S-K.</w:t>
      </w:r>
    </w:p>
    <w:p>
      <w:pPr>
        <w:spacing w:after="0" w:line="395" w:lineRule="exact"/>
        <w:rPr>
          <w:rFonts w:ascii="Arial" w:cs="Arial" w:eastAsia="Arial" w:hAnsi="Arial"/>
          <w:sz w:val="16"/>
          <w:szCs w:val="16"/>
          <w:b w:val="1"/>
          <w:bCs w:val="1"/>
          <w:u w:val="single" w:color="auto"/>
          <w:color w:val="0000FF"/>
        </w:rPr>
      </w:pPr>
    </w:p>
    <w:p>
      <w:pPr>
        <w:jc w:val="center"/>
        <w:ind w:right="-19"/>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rFonts w:ascii="Arial" w:cs="Arial" w:eastAsia="Arial" w:hAnsi="Arial"/>
          <w:sz w:val="16"/>
          <w:szCs w:val="16"/>
          <w:b w:val="1"/>
          <w:bCs w:val="1"/>
          <w:u w:val="single" w:color="auto"/>
          <w:color w:val="0000FF"/>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7640" w:val="left"/>
        </w:tabs>
        <w:rPr>
          <w:sz w:val="20"/>
          <w:szCs w:val="20"/>
          <w:color w:val="auto"/>
        </w:rPr>
      </w:pPr>
      <w:r>
        <w:rPr>
          <w:rFonts w:ascii="Arial" w:cs="Arial" w:eastAsia="Arial" w:hAnsi="Arial"/>
          <w:sz w:val="18"/>
          <w:szCs w:val="18"/>
          <w:color w:val="auto"/>
        </w:rPr>
        <w:t>May 6, 2021</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175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6"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Robert J. Adams</w:t>
      </w:r>
    </w:p>
    <w:p>
      <w:pPr>
        <w:spacing w:after="0" w:line="23"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7600" w:val="left"/>
        </w:tabs>
        <w:rPr>
          <w:sz w:val="20"/>
          <w:szCs w:val="20"/>
          <w:color w:val="auto"/>
        </w:rPr>
      </w:pPr>
      <w:r>
        <w:rPr>
          <w:rFonts w:ascii="Arial" w:cs="Arial" w:eastAsia="Arial" w:hAnsi="Arial"/>
          <w:sz w:val="18"/>
          <w:szCs w:val="18"/>
          <w:color w:val="auto"/>
        </w:rPr>
        <w:t>May 6, 2021</w:t>
      </w:r>
      <w:r>
        <w:rPr>
          <w:sz w:val="20"/>
          <w:szCs w:val="20"/>
          <w:color w:val="auto"/>
        </w:rPr>
        <w:tab/>
      </w:r>
      <w:r>
        <w:rPr>
          <w:rFonts w:ascii="Arial" w:cs="Arial" w:eastAsia="Arial" w:hAnsi="Arial"/>
          <w:sz w:val="16"/>
          <w:szCs w:val="16"/>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175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6"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Steven W. Morris</w:t>
      </w:r>
    </w:p>
    <w:p>
      <w:pPr>
        <w:spacing w:after="0" w:line="23"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Vice President, Controller and Chief Accounting Officer</w:t>
      </w:r>
    </w:p>
    <w:p>
      <w:pPr>
        <w:spacing w:after="0" w:line="23"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First Quarter 2021 Form 10-Q</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Bethany M. Owen, of ALLETE, Inc. (ALLETE), certify that:</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2021,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Date: May 6, 2021</w:t>
            </w: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Bethany M. Owen</w:t>
            </w:r>
          </w:p>
        </w:tc>
      </w:tr>
      <w:tr>
        <w:trPr>
          <w:trHeight w:val="222"/>
        </w:trPr>
        <w:tc>
          <w:tcPr>
            <w:tcW w:w="44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Bethany M. Owen</w:t>
            </w:r>
          </w:p>
        </w:tc>
      </w:tr>
      <w:tr>
        <w:trPr>
          <w:trHeight w:val="230"/>
        </w:trPr>
        <w:tc>
          <w:tcPr>
            <w:tcW w:w="44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J. Adams, of ALLETE, Inc. (ALLETE), certify that:</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2021,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Date: May 6, 2021</w:t>
            </w: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J. Adams</w:t>
            </w:r>
          </w:p>
        </w:tc>
      </w:tr>
      <w:tr>
        <w:trPr>
          <w:trHeight w:val="222"/>
        </w:trPr>
        <w:tc>
          <w:tcPr>
            <w:tcW w:w="40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Robert J. Adams</w:t>
            </w:r>
          </w:p>
        </w:tc>
      </w:tr>
      <w:tr>
        <w:trPr>
          <w:trHeight w:val="230"/>
        </w:trPr>
        <w:tc>
          <w:tcPr>
            <w:tcW w:w="402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March 31, 2021,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6, 2021</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Bethany M. Owen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6, 2021</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Robert J. Adams</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95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34" w:lineRule="exact"/>
        <w:rPr>
          <w:sz w:val="20"/>
          <w:szCs w:val="20"/>
          <w:color w:val="auto"/>
        </w:rPr>
      </w:pPr>
    </w:p>
    <w:tbl>
      <w:tblPr>
        <w:tblLayout w:type="fixed"/>
        <w:tblInd w:w="30" w:type="dxa"/>
        <w:tblCellMar>
          <w:top w:w="0" w:type="dxa"/>
          <w:left w:w="0" w:type="dxa"/>
          <w:bottom w:w="0" w:type="dxa"/>
          <w:right w:w="0" w:type="dxa"/>
        </w:tblCellMar>
      </w:tblPr>
      <w:tr>
        <w:trPr>
          <w:trHeight w:val="621"/>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Notice of</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Received</w:t>
            </w:r>
          </w:p>
        </w:tc>
        <w:tc>
          <w:tcPr>
            <w:tcW w:w="8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Total</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Pattern of</w:t>
            </w:r>
          </w:p>
        </w:tc>
        <w:tc>
          <w:tcPr>
            <w:tcW w:w="9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Legal</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Legal</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Mine or Operating</w:t>
            </w: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Violation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Notice of</w:t>
            </w:r>
          </w:p>
        </w:tc>
        <w:tc>
          <w:tcPr>
            <w:tcW w:w="8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Legal Actions</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continue"/>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104(d)</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Section</w:t>
            </w:r>
          </w:p>
        </w:tc>
        <w:tc>
          <w:tcPr>
            <w:tcW w:w="10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Number of</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Under</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Potential to</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Actions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Actions</w:t>
            </w:r>
          </w:p>
        </w:tc>
        <w:tc>
          <w:tcPr>
            <w:tcW w:w="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9"/>
              </w:rPr>
              <w:t>Resolved</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9"/>
              </w:rPr>
              <w:t>Identification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9"/>
              </w:rPr>
              <w:t>S&amp;S</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and Orders</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110(b)(2)</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Related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104(e)</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Under Section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Last Day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During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During</w:t>
            </w:r>
          </w:p>
        </w:tc>
        <w:tc>
          <w:tcPr>
            <w:tcW w:w="0" w:type="dxa"/>
            <w:vAlign w:val="bottom"/>
          </w:tcPr>
          <w:p>
            <w:pPr>
              <w:spacing w:after="0"/>
              <w:rPr>
                <w:sz w:val="1"/>
                <w:szCs w:val="1"/>
                <w:color w:val="auto"/>
              </w:rPr>
            </w:pPr>
          </w:p>
        </w:tc>
      </w:tr>
      <w:tr>
        <w:trPr>
          <w:trHeight w:val="18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5"/>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$416</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BNI Energy, owner of Center Mine, received one citation under Section 104(a) of the Mine Safety Act, which was not a significant and substantial (S&amp;S) citation. For the three months ended March 31, 2021, there were no citations, orders, violations or notices under Sections 104(b), 104(d), 107(a), 104(e) or 110(b)(2) of the Mine Safety Act and there were no fatalities.</w:t>
      </w:r>
    </w:p>
    <w:p>
      <w:pPr>
        <w:sectPr>
          <w:pgSz w:w="11900" w:h="16838" w:orient="portrait"/>
          <w:cols w:equalWidth="0" w:num="1">
            <w:col w:w="11240"/>
          </w:cols>
          <w:pgMar w:left="320" w:top="891"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680720</wp:posOffset>
            </wp:positionV>
            <wp:extent cx="1371600" cy="6261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81"/>
          <w:szCs w:val="81"/>
          <w:b w:val="1"/>
          <w:bCs w:val="1"/>
          <w:i w:val="1"/>
          <w:iCs w:val="1"/>
          <w:color w:val="auto"/>
        </w:rPr>
        <w:t>NEWS</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8"/>
          <w:szCs w:val="18"/>
          <w:color w:val="auto"/>
        </w:rPr>
        <w:t>Exhibit 99</w:t>
      </w:r>
    </w:p>
    <w:p>
      <w:pPr>
        <w:spacing w:after="0" w:line="36"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Date: May 6, 2021</w:t>
      </w:r>
    </w:p>
    <w:p>
      <w:pPr>
        <w:spacing w:after="0" w:line="279"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Vince Meyer</w:t>
      </w:r>
    </w:p>
    <w:p>
      <w:pPr>
        <w:spacing w:after="0" w:line="6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218-723-3952</w:t>
      </w:r>
    </w:p>
    <w:p>
      <w:pPr>
        <w:spacing w:after="0" w:line="7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vmeyer@allete.com</w:t>
      </w:r>
    </w:p>
    <w:p>
      <w:pPr>
        <w:spacing w:after="0" w:line="752" w:lineRule="exact"/>
        <w:rPr>
          <w:sz w:val="20"/>
          <w:szCs w:val="20"/>
          <w:color w:val="auto"/>
        </w:rPr>
      </w:pPr>
    </w:p>
    <w:p>
      <w:pPr>
        <w:sectPr>
          <w:pgSz w:w="11900" w:h="16838" w:orient="portrait"/>
          <w:cols w:equalWidth="0" w:num="2">
            <w:col w:w="6440" w:space="720"/>
            <w:col w:w="4080"/>
          </w:cols>
          <w:pgMar w:left="320" w:top="1003" w:right="339" w:bottom="1440" w:gutter="0" w:footer="0" w:header="0"/>
        </w:sectPr>
      </w:pPr>
    </w:p>
    <w:p>
      <w:pPr>
        <w:ind w:left="2100"/>
        <w:spacing w:after="0"/>
        <w:rPr>
          <w:sz w:val="20"/>
          <w:szCs w:val="20"/>
          <w:color w:val="auto"/>
        </w:rPr>
      </w:pPr>
      <w:r>
        <w:rPr>
          <w:rFonts w:ascii="Arial" w:cs="Arial" w:eastAsia="Arial" w:hAnsi="Arial"/>
          <w:sz w:val="25"/>
          <w:szCs w:val="25"/>
          <w:b w:val="1"/>
          <w:bCs w:val="1"/>
          <w:color w:val="auto"/>
        </w:rPr>
        <w:t>ALLETE, Inc. reports first quarter earnings of 99 cents per share</w:t>
      </w:r>
    </w:p>
    <w:p>
      <w:pPr>
        <w:ind w:left="2080"/>
        <w:spacing w:after="0"/>
        <w:rPr>
          <w:sz w:val="20"/>
          <w:szCs w:val="20"/>
          <w:color w:val="auto"/>
        </w:rPr>
      </w:pPr>
      <w:r>
        <w:rPr>
          <w:rFonts w:ascii="Arial" w:cs="Arial" w:eastAsia="Arial" w:hAnsi="Arial"/>
          <w:sz w:val="25"/>
          <w:szCs w:val="25"/>
          <w:b w:val="1"/>
          <w:bCs w:val="1"/>
          <w:color w:val="auto"/>
        </w:rPr>
        <w:t>Reaffirms 2021 earnings guidance range of $3.00 - $3.30 per share</w:t>
      </w:r>
    </w:p>
    <w:p>
      <w:pPr>
        <w:spacing w:after="0" w:line="231"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DULUTH, Minn. - ALLETE, Inc. (NYSE: ALE) today reported first quarter 2021 earnings of 99 cents per share on net income of $51.8 million. Last year’s results were $1.28 per share on net income of $66.3 million. The timing of income taxes and operating and maintenance expense in 2021 negatively impacted the quarter compared to internal expectations by approximately 15 cents per share, which are expected to reverse during the remainder of the year. In addition, net income in 2021 included an approximately $5 million dollars, or 10 cents per share, negative impact related to ALLETE Clean Energy’s Diamond Spring wind energy facility due to an extreme winter storm event in the southern United States in February 2021.</w:t>
      </w:r>
    </w:p>
    <w:p>
      <w:pPr>
        <w:spacing w:after="0" w:line="223" w:lineRule="exact"/>
        <w:rPr>
          <w:sz w:val="20"/>
          <w:szCs w:val="20"/>
          <w:color w:val="auto"/>
        </w:rPr>
      </w:pPr>
    </w:p>
    <w:p>
      <w:pPr>
        <w:jc w:val="both"/>
        <w:ind w:right="440"/>
        <w:spacing w:after="0" w:line="250" w:lineRule="auto"/>
        <w:rPr>
          <w:sz w:val="20"/>
          <w:szCs w:val="20"/>
          <w:color w:val="auto"/>
        </w:rPr>
      </w:pPr>
      <w:r>
        <w:rPr>
          <w:rFonts w:ascii="Arial" w:cs="Arial" w:eastAsia="Arial" w:hAnsi="Arial"/>
          <w:sz w:val="20"/>
          <w:szCs w:val="20"/>
          <w:color w:val="auto"/>
        </w:rPr>
        <w:t>“While financial results were lower than our expectations for the quarter, reflecting timing and extreme weather impacts primarily in the southern region of ALLETE Clean Energy’s operations, we remain confident in our earnings guidance of $3.00 - $3.30 per share,” said ALLETE President and Chief Executive Officer Bethany Owen.</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ALLETE’s Regulated Operations segment, which includes Minnesota Power, Superior Water, Light and Power (SWL&amp;P) and the Company’s investment in the American Transmission Co. (ATC), recorded net income of $45 million, compared to $57.5 million in the first quarter of 2020. Earnings reflect lower income at Minnesota Power primarily due to: lower margins resulting from the expiration of a power sales contract in 2020; lower kilowatt-hour sales to industrial customers; higher operating and maintenance, property tax and depreciation expenses; and the timing of income taxes. These decreases were partially offset by increased earnings related to the Great Northern Transmission Line. Net income at SWL&amp;P and our after-tax equity earnings in ATC were similar to 2020.</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ALLETE Clean Energy recorded first quarter 2021 net income of $7.4 million compared to $11.7 million in 2020. Net income in 2021 included an approximately $5 million after-tax negative impact at ALLETE Clean Energy’s Diamond Spring wind energy facility related to an extreme winter storm event in the southern United States in February 2021 and the timing of income taxes. These decreases were partially offset by earnings from the South Peak wind energy facility which commenced operations in April 2020.</w:t>
      </w:r>
    </w:p>
    <w:p>
      <w:pPr>
        <w:spacing w:after="0" w:line="203" w:lineRule="exact"/>
        <w:rPr>
          <w:sz w:val="20"/>
          <w:szCs w:val="20"/>
          <w:color w:val="auto"/>
        </w:rPr>
      </w:pPr>
    </w:p>
    <w:p>
      <w:pPr>
        <w:jc w:val="both"/>
        <w:ind w:right="40"/>
        <w:spacing w:after="0" w:line="269" w:lineRule="auto"/>
        <w:rPr>
          <w:sz w:val="20"/>
          <w:szCs w:val="20"/>
          <w:color w:val="auto"/>
        </w:rPr>
      </w:pPr>
      <w:r>
        <w:rPr>
          <w:rFonts w:ascii="Arial" w:cs="Arial" w:eastAsia="Arial" w:hAnsi="Arial"/>
          <w:sz w:val="19"/>
          <w:szCs w:val="19"/>
          <w:color w:val="auto"/>
        </w:rPr>
        <w:t>Corporate and Other businesses, which include BNI Energy and ALLETE Properties, recorded a net loss of $600 thousand in 2021 compared to a net loss of $2.9 million in 2020. The lower net loss in 2021 reflects the first full quarter of contributions from ALLETE’s Nobles 2 wind energy facility and higher earnings from marketable equity securities held in certain benefit trusts.</w:t>
      </w:r>
    </w:p>
    <w:p>
      <w:pPr>
        <w:spacing w:after="0" w:line="197" w:lineRule="exact"/>
        <w:rPr>
          <w:sz w:val="20"/>
          <w:szCs w:val="20"/>
          <w:color w:val="auto"/>
        </w:rPr>
      </w:pPr>
    </w:p>
    <w:p>
      <w:pPr>
        <w:jc w:val="both"/>
        <w:ind w:right="180"/>
        <w:spacing w:after="0" w:line="246" w:lineRule="auto"/>
        <w:rPr>
          <w:sz w:val="20"/>
          <w:szCs w:val="20"/>
          <w:color w:val="auto"/>
        </w:rPr>
      </w:pPr>
      <w:r>
        <w:rPr>
          <w:rFonts w:ascii="Arial" w:cs="Arial" w:eastAsia="Arial" w:hAnsi="Arial"/>
          <w:sz w:val="20"/>
          <w:szCs w:val="20"/>
          <w:color w:val="auto"/>
        </w:rPr>
        <w:t>“Setting aside extreme weather events beyond our control and income tax timing impacts, ALLETE’s financial results for the quarter were generally as expected,” said ALLETE Senior Vice President and Chief Financial Officer Bob Adams. “Furthermore, strategic initiatives to improve our regulated utility returns and further advance our clean energy expansion are underway, positioning ALLETE for strong growth in the future.”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Webcast on May 6, 2021; 2021 first quarter slides posted on company website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 of 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40"/>
          </w:cols>
          <w:pgMar w:left="320" w:top="1003" w:right="339" w:bottom="1440" w:gutter="0" w:footer="0" w:header="0"/>
          <w:type w:val="continuous"/>
        </w:sectPr>
      </w:pPr>
    </w:p>
    <w:bookmarkStart w:id="52" w:name="page53"/>
    <w:bookmarkEnd w:id="52"/>
    <w:p>
      <w:pPr>
        <w:ind w:right="180"/>
        <w:spacing w:after="0" w:line="260" w:lineRule="auto"/>
        <w:rPr>
          <w:sz w:val="20"/>
          <w:szCs w:val="20"/>
          <w:color w:val="auto"/>
        </w:rPr>
      </w:pPr>
      <w:r>
        <w:rPr>
          <w:rFonts w:ascii="Arial" w:cs="Arial" w:eastAsia="Arial" w:hAnsi="Arial"/>
          <w:sz w:val="19"/>
          <w:szCs w:val="19"/>
          <w:color w:val="auto"/>
        </w:rPr>
        <w:t xml:space="preserve">ALLETE’s earnings conference call will be at 10:00 a.m. (EST), May 6, 2021, at which time management will discuss the first quarter of 2021 financial results. Interested parties may listen live by calling 877-303-5852, pass code 6089168, ten minutes prior to the start time, or may listen to the live audio-only webcast accompanied by supporting slides, which will be available on ALLETE’s Investor Relations website </w:t>
      </w:r>
      <w:r>
        <w:rPr>
          <w:rFonts w:ascii="Arial" w:cs="Arial" w:eastAsia="Arial" w:hAnsi="Arial"/>
          <w:sz w:val="19"/>
          <w:szCs w:val="19"/>
          <w:u w:val="single" w:color="auto"/>
          <w:color w:val="1F0CFF"/>
        </w:rPr>
        <w:t>http://investor.allete.com/events-presentations</w:t>
      </w:r>
      <w:r>
        <w:rPr>
          <w:rFonts w:ascii="Arial" w:cs="Arial" w:eastAsia="Arial" w:hAnsi="Arial"/>
          <w:sz w:val="19"/>
          <w:szCs w:val="19"/>
          <w:color w:val="auto"/>
        </w:rPr>
        <w:t xml:space="preserve">. A replay of the call will be available through May 13, 2021 by calling (855) 859-2056, pass code 6089168. The webcast will be accessible for one year at </w:t>
      </w:r>
      <w:r>
        <w:rPr>
          <w:rFonts w:ascii="Arial" w:cs="Arial" w:eastAsia="Arial" w:hAnsi="Arial"/>
          <w:sz w:val="19"/>
          <w:szCs w:val="19"/>
          <w:u w:val="single" w:color="auto"/>
          <w:color w:val="1F0CFF"/>
        </w:rPr>
        <w:t>www.allete.com</w:t>
      </w:r>
      <w:r>
        <w:rPr>
          <w:rFonts w:ascii="Arial" w:cs="Arial" w:eastAsia="Arial" w:hAnsi="Arial"/>
          <w:sz w:val="19"/>
          <w:szCs w:val="19"/>
          <w:color w:val="auto"/>
        </w:rPr>
        <w:t>.</w:t>
      </w:r>
    </w:p>
    <w:p>
      <w:pPr>
        <w:spacing w:after="0" w:line="207" w:lineRule="exact"/>
        <w:rPr>
          <w:sz w:val="20"/>
          <w:szCs w:val="20"/>
          <w:color w:val="auto"/>
        </w:rPr>
      </w:pPr>
    </w:p>
    <w:p>
      <w:pPr>
        <w:ind w:right="260"/>
        <w:spacing w:after="0" w:line="291" w:lineRule="auto"/>
        <w:rPr>
          <w:sz w:val="20"/>
          <w:szCs w:val="20"/>
          <w:color w:val="auto"/>
        </w:rPr>
      </w:pPr>
      <w:r>
        <w:rPr>
          <w:rFonts w:ascii="Arial" w:cs="Arial" w:eastAsia="Arial" w:hAnsi="Arial"/>
          <w:sz w:val="18"/>
          <w:szCs w:val="18"/>
          <w:color w:val="auto"/>
        </w:rPr>
        <w:t xml:space="preserve">ALLETE is an energy company headquartered in Duluth, Minn. In addition to its electric utilities, Minnesota Power and Superior Water, Light and Power of Wisconsin, ALLETE owns ALLETE Clean Energy, based in Duluth, BNI Energy in Bismarck, N.D., and has an eight percent equity interest in the American Transmission Co. More information about ALLETE is available at www.allete.com. </w:t>
      </w:r>
      <w:r>
        <w:rPr>
          <w:rFonts w:ascii="Arial" w:cs="Arial" w:eastAsia="Arial" w:hAnsi="Arial"/>
          <w:sz w:val="18"/>
          <w:szCs w:val="18"/>
          <w:i w:val="1"/>
          <w:iCs w:val="1"/>
          <w:color w:val="auto"/>
        </w:rPr>
        <w:t>ALE-CORP</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Page 2 of 4</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180"/>
          </w:cols>
          <w:pgMar w:left="320" w:top="933" w:right="39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45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6700" w:type="dxa"/>
            <w:vAlign w:val="bottom"/>
          </w:tcPr>
          <w:p>
            <w:pPr>
              <w:spacing w:after="0"/>
              <w:rPr>
                <w:sz w:val="19"/>
                <w:szCs w:val="19"/>
                <w:color w:val="auto"/>
              </w:rPr>
            </w:pPr>
          </w:p>
        </w:tc>
        <w:tc>
          <w:tcPr>
            <w:tcW w:w="45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7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3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Utility</w:t>
            </w:r>
          </w:p>
        </w:tc>
        <w:tc>
          <w:tcPr>
            <w:tcW w:w="3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$293.0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Contracts with Customers – Non-utility</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43.4</w:t>
            </w:r>
          </w:p>
        </w:tc>
        <w:tc>
          <w:tcPr>
            <w:tcW w:w="90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29"/>
        </w:trPr>
        <w:tc>
          <w:tcPr>
            <w:tcW w:w="6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 Non-utility</w:t>
            </w:r>
          </w:p>
        </w:tc>
        <w:tc>
          <w:tcPr>
            <w:tcW w:w="3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Revenue</w:t>
            </w:r>
          </w:p>
        </w:tc>
        <w:tc>
          <w:tcPr>
            <w:tcW w:w="3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339.2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Fuel, Purchased Power and Gas – Utility</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120.4</w:t>
            </w:r>
          </w:p>
        </w:tc>
        <w:tc>
          <w:tcPr>
            <w:tcW w:w="90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Transmission Services – Utility</w:t>
            </w:r>
          </w:p>
        </w:tc>
        <w:tc>
          <w:tcPr>
            <w:tcW w:w="3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Cost of Sales – Non-utility</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16.8</w:t>
            </w: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and Maintenance</w:t>
            </w:r>
          </w:p>
        </w:tc>
        <w:tc>
          <w:tcPr>
            <w:tcW w:w="3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58.0</w:t>
            </w:r>
          </w:p>
        </w:tc>
        <w:tc>
          <w:tcPr>
            <w:tcW w:w="90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30"/>
        </w:trPr>
        <w:tc>
          <w:tcPr>
            <w:tcW w:w="6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Taxes Other than Income Taxes</w:t>
            </w:r>
          </w:p>
        </w:tc>
        <w:tc>
          <w:tcPr>
            <w:tcW w:w="3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Expenses</w:t>
            </w:r>
          </w:p>
        </w:tc>
        <w:tc>
          <w:tcPr>
            <w:tcW w:w="3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297.2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w:t>
            </w:r>
          </w:p>
        </w:tc>
      </w:tr>
      <w:tr>
        <w:trPr>
          <w:trHeight w:val="223"/>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Equity Earnings</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Other Expense</w:t>
            </w:r>
          </w:p>
        </w:tc>
        <w:tc>
          <w:tcPr>
            <w:tcW w:w="3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2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Tax Benefit</w:t>
            </w:r>
          </w:p>
        </w:tc>
        <w:tc>
          <w:tcPr>
            <w:tcW w:w="3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43.4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2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3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3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3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9"/>
        </w:trPr>
        <w:tc>
          <w:tcPr>
            <w:tcW w:w="6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3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3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$0.99</w:t>
            </w: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3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$0.63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$0.6175</w:t>
            </w: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000" w:type="dxa"/>
            <w:vAlign w:val="bottom"/>
          </w:tcPr>
          <w:p>
            <w:pPr>
              <w:spacing w:after="0"/>
              <w:rPr>
                <w:sz w:val="19"/>
                <w:szCs w:val="19"/>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Mar. 31</w:t>
            </w: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Dec. 31,</w:t>
            </w:r>
          </w:p>
        </w:tc>
        <w:tc>
          <w:tcPr>
            <w:tcW w:w="398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Mar. 31</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Dec. 31,</w:t>
            </w:r>
          </w:p>
        </w:tc>
      </w:tr>
      <w:tr>
        <w:trPr>
          <w:trHeight w:val="234"/>
        </w:trPr>
        <w:tc>
          <w:tcPr>
            <w:tcW w:w="3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8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219.4</w:t>
            </w:r>
          </w:p>
        </w:tc>
        <w:tc>
          <w:tcPr>
            <w:tcW w:w="900" w:type="dxa"/>
            <w:vAlign w:val="bottom"/>
          </w:tcPr>
          <w:p>
            <w:pPr>
              <w:jc w:val="right"/>
              <w:spacing w:after="0"/>
              <w:rPr>
                <w:sz w:val="20"/>
                <w:szCs w:val="20"/>
                <w:color w:val="auto"/>
              </w:rPr>
            </w:pPr>
            <w:r>
              <w:rPr>
                <w:rFonts w:ascii="Arial" w:cs="Arial" w:eastAsia="Arial" w:hAnsi="Arial"/>
                <w:sz w:val="18"/>
                <w:szCs w:val="18"/>
                <w:color w:val="auto"/>
              </w:rPr>
              <w:t>210.6</w:t>
            </w:r>
          </w:p>
        </w:tc>
        <w:tc>
          <w:tcPr>
            <w:tcW w:w="398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140" w:type="dxa"/>
            <w:vAlign w:val="bottom"/>
          </w:tcPr>
          <w:p>
            <w:pPr>
              <w:jc w:val="right"/>
              <w:spacing w:after="0"/>
              <w:rPr>
                <w:sz w:val="20"/>
                <w:szCs w:val="20"/>
                <w:color w:val="auto"/>
              </w:rPr>
            </w:pPr>
            <w:r>
              <w:rPr>
                <w:rFonts w:ascii="Arial" w:cs="Arial" w:eastAsia="Arial" w:hAnsi="Arial"/>
                <w:sz w:val="18"/>
                <w:szCs w:val="18"/>
                <w:color w:val="auto"/>
              </w:rPr>
              <w:t>1,652.4</w:t>
            </w:r>
          </w:p>
        </w:tc>
        <w:tc>
          <w:tcPr>
            <w:tcW w:w="840" w:type="dxa"/>
            <w:vAlign w:val="bottom"/>
          </w:tcPr>
          <w:p>
            <w:pPr>
              <w:jc w:val="right"/>
              <w:spacing w:after="0"/>
              <w:rPr>
                <w:sz w:val="20"/>
                <w:szCs w:val="20"/>
                <w:color w:val="auto"/>
              </w:rPr>
            </w:pPr>
            <w:r>
              <w:rPr>
                <w:rFonts w:ascii="Arial" w:cs="Arial" w:eastAsia="Arial" w:hAnsi="Arial"/>
                <w:sz w:val="18"/>
                <w:szCs w:val="18"/>
                <w:color w:val="auto"/>
              </w:rPr>
              <w:t>1,593.2</w:t>
            </w: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4,930.6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4,840.8</w:t>
            </w: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472.7</w:t>
            </w:r>
          </w:p>
        </w:tc>
        <w:tc>
          <w:tcPr>
            <w:tcW w:w="900" w:type="dxa"/>
            <w:vAlign w:val="bottom"/>
          </w:tcPr>
          <w:p>
            <w:pPr>
              <w:jc w:val="right"/>
              <w:spacing w:after="0"/>
              <w:rPr>
                <w:sz w:val="20"/>
                <w:szCs w:val="20"/>
                <w:color w:val="auto"/>
              </w:rPr>
            </w:pPr>
            <w:r>
              <w:rPr>
                <w:rFonts w:ascii="Arial" w:cs="Arial" w:eastAsia="Arial" w:hAnsi="Arial"/>
                <w:sz w:val="18"/>
                <w:szCs w:val="18"/>
                <w:color w:val="auto"/>
              </w:rPr>
              <w:t>480.9</w:t>
            </w:r>
          </w:p>
        </w:tc>
        <w:tc>
          <w:tcPr>
            <w:tcW w:w="398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517.9</w:t>
            </w:r>
          </w:p>
        </w:tc>
        <w:tc>
          <w:tcPr>
            <w:tcW w:w="840" w:type="dxa"/>
            <w:vAlign w:val="bottom"/>
          </w:tcPr>
          <w:p>
            <w:pPr>
              <w:jc w:val="right"/>
              <w:spacing w:after="0"/>
              <w:rPr>
                <w:sz w:val="20"/>
                <w:szCs w:val="20"/>
                <w:color w:val="auto"/>
              </w:rPr>
            </w:pPr>
            <w:r>
              <w:rPr>
                <w:rFonts w:ascii="Arial" w:cs="Arial" w:eastAsia="Arial" w:hAnsi="Arial"/>
                <w:sz w:val="18"/>
                <w:szCs w:val="18"/>
                <w:color w:val="auto"/>
              </w:rPr>
              <w:t>524.8</w:t>
            </w:r>
          </w:p>
        </w:tc>
      </w:tr>
      <w:tr>
        <w:trPr>
          <w:trHeight w:val="25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Defined Benefit Pension and Other Postretirement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r>
      <w:tr>
        <w:trPr>
          <w:trHeight w:val="149"/>
        </w:trPr>
        <w:tc>
          <w:tcPr>
            <w:tcW w:w="30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98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Benefit Plans</w:t>
            </w: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191.3</w:t>
            </w:r>
          </w:p>
        </w:tc>
        <w:tc>
          <w:tcPr>
            <w:tcW w:w="900" w:type="dxa"/>
            <w:vAlign w:val="bottom"/>
          </w:tcPr>
          <w:p>
            <w:pPr>
              <w:jc w:val="right"/>
              <w:spacing w:after="0"/>
              <w:rPr>
                <w:sz w:val="20"/>
                <w:szCs w:val="20"/>
                <w:color w:val="auto"/>
              </w:rPr>
            </w:pPr>
            <w:r>
              <w:rPr>
                <w:rFonts w:ascii="Arial" w:cs="Arial" w:eastAsia="Arial" w:hAnsi="Arial"/>
                <w:sz w:val="18"/>
                <w:szCs w:val="18"/>
                <w:color w:val="auto"/>
              </w:rPr>
              <w:t>206.8</w:t>
            </w:r>
          </w:p>
        </w:tc>
        <w:tc>
          <w:tcPr>
            <w:tcW w:w="398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280.2</w:t>
            </w:r>
          </w:p>
        </w:tc>
        <w:tc>
          <w:tcPr>
            <w:tcW w:w="840" w:type="dxa"/>
            <w:vAlign w:val="bottom"/>
          </w:tcPr>
          <w:p>
            <w:pPr>
              <w:jc w:val="right"/>
              <w:spacing w:after="0"/>
              <w:rPr>
                <w:sz w:val="20"/>
                <w:szCs w:val="20"/>
                <w:color w:val="auto"/>
              </w:rPr>
            </w:pPr>
            <w:r>
              <w:rPr>
                <w:rFonts w:ascii="Arial" w:cs="Arial" w:eastAsia="Arial" w:hAnsi="Arial"/>
                <w:sz w:val="18"/>
                <w:szCs w:val="18"/>
                <w:color w:val="auto"/>
              </w:rPr>
              <w:t>285.3</w:t>
            </w:r>
          </w:p>
        </w:tc>
      </w:tr>
      <w:tr>
        <w:trPr>
          <w:trHeight w:val="229"/>
        </w:trPr>
        <w:tc>
          <w:tcPr>
            <w:tcW w:w="30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2,800.2</w:t>
            </w:r>
          </w:p>
        </w:tc>
      </w:tr>
      <w:tr>
        <w:trPr>
          <w:trHeight w:val="22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$6,274.5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$6,084.6</w:t>
            </w:r>
          </w:p>
        </w:tc>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$6,274.5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$6,084.6</w:t>
            </w: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3 of 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 30 West Superior Street, Duluth, Minnesota 55802</w:t>
      </w:r>
    </w:p>
    <w:p>
      <w:pPr>
        <w:sectPr>
          <w:pgSz w:w="11900" w:h="16838" w:orient="portrait"/>
          <w:cols w:equalWidth="0" w:num="1">
            <w:col w:w="11240"/>
          </w:cols>
          <w:pgMar w:left="320" w:top="931"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29"/>
        </w:trPr>
        <w:tc>
          <w:tcPr>
            <w:tcW w:w="6260" w:type="dxa"/>
            <w:vAlign w:val="bottom"/>
          </w:tcPr>
          <w:p>
            <w:pPr>
              <w:spacing w:after="0"/>
              <w:rPr>
                <w:sz w:val="19"/>
                <w:szCs w:val="19"/>
                <w:color w:val="auto"/>
              </w:rPr>
            </w:pPr>
          </w:p>
        </w:tc>
        <w:tc>
          <w:tcPr>
            <w:tcW w:w="49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394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19"/>
                <w:szCs w:val="19"/>
                <w:color w:val="auto"/>
              </w:rPr>
            </w:pPr>
          </w:p>
        </w:tc>
      </w:tr>
      <w:tr>
        <w:trPr>
          <w:trHeight w:val="234"/>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(Loss)</w:t>
            </w:r>
          </w:p>
        </w:tc>
        <w:tc>
          <w:tcPr>
            <w:tcW w:w="394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2021</w:t>
            </w: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Millions</w:t>
            </w:r>
          </w:p>
        </w:tc>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Operations</w:t>
            </w:r>
          </w:p>
        </w:tc>
        <w:tc>
          <w:tcPr>
            <w:tcW w:w="39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$45.0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6260" w:type="dxa"/>
            <w:vAlign w:val="bottom"/>
          </w:tcPr>
          <w:p>
            <w:pPr>
              <w:ind w:left="360"/>
              <w:spacing w:after="0"/>
              <w:rPr>
                <w:sz w:val="20"/>
                <w:szCs w:val="20"/>
                <w:color w:val="auto"/>
              </w:rPr>
            </w:pPr>
            <w:r>
              <w:rPr>
                <w:rFonts w:ascii="Arial" w:cs="Arial" w:eastAsia="Arial" w:hAnsi="Arial"/>
                <w:sz w:val="18"/>
                <w:szCs w:val="18"/>
                <w:color w:val="auto"/>
              </w:rPr>
              <w:t>ALLETE Clean Energy</w:t>
            </w:r>
          </w:p>
        </w:tc>
        <w:tc>
          <w:tcPr>
            <w:tcW w:w="3940" w:type="dxa"/>
            <w:vAlign w:val="bottom"/>
          </w:tcPr>
          <w:p>
            <w:pPr>
              <w:jc w:val="right"/>
              <w:ind w:right="470"/>
              <w:spacing w:after="0"/>
              <w:rPr>
                <w:sz w:val="20"/>
                <w:szCs w:val="20"/>
                <w:color w:val="auto"/>
              </w:rPr>
            </w:pPr>
            <w:r>
              <w:rPr>
                <w:rFonts w:ascii="Arial" w:cs="Arial" w:eastAsia="Arial" w:hAnsi="Arial"/>
                <w:sz w:val="18"/>
                <w:szCs w:val="18"/>
                <w:color w:val="auto"/>
              </w:rPr>
              <w:t>7.4</w:t>
            </w: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62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39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2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Income Attributable to ALLETE</w:t>
            </w:r>
          </w:p>
        </w:tc>
        <w:tc>
          <w:tcPr>
            <w:tcW w:w="3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$51.8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23"/>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9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$0.99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601"/>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Statistical Data</w:t>
            </w:r>
          </w:p>
        </w:tc>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Corporate</w:t>
            </w:r>
          </w:p>
        </w:tc>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3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260" w:type="dxa"/>
            <w:vAlign w:val="bottom"/>
          </w:tcPr>
          <w:p>
            <w:pPr>
              <w:ind w:left="560"/>
              <w:spacing w:after="0"/>
              <w:rPr>
                <w:sz w:val="20"/>
                <w:szCs w:val="20"/>
                <w:color w:val="auto"/>
              </w:rPr>
            </w:pPr>
            <w:r>
              <w:rPr>
                <w:rFonts w:ascii="Arial" w:cs="Arial" w:eastAsia="Arial" w:hAnsi="Arial"/>
                <w:sz w:val="18"/>
                <w:szCs w:val="18"/>
                <w:color w:val="auto"/>
              </w:rPr>
              <w:t>High</w:t>
            </w:r>
          </w:p>
        </w:tc>
        <w:tc>
          <w:tcPr>
            <w:tcW w:w="3940" w:type="dxa"/>
            <w:vAlign w:val="bottom"/>
          </w:tcPr>
          <w:p>
            <w:pPr>
              <w:jc w:val="right"/>
              <w:ind w:right="410"/>
              <w:spacing w:after="0"/>
              <w:rPr>
                <w:sz w:val="20"/>
                <w:szCs w:val="20"/>
                <w:color w:val="auto"/>
              </w:rPr>
            </w:pPr>
            <w:r>
              <w:rPr>
                <w:rFonts w:ascii="Arial" w:cs="Arial" w:eastAsia="Arial" w:hAnsi="Arial"/>
                <w:sz w:val="18"/>
                <w:szCs w:val="18"/>
                <w:color w:val="auto"/>
              </w:rPr>
              <w:t>$72.15</w:t>
            </w:r>
          </w:p>
        </w:tc>
        <w:tc>
          <w:tcPr>
            <w:tcW w:w="1040" w:type="dxa"/>
            <w:vAlign w:val="bottom"/>
          </w:tcPr>
          <w:p>
            <w:pPr>
              <w:jc w:val="right"/>
              <w:spacing w:after="0"/>
              <w:rPr>
                <w:sz w:val="20"/>
                <w:szCs w:val="20"/>
                <w:color w:val="auto"/>
              </w:rPr>
            </w:pPr>
            <w:r>
              <w:rPr>
                <w:rFonts w:ascii="Arial" w:cs="Arial" w:eastAsia="Arial" w:hAnsi="Arial"/>
                <w:sz w:val="18"/>
                <w:szCs w:val="18"/>
                <w:color w:val="auto"/>
              </w:rPr>
              <w:t>$84.71</w:t>
            </w:r>
          </w:p>
        </w:tc>
      </w:tr>
      <w:tr>
        <w:trPr>
          <w:trHeight w:val="230"/>
        </w:trPr>
        <w:tc>
          <w:tcPr>
            <w:tcW w:w="6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Low</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$58.90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r>
      <w:tr>
        <w:trPr>
          <w:trHeight w:val="229"/>
        </w:trPr>
        <w:tc>
          <w:tcPr>
            <w:tcW w:w="6260" w:type="dxa"/>
            <w:vAlign w:val="bottom"/>
          </w:tcPr>
          <w:p>
            <w:pPr>
              <w:ind w:left="560"/>
              <w:spacing w:after="0"/>
              <w:rPr>
                <w:sz w:val="20"/>
                <w:szCs w:val="20"/>
                <w:color w:val="auto"/>
              </w:rPr>
            </w:pPr>
            <w:r>
              <w:rPr>
                <w:rFonts w:ascii="Arial" w:cs="Arial" w:eastAsia="Arial" w:hAnsi="Arial"/>
                <w:sz w:val="18"/>
                <w:szCs w:val="18"/>
                <w:color w:val="auto"/>
              </w:rPr>
              <w:t>Close</w:t>
            </w:r>
          </w:p>
        </w:tc>
        <w:tc>
          <w:tcPr>
            <w:tcW w:w="3940" w:type="dxa"/>
            <w:vAlign w:val="bottom"/>
          </w:tcPr>
          <w:p>
            <w:pPr>
              <w:jc w:val="right"/>
              <w:ind w:right="410"/>
              <w:spacing w:after="0"/>
              <w:rPr>
                <w:sz w:val="20"/>
                <w:szCs w:val="20"/>
                <w:color w:val="auto"/>
              </w:rPr>
            </w:pPr>
            <w:r>
              <w:rPr>
                <w:rFonts w:ascii="Arial" w:cs="Arial" w:eastAsia="Arial" w:hAnsi="Arial"/>
                <w:sz w:val="18"/>
                <w:szCs w:val="18"/>
                <w:color w:val="auto"/>
              </w:rPr>
              <w:t>$67.19</w:t>
            </w:r>
          </w:p>
        </w:tc>
        <w:tc>
          <w:tcPr>
            <w:tcW w:w="1040" w:type="dxa"/>
            <w:vAlign w:val="bottom"/>
          </w:tcPr>
          <w:p>
            <w:pPr>
              <w:jc w:val="right"/>
              <w:spacing w:after="0"/>
              <w:rPr>
                <w:sz w:val="20"/>
                <w:szCs w:val="20"/>
                <w:color w:val="auto"/>
              </w:rPr>
            </w:pPr>
            <w:r>
              <w:rPr>
                <w:rFonts w:ascii="Arial" w:cs="Arial" w:eastAsia="Arial" w:hAnsi="Arial"/>
                <w:sz w:val="18"/>
                <w:szCs w:val="18"/>
                <w:color w:val="auto"/>
              </w:rPr>
              <w:t>$60.68</w:t>
            </w:r>
          </w:p>
        </w:tc>
      </w:tr>
      <w:tr>
        <w:trPr>
          <w:trHeight w:val="230"/>
        </w:trPr>
        <w:tc>
          <w:tcPr>
            <w:tcW w:w="62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Book Value</w:t>
            </w:r>
          </w:p>
        </w:tc>
        <w:tc>
          <w:tcPr>
            <w:tcW w:w="39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$44.47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w:t>
            </w:r>
          </w:p>
        </w:tc>
      </w:tr>
      <w:tr>
        <w:trPr>
          <w:trHeight w:val="601"/>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Kilowatt-hours Sold</w:t>
            </w:r>
          </w:p>
        </w:tc>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Millions</w:t>
            </w:r>
          </w:p>
        </w:tc>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w:t>
            </w:r>
          </w:p>
        </w:tc>
        <w:tc>
          <w:tcPr>
            <w:tcW w:w="3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260" w:type="dxa"/>
            <w:vAlign w:val="bottom"/>
          </w:tcPr>
          <w:p>
            <w:pPr>
              <w:ind w:left="560"/>
              <w:spacing w:after="0"/>
              <w:rPr>
                <w:sz w:val="20"/>
                <w:szCs w:val="20"/>
                <w:color w:val="auto"/>
              </w:rPr>
            </w:pPr>
            <w:r>
              <w:rPr>
                <w:rFonts w:ascii="Arial" w:cs="Arial" w:eastAsia="Arial" w:hAnsi="Arial"/>
                <w:sz w:val="18"/>
                <w:szCs w:val="18"/>
                <w:color w:val="auto"/>
              </w:rPr>
              <w:t>Retail and Municipal</w:t>
            </w:r>
          </w:p>
        </w:tc>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331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626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3940" w:type="dxa"/>
            <w:vAlign w:val="bottom"/>
          </w:tcPr>
          <w:p>
            <w:pPr>
              <w:jc w:val="right"/>
              <w:ind w:right="410"/>
              <w:spacing w:after="0"/>
              <w:rPr>
                <w:sz w:val="20"/>
                <w:szCs w:val="20"/>
                <w:color w:val="auto"/>
              </w:rPr>
            </w:pPr>
            <w:r>
              <w:rPr>
                <w:rFonts w:ascii="Arial" w:cs="Arial" w:eastAsia="Arial" w:hAnsi="Arial"/>
                <w:sz w:val="18"/>
                <w:szCs w:val="18"/>
                <w:color w:val="auto"/>
              </w:rPr>
              <w:t>341</w:t>
            </w:r>
          </w:p>
        </w:tc>
        <w:tc>
          <w:tcPr>
            <w:tcW w:w="104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6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1,798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r>
      <w:tr>
        <w:trPr>
          <w:trHeight w:val="230"/>
        </w:trPr>
        <w:tc>
          <w:tcPr>
            <w:tcW w:w="6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3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160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6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2,630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r>
      <w:tr>
        <w:trPr>
          <w:trHeight w:val="230"/>
        </w:trPr>
        <w:tc>
          <w:tcPr>
            <w:tcW w:w="62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 Power Suppliers</w:t>
            </w:r>
          </w:p>
        </w:tc>
        <w:tc>
          <w:tcPr>
            <w:tcW w:w="3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1,248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r>
      <w:tr>
        <w:trPr>
          <w:trHeight w:val="223"/>
        </w:trPr>
        <w:tc>
          <w:tcPr>
            <w:tcW w:w="62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Regulated Utility Kilowatt-hours Sold</w:t>
            </w:r>
          </w:p>
        </w:tc>
        <w:tc>
          <w:tcPr>
            <w:tcW w:w="39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3,878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r>
      <w:tr>
        <w:trPr>
          <w:trHeight w:val="588"/>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Revenue</w:t>
            </w:r>
          </w:p>
        </w:tc>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Millions</w:t>
            </w:r>
          </w:p>
        </w:tc>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 Revenue</w:t>
            </w:r>
          </w:p>
        </w:tc>
        <w:tc>
          <w:tcPr>
            <w:tcW w:w="3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260" w:type="dxa"/>
            <w:vAlign w:val="bottom"/>
          </w:tcPr>
          <w:p>
            <w:pPr>
              <w:ind w:left="560"/>
              <w:spacing w:after="0"/>
              <w:rPr>
                <w:sz w:val="20"/>
                <w:szCs w:val="20"/>
                <w:color w:val="auto"/>
              </w:rPr>
            </w:pPr>
            <w:r>
              <w:rPr>
                <w:rFonts w:ascii="Arial" w:cs="Arial" w:eastAsia="Arial" w:hAnsi="Arial"/>
                <w:sz w:val="18"/>
                <w:szCs w:val="18"/>
                <w:color w:val="auto"/>
              </w:rPr>
              <w:t>Retail and Municipal Electric Revenue</w:t>
            </w:r>
          </w:p>
        </w:tc>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$40.5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626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3940" w:type="dxa"/>
            <w:vAlign w:val="bottom"/>
          </w:tcPr>
          <w:p>
            <w:pPr>
              <w:jc w:val="right"/>
              <w:ind w:right="410"/>
              <w:spacing w:after="0"/>
              <w:rPr>
                <w:sz w:val="20"/>
                <w:szCs w:val="20"/>
                <w:color w:val="auto"/>
              </w:rPr>
            </w:pPr>
            <w:r>
              <w:rPr>
                <w:rFonts w:ascii="Arial" w:cs="Arial" w:eastAsia="Arial" w:hAnsi="Arial"/>
                <w:sz w:val="18"/>
                <w:szCs w:val="18"/>
                <w:color w:val="auto"/>
              </w:rPr>
              <w:t>37.2</w:t>
            </w:r>
          </w:p>
        </w:tc>
        <w:tc>
          <w:tcPr>
            <w:tcW w:w="104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30"/>
        </w:trPr>
        <w:tc>
          <w:tcPr>
            <w:tcW w:w="6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127.7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30"/>
        </w:trPr>
        <w:tc>
          <w:tcPr>
            <w:tcW w:w="6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3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12.6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6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 Electric Revenue</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218.0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6260" w:type="dxa"/>
            <w:vAlign w:val="bottom"/>
          </w:tcPr>
          <w:p>
            <w:pPr>
              <w:ind w:left="560"/>
              <w:spacing w:after="0"/>
              <w:rPr>
                <w:sz w:val="20"/>
                <w:szCs w:val="20"/>
                <w:color w:val="auto"/>
              </w:rPr>
            </w:pPr>
            <w:r>
              <w:rPr>
                <w:rFonts w:ascii="Arial" w:cs="Arial" w:eastAsia="Arial" w:hAnsi="Arial"/>
                <w:sz w:val="18"/>
                <w:szCs w:val="18"/>
                <w:color w:val="auto"/>
              </w:rPr>
              <w:t>Other Power Suppliers</w:t>
            </w:r>
          </w:p>
        </w:tc>
        <w:tc>
          <w:tcPr>
            <w:tcW w:w="3940" w:type="dxa"/>
            <w:vAlign w:val="bottom"/>
          </w:tcPr>
          <w:p>
            <w:pPr>
              <w:jc w:val="right"/>
              <w:ind w:right="410"/>
              <w:spacing w:after="0"/>
              <w:rPr>
                <w:sz w:val="20"/>
                <w:szCs w:val="20"/>
                <w:color w:val="auto"/>
              </w:rPr>
            </w:pPr>
            <w:r>
              <w:rPr>
                <w:rFonts w:ascii="Arial" w:cs="Arial" w:eastAsia="Arial" w:hAnsi="Arial"/>
                <w:sz w:val="18"/>
                <w:szCs w:val="18"/>
                <w:color w:val="auto"/>
              </w:rPr>
              <w:t>38.4</w:t>
            </w:r>
          </w:p>
        </w:tc>
        <w:tc>
          <w:tcPr>
            <w:tcW w:w="104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29"/>
        </w:trPr>
        <w:tc>
          <w:tcPr>
            <w:tcW w:w="62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 (Includes Water and Gas Revenue)</w:t>
            </w:r>
          </w:p>
        </w:tc>
        <w:tc>
          <w:tcPr>
            <w:tcW w:w="39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36.6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3"/>
        </w:trPr>
        <w:tc>
          <w:tcPr>
            <w:tcW w:w="62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Regulated Utility Revenue</w:t>
            </w:r>
          </w:p>
        </w:tc>
        <w:tc>
          <w:tcPr>
            <w:tcW w:w="3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$293.0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w:t>
            </w:r>
          </w:p>
        </w:tc>
      </w:tr>
    </w:tbl>
    <w:p>
      <w:pPr>
        <w:spacing w:after="0" w:line="302" w:lineRule="exact"/>
        <w:rPr>
          <w:sz w:val="20"/>
          <w:szCs w:val="20"/>
          <w:color w:val="auto"/>
        </w:rPr>
      </w:pPr>
    </w:p>
    <w:p>
      <w:pPr>
        <w:ind w:right="160"/>
        <w:spacing w:after="0" w:line="348"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 of 4</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 30 West Superior Street, Duluth, Minnesota 55802</w:t>
      </w:r>
    </w:p>
    <w:sectPr>
      <w:pgSz w:w="11900" w:h="16838" w:orient="portrait"/>
      <w:cols w:equalWidth="0" w:num="1">
        <w:col w:w="11240"/>
      </w:cols>
      <w:pgMar w:left="320" w:top="9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32"/>
    </w:lvl>
  </w:abstractNum>
  <w:abstractNum w:abstractNumId="13">
    <w:nsid w:val="41A7C4C9"/>
    <w:multiLevelType w:val="hybridMultilevel"/>
    <w:lvl w:ilvl="0">
      <w:lvlJc w:val="left"/>
      <w:lvlText w:val="%1"/>
      <w:numFmt w:val="decimal"/>
      <w:start w:val="99"/>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2021-05-06T05:48:51Z</dcterms:created>
  <dcterms:modified xsi:type="dcterms:W3CDTF">2021-05-06T05:48:51Z</dcterms:modified>
</cp:coreProperties>
</file>