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48" w:right="239" w:bottom="1440" w:gutter="0" w:footer="0" w:header="0"/>
          <w:type w:val="continuous"/>
        </w:sectPr>
      </w:pPr>
    </w:p>
    <w:p>
      <w:pPr>
        <w:spacing w:after="0" w:line="34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1148"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240" w:space="720"/>
            <w:col w:w="4460"/>
          </w:cols>
          <w:pgMar w:left="240" w:top="1148" w:right="239" w:bottom="1440" w:gutter="0" w:footer="0" w:header="0"/>
          <w:type w:val="continuous"/>
        </w:sect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148" w:right="239" w:bottom="1440" w:gutter="0" w:footer="0" w:header="0"/>
          <w:type w:val="continuous"/>
        </w:sectPr>
      </w:pPr>
    </w:p>
    <w:p>
      <w:pPr>
        <w:spacing w:after="0" w:line="29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50,956,836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June 30, 2017</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2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3"/>
              </w:rPr>
              <w:t>Index</w:t>
            </w: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gridSpan w:val="4"/>
          </w:tcPr>
          <w:p>
            <w:pPr>
              <w:ind w:left="1960"/>
              <w:spacing w:after="0"/>
              <w:rPr>
                <w:sz w:val="20"/>
                <w:szCs w:val="20"/>
                <w:color w:val="auto"/>
              </w:rPr>
            </w:pPr>
            <w:r>
              <w:rPr>
                <w:rFonts w:ascii="Arial" w:cs="Arial" w:eastAsia="Arial" w:hAnsi="Arial"/>
                <w:sz w:val="18"/>
                <w:szCs w:val="18"/>
                <w:color w:val="auto"/>
                <w:w w:val="85"/>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3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6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80" w:type="dxa"/>
            <w:vAlign w:val="bottom"/>
            <w:gridSpan w:val="2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3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gridSpan w:val="2"/>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6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6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7200" w:type="dxa"/>
            <w:vAlign w:val="bottom"/>
            <w:gridSpan w:val="21"/>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Financial Statements</w:t>
              </w:r>
            </w:hyperlink>
          </w:p>
        </w:tc>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6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Balance Sheet -</w:t>
              </w:r>
            </w:hyperlink>
          </w:p>
        </w:tc>
        <w:tc>
          <w:tcPr>
            <w:tcW w:w="5080" w:type="dxa"/>
            <w:vAlign w:val="bottom"/>
            <w:tcBorders>
              <w:bottom w:val="single" w:sz="8" w:color="CCEEFF"/>
            </w:tcBorders>
            <w:gridSpan w:val="11"/>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June 30, 2017 and December 31, 2016</w:t>
            </w:r>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 -</w:t>
              </w:r>
            </w:hyperlink>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920" w:type="dxa"/>
            <w:vAlign w:val="bottom"/>
            <w:gridSpan w:val="19"/>
            <w:shd w:val="clear" w:color="auto" w:fill="CCEEFF"/>
          </w:tcPr>
          <w:p>
            <w:pPr>
              <w:ind w:left="180"/>
              <w:spacing w:after="0" w:line="202" w:lineRule="exact"/>
              <w:rPr>
                <w:sz w:val="20"/>
                <w:szCs w:val="20"/>
                <w:color w:val="auto"/>
              </w:rPr>
            </w:pPr>
            <w:r>
              <w:rPr>
                <w:rFonts w:ascii="Arial" w:cs="Arial" w:eastAsia="Arial" w:hAnsi="Arial"/>
                <w:sz w:val="18"/>
                <w:szCs w:val="18"/>
                <w:color w:val="auto"/>
              </w:rPr>
              <w:t>Quarter and Six Months Ended June 30, 2017 and 2016</w:t>
            </w:r>
          </w:p>
        </w:tc>
        <w:tc>
          <w:tcPr>
            <w:tcW w:w="23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0"/>
        </w:trPr>
        <w:tc>
          <w:tcPr>
            <w:tcW w:w="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60" w:type="dxa"/>
            <w:vAlign w:val="bottom"/>
            <w:tcBorders>
              <w:top w:val="single" w:sz="8" w:color="CCEEFF"/>
            </w:tcBorders>
          </w:tcPr>
          <w:p>
            <w:pPr>
              <w:spacing w:after="0"/>
              <w:rPr>
                <w:sz w:val="19"/>
                <w:szCs w:val="19"/>
                <w:color w:val="auto"/>
              </w:rPr>
            </w:pPr>
          </w:p>
        </w:tc>
        <w:tc>
          <w:tcPr>
            <w:tcW w:w="2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 -</w:t>
              </w:r>
            </w:hyperlink>
          </w:p>
        </w:tc>
        <w:tc>
          <w:tcPr>
            <w:tcW w:w="2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Quarter and Six Months Ended June 30, 2017 and 2016</w:t>
            </w:r>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gridSpan w:val="21"/>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 -</w:t>
              </w:r>
            </w:hyperlink>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920" w:type="dxa"/>
            <w:vAlign w:val="bottom"/>
            <w:gridSpan w:val="19"/>
            <w:shd w:val="clear" w:color="auto" w:fill="CCEEFF"/>
          </w:tcPr>
          <w:p>
            <w:pPr>
              <w:ind w:left="180"/>
              <w:spacing w:after="0" w:line="202" w:lineRule="exact"/>
              <w:rPr>
                <w:sz w:val="20"/>
                <w:szCs w:val="20"/>
                <w:color w:val="auto"/>
              </w:rPr>
            </w:pPr>
            <w:r>
              <w:rPr>
                <w:rFonts w:ascii="Arial" w:cs="Arial" w:eastAsia="Arial" w:hAnsi="Arial"/>
                <w:sz w:val="18"/>
                <w:szCs w:val="18"/>
                <w:color w:val="auto"/>
              </w:rPr>
              <w:t>Six Months Ended June 30, 2017 and 2016</w:t>
            </w:r>
          </w:p>
        </w:tc>
        <w:tc>
          <w:tcPr>
            <w:tcW w:w="23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30"/>
        </w:trPr>
        <w:tc>
          <w:tcPr>
            <w:tcW w:w="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60" w:type="dxa"/>
            <w:vAlign w:val="bottom"/>
            <w:tcBorders>
              <w:top w:val="single" w:sz="8" w:color="CCEEFF"/>
            </w:tcBorders>
          </w:tcPr>
          <w:p>
            <w:pPr>
              <w:spacing w:after="0"/>
              <w:rPr>
                <w:sz w:val="19"/>
                <w:szCs w:val="19"/>
                <w:color w:val="auto"/>
              </w:rPr>
            </w:pPr>
          </w:p>
        </w:tc>
        <w:tc>
          <w:tcPr>
            <w:tcW w:w="21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Consolidated Statement of Shareholders’ Equity -</w:t>
              </w:r>
            </w:hyperlink>
          </w:p>
        </w:tc>
        <w:tc>
          <w:tcPr>
            <w:tcW w:w="3620" w:type="dxa"/>
            <w:vAlign w:val="bottom"/>
            <w:tcBorders>
              <w:bottom w:val="single" w:sz="8" w:color="CCEEFF"/>
            </w:tcBorders>
            <w:gridSpan w:val="5"/>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Six Months Ended June 30, 2017</w:t>
            </w:r>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gridSpan w:val="2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520" w:type="dxa"/>
            <w:vAlign w:val="bottom"/>
            <w:gridSpan w:val="2"/>
          </w:tcPr>
          <w:p>
            <w:pPr>
              <w:spacing w:after="0"/>
              <w:rPr>
                <w:sz w:val="17"/>
                <w:szCs w:val="17"/>
                <w:color w:val="auto"/>
              </w:rPr>
            </w:pPr>
          </w:p>
        </w:tc>
        <w:tc>
          <w:tcPr>
            <w:tcW w:w="7200" w:type="dxa"/>
            <w:vAlign w:val="bottom"/>
            <w:gridSpan w:val="21"/>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w:t>
              </w:r>
            </w:hyperlink>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and Results of Operations</w:t>
              </w:r>
            </w:hyperlink>
          </w:p>
        </w:tc>
        <w:tc>
          <w:tcPr>
            <w:tcW w:w="2660" w:type="dxa"/>
            <w:vAlign w:val="bottom"/>
          </w:tcPr>
          <w:p>
            <w:pPr>
              <w:spacing w:after="0"/>
              <w:rPr>
                <w:sz w:val="17"/>
                <w:szCs w:val="17"/>
                <w:color w:val="auto"/>
              </w:rPr>
            </w:pPr>
          </w:p>
        </w:tc>
        <w:tc>
          <w:tcPr>
            <w:tcW w:w="2340" w:type="dxa"/>
            <w:vAlign w:val="bottom"/>
            <w:gridSpan w:val="4"/>
          </w:tcPr>
          <w:p>
            <w:pPr>
              <w:jc w:val="right"/>
              <w:ind w:righ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Part II.</w:t>
              </w:r>
            </w:hyperlink>
          </w:p>
        </w:tc>
        <w:tc>
          <w:tcPr>
            <w:tcW w:w="8240" w:type="dxa"/>
            <w:vAlign w:val="bottom"/>
            <w:gridSpan w:val="24"/>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7200" w:type="dxa"/>
            <w:vAlign w:val="bottom"/>
            <w:gridSpan w:val="21"/>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Signatures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40" w:type="dxa"/>
            <w:vAlign w:val="bottom"/>
            <w:gridSpan w:val="4"/>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46"/>
        </w:trPr>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10"/>
          </w:tcPr>
          <w:p>
            <w:pPr>
              <w:jc w:val="center"/>
              <w:ind w:right="1860"/>
              <w:spacing w:after="0"/>
              <w:rPr>
                <w:sz w:val="20"/>
                <w:szCs w:val="20"/>
                <w:color w:val="auto"/>
              </w:rPr>
            </w:pPr>
            <w:r>
              <w:rPr>
                <w:rFonts w:ascii="Arial" w:cs="Arial" w:eastAsia="Arial" w:hAnsi="Arial"/>
                <w:sz w:val="14"/>
                <w:szCs w:val="14"/>
                <w:color w:val="auto"/>
                <w:w w:val="95"/>
              </w:rPr>
              <w:t>ALLETE, Inc. Second Quarter 2017 Form 10-Q</w:t>
            </w:r>
          </w:p>
        </w:tc>
        <w:tc>
          <w:tcPr>
            <w:tcW w:w="2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1040" w:right="239" w:bottom="705"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70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ASC</w:t>
            </w:r>
          </w:p>
        </w:tc>
        <w:tc>
          <w:tcPr>
            <w:tcW w:w="8180" w:type="dxa"/>
            <w:vAlign w:val="bottom"/>
            <w:gridSpan w:val="2"/>
          </w:tcPr>
          <w:p>
            <w:pPr>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CIP</w:t>
            </w:r>
          </w:p>
        </w:tc>
        <w:tc>
          <w:tcPr>
            <w:tcW w:w="818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Cliffs Natural Resources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2017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 Natural Resources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gridSpan w:val="2"/>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2017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beginning on page 25 of ALLETE’s 2016 Form 10-K.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4"/>
        </w:trPr>
        <w:tc>
          <w:tcPr>
            <w:tcW w:w="8320" w:type="dxa"/>
            <w:vAlign w:val="bottom"/>
          </w:tcPr>
          <w:p>
            <w:pPr>
              <w:jc w:val="center"/>
              <w:ind w:left="3010"/>
              <w:spacing w:after="0"/>
              <w:rPr>
                <w:sz w:val="20"/>
                <w:szCs w:val="20"/>
                <w:color w:val="auto"/>
              </w:rPr>
            </w:pPr>
            <w:r>
              <w:rPr>
                <w:rFonts w:ascii="Arial" w:cs="Arial" w:eastAsia="Arial" w:hAnsi="Arial"/>
                <w:sz w:val="18"/>
                <w:szCs w:val="18"/>
                <w:b w:val="1"/>
                <w:bCs w:val="1"/>
                <w:color w:val="auto"/>
              </w:rPr>
              <w:t>ALLETE</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832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CONSOLIDATED BALANCE SHEET</w:t>
            </w: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832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Unaudited</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1"/>
        </w:trPr>
        <w:tc>
          <w:tcPr>
            <w:tcW w:w="8320" w:type="dxa"/>
            <w:vAlign w:val="bottom"/>
          </w:tcPr>
          <w:p>
            <w:pPr>
              <w:spacing w:after="0"/>
              <w:rPr>
                <w:sz w:val="24"/>
                <w:szCs w:val="24"/>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$2.4 and $3.1)</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120.1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122.5</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38.8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40.3</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346.5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3,745.6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3,741.2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143.1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135.6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210.8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213.4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$4,931.5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$4,876.9</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$61.0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$74.0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17.5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70.1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73.7</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1,401.4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1,370.4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577.0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125.8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125.8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195.8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309.1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322.7</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2,914.5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2,983.9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w w:val="94"/>
              </w:rPr>
              <w:t>Common Stock Without Par Value, 80.0 Shares Authorized, 51.0 and 49.6 Shares Issued and Outstanding</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1,386.5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1,295.3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657.8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625.9</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2,017.0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$4,931.5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$4,876.9</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jc w:val="center"/>
              <w:ind w:left="301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4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78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570"/>
              <w:spacing w:after="0"/>
              <w:rPr>
                <w:sz w:val="20"/>
                <w:szCs w:val="20"/>
                <w:color w:val="auto"/>
              </w:rPr>
            </w:pPr>
            <w:r>
              <w:rPr>
                <w:rFonts w:ascii="Arial" w:cs="Arial" w:eastAsia="Arial" w:hAnsi="Arial"/>
                <w:sz w:val="18"/>
                <w:szCs w:val="18"/>
                <w:b w:val="1"/>
                <w:bCs w:val="1"/>
                <w:color w:val="auto"/>
                <w:w w:val="94"/>
              </w:rPr>
              <w:t>2016</w:t>
            </w: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Utility</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$264.9</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$234.9</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$546.5</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$487.2</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Non-utility</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88.4</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79.9</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172.4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353.3</w:t>
            </w:r>
          </w:p>
        </w:tc>
        <w:tc>
          <w:tcPr>
            <w:tcW w:w="1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314.8</w:t>
            </w:r>
          </w:p>
        </w:tc>
        <w:tc>
          <w:tcPr>
            <w:tcW w:w="14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718.9</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648.6</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93.1</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79.0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189.7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16.1</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38.4</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32.5</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70.0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84.9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82.0</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168.2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50.1</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48.7</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100.6</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14.2</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14.3</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298.3</w:t>
            </w:r>
          </w:p>
        </w:tc>
        <w:tc>
          <w:tcPr>
            <w:tcW w:w="1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272.6</w:t>
            </w:r>
          </w:p>
        </w:tc>
        <w:tc>
          <w:tcPr>
            <w:tcW w:w="14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591.3</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539.6</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55.0</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42.2</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127.6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(16.7)</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(17.4)</w:t>
            </w:r>
          </w:p>
        </w:tc>
        <w:tc>
          <w:tcPr>
            <w:tcW w:w="1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5.3</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11.4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3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(10.8)</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(12.7)</w:t>
            </w:r>
          </w:p>
        </w:tc>
        <w:tc>
          <w:tcPr>
            <w:tcW w:w="14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(21.3)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44.2</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29.5</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106.3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4.7</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20.4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36.9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24.8</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85.9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$36.9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$24.8</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$85.9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50.9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49.3</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51.1</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49.5</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50.7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$0.73</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$0.50</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$0.72</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$0.50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$1.69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$0.535</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$0.52</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64"/>
        </w:trPr>
        <w:tc>
          <w:tcPr>
            <w:tcW w:w="816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0"/>
              </w:rPr>
              <w:t>The accompanying notes are an integral part of these statements.</w:t>
            </w:r>
          </w:p>
        </w:tc>
        <w:tc>
          <w:tcPr>
            <w:tcW w:w="10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06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$36.9</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$85.9</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on Securities</w:t>
            </w:r>
          </w:p>
        </w:tc>
        <w:tc>
          <w:tcPr>
            <w:tcW w:w="2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$0.2, $0.3, $0.5, and $–</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$0.2, $0.1, $0.3, and $0.2</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2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0.4</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86.8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$86.8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0"/>
        </w:trPr>
        <w:tc>
          <w:tcPr>
            <w:tcW w:w="60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Six Months Ended</w:t>
            </w:r>
          </w:p>
        </w:tc>
      </w:tr>
      <w:tr>
        <w:trPr>
          <w:trHeight w:val="270"/>
        </w:trPr>
        <w:tc>
          <w:tcPr>
            <w:tcW w:w="88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720" w:type="dxa"/>
            <w:vAlign w:val="bottom"/>
          </w:tcPr>
          <w:p>
            <w:pPr>
              <w:spacing w:after="0"/>
              <w:rPr>
                <w:sz w:val="23"/>
                <w:szCs w:val="23"/>
                <w:color w:val="auto"/>
              </w:rPr>
            </w:pPr>
          </w:p>
        </w:tc>
      </w:tr>
      <w:tr>
        <w:trPr>
          <w:trHeight w:val="270"/>
        </w:trPr>
        <w:tc>
          <w:tcPr>
            <w:tcW w:w="8820" w:type="dxa"/>
            <w:vAlign w:val="bottom"/>
          </w:tcPr>
          <w:p>
            <w:pPr>
              <w:spacing w:after="0"/>
              <w:rPr>
                <w:sz w:val="23"/>
                <w:szCs w:val="23"/>
                <w:color w:val="auto"/>
              </w:rPr>
            </w:pPr>
          </w:p>
        </w:tc>
        <w:tc>
          <w:tcPr>
            <w:tcW w:w="1880" w:type="dxa"/>
            <w:vAlign w:val="bottom"/>
          </w:tcPr>
          <w:p>
            <w:pPr>
              <w:jc w:val="right"/>
              <w:ind w:right="655"/>
              <w:spacing w:after="0"/>
              <w:rPr>
                <w:sz w:val="20"/>
                <w:szCs w:val="20"/>
                <w:color w:val="auto"/>
              </w:rPr>
            </w:pPr>
            <w:r>
              <w:rPr>
                <w:rFonts w:ascii="Arial" w:cs="Arial" w:eastAsia="Arial" w:hAnsi="Arial"/>
                <w:sz w:val="17"/>
                <w:szCs w:val="17"/>
                <w:b w:val="1"/>
                <w:bCs w:val="1"/>
                <w:color w:val="auto"/>
              </w:rPr>
              <w:t>2017</w:t>
            </w:r>
          </w:p>
        </w:tc>
        <w:tc>
          <w:tcPr>
            <w:tcW w:w="72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2016</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3"/>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$85.9</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$71.2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(2.5)</w:t>
            </w: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(0.4)</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97.9</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94.2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PSAs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5.3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5.0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20.2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3.3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5.0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6.5</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0.8</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4.3</w:t>
            </w:r>
          </w:p>
        </w:tc>
        <w:tc>
          <w:tcPr>
            <w:tcW w:w="72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(12.6)</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(12.8)</w:t>
            </w:r>
          </w:p>
        </w:tc>
        <w:tc>
          <w:tcPr>
            <w:tcW w:w="72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(1.7)</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6.7</w:t>
            </w:r>
          </w:p>
        </w:tc>
        <w:tc>
          <w:tcPr>
            <w:tcW w:w="72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(5.2)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184.4</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146.2</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(5.0)</w:t>
            </w: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(81.1)</w:t>
            </w:r>
          </w:p>
        </w:tc>
        <w:tc>
          <w:tcPr>
            <w:tcW w:w="720" w:type="dxa"/>
            <w:vAlign w:val="bottom"/>
          </w:tcPr>
          <w:p>
            <w:pPr>
              <w:jc w:val="right"/>
              <w:spacing w:after="0"/>
              <w:rPr>
                <w:sz w:val="20"/>
                <w:szCs w:val="20"/>
                <w:color w:val="auto"/>
              </w:rPr>
            </w:pPr>
            <w:r>
              <w:rPr>
                <w:rFonts w:ascii="Arial" w:cs="Arial" w:eastAsia="Arial" w:hAnsi="Arial"/>
                <w:sz w:val="17"/>
                <w:szCs w:val="17"/>
                <w:color w:val="auto"/>
              </w:rPr>
              <w:t>(74.8)</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0.7</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8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(84.7)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(73.9)</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74.4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15.2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86.2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(1.5)</w:t>
            </w: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Notes Payable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(127.0)</w:t>
            </w:r>
          </w:p>
        </w:tc>
        <w:tc>
          <w:tcPr>
            <w:tcW w:w="72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(19.7)</w:t>
            </w:r>
          </w:p>
        </w:tc>
        <w:tc>
          <w:tcPr>
            <w:tcW w:w="72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(54.0)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(1.4)</w:t>
            </w:r>
          </w:p>
        </w:tc>
        <w:tc>
          <w:tcPr>
            <w:tcW w:w="7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Financing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(43.0)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56.7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27.5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97.0</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$84.2</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$91.9</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51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512" w:gutter="0" w:footer="0" w:header="0"/>
          <w:type w:val="continuous"/>
        </w:sectPr>
      </w:pPr>
    </w:p>
    <w:bookmarkStart w:id="10" w:name="page11"/>
    <w:bookmarkEnd w:id="10"/>
    <w:p>
      <w:pPr>
        <w:spacing w:after="0" w:line="209" w:lineRule="auto"/>
        <w:framePr w:w="700" w:h="160" w:wrap="auto" w:vAnchor="page" w:hAnchor="page" w:x="240" w:y="2829"/>
        <w:rPr>
          <w:rFonts w:ascii="Arial" w:cs="Arial" w:eastAsia="Arial" w:hAnsi="Arial"/>
          <w:sz w:val="16"/>
          <w:szCs w:val="16"/>
          <w:b w:val="1"/>
          <w:bCs w:val="1"/>
          <w:color w:val="auto"/>
        </w:rPr>
      </w:pPr>
      <w:r>
        <w:rPr>
          <w:rFonts w:ascii="Arial" w:cs="Arial" w:eastAsia="Arial" w:hAnsi="Arial"/>
          <w:sz w:val="16"/>
          <w:szCs w:val="16"/>
          <w:b w:val="1"/>
          <w:bCs w:val="1"/>
          <w:color w:val="auto"/>
        </w:rPr>
        <w:t>Millions</w:t>
      </w: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tcPr>
          <w:p>
            <w:pPr>
              <w:spacing w:after="0"/>
              <w:rPr>
                <w:sz w:val="16"/>
                <w:szCs w:val="16"/>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340" w:type="dxa"/>
            <w:vAlign w:val="bottom"/>
          </w:tcPr>
          <w:p>
            <w:pPr>
              <w:spacing w:after="0"/>
              <w:rPr>
                <w:sz w:val="17"/>
                <w:szCs w:val="17"/>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Other</w:t>
            </w: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1340" w:type="dxa"/>
            <w:vAlign w:val="bottom"/>
          </w:tcPr>
          <w:p>
            <w:pPr>
              <w:jc w:val="right"/>
              <w:ind w:right="312"/>
              <w:spacing w:after="0"/>
              <w:rPr>
                <w:sz w:val="20"/>
                <w:szCs w:val="20"/>
                <w:color w:val="auto"/>
              </w:rPr>
            </w:pPr>
            <w:r>
              <w:rPr>
                <w:rFonts w:ascii="Arial" w:cs="Arial" w:eastAsia="Arial" w:hAnsi="Arial"/>
                <w:sz w:val="16"/>
                <w:szCs w:val="16"/>
                <w:b w:val="1"/>
                <w:bCs w:val="1"/>
                <w:color w:val="auto"/>
              </w:rPr>
              <w:t>Retained</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Comprehensive</w:t>
            </w: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6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rPr>
              <w:t>Earnings</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5"/>
              </w:rPr>
              <w:t>Loss</w:t>
            </w: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6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$625.9</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85.9</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Unrealized Gain on Securities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0.7</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0.4</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86.8</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380" w:type="dxa"/>
            <w:vAlign w:val="bottom"/>
          </w:tcPr>
          <w:p>
            <w:pPr>
              <w:jc w:val="right"/>
              <w:spacing w:after="0"/>
              <w:rPr>
                <w:sz w:val="20"/>
                <w:szCs w:val="20"/>
                <w:color w:val="auto"/>
              </w:rPr>
            </w:pPr>
            <w:r>
              <w:rPr>
                <w:rFonts w:ascii="Arial" w:cs="Arial" w:eastAsia="Arial" w:hAnsi="Arial"/>
                <w:sz w:val="18"/>
                <w:szCs w:val="18"/>
                <w:color w:val="auto"/>
              </w:rPr>
              <w:t>(54.0)</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$657.8</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$(27.3)</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$1,386.5</w:t>
            </w:r>
          </w:p>
        </w:tc>
      </w:tr>
      <w:tr>
        <w:trPr>
          <w:trHeight w:val="20"/>
        </w:trPr>
        <w:tc>
          <w:tcPr>
            <w:tcW w:w="60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33"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rFonts w:ascii="Arial" w:cs="Arial" w:eastAsia="Arial" w:hAnsi="Arial"/>
          <w:sz w:val="16"/>
          <w:szCs w:val="16"/>
          <w:b w:val="1"/>
          <w:bCs w:val="1"/>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2016,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2017, are not necessarily indicative of results that may be expected for any other interim period or for the year ending December 31, 2017. For further information, refer to the Consolidated Financial Statements and notes included in our 2016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and ALLETE Clean Energy</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are carried at an average cost or first-in, first-out basis. Inventories in our U.S. Water Services segment and Corporate and Other operations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3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300" w:type="dxa"/>
            <w:vAlign w:val="bottom"/>
          </w:tcPr>
          <w:p>
            <w:pPr>
              <w:jc w:val="right"/>
              <w:ind w:right="170"/>
              <w:spacing w:after="0"/>
              <w:rPr>
                <w:sz w:val="20"/>
                <w:szCs w:val="20"/>
                <w:color w:val="auto"/>
              </w:rPr>
            </w:pPr>
            <w:r>
              <w:rPr>
                <w:rFonts w:ascii="Arial" w:cs="Arial" w:eastAsia="Arial" w:hAnsi="Arial"/>
                <w:sz w:val="18"/>
                <w:szCs w:val="18"/>
                <w:color w:val="auto"/>
              </w:rPr>
              <w:t>48.0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30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3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0"/>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1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$38.8</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61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7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Payment</w:t>
            </w:r>
          </w:p>
        </w:tc>
        <w:tc>
          <w:tcPr>
            <w:tcW w:w="4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428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4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Pr>
          <w:p>
            <w:pPr>
              <w:jc w:val="right"/>
              <w:ind w:right="150"/>
              <w:spacing w:after="0"/>
              <w:rPr>
                <w:sz w:val="20"/>
                <w:szCs w:val="20"/>
                <w:color w:val="auto"/>
              </w:rPr>
            </w:pPr>
            <w:r>
              <w:rPr>
                <w:rFonts w:ascii="Arial" w:cs="Arial" w:eastAsia="Arial" w:hAnsi="Arial"/>
                <w:sz w:val="18"/>
                <w:szCs w:val="18"/>
                <w:color w:val="auto"/>
              </w:rPr>
              <w:t>56.3</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57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4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0"/>
        </w:trPr>
        <w:tc>
          <w:tcPr>
            <w:tcW w:w="570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7900" w:type="dxa"/>
            <w:vAlign w:val="bottom"/>
          </w:tcPr>
          <w:p>
            <w:pPr>
              <w:spacing w:after="0"/>
              <w:rPr>
                <w:sz w:val="24"/>
                <w:szCs w:val="24"/>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45.4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7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0"/>
        </w:trPr>
        <w:tc>
          <w:tcPr>
            <w:tcW w:w="79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PSAs</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101.5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43.9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$309.1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$(0.4)</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Measurement of Inventory. </w:t>
      </w:r>
      <w:r>
        <w:rPr>
          <w:rFonts w:ascii="Arial" w:cs="Arial" w:eastAsia="Arial" w:hAnsi="Arial"/>
          <w:sz w:val="17"/>
          <w:szCs w:val="17"/>
          <w:color w:val="auto"/>
        </w:rPr>
        <w:t>In 2015, the FASB issued an accounting standards update which requires entities that measure inventory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first-in, 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was adopted in the first quarter of 2017 and did not have a material impact on our Consolidated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In March 2016, the FASB issued guidance to simplify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was adopted in the first quarter of 2017. The adoption of this guidance is expected to result in a less than $1 million impact to income tax expense (benefit) annually.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Clarifying the Definition of a Business. </w:t>
      </w:r>
      <w:r>
        <w:rPr>
          <w:rFonts w:ascii="Arial" w:cs="Arial" w:eastAsia="Arial" w:hAnsi="Arial"/>
          <w:sz w:val="18"/>
          <w:szCs w:val="18"/>
          <w:color w:val="auto"/>
        </w:rPr>
        <w:t>In January 2017, the FASB issued clarifying guidance on the definition of a business and provided additional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assist with evaluating whether transactions are to be accounted for as an acquisition or disposal of a group of assets or a business. The clarifying guidance will also impact other areas including the accounting for goodwill and consolidation. This accounting guidance was adopted in the first quarter of 2017 and did not have an impact on our Consolidated Financial Statements.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Stock Compensation: Scope of Modification Accounting. </w:t>
      </w:r>
      <w:r>
        <w:rPr>
          <w:rFonts w:ascii="Arial" w:cs="Arial" w:eastAsia="Arial" w:hAnsi="Arial"/>
          <w:sz w:val="16"/>
          <w:szCs w:val="16"/>
          <w:color w:val="auto"/>
        </w:rPr>
        <w:t>In May 2017, the FASB issued additional clarifying guidance regarding circumstances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or conditions of share-based payment awards require an entity to apply modification accounting under ASC 718. The guidance provides specific situations that would be excluded from effects of a modification including if the fair value, vesting conditions, and classification are the same before and after modification. The amendments in this update will be applied prospectively to awards modified on or after adoption. This accounting guidance was adopted by the Company in the second quarter of 2017 and did not have an impact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Improving the Presentation of Net Periodic Pension Cost and Net Periodic Postretirement Benefit Cost. </w:t>
      </w:r>
      <w:r>
        <w:rPr>
          <w:rFonts w:ascii="Arial" w:cs="Arial" w:eastAsia="Arial" w:hAnsi="Arial"/>
          <w:sz w:val="16"/>
          <w:szCs w:val="16"/>
          <w:color w:val="auto"/>
        </w:rPr>
        <w:t>In March 2017, the FASB issued guidance to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net periodic pension and postretirement benefit costs. Under the revised guidance of ASC 715, an entity shall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The standard will be applied retrospectively for income statement presentation, and prospectively for capitalization of service cost components. Although the non-service components of pension and other postretirement benefit costs are excluded from capitalization, they are considered allowable costs for ratemaking and will be recorded as regulatory assets or liabilities for the regulated portion of the Company. We do not expect there to be a material impact on the Consolidated Financial Statements with the adoption of the updated guidance which is effective for the Company beginning in the first quarter of 2018.</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2014, the FASB issued amended revenue recognition guidance that clarifies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As of June 30, 2017, the Company has reviewed nearly all of its revenue streams and contracts for its regulated businesses, completing the preliminary evaluations of the impact of this guidance. Additional review and analysis is being performed on the Company’s energy infrastructure and related services businesses. The Company does not expect the update to significantly affect results of its regulated operations, which represent the majority of revenue, or the remaining revenue from its energy infrastructure and related services businesses. Management continues to monitor and evaluate the unresolved industry related issues, primarily around step versus strip pricing, long-term contract minimums and principal versus agent considerations. The Company currently expects to implement the new standard on a modified retrospective basis which requires application of standards to contracts with customers effective January 1, 2018, with the cumulative impact on contracts not yet completed as of December 31, 2017, recognized as an adjustment to retained earnings on the Consolidated Balance Sheet. The Company will adopt this guidance for our fiscal year beginning January 1, 2018.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We are currently evaluating the impact of the revised lease guidance on our Consolidated Financial Statements.</w:t>
      </w:r>
    </w:p>
    <w:p>
      <w:pPr>
        <w:spacing w:after="0" w:line="18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In January 2016, the FASB issued an accounting standard update which requires entities to measure their investments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any changes in fair value in net income unless the investments qualify for the new practicability exception. The practicability exception will be available for equity investments that do not have readily determinable fair values. The updated guidance is effective for the Company beginning in the first quarter of 2018 and will result in a cumulative</w:t>
      </w:r>
      <w:r>
        <w:rPr>
          <w:rFonts w:ascii="MS PGothic" w:cs="MS PGothic" w:eastAsia="MS PGothic" w:hAnsi="MS PGothic"/>
          <w:sz w:val="18"/>
          <w:szCs w:val="18"/>
          <w:color w:val="auto"/>
        </w:rPr>
        <w:t>‑</w:t>
      </w:r>
      <w:r>
        <w:rPr>
          <w:rFonts w:ascii="Arial" w:cs="Arial" w:eastAsia="Arial" w:hAnsi="Arial"/>
          <w:sz w:val="18"/>
          <w:szCs w:val="18"/>
          <w:color w:val="auto"/>
        </w:rPr>
        <w:t>effect adjustment to retained earnings on the Consolidated Balance Sheet in the fiscal year of adoption. We have performed a preliminary evaluation of the impact of this update, and based on that evaluation, we do not expect the adoption of the update to have a material impact on our Consolidated Financial Statements.</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Classification of Certain Cash Receipts and Cash Payments. </w:t>
      </w:r>
      <w:r>
        <w:rPr>
          <w:rFonts w:ascii="Arial" w:cs="Arial" w:eastAsia="Arial" w:hAnsi="Arial"/>
          <w:sz w:val="17"/>
          <w:szCs w:val="17"/>
          <w:color w:val="auto"/>
        </w:rPr>
        <w:t>In August 2016, the FASB issued an accounting standard update which addresses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eight specific cash flow issues: debt prepayment or debt extinguishment costs; settlement of zero</w:t>
      </w:r>
      <w:r>
        <w:rPr>
          <w:rFonts w:ascii="MS PGothic" w:cs="MS PGothic" w:eastAsia="MS PGothic" w:hAnsi="MS PGothic"/>
          <w:sz w:val="17"/>
          <w:szCs w:val="17"/>
          <w:color w:val="auto"/>
        </w:rPr>
        <w:t>‑</w:t>
      </w:r>
      <w:r>
        <w:rPr>
          <w:rFonts w:ascii="Arial" w:cs="Arial" w:eastAsia="Arial" w:hAnsi="Arial"/>
          <w:sz w:val="17"/>
          <w:szCs w:val="17"/>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We do not expect the update to have a material impact on our Consolidated Statement of Cash Flows.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Statement of Cash Flows: Restricted Cash. </w:t>
      </w:r>
      <w:r>
        <w:rPr>
          <w:rFonts w:ascii="Arial" w:cs="Arial" w:eastAsia="Arial" w:hAnsi="Arial"/>
          <w:sz w:val="17"/>
          <w:szCs w:val="17"/>
          <w:color w:val="auto"/>
        </w:rPr>
        <w:t>In November 2016, the FASB issued an accounting standard update related to the presentation of restricted cash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accounting guidance is effective for the Company beginning in the first quarter of 2018 and will be applied retrospectively to all periods presented. The guidance will result in changes to the Company’s Consolidated Statement of Cash Flows such that restricted cash amounts will be included in the beginning-of-period and end-of-period cash and cash equivalents totals when adopted for our fiscal year beginning January 1, 2018.</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Revision of Prior Balance Sheet. </w:t>
      </w:r>
      <w:r>
        <w:rPr>
          <w:rFonts w:ascii="Arial" w:cs="Arial" w:eastAsia="Arial" w:hAnsi="Arial"/>
          <w:sz w:val="16"/>
          <w:szCs w:val="16"/>
          <w:color w:val="auto"/>
        </w:rPr>
        <w:t>During the first quarter of 2017, the Company identified an error related to the deferred income tax treatment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Wholesale and Retail Contra AFUDC Regulatory Liability. The Company evaluated the materiality of the error and concluded that it was not material to any previously issued historical financial statements. The Company has revised its Consolidated Balance Sheet as of December 31, 2016, by decreasing Regulatory Assets and Deferred Income Taxes by $29.5 million. The correction had no impact on our Consolidated Statement of Income.</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Reclassification of Prior Income Statement. </w:t>
      </w:r>
      <w:r>
        <w:rPr>
          <w:rFonts w:ascii="Arial" w:cs="Arial" w:eastAsia="Arial" w:hAnsi="Arial"/>
          <w:sz w:val="16"/>
          <w:szCs w:val="16"/>
          <w:color w:val="auto"/>
        </w:rPr>
        <w:t>Beginning with the second quarter of 2017, the Company enhanced its presentation of Operating Revenue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Operating Expenses on the Consolidated Statement of Income by presenting the caption Operating Revenue separately as Operating Revenue – Utility and Operating Revenue – Non-utility. In conformity with the current presentation, we now present $234.9 million and $487.2 million of Operating Revenue as Operating Revenue – Utility for the quarter and six months ended June 30, 2016, respectively, as it is generated from our regulated utility operations. Non-utility revenue of $79.9 million and $161.4 million for the quarter and six months ended June 30, 2016, respectively, is now presented as Operating Revenue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Non-utility. In addition, the captions Fuel and Purchased Power and Cost of Sales have been updated to Fuel, Purchased Power and Gas – Utility and Cost of Sales – Non-utility. As a result, we have reclassified $0.9 million relating to the cost of gas sales at SWL&amp;P from Cost of Sales – Non-utility to Fuel, Purchased Power and Gas – Utility for the quarter ended June 30, 2016, and $3.9 million for the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June 30, 2017, the investment portfolio included the legacy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20.6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$56.2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0"/>
        </w:trPr>
        <w:tc>
          <w:tcPr>
            <w:tcW w:w="56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2017, the aggregate amount of available-for-sale corporate and governmental debt securities maturing in one year or less was $0.6 million, in one year to less than three years was $2.7 million, in three years to less than five years was $6.8 million and in five or more years was $2.9 million.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estimated fair value. Land values are reviewed for indicators of impairment on a quarterly basis and no impairment was recorded for the quarter and six months ended June 30, 2017, and 2016.</w:t>
      </w:r>
    </w:p>
    <w:p>
      <w:pPr>
        <w:spacing w:after="0" w:line="1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Available-for-Sale Investments. </w:t>
      </w:r>
      <w:r>
        <w:rPr>
          <w:rFonts w:ascii="Arial" w:cs="Arial" w:eastAsia="Arial" w:hAnsi="Arial"/>
          <w:sz w:val="17"/>
          <w:szCs w:val="17"/>
          <w:color w:val="auto"/>
        </w:rPr>
        <w:t>We account for our available-for-sale portfolio in accordance with the guidance for certain investments in debt and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Our available-for-sale securities portfolio consisted primarily of securities held in other postretirement plans to fund employee benefits.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realized and unrealized gains and losses on our available-for-sale investments were immaterial for the quarter and six months ended June 30, 2017, and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six months ended June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In April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the Condon wind energy facility for $8.0 million. This transaction was accounted for as an equity transaction, and no gain or loss was recognized in net income or other comprehensive income. As a result of the acquisition, the Condon wind energy facility became a wholly-owned subsidiary of ALLETE Clean Energy.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In October 2016, U.S. Water Services acquired 100 percent of Water &amp; Energy Systems Technology of Nevada, Inc. (WEST). Total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was $6.7 million. Consideration of $5.9 million was paid in cash on the acquisition date, working capital adjustments of $0.2 million were paid in the first six months of 2017 and a $0.6 million payment is due in April 2018. WEST is an integrated water management company and was acquired to expand U.S. Water Services’ regional footprint in the Southwestern United States.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the second quarter of 2017, is shown in the following table. Fair value measurements were valued primarily using the discounted cash flow method and replacement cost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142875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carrying amount of goodwill was $131.4 million as of June 30, 2017, and $131.2 million as of December 31, 2016. Changes to goodwill for the six months ended June 30, 2017, relate to the finalization of purchase price accounting for U.S. Water Services’ acquisition of WEST.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5"/>
              </w:rPr>
              <w:t>Balances of intangible assets, net, excluding goodwill as of June 30, 2017, are as follows: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7"/>
        </w:trPr>
        <w:tc>
          <w:tcPr>
            <w:tcW w:w="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Amortization</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1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$59.3</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r>
      <w:tr>
        <w:trPr>
          <w:trHeight w:val="243"/>
        </w:trPr>
        <w:tc>
          <w:tcPr>
            <w:tcW w:w="80" w:type="dxa"/>
            <w:vAlign w:val="bottom"/>
          </w:tcPr>
          <w:p>
            <w:pPr>
              <w:spacing w:after="0"/>
              <w:rPr>
                <w:sz w:val="21"/>
                <w:szCs w:val="21"/>
                <w:color w:val="auto"/>
              </w:rPr>
            </w:pPr>
          </w:p>
        </w:tc>
        <w:tc>
          <w:tcPr>
            <w:tcW w:w="6760" w:type="dxa"/>
            <w:vAlign w:val="bottom"/>
          </w:tcPr>
          <w:p>
            <w:pPr>
              <w:ind w:left="26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65.6</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r>
      <w:tr>
        <w:trPr>
          <w:trHeight w:val="243"/>
        </w:trPr>
        <w:tc>
          <w:tcPr>
            <w:tcW w:w="80" w:type="dxa"/>
            <w:vAlign w:val="bottom"/>
          </w:tcPr>
          <w:p>
            <w:pPr>
              <w:spacing w:after="0"/>
              <w:rPr>
                <w:sz w:val="21"/>
                <w:szCs w:val="21"/>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1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16.6</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37"/>
        </w:trPr>
        <w:tc>
          <w:tcPr>
            <w:tcW w:w="80" w:type="dxa"/>
            <w:vAlign w:val="bottom"/>
          </w:tcPr>
          <w:p>
            <w:pPr>
              <w:spacing w:after="0"/>
              <w:rPr>
                <w:sz w:val="20"/>
                <w:szCs w:val="20"/>
                <w:color w:val="auto"/>
              </w:rPr>
            </w:pPr>
          </w:p>
        </w:tc>
        <w:tc>
          <w:tcPr>
            <w:tcW w:w="6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$82.2</w:t>
            </w:r>
          </w:p>
        </w:tc>
        <w:tc>
          <w:tcPr>
            <w:tcW w:w="1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840" w:type="dxa"/>
            <w:vAlign w:val="bottom"/>
            <w:gridSpan w:val="2"/>
          </w:tcPr>
          <w:p>
            <w:pPr>
              <w:spacing w:after="0"/>
              <w:rPr>
                <w:sz w:val="20"/>
                <w:szCs w:val="20"/>
                <w:color w:val="auto"/>
              </w:rPr>
            </w:pPr>
            <w:r>
              <w:rPr>
                <w:rFonts w:ascii="Arial" w:cs="Arial" w:eastAsia="Arial" w:hAnsi="Arial"/>
                <w:sz w:val="16"/>
                <w:szCs w:val="16"/>
                <w:i w:val="1"/>
                <w:iCs w:val="1"/>
                <w:color w:val="auto"/>
                <w:w w:val="93"/>
              </w:rPr>
              <w:t>(a)  Developed Technology and Other includes patents, non-compete agreements and land easements.</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21 years, and developed technology and other have remaining useful lives ranging from approximately 2 years to approximately 12 years (weighted average of approximately 8 years). The weighted average remaining useful life of all definite-lived intangible assets as of June 30, 2017, is approximately 19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of intangible assets was $1.4 million and $2.8 million for the quarter and six months ended June 30, 2017, respectively ($1.2 million and $2.5 million for the quarter and six months ended June 30, 2016, respectively). Accumulated amortization was $12.1 million as of June 30, 2017 ($9.3 million as of December 31, 2016). The estimated amortization expense for definite-lived intangible assets for the remainder of 2017 is $2.7 million. Estimated annual amortization expense for definite-lived intangible assets is $5.1 million in 2018, $4.8 million in 2019, $4.5 million in 2020, $4.4 million in 2021 and $41.3 million thereafter.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2016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2017, and December 31, 2016.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2"/>
              </w:rPr>
              <w:t>Fair Value as of June 30, 2017</w:t>
            </w:r>
          </w:p>
        </w:tc>
        <w:tc>
          <w:tcPr>
            <w:tcW w:w="78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$13.0</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6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$13.0</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r>
      <w:tr>
        <w:trPr>
          <w:trHeight w:val="27"/>
        </w:trPr>
        <w:tc>
          <w:tcPr>
            <w:tcW w:w="6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$17.6</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6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$17.6</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9"/>
        </w:trPr>
        <w:tc>
          <w:tcPr>
            <w:tcW w:w="6160" w:type="dxa"/>
            <w:vAlign w:val="bottom"/>
          </w:tcPr>
          <w:p>
            <w:pPr>
              <w:spacing w:after="0"/>
              <w:rPr>
                <w:sz w:val="24"/>
                <w:szCs w:val="24"/>
                <w:color w:val="auto"/>
              </w:rPr>
            </w:pPr>
          </w:p>
        </w:tc>
        <w:tc>
          <w:tcPr>
            <w:tcW w:w="45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2016</w:t>
            </w:r>
          </w:p>
        </w:tc>
        <w:tc>
          <w:tcPr>
            <w:tcW w:w="700" w:type="dxa"/>
            <w:vAlign w:val="bottom"/>
          </w:tcPr>
          <w:p>
            <w:pPr>
              <w:spacing w:after="0"/>
              <w:rPr>
                <w:sz w:val="24"/>
                <w:szCs w:val="24"/>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$7.1</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$8.4</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$25.0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$25.0</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$8.4</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modifications to the shareholder agreement, changes in discount rates, timing of milestones that trigger payment, or the timing and amount of earnings estimates. The following table provides a reconciliation of the beginning and ending balances of the U.S. Water Services Contingent Consideration measured at fair value using Level 3 measurements as of June 30, 2017. Management analyzes the fair value of the contingent liability on a quarterly basis and makes adjustments as appropriate.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6"/>
                <w:szCs w:val="16"/>
                <w:i w:val="1"/>
                <w:iCs w:val="1"/>
                <w:color w:val="auto"/>
              </w:rPr>
              <w:t>(a)</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Changes in Cash Flow Projections </w:t>
            </w:r>
            <w:r>
              <w:rPr>
                <w:rFonts w:ascii="Arial" w:cs="Arial" w:eastAsia="Arial" w:hAnsi="Arial"/>
                <w:sz w:val="16"/>
                <w:szCs w:val="16"/>
                <w:i w:val="1"/>
                <w:iCs w:val="1"/>
                <w:color w:val="auto"/>
              </w:rPr>
              <w:t>(a)</w:t>
            </w:r>
          </w:p>
        </w:tc>
        <w:tc>
          <w:tcPr>
            <w:tcW w:w="45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7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0"/>
        </w:trPr>
        <w:tc>
          <w:tcPr>
            <w:tcW w:w="67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Payments and changes in cash flow projections reflect the impact of a modification to the shareholder agreement in the first quarter of 2017 which provided participants a one-time election to sell shares at a determined price. Participants representing approximately half of the outstanding contingent consideration shares made the election, which were paid in the first six months of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2017, and the year ended December 31, 2016,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June 30, 2017</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$1,529.6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$1,634.6</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2016</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$1,569.1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$1,653.8</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quarter and six months ended June 30, 2017, and the year ended December 31, 2016, there were no triggering events or indicators of impairment for these non-financial assets.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104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2016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FERC or PSCW.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2010 Minnesota General Rate Case. </w:t>
      </w:r>
      <w:r>
        <w:rPr>
          <w:rFonts w:ascii="Arial" w:cs="Arial" w:eastAsia="Arial" w:hAnsi="Arial"/>
          <w:sz w:val="17"/>
          <w:szCs w:val="17"/>
          <w:color w:val="auto"/>
        </w:rPr>
        <w:t>Minnesota Power’s current retail rates are based on a 2011 MPUC retail rate order that allows for a 10.38 percent return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common equity and a 54.29 percent equity ratio. As authorized by the MPUC, Minnesota Power also recognizes revenue under cost recovery riders for transmission, renewable, and environmental investments and expenditures. (See </w:t>
      </w:r>
      <w:r>
        <w:rPr>
          <w:rFonts w:ascii="Arial" w:cs="Arial" w:eastAsia="Arial" w:hAnsi="Arial"/>
          <w:sz w:val="17"/>
          <w:szCs w:val="17"/>
          <w:i w:val="1"/>
          <w:iCs w:val="1"/>
          <w:color w:val="auto"/>
        </w:rPr>
        <w:t>Transmission Cost Recovery Rider, Renewable Cost Recovery Rider</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Revenue from cost recovery riders was $24.4 million and $48.6 million for the quarter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2017, respectively ($23.5 million and $48.9 million for the quarter and six months ended June 30, 2016, respectively).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has progressed, Minnesota Power now expects its final rate request to be approximately $49 million on an annualized basis. Management has evaluated the need for a reserve for interim rate refunds and concluded that a reserve is not necessary as of June 30, 2017. Management evaluates the need for reserves for interim rates each reporting period.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2016 general rate case and through its 2017 remaining life depreciation petition filed on February 1, 2017, Minnesota Power is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Energy-Intensive Trade-Exposed (EITE) Customer Rates. </w:t>
      </w:r>
      <w:r>
        <w:rPr>
          <w:rFonts w:ascii="Arial" w:cs="Arial" w:eastAsia="Arial" w:hAnsi="Arial"/>
          <w:sz w:val="16"/>
          <w:szCs w:val="16"/>
          <w:color w:val="auto"/>
        </w:rPr>
        <w:t>The Minnesota Legislature enacted EITE customer ratemaking law in 2015 which established that it</w:t>
      </w:r>
      <w:r>
        <w:rPr>
          <w:rFonts w:ascii="Arial" w:cs="Arial" w:eastAsia="Arial" w:hAnsi="Arial"/>
          <w:sz w:val="16"/>
          <w:szCs w:val="16"/>
          <w:i w:val="1"/>
          <w:iCs w:val="1"/>
          <w:color w:val="auto"/>
        </w:rPr>
        <w:t xml:space="preserve"> </w:t>
      </w:r>
      <w:r>
        <w:rPr>
          <w:rFonts w:ascii="Arial" w:cs="Arial" w:eastAsia="Arial" w:hAnsi="Arial"/>
          <w:sz w:val="16"/>
          <w:szCs w:val="16"/>
          <w:color w:val="auto"/>
        </w:rPr>
        <w:t>is the energy policy of the state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providing Minnesota Power the option to refile the petition with additional information or file a new petition. In June 2016, Minnesota Power filed a revised EITE petition with the MPUC which included additional information on the net benefits analysis, limits on eligible customers and term lengths for the EITE discount. The MPUC approved a reduction in rates for EITE customers in a December 2016 order and subsequently approved cost recovery in an order dated April 20, 2017. The rate adjustments are intended to be revenue and cash flow neutral to Minnesota Power.</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2015, Minnesota Power amended its formula-based wholesale electric sales contract with the Nashwauk Public Utilities Commission, extending the term through June 30, 2028. No termination notice may be given for this contract prior to June 30, 2025. The electric service agreements with SWL&amp;P and another municipal customer are effective through July 31, 2020, and June 30, 2019, respectively. Under the agreement with SWL&amp;P, no termination notice may be given prior to July 31, 2017. The other municipal customer provided termination notice for its contract in June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2015, Minnesota Power amended its wholesale electric contracts with 14 municipal customers, extending the contract terms through December 31, 2024. No termination notices may be given prior to December 31, 2021.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2016 order, the MPUC approved Minnesota Power’s updated customer billing rates which allows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cost recovery filings.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Bison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restoration and repair of Thomson. Updated customer billing rates for the renewable cost recovery rider were approved by the MPUC in a December 2016 order, which allows Minnesota Power to charge retail customers on a current basis for the costs of constructing certain renewable investments plus a return on the capital invested. The approval is on a provisional basis pending the outcome of Minnesota Power’s 2016 general rate case. (See </w:t>
      </w:r>
      <w:r>
        <w:rPr>
          <w:rFonts w:ascii="Arial" w:cs="Arial" w:eastAsia="Arial" w:hAnsi="Arial"/>
          <w:sz w:val="18"/>
          <w:szCs w:val="18"/>
          <w:i w:val="1"/>
          <w:iCs w:val="1"/>
          <w:color w:val="auto"/>
        </w:rPr>
        <w:t>2016 Minnesota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Rate Case.)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$15.0 million in 2016. The North Dakota investment tax credits previously recognized as income tax credits in Corporate and Other were reversed in 2016 resulting in an $8.8 million charge to net income for the year ended December 31, 2016. In December 2016, Minnesota Power submitted a request for reconsideration with the MPUC. In an order dated February 14, 2017, the MPUC decided to reconsider its November 2016 order and provided for a comment period which expired on June 30, 2017.</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November 2016 MPUC order, Minnesota Power accounted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Minnesota Power has an approved environmental improvement rider in place for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implementation of the Boswell Unit 4 mercury emissions reduction plan completed in 2015. Updated customer billing rates for the environmental improvement rider were approved by the MPUC in a December 2016 order; however, in an order dated March 22, 2017, the MPUC approved a request by Minnesota Power to delay implementation of the updated rates until resolution of its 2016 general rate case. (See </w:t>
      </w:r>
      <w:r>
        <w:rPr>
          <w:rFonts w:ascii="Arial" w:cs="Arial" w:eastAsia="Arial" w:hAnsi="Arial"/>
          <w:sz w:val="16"/>
          <w:szCs w:val="16"/>
          <w:i w:val="1"/>
          <w:iCs w:val="1"/>
          <w:color w:val="auto"/>
        </w:rPr>
        <w:t>2016 Minnesota General Rate Case.)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2012 PSCW retail rate order that allows for a 10.9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In June 2016, SWL&amp;P filed a rate increase request with the PSCW requesting an average increase of 3.1 percent for retail customers (3.5 percent increase in electric rates; 1.3 percent decrease in natural gas rates; and 7.8 percent increase in water rates). The filing seeks an overall return on equity of 10.9 percent and a 55 percent equity ratio. At a hearing on July 13, 2017, the PSCW approved a return on common equity of 10.5 percent and a 55 percent equity ratio. On an annualized basis, we expect additional revenue of approximately $2.5 million. An order from the PSCW detailing the effective date of final rates is expected in the third quarter of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2015, Minnesota Power filed its 2015 IRP with the MPUC which included an analysis of a variety of existing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energy resource alternatives and a projection of customer cost impact by class. The 2015 IRP also contained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including the economic idling of Taconite Harbor Units 1 and 2 which occurred in September 2016, the ceasing of coal-fired operations at Taconite Harbor in 2020, and the addition of between 200 MW and 300 MW of natural gas-fired generation in the next decade.</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Boswell Units 1 and 2 will be retired in 2018. 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This resource package is the next step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is required to be filed by February 1, 2018; however, Minnesota Power filed a request with the MPUC on June 8, 2017, to delay the filing deadline until at least February 1, 2019.</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 500-kV</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line between Manitoba and Minnesota’s Iron Range.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$61.1 million have been incurred through June 30, 2017, of which $31.6 million has been recovered from a subsidiary of Manitoba Hydro.</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Minnesota requires electric utilities to spend a minimum of 1.5 percent of gross operating revenues from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state on energy CIPs each year. On April 3, 2017, Minnesota Power submitted its 2016 CIP consolidated filing, which detailed Minnesota Power’s CIP program results and requested a CIP financial incentive of $5.5 million based upon MPUC procedures. In an order dated June 22, 2017, the MPUC approved Minnesota Power’s CIP consolidated filing, including the requested CIP financial incentive which was recorded as revenue and as a regulatory asset in the second quarter of 2017. The approved financial incentive will be recovered through customer billing rates in 2017 and 2018. In 2016, the CIP financial incentive of $7.5 million was recognized in the third quarter. CIP financial incentives are recognized in the period in which the MPUC approves the filing.</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2015, a federal administrative law judge ruled on the complaint proposing a reduction in the base return on equity to 10.32 percent, or 10.82 percent including an incentive adder for participation in a regional transmission organization. In September 2016, the FERC issued an order affirming the administrative law judge’s recommendation.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MISO Return on Equity Complaints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an additional complaint was filed with the FERC seeking an order to further reduce the base return on equity to 8.67 percent. In June 2016, a federal administrative law judge ruled on the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The final decision from the FERC is not expected to have a material impact on our Consolidated Financial Statements.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Minnesota Solar Energy Standard.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40 kW or less. In a February 2016 order finalized in December 2016,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to be owned and operated by a third party with the output purchased by Minnesota Power and a 40 kW solar array that is owned and operated by Minnesota Power. Minnesota Power believes Camp Ripley and the community solar garden project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40 kW or less.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0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Regulatory Assets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223.4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(a)</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Cost Recovery Riders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13.8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6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Assets</w:t>
            </w:r>
          </w:p>
        </w:tc>
        <w:tc>
          <w:tcPr>
            <w:tcW w:w="3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324.5</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330.1</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$341.2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r>
      <w:tr>
        <w:trPr>
          <w:trHeight w:val="264"/>
        </w:trPr>
        <w:tc>
          <w:tcPr>
            <w:tcW w:w="686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$56.9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Dakota Investment Tax Credits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19.0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$125.8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r>
      <w:tr>
        <w:trPr>
          <w:trHeight w:val="20"/>
        </w:trPr>
        <w:tc>
          <w:tcPr>
            <w:tcW w:w="686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 – Revision of Prior Balance Sheet.</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7" w:lineRule="exact"/>
        <w:rPr>
          <w:rFonts w:ascii="Arial" w:cs="Arial" w:eastAsia="Arial" w:hAnsi="Arial"/>
          <w:sz w:val="16"/>
          <w:szCs w:val="16"/>
          <w:i w:val="1"/>
          <w:iCs w:val="1"/>
          <w:color w:val="auto"/>
        </w:rPr>
      </w:pPr>
    </w:p>
    <w:p>
      <w:pPr>
        <w:ind w:left="4320"/>
        <w:spacing w:after="0"/>
        <w:rPr>
          <w:rFonts w:ascii="Arial" w:cs="Arial" w:eastAsia="Arial" w:hAnsi="Arial"/>
          <w:sz w:val="16"/>
          <w:szCs w:val="16"/>
          <w:i w:val="1"/>
          <w:iCs w:val="1"/>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June 30, 2017, our equity investment in ATC was $143.1 million ($135.6 million at December 31, 2016). In the first six months of 2017, we invested $5.0 million in ATC, and on July 31, 2017, we invested an additional $1.6 million. We expect to make additional investments of approximately $4.3 million in 2017.</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2016</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2017</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ALLETE’s short-term and long-term debt as of June 30, 2017, and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June 30, 2017</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$118.2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00" w:type="dxa"/>
            <w:vAlign w:val="bottom"/>
          </w:tcPr>
          <w:p>
            <w:pPr>
              <w:jc w:val="right"/>
              <w:ind w:right="270"/>
              <w:spacing w:after="0"/>
              <w:rPr>
                <w:sz w:val="20"/>
                <w:szCs w:val="20"/>
                <w:color w:val="auto"/>
              </w:rPr>
            </w:pPr>
            <w:r>
              <w:rPr>
                <w:rFonts w:ascii="Arial" w:cs="Arial" w:eastAsia="Arial" w:hAnsi="Arial"/>
                <w:sz w:val="18"/>
                <w:szCs w:val="18"/>
                <w:color w:val="auto"/>
              </w:rPr>
              <w:t>1,411.4</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$1,529.6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$1,519.1</w:t>
            </w:r>
          </w:p>
        </w:tc>
      </w:tr>
      <w:tr>
        <w:trPr>
          <w:trHeight w:val="20"/>
        </w:trPr>
        <w:tc>
          <w:tcPr>
            <w:tcW w:w="388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1,380.8</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1,370.4</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$1,569.1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$(11.0)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2017, ALLETE issued $80.0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Interest on the Notes is payable semi-annually on June 1 and December 1 of each year, commencing on December 1, 2017. ALLETE has the option to prepay all or a portion of the Notes at its discretion, subject to a make-whole provision. The Notes are subject to additional terms and conditions which are customary for these types of transactions. Proceeds from the sale of the Notes may be used to redeem debt, fund corporate growth opportunities and for general corporate purposes.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104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2017,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2017,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3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4840" w:type="dxa"/>
            <w:vAlign w:val="bottom"/>
          </w:tcPr>
          <w:p>
            <w:pPr>
              <w:spacing w:after="0"/>
              <w:rPr>
                <w:sz w:val="24"/>
                <w:szCs w:val="24"/>
                <w:color w:val="auto"/>
              </w:rPr>
            </w:pPr>
          </w:p>
        </w:tc>
        <w:tc>
          <w:tcPr>
            <w:tcW w:w="41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840" w:type="dxa"/>
            <w:vAlign w:val="bottom"/>
          </w:tcPr>
          <w:p>
            <w:pPr>
              <w:spacing w:after="0"/>
              <w:rPr>
                <w:sz w:val="23"/>
                <w:szCs w:val="23"/>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r>
      <w:tr>
        <w:trPr>
          <w:trHeight w:val="270"/>
        </w:trPr>
        <w:tc>
          <w:tcPr>
            <w:tcW w:w="4840" w:type="dxa"/>
            <w:vAlign w:val="bottom"/>
          </w:tcPr>
          <w:p>
            <w:pPr>
              <w:spacing w:after="0"/>
              <w:rPr>
                <w:sz w:val="23"/>
                <w:szCs w:val="23"/>
                <w:color w:val="auto"/>
              </w:rPr>
            </w:pPr>
          </w:p>
        </w:tc>
        <w:tc>
          <w:tcPr>
            <w:tcW w:w="31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2016</w:t>
            </w: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3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tcPr>
          <w:p>
            <w:pPr>
              <w:jc w:val="center"/>
              <w:ind w:left="14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1"/>
              </w:rPr>
              <w:t>$0.1</w:t>
            </w:r>
          </w:p>
        </w:tc>
        <w:tc>
          <w:tcPr>
            <w:tcW w:w="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6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7"/>
        </w:trPr>
        <w:tc>
          <w:tcPr>
            <w:tcW w:w="4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12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w w:val="91"/>
              </w:rPr>
              <w:t>$0.1</w:t>
            </w:r>
          </w:p>
        </w:tc>
        <w:tc>
          <w:tcPr>
            <w:tcW w:w="9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16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$0.2</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tcPr>
          <w:p>
            <w:pPr>
              <w:jc w:val="center"/>
              <w:ind w:left="1510"/>
              <w:spacing w:after="0"/>
              <w:rPr>
                <w:sz w:val="20"/>
                <w:szCs w:val="20"/>
                <w:color w:val="auto"/>
              </w:rPr>
            </w:pPr>
            <w:r>
              <w:rPr>
                <w:rFonts w:ascii="Arial" w:cs="Arial" w:eastAsia="Arial" w:hAnsi="Arial"/>
                <w:sz w:val="18"/>
                <w:szCs w:val="18"/>
                <w:color w:val="auto"/>
                <w:w w:val="91"/>
              </w:rPr>
              <w:t>$3.8</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$11.1</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$6.7</w:t>
            </w: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3.6</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c>
          <w:tcPr>
            <w:tcW w:w="16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9.5</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120" w:type="dxa"/>
            <w:vAlign w:val="bottom"/>
          </w:tcPr>
          <w:p>
            <w:pPr>
              <w:jc w:val="right"/>
              <w:ind w:right="530"/>
              <w:spacing w:after="0"/>
              <w:rPr>
                <w:sz w:val="20"/>
                <w:szCs w:val="20"/>
                <w:color w:val="auto"/>
              </w:rPr>
            </w:pPr>
            <w:r>
              <w:rPr>
                <w:rFonts w:ascii="Arial" w:cs="Arial" w:eastAsia="Arial" w:hAnsi="Arial"/>
                <w:sz w:val="18"/>
                <w:szCs w:val="18"/>
                <w:color w:val="auto"/>
              </w:rPr>
              <w:t>(0.2)</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1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1"/>
              </w:rPr>
              <w:t>$7.2</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$4.6</w:t>
            </w:r>
          </w:p>
        </w:tc>
        <w:tc>
          <w:tcPr>
            <w:tcW w:w="1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$20.2</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r>
      <w:tr>
        <w:trPr>
          <w:trHeight w:val="237"/>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12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w w:val="91"/>
              </w:rPr>
              <w:t>$7.3</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$4.7</w:t>
            </w:r>
          </w:p>
        </w:tc>
        <w:tc>
          <w:tcPr>
            <w:tcW w:w="16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$20.4</w:t>
            </w: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349"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and six months ended June 30, 2017, and 2016,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3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3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14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4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$44.2</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$29.5</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$106.3</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35%</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4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$15.5</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$10.3</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$37.2</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4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6.3</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(23.0)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(20.5)</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(0.6)</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(0.8)</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4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$7.3</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$4.7</w:t>
            </w:r>
          </w:p>
        </w:tc>
        <w:tc>
          <w:tcPr>
            <w:tcW w:w="14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$20.4</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2017, the effective tax rate was 19.2 percent (16.4 percent for the six months ended June 30, 2016).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INCOME TAX EXPENSE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2017, we had gross unrecognized tax benefits of $1.9 million ($2.0 million as of December 31, 2016).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$0.7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2013, or state examination for years before 2012.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currency translation adjustments, unrealized gains and losses on available-for-sale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and six months ended June 30, 2017, and 2016, reclassifications out of accumulated other comprehensive loss for the Company were not material. Changes in accumulated other comprehensive loss for the six months ended June 30, 2017,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six months ended June 30, 2017, and 2016, no options to purchase shares of ALLETE common stock were excluded from the computation of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$36.9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$24.8</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50.9</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49.3</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$0.73</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$85.9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$70.7</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50.5</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49.2</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Contributions to Pension. </w:t>
      </w:r>
      <w:r>
        <w:rPr>
          <w:rFonts w:ascii="Arial" w:cs="Arial" w:eastAsia="Arial" w:hAnsi="Arial"/>
          <w:sz w:val="16"/>
          <w:szCs w:val="16"/>
          <w:color w:val="auto"/>
        </w:rPr>
        <w:t>For the six months ended June 30, 2017, we contributed 0.2 million shares of ALLETE common stock to our defined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plans, which had an aggregate value of $13.5 million when contributed (no shares were contributed to the defined benefit pension plans for the six months ended June 30, 2016). These shares of ALLETE common stock were contributed in reliance upon an exemption available pursuant to Section 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6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60" w:type="dxa"/>
            <w:vAlign w:val="bottom"/>
          </w:tcPr>
          <w:p>
            <w:pPr>
              <w:spacing w:after="0"/>
              <w:rPr>
                <w:sz w:val="20"/>
                <w:szCs w:val="20"/>
                <w:color w:val="auto"/>
              </w:rPr>
            </w:pPr>
          </w:p>
        </w:tc>
        <w:tc>
          <w:tcPr>
            <w:tcW w:w="23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 (Income)</w:t>
            </w: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$2.6</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8.2</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64"/>
        </w:trPr>
        <w:tc>
          <w:tcPr>
            <w:tcW w:w="64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$5.1</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16.3</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(21.2)</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(21.3)</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4.9</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0"/>
        </w:trPr>
        <w:tc>
          <w:tcPr>
            <w:tcW w:w="6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2017, we contributed $1.7 million in cash and $13.5 million in ALLETE common stock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pension plans (none for the six months ended June 30, 2016); we do not expect to make additional contributions to our defined benefit pension plans in 2017. For the six months ended June 30, 2017, and 2016, we made no contributions to our other postretirement benefit plans; we do not expect to make any contributions to our other postretirement benefit plans in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2016 Form 10-K, with additional disclosure provided in the following paragraphs.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Minnesota Power is obligated to pay its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 of Square Butte’s costs based on its entitlement to the output of Square Butte’s 455 MW coal-fired generating unit. Minnesota Power’s output entitlement under the Agreement is 50 percent for the remainder of the Agreement, subject to the provisions of the Minnkota Power PSA. (See </w:t>
      </w:r>
      <w:r>
        <w:rPr>
          <w:rFonts w:ascii="Arial" w:cs="Arial" w:eastAsia="Arial" w:hAnsi="Arial"/>
          <w:sz w:val="18"/>
          <w:szCs w:val="18"/>
          <w:i w:val="1"/>
          <w:iCs w:val="1"/>
          <w:color w:val="auto"/>
        </w:rPr>
        <w:t>Minnkota</w:t>
      </w:r>
      <w:r>
        <w:rPr>
          <w:rFonts w:ascii="Arial" w:cs="Arial" w:eastAsia="Arial" w:hAnsi="Arial"/>
          <w:sz w:val="18"/>
          <w:szCs w:val="18"/>
          <w:color w:val="auto"/>
        </w:rPr>
        <w:t xml:space="preserve"> </w:t>
      </w:r>
      <w:r>
        <w:rPr>
          <w:rFonts w:ascii="Arial" w:cs="Arial" w:eastAsia="Arial" w:hAnsi="Arial"/>
          <w:sz w:val="18"/>
          <w:szCs w:val="18"/>
          <w:i w:val="1"/>
          <w:iCs w:val="1"/>
          <w:color w:val="auto"/>
        </w:rPr>
        <w:t>Power PSA</w:t>
      </w:r>
      <w:r>
        <w:rPr>
          <w:rFonts w:ascii="Arial" w:cs="Arial" w:eastAsia="Arial" w:hAnsi="Arial"/>
          <w:sz w:val="18"/>
          <w:szCs w:val="18"/>
          <w:color w:val="auto"/>
        </w:rPr>
        <w:t>.) Square Butte’s costs consist primarily of debt service, operating and maintenance, depreciation and fuel expenses. As of June 30, 2017, Square</w:t>
      </w:r>
      <w:r>
        <w:rPr>
          <w:rFonts w:ascii="Arial" w:cs="Arial" w:eastAsia="Arial" w:hAnsi="Arial"/>
          <w:sz w:val="18"/>
          <w:szCs w:val="18"/>
          <w:i w:val="1"/>
          <w:iCs w:val="1"/>
          <w:color w:val="auto"/>
        </w:rPr>
        <w:t xml:space="preserve"> </w:t>
      </w:r>
      <w:r>
        <w:rPr>
          <w:rFonts w:ascii="Arial" w:cs="Arial" w:eastAsia="Arial" w:hAnsi="Arial"/>
          <w:sz w:val="18"/>
          <w:szCs w:val="18"/>
          <w:color w:val="auto"/>
        </w:rPr>
        <w:t>Butte had total debt outstanding of $311.6 million. Fuel expenses are recoverable through Minnesota Power’s fuel adjustment clause and include the cost of coal purchased from BNI Energy under a long-term contract.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the six months ended June 30, 2017, was $40.7 million ($37.7 million for the six months ended June 30, 2016). This reflects Minnesota Power’s pro rata share of total Square Butte costs based on the 50 percent output entitlement. Included in this amount was Minnesota Power’s pro rata share of interest expense of $4.7 million ($4.8 million for the same period in 2016).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2017 and in 2016.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104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Tenaska PPA. </w:t>
      </w:r>
      <w:r>
        <w:rPr>
          <w:rFonts w:ascii="Arial" w:cs="Arial" w:eastAsia="Arial" w:hAnsi="Arial"/>
          <w:sz w:val="18"/>
          <w:szCs w:val="18"/>
          <w:color w:val="auto"/>
        </w:rPr>
        <w:t>On May 10, 2017, Minnesota Power and an affiliate of Tenaska signed a long-term PPA that provides for Minnesota Power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associated capacity from a 250 MW wind energy facility in southwest Minnesota for a 20-year period beginning in 2020. This agreement is subject to MPUC approval of the construction of a 525 MW to 550 MW combined</w:t>
      </w:r>
      <w:r>
        <w:rPr>
          <w:rFonts w:ascii="MS PGothic" w:cs="MS PGothic" w:eastAsia="MS PGothic" w:hAnsi="MS PGothic"/>
          <w:sz w:val="18"/>
          <w:szCs w:val="18"/>
          <w:color w:val="auto"/>
        </w:rPr>
        <w:t>‑</w:t>
      </w:r>
      <w:r>
        <w:rPr>
          <w:rFonts w:ascii="Arial" w:cs="Arial" w:eastAsia="Arial" w:hAnsi="Arial"/>
          <w:sz w:val="18"/>
          <w:szCs w:val="18"/>
          <w:color w:val="auto"/>
        </w:rPr>
        <w:t>cycle natural gas-fired generating facility which will be jointly owned by Dairyland Power Cooperative and a subsidiary of ALLETE and a wind energy facility. (See Note 6. Regulatory Matters.) The agreement provides for the purchase of output from the facility at fixed energy prices. There are no fixed capacity charges, and Minnesota Power will only pay for energy as it is delivered.</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2018 and a portion of its coal requirements through December 2021. Minnesota Power also has coal transportation agreements in place for the delivery of a significant portion of its coal requirements through December 2018. The minimum annual payment obligation under these supply and transportation agreements is $13.8 million for the remainder of 2017, $29.0 million in 2018, $1.8 million in 2019 and none thereafter.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2023. The aggregate amount of minimum lease payments for all operating leases is $6.9 million for the remainder of 2017, $12.0 million in 2018, $10.7 million in 2019, $7.5 million in 2020, $5.9 million in 2021 and $18.3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$61.1 million have been incurred through June 30, 2017, of which $31.6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0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October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Boswell Units 1 and 2 will be eligible for recovery in rates over time, subject to regulatory approval in a rate proceeding.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rather it requires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generation levels and emission rates in 2015 and 2016 were below its allowances. Allowances for 2017 and 2018 were distributed in June 2016.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compliance with the CSAPR.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4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EPA published the final MATS rule in the Federal Register in 2012, addressing such emissions from coal-fired utility units greater than 25 MW.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or April 2016 if granted an extension. Construction on the project to implement the Boswell Unit 4 mercury emissions reduction plan was completed in 2015. Investments and compliance work previously completed at Boswell Unit 3, including emission reduction investments completed in 2009, meet the requirements of the MATS rule. The conversion of Laskin Units 1 and 2 to natural gas in 2015 positioned those units for MATS compliance.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2015, the U.S. Court of Appeals for the D.C. Circuit rejected a motion by utilities and states to vacate the MATS rule, instead ordering the rule to remain in effect while the EPA completes its review. In April 2016, the EPA announced its determination that the MATS rule is appropriate and necessary, when also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8"/>
          <w:szCs w:val="18"/>
          <w:i w:val="1"/>
          <w:iCs w:val="1"/>
          <w:color w:val="auto"/>
        </w:rPr>
        <w:t>New Source Review.</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Minnesota Mercury Emissions Reduction Act, which was incorporated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2012. Major existing sources had until January 2016, to achieve compliance with the final rule and July 2016, to perform initial compliance demonstrations. Minnesota Power’s Hibbard Renewable Energy Center and Rapids Energy Center are subject to this rule and are currently in compliance. Compliance consisted largely of adjustments to our operating practices; therefore, the costs for complying with the final rule were not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2010, the EPA proposed to revise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2008 eight-hour ozone standard of 75 parts per billion (ppb) and to adopt a secondary standard for the protection of sensitive vegetation from ozone-related damage. In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As a result,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2006. Since then, the EPA has established more stringent 24-hour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standards; the 24-hour coarse particulate matter standard has remained unchanged. In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0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6"/>
          <w:szCs w:val="16"/>
          <w:color w:val="auto"/>
        </w:rPr>
        <w:t xml:space="preserve"> monitoring, which will likely be accomplished by relocating or repurposing existing monitors. The EPA asked states to submit attainment designations by 2013, based on already available monitoring data, and issued designations of the 2012 revised primary annual fine particulate attainment status in 2014. The EPA designated the entire state of Minnesota as unclassifiable/attainment; however, Minnesota sources may ultimately be required to reduce their emissions to assist with attainment in neighboring states. In September 2016, environmental groups filed a lawsuit against the EPA in the U.S. District Court for the Northern District of California alleging the EPA had failed to fully implement the PM</w:t>
      </w:r>
      <w:r>
        <w:rPr>
          <w:rFonts w:ascii="Arial" w:cs="Arial" w:eastAsia="Arial" w:hAnsi="Arial"/>
          <w:sz w:val="11"/>
          <w:szCs w:val="11"/>
          <w:color w:val="auto"/>
        </w:rPr>
        <w:t>2.5</w:t>
      </w:r>
      <w:r>
        <w:rPr>
          <w:rFonts w:ascii="Arial" w:cs="Arial" w:eastAsia="Arial" w:hAnsi="Arial"/>
          <w:sz w:val="16"/>
          <w:szCs w:val="16"/>
          <w:color w:val="auto"/>
        </w:rPr>
        <w:t xml:space="preserve"> standards in certain states, including Minnesota, by not enforcing states’ submittals of required infrastructure SIPs for the 2012 PM</w:t>
      </w:r>
      <w:r>
        <w:rPr>
          <w:rFonts w:ascii="Arial" w:cs="Arial" w:eastAsia="Arial" w:hAnsi="Arial"/>
          <w:sz w:val="11"/>
          <w:szCs w:val="11"/>
          <w:color w:val="auto"/>
        </w:rPr>
        <w:t>2.5</w:t>
      </w:r>
      <w:r>
        <w:rPr>
          <w:rFonts w:ascii="Arial" w:cs="Arial" w:eastAsia="Arial" w:hAnsi="Arial"/>
          <w:sz w:val="16"/>
          <w:szCs w:val="16"/>
          <w:color w:val="auto"/>
        </w:rPr>
        <w:t xml:space="preserve"> NAAQS. The outcome of this litigation is uncertain, and as such, any costs for complying with the final Particulate Matter NAAQS cannot be estimated at this time.</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2012, the MPCA notified Minnesota Power that modeling had been suspended as a result of the EPA’s announcement that the SIP submittals would not require modeling demonstrations for states, such as Minnesota, where ambient monitors indicate compliance with the standard.</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2013, the EPA provided guidance to states regarding implementation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and in 2014, as clarified in 2015, the MPCA submitted a SIP revision to the EPA addressing the infrastructure requirements of Sections 110(a)(1) and 110(a)(2) of the Clean Air Act in regards to the one-hour NO</w:t>
      </w:r>
      <w:r>
        <w:rPr>
          <w:rFonts w:ascii="Arial" w:cs="Arial" w:eastAsia="Arial" w:hAnsi="Arial"/>
          <w:sz w:val="11"/>
          <w:szCs w:val="11"/>
          <w:color w:val="auto"/>
        </w:rPr>
        <w:t>2</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NAAQS, among other standards. In 2015, the EPA published in the Federal Register an approval and partial disapproval of the 2014 SIP revision. According to the MPCA, the partial disapproval is regarding state delegation of a program unrelated to the one-hour NAAQS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2,</w:t>
      </w:r>
      <w:r>
        <w:rPr>
          <w:rFonts w:ascii="Arial" w:cs="Arial" w:eastAsia="Arial" w:hAnsi="Arial"/>
          <w:sz w:val="16"/>
          <w:szCs w:val="16"/>
          <w:color w:val="auto"/>
        </w:rPr>
        <w:t xml:space="preserve"> and is not expected to require further action. As such, additional compliance costs for the one-hour NO</w:t>
      </w:r>
      <w:r>
        <w:rPr>
          <w:rFonts w:ascii="Arial" w:cs="Arial" w:eastAsia="Arial" w:hAnsi="Arial"/>
          <w:sz w:val="11"/>
          <w:szCs w:val="11"/>
          <w:color w:val="auto"/>
        </w:rPr>
        <w:t>2</w:t>
      </w:r>
      <w:r>
        <w:rPr>
          <w:rFonts w:ascii="Arial" w:cs="Arial" w:eastAsia="Arial" w:hAnsi="Arial"/>
          <w:sz w:val="16"/>
          <w:szCs w:val="16"/>
          <w:color w:val="auto"/>
        </w:rPr>
        <w:t xml:space="preserve"> NAAQS are not expected at this time.</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2015, the EPA finalized the SO</w:t>
      </w:r>
      <w:r>
        <w:rPr>
          <w:rFonts w:ascii="Arial" w:cs="Arial" w:eastAsia="Arial" w:hAnsi="Arial"/>
          <w:sz w:val="11"/>
          <w:szCs w:val="11"/>
          <w:color w:val="auto"/>
        </w:rPr>
        <w:t>2</w:t>
      </w:r>
      <w:r>
        <w:rPr>
          <w:rFonts w:ascii="Arial" w:cs="Arial" w:eastAsia="Arial" w:hAnsi="Arial"/>
          <w:sz w:val="16"/>
          <w:szCs w:val="16"/>
          <w:color w:val="auto"/>
        </w:rPr>
        <w:t xml:space="preserve"> data requirements rule (DRR) for the 2010 one-hour NAAQS to assist the states in implementing the standard. The rule sets emissions thresholds and exemptions for facilities that trigger modeling requirements. In January 2016, the MPCA informed the EPA of the Minnesota sources subject to the rule, confirming that Boswell and Taconite Harbor are the only Minnesota Power generating facilities subject to the DRR. Compliance options include ambient monitoring, modeling existing enforceable emission limits, or modeling actual emissions. The MPCA initially informed Minnesota Power that compliant SO</w:t>
      </w:r>
      <w:r>
        <w:rPr>
          <w:rFonts w:ascii="Arial" w:cs="Arial" w:eastAsia="Arial" w:hAnsi="Arial"/>
          <w:sz w:val="11"/>
          <w:szCs w:val="11"/>
          <w:color w:val="auto"/>
        </w:rPr>
        <w:t>2</w:t>
      </w:r>
      <w:r>
        <w:rPr>
          <w:rFonts w:ascii="Arial" w:cs="Arial" w:eastAsia="Arial" w:hAnsi="Arial"/>
          <w:sz w:val="16"/>
          <w:szCs w:val="16"/>
          <w:color w:val="auto"/>
        </w:rPr>
        <w:t xml:space="preserve"> modeling recently completed at these facilities would satisfy the DRR obligations and no further modeling would be required; however, the DRR also requires facilities have federally-enforceable permit limits at which the one-hour SO</w:t>
      </w:r>
      <w:r>
        <w:rPr>
          <w:rFonts w:ascii="Arial" w:cs="Arial" w:eastAsia="Arial" w:hAnsi="Arial"/>
          <w:sz w:val="11"/>
          <w:szCs w:val="11"/>
          <w:color w:val="auto"/>
        </w:rPr>
        <w:t>2</w:t>
      </w:r>
      <w:r>
        <w:rPr>
          <w:rFonts w:ascii="Arial" w:cs="Arial" w:eastAsia="Arial" w:hAnsi="Arial"/>
          <w:sz w:val="16"/>
          <w:szCs w:val="16"/>
          <w:color w:val="auto"/>
        </w:rPr>
        <w:t xml:space="preserve"> NAAQS compliance was modeled by January 13, 2017. Taconite Harbor was issued an amended air permit in September 2016, containing the new modeling limits at that facility. The MPCA did not meet the January 13, 2017, deadline to amend the Boswell permit. The MPCA is in discussions with the EPA on alternate compliance pathways to use existing completed modeling at current limits. Compliance costs for the one-hour SO</w:t>
      </w:r>
      <w:r>
        <w:rPr>
          <w:rFonts w:ascii="Arial" w:cs="Arial" w:eastAsia="Arial" w:hAnsi="Arial"/>
          <w:sz w:val="11"/>
          <w:szCs w:val="11"/>
          <w:color w:val="auto"/>
        </w:rPr>
        <w:t>2</w:t>
      </w:r>
      <w:r>
        <w:rPr>
          <w:rFonts w:ascii="Arial" w:cs="Arial" w:eastAsia="Arial" w:hAnsi="Arial"/>
          <w:sz w:val="16"/>
          <w:szCs w:val="16"/>
          <w:color w:val="auto"/>
        </w:rPr>
        <w:t xml:space="preserve"> NAAQS are not expected to be material.</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Class I Air Quality Petitions and Requests. </w:t>
      </w:r>
      <w:r>
        <w:rPr>
          <w:rFonts w:ascii="Arial" w:cs="Arial" w:eastAsia="Arial" w:hAnsi="Arial"/>
          <w:sz w:val="17"/>
          <w:szCs w:val="17"/>
          <w:color w:val="auto"/>
        </w:rPr>
        <w:t>In 2014, the Fond du Lac Band of Lake Superior Chippewa (Fond du Lac Band) announced its intent to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A public hearing was held by the Fond du Lac Band and the public comment period on the petition expired in 2014.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the Bad River Band of Lake Superior Chippewa (Bad River Band) announced its intent to petition the EPA to redesignate its reservation air shed from Class II to Class I air quality pursuant to Section 164(c) of the Clean Air Act. The Class I analysis report was issued by the Bad River Band followed by public hearings and a public comment period ending in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next step for the Fond du Lac Band and the Bad River Band would be to make a formal submittal request to the EPA. There is no deadline for the approval, denial, or modification of these requests by the EPA. We are unable to determine the impact of potential Class I status on the Company’s operations at this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Climate Action Plan (CAP). </w:t>
      </w:r>
      <w:r>
        <w:rPr>
          <w:rFonts w:ascii="Arial" w:cs="Arial" w:eastAsia="Arial" w:hAnsi="Arial"/>
          <w:sz w:val="16"/>
          <w:szCs w:val="16"/>
          <w:color w:val="auto"/>
        </w:rPr>
        <w:t>In 2015, the Federal government announced an updated CAP that calls for implementation of measures that reduce GHG</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On March 28, 2017, President Trump signed an Executive Order titled Promoting Energy Independence and Economic Growth that rescinded the CAP.</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18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w:t>
      </w:r>
      <w:r>
        <w:rPr>
          <w:rFonts w:ascii="MS PGothic" w:cs="MS PGothic" w:eastAsia="MS PGothic" w:hAnsi="MS PGothic"/>
          <w:sz w:val="17"/>
          <w:szCs w:val="17"/>
          <w:color w:val="auto"/>
        </w:rPr>
        <w:t>‑</w:t>
      </w:r>
      <w:r>
        <w:rPr>
          <w:rFonts w:ascii="Arial" w:cs="Arial" w:eastAsia="Arial" w:hAnsi="Arial"/>
          <w:sz w:val="17"/>
          <w:szCs w:val="17"/>
          <w:color w:val="auto"/>
        </w:rPr>
        <w:t>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U.S. Supreme Court invalidated the aspect of the Tailoring Rule that established higher permitting thresholds for GHG than for other pollutants subject to PSD; however, the court also upheld the EPA’s ability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 It is uncertain how the Title V permitting requirements will be affected by the March 28, 2017, Executive Order titled Promoting Energy Independence and Economic Growth.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Petitions for review of the rule were filed with the U.S. Court of Appeals for the District of Columbia Circuit. In February 2016, the U.S. Supreme Court issued an order staying the effectiveness of the rule until after the appellate court process is complete. In September 2016, the U.S. Court of Appeals for the District of Columbia heard oral arguments and is currently deliberating.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constitutes the EPA’s guideline for a Best System of Emission Reductions (BSER). BSER is comprised of three building blocks: 1) improved fossil fuel power plant efficiency, 2) increased reliance on low-emitting power sources by generating more electricity from existing natural gas combined-cycle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 The regulatory review initiated by the March 28, 2017, Executive Order titled Promoting Energy Independence and Economic Growth is directed to include Section 111(b) and 111(d) CPP provisions. In addition, the EPA has filed a motion with the U.S. Court of Appeals for the District of Columbia Circuit to hold CPP-related litigation in abeyance while the EPA is reviewing the rule. Minnesota Power is monitoring developments with respect to the CPP rule and related matters.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goals under the CPP are expressed as both mass-based and rate-based, and include interim goals to be met over the years 2022 through 2029, as well as a final goal to be met in 2030 and thereafter. Under the original schedule for the CPP, each state would have been required to develop a SIP by September 2016, or by September 6, 2018, if granted an extension. Due to the U.S. Supreme Court order staying the effectiveness of the CPP, those SIP submittal dates are not currently in effect. If the CPP is upheld at the completion of the appellate court process, all of the CPP regulatory deadlines are expected to be reset based on the length of time that the appeals process takes.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Should the MPCA require significant modifications to Minnesota Power’s intake structures, a preliminary assessment indicates costs of compliance up to $15 million over the next five years. Minnesota Power would seek recovery of additional costs through a rate proceeding.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Steam Electric Power Generating Effluent Guidelines. </w:t>
      </w:r>
      <w:r>
        <w:rPr>
          <w:rFonts w:ascii="Arial" w:cs="Arial" w:eastAsia="Arial" w:hAnsi="Arial"/>
          <w:sz w:val="18"/>
          <w:szCs w:val="18"/>
          <w:color w:val="auto"/>
        </w:rPr>
        <w:t>In 2015, the EPA issued revised federal effluent limit guidelines (ELG) for steam electric power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stations under the Clean Water Act.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evaluating the final ELG rule’s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12, 2017, the EPA published in the Federal Register the postponement of certain compliance deadlines and formally announced that it would reconsider the final ELG rule. Under the ELG rule schedule, required compliance activity deadlines could have been in place as soon as November 1, 2018. These deadlines could have included prescriptive wastewater treatment technology installation, as well as a ban on bottom ash contact water discharges. If the EPA’s reconsideration results in the rule being revised or rescinded, the authority to regulate bottom ash transport water and FGD wastewater would fall under existing Effluent Guidelines Limits and state resource agency purview.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disposes or stores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which has been idled and has a temporary landfill cover in place, applying ash to land as an approved beneficial use and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EPA issued the final coal combustion residuals (CCR) rule in 2014 under Subtitle D (non-hazardous) of RCRA and it was published in the Federal Register in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Recently, the EPA has indicated to Minnesota Power that the Taconite Harbor landfill is a CCR unit, based on the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Compliance costs, if any, for CCR at Taconite Harbor are not expected to be material. Minnesota Power would seek recovery of additional costs through a rate proceeding.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June 30, 2017, ALLETE Clean Energy has $15.4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June 30, 2017, U.S. Water Services has $0.8 million outstanding in standby letters of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June 30, 2017, BNI Energy had surety bonds outstanding of $49.9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its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Properties. </w:t>
      </w:r>
      <w:r>
        <w:rPr>
          <w:rFonts w:ascii="Arial" w:cs="Arial" w:eastAsia="Arial" w:hAnsi="Arial"/>
          <w:sz w:val="16"/>
          <w:szCs w:val="16"/>
          <w:color w:val="auto"/>
        </w:rPr>
        <w:t>As of June 30, 2017, ALLETE Properties had surety bonds outstanding and letters of credit to governmental entities totaling</w:t>
      </w:r>
      <w:r>
        <w:rPr>
          <w:rFonts w:ascii="Arial" w:cs="Arial" w:eastAsia="Arial" w:hAnsi="Arial"/>
          <w:sz w:val="16"/>
          <w:szCs w:val="16"/>
          <w:b w:val="1"/>
          <w:bCs w:val="1"/>
          <w:color w:val="auto"/>
        </w:rPr>
        <w:t xml:space="preserve"> </w:t>
      </w:r>
      <w:r>
        <w:rPr>
          <w:rFonts w:ascii="Arial" w:cs="Arial" w:eastAsia="Arial" w:hAnsi="Arial"/>
          <w:sz w:val="16"/>
          <w:szCs w:val="16"/>
          <w:color w:val="auto"/>
        </w:rPr>
        <w:t>$8.6 million primarily related to development and maintenance obligations for various projects. The estimated cost of the remaining development work is approximately $5.4 million. ALLETE Properties does not believe it is likely that any of these outstanding surety bonds or letters of credit will be drawn upon.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June 30, 2017, we owned 70 percent of the assessable land in the Town Center District (72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and 78 percent of the assessable land in the Palm Coast Park District (92 percent at December 31, 2016). At June 30, 2017, ownership levels, our annual assessments related to capital improvement and special assessment bonds for the ALLETE Properties projects within these districts are approximately $1.4 million for Town Center at Palm Coast and $2.0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04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5320" w:type="dxa"/>
            <w:vAlign w:val="bottom"/>
          </w:tcPr>
          <w:p>
            <w:pPr>
              <w:spacing w:after="0"/>
              <w:rPr>
                <w:sz w:val="24"/>
                <w:szCs w:val="24"/>
                <w:color w:val="auto"/>
              </w:rPr>
            </w:pPr>
          </w:p>
        </w:tc>
        <w:tc>
          <w:tcPr>
            <w:tcW w:w="36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4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20" w:type="dxa"/>
            <w:vAlign w:val="bottom"/>
          </w:tcPr>
          <w:p>
            <w:pPr>
              <w:spacing w:after="0"/>
              <w:rPr>
                <w:sz w:val="23"/>
                <w:szCs w:val="23"/>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320" w:type="dxa"/>
            <w:vAlign w:val="bottom"/>
          </w:tcPr>
          <w:p>
            <w:pPr>
              <w:spacing w:after="0"/>
              <w:rPr>
                <w:sz w:val="23"/>
                <w:szCs w:val="23"/>
                <w:color w:val="auto"/>
              </w:rPr>
            </w:pPr>
          </w:p>
        </w:tc>
        <w:tc>
          <w:tcPr>
            <w:tcW w:w="27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2016</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720" w:type="dxa"/>
            <w:vAlign w:val="bottom"/>
          </w:tcPr>
          <w:p>
            <w:pPr>
              <w:jc w:val="right"/>
              <w:ind w:right="290"/>
              <w:spacing w:after="0"/>
              <w:rPr>
                <w:sz w:val="20"/>
                <w:szCs w:val="20"/>
                <w:color w:val="auto"/>
              </w:rPr>
            </w:pPr>
            <w:r>
              <w:rPr>
                <w:rFonts w:ascii="Arial" w:cs="Arial" w:eastAsia="Arial" w:hAnsi="Arial"/>
                <w:sz w:val="18"/>
                <w:szCs w:val="18"/>
                <w:color w:val="auto"/>
              </w:rPr>
              <w:t>$264.9</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$234.9</w:t>
            </w:r>
          </w:p>
        </w:tc>
        <w:tc>
          <w:tcPr>
            <w:tcW w:w="1680" w:type="dxa"/>
            <w:vAlign w:val="bottom"/>
            <w:gridSpan w:val="2"/>
          </w:tcPr>
          <w:p>
            <w:pPr>
              <w:jc w:val="right"/>
              <w:ind w:right="290"/>
              <w:spacing w:after="0"/>
              <w:rPr>
                <w:sz w:val="20"/>
                <w:szCs w:val="20"/>
                <w:color w:val="auto"/>
              </w:rPr>
            </w:pPr>
            <w:r>
              <w:rPr>
                <w:rFonts w:ascii="Arial" w:cs="Arial" w:eastAsia="Arial" w:hAnsi="Arial"/>
                <w:sz w:val="18"/>
                <w:szCs w:val="18"/>
                <w:color w:val="auto"/>
              </w:rPr>
              <w:t>$546.5</w:t>
            </w:r>
          </w:p>
        </w:tc>
        <w:tc>
          <w:tcPr>
            <w:tcW w:w="760" w:type="dxa"/>
            <w:vAlign w:val="bottom"/>
          </w:tcPr>
          <w:p>
            <w:pPr>
              <w:jc w:val="right"/>
              <w:spacing w:after="0"/>
              <w:rPr>
                <w:sz w:val="20"/>
                <w:szCs w:val="20"/>
                <w:color w:val="auto"/>
              </w:rPr>
            </w:pPr>
            <w:r>
              <w:rPr>
                <w:rFonts w:ascii="Arial" w:cs="Arial" w:eastAsia="Arial" w:hAnsi="Arial"/>
                <w:sz w:val="18"/>
                <w:szCs w:val="18"/>
                <w:color w:val="auto"/>
              </w:rPr>
              <w:t>$487.2</w:t>
            </w: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19.6</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38.4</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34.3</w:t>
            </w:r>
          </w:p>
        </w:tc>
        <w:tc>
          <w:tcPr>
            <w:tcW w:w="122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66.7</w:t>
            </w: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30.4</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26.8</w:t>
            </w: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5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$353.3</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$314.8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27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$32.4</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70"/>
        </w:trPr>
        <w:tc>
          <w:tcPr>
            <w:tcW w:w="5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80" w:type="dxa"/>
            <w:vAlign w:val="bottom"/>
            <w:gridSpan w:val="2"/>
          </w:tcPr>
          <w:p>
            <w:pPr>
              <w:spacing w:after="0"/>
              <w:rPr>
                <w:sz w:val="23"/>
                <w:szCs w:val="23"/>
                <w:color w:val="auto"/>
              </w:rPr>
            </w:pPr>
          </w:p>
        </w:tc>
        <w:tc>
          <w:tcPr>
            <w:tcW w:w="760" w:type="dxa"/>
            <w:vAlign w:val="bottom"/>
          </w:tcPr>
          <w:p>
            <w:pPr>
              <w:spacing w:after="0"/>
              <w:rPr>
                <w:sz w:val="23"/>
                <w:szCs w:val="23"/>
                <w:color w:val="auto"/>
              </w:rPr>
            </w:pPr>
          </w:p>
        </w:tc>
      </w:tr>
      <w:tr>
        <w:trPr>
          <w:trHeight w:val="275"/>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6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3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7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$36.9</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4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r>
      <w:tr>
        <w:trPr>
          <w:trHeight w:val="27"/>
        </w:trPr>
        <w:tc>
          <w:tcPr>
            <w:tcW w:w="5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434"/>
        </w:trPr>
        <w:tc>
          <w:tcPr>
            <w:tcW w:w="5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$3,824.8</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$3,823.9</w:t>
            </w: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559.1</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566.0</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267.0</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5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280.6</w:t>
            </w: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5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$4,931.5</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$4,876.9</w:t>
            </w:r>
          </w:p>
        </w:tc>
      </w:tr>
      <w:tr>
        <w:trPr>
          <w:trHeight w:val="20"/>
        </w:trPr>
        <w:tc>
          <w:tcPr>
            <w:tcW w:w="532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2016 Form 10-K under the headings: “Forward-Looking Statements” located on page 6 and “Risk Factors” located in Part I, Item 1A, beginning on page 25 of our 2016 Form 10-K. The risks and uncertainties described in this Form 10-Q and our 2016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1040"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subject to regulatory approval.</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2017,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2017, to the six months ended June 30, 2016.</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ALLETE for the six months ended June 30, 2017, was $85.9 million, or $1.69 per diluted share, compared to $70.7 million, or $1.43 per diluted share, for the same period in 2016. Earnings per share dilution was $0.05 due to additional shares of common stock outstanding as of June 30, 2017.</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$75.9 million for the six months ended June 30, 2017, compared to $65.0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2016. Net income increased primarily due to higher net income at Minnesota Power resulting from the implementation of interim retail rates on January 1, 2017, higher kWh sales primarily due to increased industrial sales, and the recognition of a conservation improvement program financial incentive following MPUC approval in the second quarter of 2017. These increases were partially offset by higher operating and maintenance, depreciation, and interest expenses. Our equity earnings in ATC for the six months ended June 30, 2017, increased $1.5 million after-tax primarily due to a higher investment balance and period over period changes in ATC’s estimate of a refund liability related to MISO return on equity complaints.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$10.5 million for the six months ended June 30, 2017, compared to $8.7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2016. Net income increased primarily due to higher operating revenue, lower operating and maintenance expenses, and lower interest expense. Net income in 2016 included an allocation of earnings to a non-controlling interest in the limited liability company that owns the Condon wind energy facility, which was acquired by ALLETE Clean Energy in April 2016. (See Note 3. Acquisitions.)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net income attributable to ALLETE was $0.3 million for the six months ended June 30, 2017, compared to $0.5 million for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2016. The decrease in net income is primarily due to increased operating expenses as a result of investments for future growth in waste treatment and water safety applications, partially offset by higher operating revenue. U.S. Water Services sells certain products which are seasonal in nature, with higher demand typically realized in warmer months; generally, lower sales occur in the first quarter of each year.</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$0.8 million for the six months ended June 30, 2017, compared to a net loss of $3.5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2016. The net loss in 2017 decreased primarily due to lower accretion expense relating to the contingent consideration liability and lower interest expense.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JUNE 30, 2017, AND 2016</w:t>
            </w:r>
          </w:p>
        </w:tc>
        <w:tc>
          <w:tcPr>
            <w:tcW w:w="2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$264.9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93.1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4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56.3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4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12.7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4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46.2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20" w:type="dxa"/>
            <w:vAlign w:val="bottom"/>
          </w:tcPr>
          <w:p>
            <w:pPr>
              <w:jc w:val="right"/>
              <w:ind w:right="190"/>
              <w:spacing w:after="0"/>
              <w:rPr>
                <w:sz w:val="20"/>
                <w:szCs w:val="20"/>
                <w:color w:val="auto"/>
              </w:rPr>
            </w:pPr>
            <w:r>
              <w:rPr>
                <w:rFonts w:ascii="Arial" w:cs="Arial" w:eastAsia="Arial" w:hAnsi="Arial"/>
                <w:sz w:val="18"/>
                <w:szCs w:val="18"/>
                <w:color w:val="auto"/>
              </w:rPr>
              <w:t>(14.5)</w:t>
            </w: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44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0"/>
        </w:trPr>
        <w:tc>
          <w:tcPr>
            <w:tcW w:w="440" w:type="dxa"/>
            <w:vAlign w:val="bottom"/>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 Utility </w:t>
      </w:r>
      <w:r>
        <w:rPr>
          <w:rFonts w:ascii="Arial" w:cs="Arial" w:eastAsia="Arial" w:hAnsi="Arial"/>
          <w:sz w:val="18"/>
          <w:szCs w:val="18"/>
          <w:color w:val="auto"/>
        </w:rPr>
        <w:t>increased $30.0 million, or 13 percent, from 2016 primarily due to higher fuel adjustment clause recoveries, interim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financial incentives under the Minnesota conservation improvement program, kWh sales, transmission revenue and conservation improvement program recoveries, partially offset by lower FERC formula based rates.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$8.5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2017, resulting in revenue of $7.8 million in the second quarter of 2017. (See Note 6. Regulatory Matters.)</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Financial incentives under the Minnesota conservation improvement program increased $5.5 million from 2016 due to the timing of MPUC approval. The conservation improvement program financial incentive was recognized in the second quarter of 2017 upon approval by the MPUC in an order dated June 22, 2017. In 2016, the financial incentive of $7.5 million was recognized in the third quarter of 2016 following approval by the MPUC.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QUARTERS ENDED JUNE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color w:val="auto"/>
        </w:rPr>
        <w:t>Revenue from kWh sales increased $4.7 million from 2016 primarily due to higher sales to Industrial customers. Sales to Industrial customers increased 20.0 percent primarily due to increased taconite production and the commencement of a long</w:t>
      </w:r>
      <w:r>
        <w:rPr>
          <w:rFonts w:ascii="MS PGothic" w:cs="MS PGothic" w:eastAsia="MS PGothic" w:hAnsi="MS PGothic"/>
          <w:sz w:val="18"/>
          <w:szCs w:val="18"/>
          <w:color w:val="auto"/>
        </w:rPr>
        <w:t>‑</w:t>
      </w:r>
      <w:r>
        <w:rPr>
          <w:rFonts w:ascii="Arial" w:cs="Arial" w:eastAsia="Arial" w:hAnsi="Arial"/>
          <w:sz w:val="18"/>
          <w:szCs w:val="18"/>
          <w:color w:val="auto"/>
        </w:rPr>
        <w:t>term PSA with Silver Bay Power in June 2016. Sales to Residential, Commercial and Municipal customers decreased primarily due to warmer temperatures in 2017. Heating degree days in Duluth, Minnesota, were approximately 5 percent lower in 2017 compared to the same period in 2016. Sales to Other Power Suppliers decreased 15.3 percent from 2016 as a result of increased sales to Industrial customers. Sales to Other Power Suppliers are sold at market-based prices into the MISO market on a daily basis or through bilateral agreements of various durations.</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328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1,816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181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2,554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2,276</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1,004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1,185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(17 percent in 2016). Revenue from electric sales to paper, pulp and secondary wood product customers accounted for 5 percent of consolidated operating revenue in 2017 (6 percent in 2016). Revenue from electric sales to pipelines and other industrial customers accounted for 7 percent of consolidated operating revenue in 2017 (8 percent in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increased $1.8 million primarily due to higher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$1.3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$1.3 million from 2016 primarily due to lower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$19.0 million, or 10 percent, from 2016.</w:t>
      </w:r>
    </w:p>
    <w:p>
      <w:pPr>
        <w:spacing w:after="0" w:line="225"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$14.1 million, or 18 percent, from 2016 primarily due to increased kWh sales and fuel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partially offset by lower purchased 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$1.5 million, or 9 percent, from 2016 primarily due to higher MISO-related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$2.8 million, or 5 percent, from 2016 primarily due to higher salary and benefit expenses, and a $1.3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 in conservation improvement program expenses in 2017. Conservation improvement program expenses are recovered from certain retail customers.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$0.7 million, or 2 percent, from 2016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03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THE QUARTERS ENDED JUNE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$1.8 million, or 14 percent, from 2016 primarily due to higher average interest rates. We record interest expense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Regulated Operations primarily based on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$1.2 million, or 29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7. Investment in ATC.)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4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4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2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$0.8 million, or 4 percent, from 2016 primarily due to higher kWh sales at Armenia Mountain, partially offset by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kWh sales at the remaining wind energy facilities.</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Quarter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58.4</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63.5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35.0</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20.6</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49.4</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64.6</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64.5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62.5</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290.5</w:t>
            </w: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$19.6</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294.7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$1.2 million, or 46 percent, from 2016. Net income in 2017 included higher operating revenue, and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and maintenance expense compared to the same period in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U.S. Water Services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4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434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$4.1 million, or 12 percent, from 2016 primarily due to higher revenue from sales of chemicals and related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equipment sales; however, weather conditions in the Northern and Western U.S. negatively impacted revenue in the second quarter of 2017. Revenue from chemical sales and related services, which includes recurring revenue contracts for the delivery and service of chemicals, was $28.8 million in 2017 compared to $27.3 million in 2016. Revenue from equipment and related services, which includes sales of water treatment equipment, was $9.6 million in 2017 compared to $7.0 million in 2016; equipment sales can significantly fluctuate from period to period.</w:t>
      </w:r>
    </w:p>
    <w:p>
      <w:pPr>
        <w:spacing w:after="0" w:line="17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$0.4 million from 2016 primarily due to increased operating expenses as a result of investments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growth in waste treatment and water safety applications, partially offset by higher operating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40" w:top="1040"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QUARTERS ENDED JUNE 30, 2017, AND 2016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$3.6 million, or 13 percent, from 2016 primarily due to an increase in revenue at BNI Energy, which operates under cost-plus fixed fee contracts, as a result of higher expenses, and ALLETE Properties reflecting higher land sales in 2017 compared to the same period in 2016.</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$0.1 million in 2017 compared to a net loss of $1.4 million in 2016. The change from 2016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lower accretion expense relating to the contingent consideration liability and lower interest expense. Net income at BNI Energy was $2.0 million in 2017 compared to $1.8 million for the same period in 2016, and the net loss at ALLETE Properties was $0.4 million in 2017 compared to a net loss of $0.5 million for the same period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the quarter ended June 30, 2017, the effective tax rate was 16.5 percent (15.9 percent for the quarter ended June 30, 2016). The increase from 2016 was primarily due to higher pre-tax income. We expect our annual effective tax rate in 2017 to be higher than 2016 due to higher pre-tax income. The effective rate deviated from the combined statutory rate of approximately 41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2017 AND 2016</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7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$546.5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189.7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111.3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104.1</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78.7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25.9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106.7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760" w:type="dxa"/>
            <w:vAlign w:val="bottom"/>
          </w:tcPr>
          <w:p>
            <w:pPr>
              <w:jc w:val="right"/>
              <w:ind w:right="190"/>
              <w:spacing w:after="0"/>
              <w:rPr>
                <w:sz w:val="20"/>
                <w:szCs w:val="20"/>
                <w:color w:val="auto"/>
              </w:rPr>
            </w:pPr>
            <w:r>
              <w:rPr>
                <w:rFonts w:ascii="Arial" w:cs="Arial" w:eastAsia="Arial" w:hAnsi="Arial"/>
                <w:sz w:val="18"/>
                <w:szCs w:val="18"/>
                <w:color w:val="auto"/>
              </w:rPr>
              <w:t>(28.5)</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0.4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90.0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14.1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2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0"/>
        </w:trPr>
        <w:tc>
          <w:tcPr>
            <w:tcW w:w="42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$59.3 million, or 12 percent, from 2016 primarily due to higher fuel adjustment clause recoveries, interim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kWh sales, financial incentives under the Minnesota conservation improvement program, transmission revenue and conservation improvement program recoveries, partially offset by lower FERC formula based rates.</w:t>
      </w:r>
    </w:p>
    <w:p>
      <w:pPr>
        <w:spacing w:after="0" w:line="18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$18.8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2017, resulting in revenue of $16.6 million in the first six months of 2017. (See Note 6. Regulatory Matters.)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SIX MONTHS ENDED JUNE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color w:val="auto"/>
        </w:rPr>
        <w:t>Revenue from kWh sales increased $12.2 million from 2016 primarily due to higher sales to Industrial customers. Sales to Industrial customers increased 15.2 percent primarily due to increased taconite production and the commencement of a long</w:t>
      </w:r>
      <w:r>
        <w:rPr>
          <w:rFonts w:ascii="MS PGothic" w:cs="MS PGothic" w:eastAsia="MS PGothic" w:hAnsi="MS PGothic"/>
          <w:sz w:val="18"/>
          <w:szCs w:val="18"/>
          <w:color w:val="auto"/>
        </w:rPr>
        <w:t>‑</w:t>
      </w:r>
      <w:r>
        <w:rPr>
          <w:rFonts w:ascii="Arial" w:cs="Arial" w:eastAsia="Arial" w:hAnsi="Arial"/>
          <w:sz w:val="18"/>
          <w:szCs w:val="18"/>
          <w:color w:val="auto"/>
        </w:rPr>
        <w:t>term PSA with Silver Bay Power in June 2016. Sales to Residential, Commercial and Municipal customers decreased primarily due to warmer temperatures in 2017. Heating degree days in Duluth, Minnesota, were approximately 3 percent lower in 2017 compared to the same period in 2016. Sales to Other Power Suppliers decreased 11.7 percent from 2016 as a result of increased sales to industrial customers. Sales to Other Power Suppliers are sold at market-based prices into the MISO market on a daily basis or through bilateral agreements of various durations.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697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707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3,578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396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5,223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2,045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2,315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7,268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(17 percent in 2016). Revenue from electric sales to paper, pulp and secondary wood product customers accounted for 5 percent of consolidated operating revenue in 2017 (6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Financial incentives under the Minnesota conservation improvement program increased $5.5 million from 2016 due to the timing of MPUC approval. The conservation improvement program financial incentive was recognized in the second quarter of 2017 upon approval by the MPUC in an order dated June 22, 2017. In 2016, the financial incentive of $7.5 million was recognized in the third quarter of 2016 following approval by the MPUC.</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increased $3.1 million primarily due to higher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$2.9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$2.3 million from 2016 primarily due to lower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$42.3 million, or 11 percent, from 2016.</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$30.8 million, or 19 percent, from 2016 primarily due to increased kWh sales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higher purchased power prices and fuel costs.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$1.3 million, or 4 percent, from 2016 primarily due to higher MISO-related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$7.2 million, or 7 percent, from 2016 primarily due to a $3.6 million sales tax refund received in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$2.9 million increase in conservation improvement program expenses in 2017. Conservation improvement program expenses are recovered from certain retail customers.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SIX MONTHS ENDED JUNE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$2.1 million, or 3 percent, from 2016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$2.7 million, or 10 percent, from 2016 primarily due to higher average interest rates. We record interest expense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Regulated Operations primarily based on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$2.5 million, or 28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7. Investment in ATC.)</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$5.1 million, or 57 percent, from 2016 due to higher pre-tax income. We expect our annual effective tax rate in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higher than 2016 due to higher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4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$43.3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4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$0.9 million, or 2 percent, from 2016 primarily due to higher kWh sales at Armenia Mountain, partially offset by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kWh sales at the remaining wind energy facilities.</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0"/>
              </w:rPr>
              <w:t>Six Months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kWh</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134.2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133.5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83.2</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44.8</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51.0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119.1</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120.3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145.5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145.1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150.2</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677.0</w:t>
            </w: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$43.3</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682.3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$1.8 million, or 21 percent, from 2016. Net income in 2017 included higher operating revenue,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and maintenance expense, and lower interest expense compared to the same period in 2016. Net income in 2016 included an allocation of earnings to a non-controlling interest in the limited liability company that owns the Condon wind energy facility, which was acquired by ALLETE Clean Energy in April 2016. (See Note 3. Acquisitions.)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4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$70.5</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720" w:type="dxa"/>
            <w:vAlign w:val="bottom"/>
          </w:tcPr>
          <w:p>
            <w:pPr>
              <w:spacing w:after="0"/>
              <w:rPr>
                <w:sz w:val="21"/>
                <w:szCs w:val="21"/>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400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$3.8 million, or 6 percent, from 2016 primarily due to higher revenue from sales of chemicals and related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equipment sales; however, weather conditions in the Northern and Western U.S. negatively impacted revenue in the first six months of 2017. Revenue from chemical sales and related services, which includes recurring revenue contracts for the delivery and service of chemicals, was $55.9 million in 2017 compared to $53.2 million in 2016. Revenue from equipment and related services, which includes sales of water treatment equipment, was $14.6 million for 2017 compared to $13.5 million in 2016; equipment sales can significantly fluctuate from period to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40" w:top="1040"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SIX MONTHS ENDED JUNE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$0.2 million from 2016. The decrease in net income is primarily due to increased operating expenses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result of investments for future growth in waste treatment and water safety applications, partially offset by higher operating revenue. U.S. Water Services sells certain products which are seasonal in nature, with higher demand typically realized in warmer months; generally, lower sales occur in the first quarter of each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$6.3 million, or 12 percent, from 2016 primarily due to an increase in revenue at BNI Energy, which operates under cost-plus fixed fee contracts, as a result of higher expenses in 2017 compared to the same period in 2016.</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$2.7 million from 2016 primarily due to lower accretion expense relating to the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and lower interest expense. Net income at BNI Energy was $3.8 million in 2017 compared to $3.7 million for the same period in 2016, and the net loss at ALLETE Properties was $1.6 million in 2017 and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six months ended June 30, 2017, the effective tax rate was 19.2 percent (16.4 percent for the six months ended June 30, 2016). The increase from 2016 was primarily due to higher pre-tax income. We expect our annual effective tax rate in 2017 to be higher than 2016 due to higher pre-tax income. The effective rate deviated from the combined statutory rate of approximately 41 percent primarily due to production tax credits. (See Note 9.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2016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2016 annual testing of U.S. Water Services’ goodwill for impairment indicated the calculated fair value of equity for the reporting unit</w:t>
      </w:r>
      <w:r>
        <w:rPr>
          <w:rFonts w:ascii="Arial" w:cs="Arial" w:eastAsia="Arial" w:hAnsi="Arial"/>
          <w:sz w:val="18"/>
          <w:szCs w:val="18"/>
          <w:i w:val="1"/>
          <w:iCs w:val="1"/>
          <w:color w:val="auto"/>
        </w:rPr>
        <w:t xml:space="preserve"> </w:t>
      </w:r>
      <w:r>
        <w:rPr>
          <w:rFonts w:ascii="Arial" w:cs="Arial" w:eastAsia="Arial" w:hAnsi="Arial"/>
          <w:sz w:val="18"/>
          <w:szCs w:val="18"/>
          <w:color w:val="auto"/>
        </w:rPr>
        <w:t>exceeded carrying value by less than 10 percent. Significant assumptions utilized in the fair value calculation included a discount rate of 10.75 percent, cash flow forecasts through 2021, annual revenue growth rates ranging from 8 percent to 11 percent and a terminal growth rate of 5.0 percent. If U.S. Water Services fails to meet expected cash flow forecasts by a nominal margin or there is an increase in interest rates that has a negative impact on the discount rate used in the Company’s valuation under the income approach, the results of our future tests could result in an impairment of goodwill; our next annual impairment test will occur in the fourth quarter of 2017. Subsequent to our 2016 annual impairment test, there have been no triggering events or indicators of impairment of goodwill.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2016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five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its Regulated Operations segment to be approximately 85 percent to 90 percent of total consolidated net income in 2017.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has progressed, Minnesota Power now expects its final rate request to be approximately $49 million on an annualized basis. Management has evaluated the need for a reserve for interim rate refunds and concluded that a reserve is not necessary as of June 30, 2017. Management evaluates the need for reserves for interim rates each reporting period.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2016 general rate case and through its 2017 remaining life depreciation petition filed on February 1, 2017, Minnesota Power is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2012 PSCW retail rate order that allows for a 10.9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In June 2016, SWL&amp;P filed a rate increase request with the PSCW requesting an average increase of 3.1 percent for retail customers (3.5 percent increase in electric rates; 1.3 percent decrease in natural gas rates; and 7.8 percent increase in water rates). The filing seeks an overall return on equity of 10.9 percent and a 55 percent equity ratio. At a hearing on July 13, 2017, the PSCW approved a return on common equity of 10.5 percent and a 55 percent equity ratio. On an annualized basis, we expect additional revenue of approximately $2.5 million. An order from the PSCW detailing the effective date of final rates is expected in the third quarter of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03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49 percent of our regulated utility kWh sales in the six months ended June 30, 2017, were made to our industrial customers (44 percent in the six months ended June 30, 2016).</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 provides electric service to six taconite facilities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not currently operating.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74 percent of capacity during the first six months of 2017 compared to 72 percent in the first six months of 2016. The World Steel Association, an association of over 160 steel producers, national and regional steel industry associations, and steel research institutes representing approximately 85 percent of world steel production, projected U.S. steel consumption in 2017 will increase by approximately 3 percent compared to 2016.</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In the second quarter of 2015, USS Corporation temporarily idled its Minnesota Ore Operations - Keetac plant in Keewatin,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the third quarter of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16, 2017, Cliffs announced that production of a fully fluxed taconite pellet has started at its United Taconite facility. Cliffs broke</w:t>
      </w:r>
      <w:r>
        <w:rPr>
          <w:rFonts w:ascii="Arial" w:cs="Arial" w:eastAsia="Arial" w:hAnsi="Arial"/>
          <w:sz w:val="18"/>
          <w:szCs w:val="18"/>
          <w:i w:val="1"/>
          <w:iCs w:val="1"/>
          <w:color w:val="auto"/>
        </w:rPr>
        <w:t xml:space="preserve"> </w:t>
      </w:r>
      <w:r>
        <w:rPr>
          <w:rFonts w:ascii="Arial" w:cs="Arial" w:eastAsia="Arial" w:hAnsi="Arial"/>
          <w:sz w:val="18"/>
          <w:szCs w:val="18"/>
          <w:color w:val="auto"/>
        </w:rPr>
        <w:t>ground in August 2016 and invested approximately $75 million into the project. The new product replaces a flux pellet previously made at Cliffs’ indefinitely idled Empire operation in Michigan.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ERP Iron Ore / 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Magnetation announced that it had filed voluntary petitions for reorganization under Chapter 11 of the Bankruptcy</w:t>
      </w:r>
      <w:r>
        <w:rPr>
          <w:rFonts w:ascii="Arial" w:cs="Arial" w:eastAsia="Arial" w:hAnsi="Arial"/>
          <w:sz w:val="17"/>
          <w:szCs w:val="17"/>
          <w:i w:val="1"/>
          <w:iCs w:val="1"/>
          <w:color w:val="auto"/>
        </w:rPr>
        <w:t xml:space="preserve"> </w:t>
      </w:r>
      <w:r>
        <w:rPr>
          <w:rFonts w:ascii="Arial" w:cs="Arial" w:eastAsia="Arial" w:hAnsi="Arial"/>
          <w:sz w:val="17"/>
          <w:szCs w:val="17"/>
          <w:color w:val="auto"/>
        </w:rPr>
        <w:t>Code in the U.S. Bankruptcy Court for the District of Minnesota, citing the significant decrease in global iron ore prices and its existing capital structure. In January 2016, Magnetation idled its Plant 2 facility in Bovey, Minnesota. In October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was preserving the plants and their value for a potential buyer. On January 30, 2017, ERP Iron Ore purchased substantially all of Magnetation’s assets pursuant to an asset purchase agreement approved by the bankruptcy court. Although we cannot predict whether the facilities will be restarted, Minnesota Power would serve the Plant 2 and Plant 4 facilities through ERP Iron Ore’s assumption of the existing electric service agreement.</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Minnesota Power serves a number of customers in the paper, pulp and secondary wood products industry. The four major paper and pulp mills we serve reported operating at, or near, full capacity in 2016, and similar levels are expected in 2017.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Nashwauk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Mesabi Metallics is a retail customer of the Nashwauk Public Utilities Commission, and Minnesota Power has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electric sales agreement with the Nashwauk Public Utilities Commission for electric service through at least June 2028. Mesabi Metallics filed for bankruptcy protection in July 2016, under Chapter 11 of the Bankruptcy Code in the U.S. Bankruptcy Court for the District of Delaware. On June 13, 2017, the bankruptcy court approved a settlement plan for a consortium led by Chippewa Capital Partners LLC to take control of the project, subject to certain stipulations.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March 2016, finding the final EIS adequate. The 30-day period allowed by law to challenge the Record of Decision passed without any legal challenges being filed. In July 2016, PolyMet submitted applications for water-related permits with the State of Minnesota, and in August 2016, an application for an air quality permit was submitted to the MPCA. In November 2016, PolyMet submitted a state permit to mine application to the DNR detailing its operational plans for the mine. The final EIS also requires Records of Decision by the federal agencies, which are expected in 2017, before final action can be taken on the required federal permits to construct and operate the mining operation. On January 9,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ten-year power supply contract with PolyMet that would begin upon start-up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a strategic plan for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performance. The plan includes completed and planned investments in wind, solar, natural gas and hydroelectric power, the installation of emissions control technology and the idling of certain coal-fired generating facilities.</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This resource package is the next step in Minnesota Power’s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2015, Minnesota Power filed its 2015 IRP with the MPUC which contained steps in its</w:t>
      </w:r>
      <w:r>
        <w:rPr>
          <w:rFonts w:ascii="Arial" w:cs="Arial" w:eastAsia="Arial" w:hAnsi="Arial"/>
          <w:sz w:val="17"/>
          <w:szCs w:val="17"/>
          <w:i w:val="1"/>
          <w:iCs w:val="1"/>
          <w:color w:val="auto"/>
        </w:rPr>
        <w:t xml:space="preserve"> EnergyForward </w:t>
      </w:r>
      <w:r>
        <w:rPr>
          <w:rFonts w:ascii="Arial" w:cs="Arial" w:eastAsia="Arial" w:hAnsi="Arial"/>
          <w:sz w:val="17"/>
          <w:szCs w:val="17"/>
          <w:color w:val="auto"/>
        </w:rPr>
        <w:t>strategic plan,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included an analysis of a variety of existing and future energy resource alternatives and a projection of customer cost impact by class. 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is required to be filed by February 1, 2018; however, Minnesota Power filed a request with the MPUC on June 8, 2017, to delay the filing deadline until at least February 1, 2019.</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Minnesota Power continues to execute its renewable energy strategy through key renewable projects that will ensure it meets the identified state mandate at the lowest cost for customers. Minnesota Power has exceeded the interim milestone requirements to date and expects 29 percent of its applicable retail and municipal energy sales will be supplied by renewable energy sources in 2017.</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40 kW or less. In a February 2016 order finalized in December 2016,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to be owned and operated by a third party with the output purchased by Minnesota Power and a 40 kW solar array that is owned and operated by Minnesota Power. Minnesota Power believes Camp Ripley and the community solar garden project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40 kW or less.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Updated customer billing rates for the renewable cost recovery rider, which includes investments and expenditures related to Bison, were approved by the MPUC in a December 2016 order, which allows Minnesota Power to charge retail customers on a current basis for the costs of constructing certain renewable investments plus a return on the capital invested. The approval is on a provisional basis pending the outcome of Minnesota Power’s 2016 general rate case.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$15.0 million in 2016. The North Dakota investment tax credits previously recognized as income tax credits in Corporate and Other were reversed in 2016 resulting in an $8.8 million charge to net income for the year ended December 31, 2016. In December 2016, Minnesota Power submitted a request for reconsideration with the MPUC. In an order dated February 14, 2017, the MPUC decided to reconsider its November 2016 order and provided for a comment period which expired on June 30, 2017.</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November 2016 MPUC order, Minnesota Power accounted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Tenaska PPA. </w:t>
      </w:r>
      <w:r>
        <w:rPr>
          <w:rFonts w:ascii="Arial" w:cs="Arial" w:eastAsia="Arial" w:hAnsi="Arial"/>
          <w:sz w:val="18"/>
          <w:szCs w:val="18"/>
          <w:color w:val="auto"/>
        </w:rPr>
        <w:t>On May 10, 2017, Minnesota Power and an affiliate of Tenaska signed a long-term PPA that provides for Minnesota Power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associated capacity from a 250 MW wind energy facility in southwest Minnesota for a 20-year period beginning in 2020. This agreement is subject to MPUC approval of the construction of a 525 MW to 550 MW combined</w:t>
      </w:r>
      <w:r>
        <w:rPr>
          <w:rFonts w:ascii="MS PGothic" w:cs="MS PGothic" w:eastAsia="MS PGothic" w:hAnsi="MS PGothic"/>
          <w:sz w:val="18"/>
          <w:szCs w:val="18"/>
          <w:color w:val="auto"/>
        </w:rPr>
        <w:t>‑</w:t>
      </w:r>
      <w:r>
        <w:rPr>
          <w:rFonts w:ascii="Arial" w:cs="Arial" w:eastAsia="Arial" w:hAnsi="Arial"/>
          <w:sz w:val="18"/>
          <w:szCs w:val="18"/>
          <w:color w:val="auto"/>
        </w:rPr>
        <w:t>cycle natural gas-fired generating facility which will be jointly owned by Dairyland Power Cooperative and a subsidiary of ALLETE and a wind energy facility. (See Note 6. Regulatory Matters.) The agreement provides for the purchase of output from the facility at fixed energy prices. There are no fixed capacity charges, and Minnesota Power will only pay for energy as it is delivered.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(See </w:t>
      </w:r>
      <w:r>
        <w:rPr>
          <w:rFonts w:ascii="Arial" w:cs="Arial" w:eastAsia="Arial" w:hAnsi="Arial"/>
          <w:sz w:val="16"/>
          <w:szCs w:val="16"/>
          <w:i w:val="1"/>
          <w:iCs w:val="1"/>
          <w:color w:val="auto"/>
        </w:rPr>
        <w:t>Transmission – Great Northern Transmission Line</w:t>
      </w:r>
      <w:r>
        <w:rPr>
          <w:rFonts w:ascii="Arial" w:cs="Arial" w:eastAsia="Arial" w:hAnsi="Arial"/>
          <w:sz w:val="16"/>
          <w:szCs w:val="16"/>
          <w:color w:val="auto"/>
        </w:rPr>
        <w:t>.)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2014, Minnesota Power and Manitoba Hydro signed a fourth PPA that provides for Minnesota Power to purchase up to 133 MW of energy from Manitoba Hydro for 20 years beginning in 2020. The pricing under this PPA is based on forward market prices. The PPA is subject to the construction of the GNTL.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Minnesota Power and Manitoba Hydro signed a fifth PPA that provides for Minnesota Power to purchase 50 MW of capacity at fixed prices. The PPA begins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$61.1 million have been incurred through June 30, 2017, of which $31.6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June 30, 2017, our equity investment in ATC was $143.1 million ($135.6 million as of December 31, 2016). In the first six months of 2017, we invested $5.0 million in ATC, and on July 31, 2017, we invested an additional $1.6 million. We expect to make additional investments of approximately $4.3 million in 2017. (See Note 7. Investment in ATC.)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2016 through 2025, identifies a need for between $3.6 billion and $4.4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is from PSAs of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subject to regulatory approval.</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 Federal production tax credit qualification is important to development project economics, and ALLETE Clean Energy invested approximately $100 million in equipment in late 2016 to meet production tax credit safe harbor provisions. ALLETE Clean Energy will invest approximately $80 million through 2020 to refurbish wind turbine generators at its Storm Lake I, Storm Lake II and Lake Benton wind energy facilities and requalify the facilities for production tax credits.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ALLETE Clean Energy manages risk by having a diverse portfolio of assets, which includes PSA expiration and geographic diversity. The current mix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PSA expiration and geographic location for existing facilities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4,800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4.6 million tons of coal in 2017 (3.8 million tons were sold in 2016) and has sold 2.3 million tons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(2.3 million tons were sold for the six months ended June 30, 2016). BNI Energy operates under cost-plus fixed fee agreements extending through December 31, 2037.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legacy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 ALLETE Properties’ major projects in Florida are Town Center at Palm Coast and Palm Coast Park, with approximately 3,400 acres combined of land available-for-sale. In addition to these two projects, ALLETE Properties has approximately 1,100 acres of other land available-for-sale.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41 percent for 2017. On an ongoing basis, ALLETE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approximately 20 percent for 2017 primarily due to federal production tax credits as a result of wind energy generation. We also expect that our effective tax rate will be lower than the combined statutory rate over the next eight years due to production tax credits attributable to our wind energy generation.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2017,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$84.2 million, $396.4 million in available consolidated lines of credit and a debt-to-capital ratio of 43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604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604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$2,017.0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$1,893.0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1,529.6</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1,569.1</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$3,546.6</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$3,462.1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0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184.4</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(84.7)</w:t>
            </w: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(43.0)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37"/>
        </w:trPr>
        <w:tc>
          <w:tcPr>
            <w:tcW w:w="8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56.7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$84.2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r>
      <w:tr>
        <w:trPr>
          <w:trHeight w:val="20"/>
        </w:trPr>
        <w:tc>
          <w:tcPr>
            <w:tcW w:w="8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higher in 2017 compared to 2016 primarily due to a payment of $31.0 million made in 2016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 long-term PSA between Minnesota Power and Silver Bay Power as well as higher recoveries of our cost recovery riders, net income and non-cash items in 2017, partially offset by higher payments on accounts payable and fuel inventory purchases in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2017 compared to 2016 primarily due to higher capital expenditures and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ATC in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lower in 2017 primarily due to proceeds received from the issuance of common stock of $74.4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compared to $15.2 million in 2016, partially offset by higher contingent consideration payments in 2017 and higher repayments of long-term debt of $127.0 million in 2017, including the repayment of $50.0 million in senior unsecured notes upon maturity and a partial early repayment of $70.0 million under an unsecured term loan maturing in the third quarter of 2017, offset by long-term debt issuances of $86.2 million in 2017. Additionally, in 2016 the Company paid $8.0 million to acquire the non-controlling interest of the limited liability company that owns the Condon wind energy facility. (See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and Note 3. Fair Value.)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20"/>
          </w:cols>
          <w:pgMar w:left="240" w:top="1040"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June 30, 2017, we had consolidated bank lines of credit aggregating $409.0 million ($409.0 million as of December 31, 2016), the majority of which expire in November 2019. We had $12.6 million outstanding in standby letters of credit and no outstanding draws under our lines of credit as of June 30, 2017 ($11.1 million in standby letters of credit and no outstanding draws as of December 31, 2016). In addition, as of June 30, 2017, we had 3.3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2.9 million shares remain available for issuance. For the six months ended June 30, 2017, 1.0 million shares of common stock were issued under this agreement, resulting in net proceeds of $65.7 million (none for the six months ended June 30, 2016). The shares issued in 2017 were offered and sold pursuant to Registration Statement No. 333-212794, pursuant to which the remaining shares will continue to be offered for sale, from time to time.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2017, we issued 0.2 million shares of common stock through Invest Direct, the Employee Stock Purchase Plan, and the Retirement Savings and Stock Ownership Plan, resulting in net proceeds of $8.7 million (0.3 million shares were issued for the six months ended June 30, 2016, resulting in net proceeds of $15.2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 2017, ALLETE issued $80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(See Note 8. Short-Term and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During the six months ended June 30, 2017, we contributed $1.7 million in cash and 0.2 million shares of ALLETE common stock, which had an aggregate value of $13.5 million when contributed, to the defined benefit pension plan. These shares of ALLETE common stock were contributed in reliance upon an exemption available pursuant to Section 4(a)(2) of the Securities Act of 1933, as amended. We do not expect to make additional contributions to our defined benefit pension plans in 2017, and we do not expect to make any contributions to our other postretirement benefit plans in 2017. (See Note 11. Earnings Per Share and Common Stock and Note 12. Pension and Other Postretirement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2016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00" w:type="dxa"/>
            <w:vAlign w:val="bottom"/>
          </w:tcPr>
          <w:p>
            <w:pPr>
              <w:jc w:val="center"/>
              <w:ind w:left="2512"/>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00" w:type="dxa"/>
            <w:vAlign w:val="bottom"/>
          </w:tcPr>
          <w:p>
            <w:pPr>
              <w:jc w:val="center"/>
              <w:ind w:left="2492"/>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6"/>
                <w:szCs w:val="16"/>
                <w:i w:val="1"/>
                <w:iCs w:val="1"/>
                <w:color w:val="auto"/>
                <w:w w:val="91"/>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Standard &amp; Poor’s.</w:t>
            </w:r>
          </w:p>
        </w:tc>
        <w:tc>
          <w:tcPr>
            <w:tcW w:w="4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104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2017 are expected to be approximately $215 million. The decrease from the 2017 capital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projected in our 2016 Form 10-K is primarily due to approximately $65 million of lower expected capital expenditures for the GNTL. The reduction in 2017 capital expenditures relating to the GNTL is anticipated to be offset by increased capital expenditures in future periods. (See Note 6. Regulatory Matters.) For the six months ended June 30, 2017, capital expenditures totaled $82.1 million ($51.9 million for the six months ended June 30, 2016). The expenditures were primarily made in the Regulated Operations segment.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ALLETE had 2,017 employees, of which 1,946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531 employees who are members of International Brotherhood of Electrical Workers (IBEW) Local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labor agreements with IBEW Local 31 expire on January 31, 2018.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181 employees, of which 137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2017,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4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2017, an increase of 100 basis points in interest rates would impact the amount of pre-tax interest expense by $1.0 million. This amount was determined by considering the impact of a hypothetical 100 basis point increase to the average variable interest rate on the variable rate debt outstanding as of June 30, 2017.</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2017,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2016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2016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20"/>
          </w:cols>
          <w:pgMar w:left="240" w:top="10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Submission of Matters to a Vote of Security Holders. </w:t>
      </w:r>
      <w:r>
        <w:rPr>
          <w:rFonts w:ascii="Arial" w:cs="Arial" w:eastAsia="Arial" w:hAnsi="Arial"/>
          <w:sz w:val="18"/>
          <w:szCs w:val="18"/>
          <w:color w:val="auto"/>
        </w:rPr>
        <w:t>At its meeting on July 26, 2017, our Board of Directors determined to hold future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advisory votes on executive compensation on an annual basis until the next non-binding advisory vote on the frequency of shareholder votes on executive compensation. Such determination is consistent with the previous recommendation of the Board of Directors and the preference of Company shareholders, as represented by their votes at the annual meeting of shareholders on May 9, 2017.</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31(a)</w:t>
            </w:r>
          </w:p>
        </w:tc>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31(b)</w:t>
            </w:r>
          </w:p>
        </w:tc>
        <w:tc>
          <w:tcPr>
            <w:tcW w:w="2300" w:type="dxa"/>
            <w:vAlign w:val="bottom"/>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tcPr>
          <w:p>
            <w:pPr>
              <w:ind w:left="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1300" w:right="20" w:hanging="126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 w:lineRule="exact"/>
        <w:rPr>
          <w:sz w:val="20"/>
          <w:szCs w:val="20"/>
          <w:color w:val="auto"/>
        </w:rPr>
      </w:pPr>
    </w:p>
    <w:p>
      <w:pPr>
        <w:jc w:val="both"/>
        <w:ind w:left="1300" w:right="40" w:hanging="1265"/>
        <w:spacing w:after="0" w:line="307"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2, 2017, announcing 2017 second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04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August 2, 2017</w:t>
            </w: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August 2, 2017</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Arial" w:cs="Arial" w:eastAsia="Arial" w:hAnsi="Arial"/>
                <w:sz w:val="14"/>
                <w:szCs w:val="14"/>
                <w:color w:val="auto"/>
              </w:rPr>
              <w:t>ALLETE, Inc. Second Quarter 2017 Form 10-Q</w:t>
            </w:r>
          </w:p>
        </w:tc>
      </w:tr>
    </w:tbl>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04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2017,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0" w:name="page61"/>
    <w:bookmarkEnd w:id="60"/>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quarter ended June 30, 2017, BNI Energy, owner of Center Mine, received no significant and substantial (S&amp;S) citations under Section 104(a) of the Mine Safety Act; five citations were received for the six months ended June 30, 2017, none of which were S&amp;S citations. For the quarter and six months ended June 30, 2017, BNI Energy paid $908 in penalties for citations closed during the period. For the quarter and six months ended June 30, 2017,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61" w:name="page62"/>
    <w:bookmarkEnd w:id="61"/>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846"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2, 2017</w:t>
      </w:r>
    </w:p>
    <w:p>
      <w:pPr>
        <w:spacing w:after="0" w:line="96" w:lineRule="exact"/>
        <w:rPr>
          <w:sz w:val="20"/>
          <w:szCs w:val="20"/>
          <w:color w:val="auto"/>
        </w:rPr>
      </w:pPr>
    </w:p>
    <w:p>
      <w:pPr>
        <w:sectPr>
          <w:pgSz w:w="11900" w:h="16838" w:orient="portrait"/>
          <w:cols w:equalWidth="0" w:num="2">
            <w:col w:w="7940" w:space="720"/>
            <w:col w:w="2740"/>
          </w:cols>
          <w:pgMar w:left="240" w:top="846"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40"/>
          </w:cols>
          <w:pgMar w:left="240" w:top="846"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00"/>
          </w:cols>
          <w:pgMar w:left="240" w:top="84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strong second quarter 2017 earnings</w:t>
      </w:r>
    </w:p>
    <w:p>
      <w:pPr>
        <w:spacing w:after="0" w:line="200" w:lineRule="exact"/>
        <w:rPr>
          <w:sz w:val="20"/>
          <w:szCs w:val="20"/>
          <w:color w:val="auto"/>
        </w:rPr>
      </w:pPr>
    </w:p>
    <w:p>
      <w:pPr>
        <w:spacing w:after="0" w:line="2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DULUTH, Minn. - ALLETE, Inc. (NYSE: ALE) today reported second quarter 2017 earnings of 72 cents per share on net income of $36.9 million and operating revenue of $353.3 million. Last year’s results were 50 cents per share on net income of $24.8 million and operating revenue of $314.8 million.</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“ALLETE’s businesses continue to make significant progress on key initiatives that will strategically position us for success in 2017 and beyond. On July 28, 2017, Minnesota Power submitted a resource package to the Minnesota Public Utilities Commission requesting approval for a 250 MW wind energy power purchase agreement, a 10 MW solar energy power purchase agreement and 250 MW of natural gas-fired generation and also filed a request to delay the filing deadline of its next integrated resource plan to February 2019. This resource package is the next step in Minnesota Power’s EnergyForward strategic plan. Minnesota Power and Superior Water, Light and Power’s respective rate reviews are progressing as planned and ALLETE Clean Energy is actively bidding into many renewable investment opportunities,” said ALLETE Chairman, President and CEO Al Hodnik.</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ALLETE’s Regulated Operations segment, which includes Minnesota Power, Superior Water, Light and Power, and the Company’s investment in the American Transmission Co. (ATC), recorded net income of $32.4 million, an increase of $9.8 million over 2016 net income. Earnings increased primarily due to higher net income at Minnesota Power resulting from the implementation of interim retail rates at the beginning of the year, higher kilowatt-hour sales primarily due to increased sales to Minnesota Power’s industrial customers and timing of the recognition of a conservation improvement program financial incentive following Minnesota Public Utilities Commission approval in the second quarter. These increases were partially offset by higher operating and maintenance, depreciation, and interest expenses. Our equity earnings in ATC increased $0.8 million from 2016 primarily due to additional investments in ATC and period over period changes in ATC’s estimate of a refund liability related to MISO return on equity complaints.</w:t>
      </w:r>
    </w:p>
    <w:p>
      <w:pPr>
        <w:spacing w:after="0" w:line="1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ALLETE’s Energy Infrastructure and Related Services businesses, which include ALLETE Clean Energy and U.S. Water Services, recorded net income of $3.8 million and $0.6 million, respectively. Earnings at ALLETE Clean Energy increased $1.2 million, or 46 percent, from 2016. Net income in 2017 included higher operating revenue and lower operating and maintenance expense compared to the same period in 2016. Earnings from U.S. Water Services decreased $0.4 million from 2016 primarily due to increased operating expenses as a result of investments for future growth in waste treatment and water safety applications, partially offset by higher operating revenue.</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Corporate and Other, which includes BNI Energy and ALLETE Properties, increased $1.5 million from 2016 primarily due to lower interest expense and lower accretion expense relating to the contingent consideration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quarter was diluted by 3 cents due to additional shares of common stock outstanding as of June 30, 2017.</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or by accessing the webcast at www.allete.com. A replay of the call will be available through August 6, 2017 by calling (855) 859-2056, pass code 48275932.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ectPr>
          <w:pgSz w:w="11900" w:h="16838" w:orient="portrait"/>
          <w:cols w:equalWidth="0" w:num="1">
            <w:col w:w="11400"/>
          </w:cols>
          <w:pgMar w:left="240" w:top="846" w:right="259" w:bottom="1440" w:gutter="0" w:footer="0" w:header="0"/>
          <w:type w:val="continuous"/>
        </w:sectPr>
      </w:pPr>
    </w:p>
    <w:bookmarkStart w:id="62" w:name="page63"/>
    <w:bookmarkEnd w:id="62"/>
    <w:p>
      <w:pPr>
        <w:ind w:right="6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Bismarck,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3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Quarter Ended</w:t>
            </w:r>
          </w:p>
        </w:tc>
        <w:tc>
          <w:tcPr>
            <w:tcW w:w="18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180" w:type="dxa"/>
            <w:vAlign w:val="bottom"/>
          </w:tcPr>
          <w:p>
            <w:pPr>
              <w:spacing w:after="0"/>
              <w:rPr>
                <w:sz w:val="23"/>
                <w:szCs w:val="23"/>
                <w:color w:val="auto"/>
              </w:rPr>
            </w:pPr>
          </w:p>
        </w:tc>
        <w:tc>
          <w:tcPr>
            <w:tcW w:w="33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18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6180" w:type="dxa"/>
            <w:vAlign w:val="bottom"/>
          </w:tcPr>
          <w:p>
            <w:pPr>
              <w:spacing w:after="0"/>
              <w:rPr>
                <w:sz w:val="23"/>
                <w:szCs w:val="23"/>
                <w:color w:val="auto"/>
              </w:rPr>
            </w:pPr>
          </w:p>
        </w:tc>
        <w:tc>
          <w:tcPr>
            <w:tcW w:w="24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Utility</w:t>
            </w:r>
          </w:p>
        </w:tc>
        <w:tc>
          <w:tcPr>
            <w:tcW w:w="2420" w:type="dxa"/>
            <w:vAlign w:val="bottom"/>
          </w:tcPr>
          <w:p>
            <w:pPr>
              <w:jc w:val="right"/>
              <w:ind w:right="70"/>
              <w:spacing w:after="0"/>
              <w:rPr>
                <w:sz w:val="20"/>
                <w:szCs w:val="20"/>
                <w:color w:val="auto"/>
              </w:rPr>
            </w:pPr>
            <w:r>
              <w:rPr>
                <w:rFonts w:ascii="Arial" w:cs="Arial" w:eastAsia="Arial" w:hAnsi="Arial"/>
                <w:sz w:val="18"/>
                <w:szCs w:val="18"/>
                <w:color w:val="auto"/>
              </w:rPr>
              <w:t>$264.9</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$234.9</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$546.5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$487.2</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Non-utility</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88.4</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79.9</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172.4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353.3</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314.8</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718.9</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648.6</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93.1</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79.0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189.7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16.1</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38.4</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32.5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70.0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84.9</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82.0</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168.2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50.1</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48.7</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100.6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298.3</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272.6</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591.3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42.2</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11.4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(10.8)</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(12.7)</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44.2</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6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36.9</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50.9</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49.3</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51.1</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49.5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50.7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6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$0.73</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$0.50</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420" w:type="dxa"/>
            <w:vAlign w:val="bottom"/>
          </w:tcPr>
          <w:p>
            <w:pPr>
              <w:jc w:val="right"/>
              <w:ind w:right="70"/>
              <w:spacing w:after="0"/>
              <w:rPr>
                <w:sz w:val="20"/>
                <w:szCs w:val="20"/>
                <w:color w:val="auto"/>
              </w:rPr>
            </w:pPr>
            <w:r>
              <w:rPr>
                <w:rFonts w:ascii="Arial" w:cs="Arial" w:eastAsia="Arial" w:hAnsi="Arial"/>
                <w:sz w:val="18"/>
                <w:szCs w:val="18"/>
                <w:color w:val="auto"/>
              </w:rPr>
              <w:t>$0.72</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$0.535</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$0.52</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61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$305.4</w:t>
            </w:r>
          </w:p>
        </w:tc>
        <w:tc>
          <w:tcPr>
            <w:tcW w:w="8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3,745.6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3,741.2</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577.0</w:t>
            </w:r>
          </w:p>
        </w:tc>
        <w:tc>
          <w:tcPr>
            <w:tcW w:w="840" w:type="dxa"/>
            <w:vAlign w:val="bottom"/>
          </w:tcPr>
          <w:p>
            <w:pPr>
              <w:jc w:val="right"/>
              <w:spacing w:after="0"/>
              <w:rPr>
                <w:sz w:val="20"/>
                <w:szCs w:val="20"/>
                <w:color w:val="auto"/>
              </w:rPr>
            </w:pPr>
            <w:r>
              <w:rPr>
                <w:rFonts w:ascii="Arial" w:cs="Arial" w:eastAsia="Arial" w:hAnsi="Arial"/>
                <w:sz w:val="18"/>
                <w:szCs w:val="18"/>
                <w:color w:val="auto"/>
              </w:rPr>
              <w:t>554.6</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195.8</w:t>
            </w:r>
          </w:p>
        </w:tc>
        <w:tc>
          <w:tcPr>
            <w:tcW w:w="84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2,017.0</w:t>
            </w:r>
          </w:p>
        </w:tc>
        <w:tc>
          <w:tcPr>
            <w:tcW w:w="840" w:type="dxa"/>
            <w:vAlign w:val="bottom"/>
          </w:tcPr>
          <w:p>
            <w:pPr>
              <w:jc w:val="right"/>
              <w:spacing w:after="0"/>
              <w:rPr>
                <w:sz w:val="20"/>
                <w:szCs w:val="20"/>
                <w:color w:val="auto"/>
              </w:rPr>
            </w:pPr>
            <w:r>
              <w:rPr>
                <w:rFonts w:ascii="Arial" w:cs="Arial" w:eastAsia="Arial" w:hAnsi="Arial"/>
                <w:sz w:val="18"/>
                <w:szCs w:val="18"/>
                <w:color w:val="auto"/>
              </w:rPr>
              <w:t>1,893.0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3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$4,931.5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$4,876.9</w:t>
            </w:r>
          </w:p>
        </w:tc>
        <w:tc>
          <w:tcPr>
            <w:tcW w:w="3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$4,876.9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90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rPr>
              <w:t>Quarter Ended</w:t>
            </w:r>
          </w:p>
        </w:tc>
        <w:tc>
          <w:tcPr>
            <w:tcW w:w="312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3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36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970"/>
              <w:spacing w:after="0"/>
              <w:rPr>
                <w:sz w:val="20"/>
                <w:szCs w:val="20"/>
                <w:color w:val="auto"/>
              </w:rPr>
            </w:pPr>
            <w:r>
              <w:rPr>
                <w:rFonts w:ascii="Arial" w:cs="Arial" w:eastAsia="Arial" w:hAnsi="Arial"/>
                <w:sz w:val="18"/>
                <w:szCs w:val="18"/>
                <w:b w:val="1"/>
                <w:bCs w:val="1"/>
                <w:color w:val="auto"/>
              </w:rPr>
              <w:t>2016</w:t>
            </w:r>
          </w:p>
        </w:tc>
        <w:tc>
          <w:tcPr>
            <w:tcW w:w="190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3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$32.4</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$22.6</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$75.9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$65.0</w:t>
            </w:r>
          </w:p>
        </w:tc>
      </w:tr>
      <w:tr>
        <w:trPr>
          <w:trHeight w:val="216"/>
        </w:trPr>
        <w:tc>
          <w:tcPr>
            <w:tcW w:w="4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360" w:type="dxa"/>
            <w:vAlign w:val="bottom"/>
          </w:tcPr>
          <w:p>
            <w:pPr>
              <w:jc w:val="right"/>
              <w:ind w:right="590"/>
              <w:spacing w:after="0"/>
              <w:rPr>
                <w:sz w:val="20"/>
                <w:szCs w:val="20"/>
                <w:color w:val="auto"/>
              </w:rPr>
            </w:pPr>
            <w:r>
              <w:rPr>
                <w:rFonts w:ascii="Arial" w:cs="Arial" w:eastAsia="Arial" w:hAnsi="Arial"/>
                <w:sz w:val="18"/>
                <w:szCs w:val="18"/>
                <w:color w:val="auto"/>
              </w:rPr>
              <w:t>3.8</w:t>
            </w:r>
          </w:p>
        </w:tc>
        <w:tc>
          <w:tcPr>
            <w:tcW w:w="1540" w:type="dxa"/>
            <w:vAlign w:val="bottom"/>
          </w:tcPr>
          <w:p>
            <w:pPr>
              <w:jc w:val="right"/>
              <w:ind w:right="610"/>
              <w:spacing w:after="0"/>
              <w:rPr>
                <w:sz w:val="20"/>
                <w:szCs w:val="20"/>
                <w:color w:val="auto"/>
              </w:rPr>
            </w:pPr>
            <w:r>
              <w:rPr>
                <w:rFonts w:ascii="Arial" w:cs="Arial" w:eastAsia="Arial" w:hAnsi="Arial"/>
                <w:sz w:val="18"/>
                <w:szCs w:val="18"/>
                <w:color w:val="auto"/>
              </w:rPr>
              <w:t>2.6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10.5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8.7</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3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0.6</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1.0</w:t>
            </w:r>
          </w:p>
        </w:tc>
        <w:tc>
          <w:tcPr>
            <w:tcW w:w="19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r>
      <w:tr>
        <w:trPr>
          <w:trHeight w:val="216"/>
        </w:trPr>
        <w:tc>
          <w:tcPr>
            <w:tcW w:w="4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3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0.1</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r>
      <w:tr>
        <w:trPr>
          <w:trHeight w:val="237"/>
        </w:trPr>
        <w:tc>
          <w:tcPr>
            <w:tcW w:w="4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3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$36.9</w:t>
            </w:r>
          </w:p>
        </w:tc>
        <w:tc>
          <w:tcPr>
            <w:tcW w:w="15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$24.8</w:t>
            </w:r>
          </w:p>
        </w:tc>
        <w:tc>
          <w:tcPr>
            <w:tcW w:w="1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$85.9</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$70.7</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3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$0.72</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$0.50</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$1.69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r>
      <w:tr>
        <w:trPr>
          <w:trHeight w:val="588"/>
        </w:trPr>
        <w:tc>
          <w:tcPr>
            <w:tcW w:w="4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3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High</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$74.59</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$64.69</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$74.59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$64.69</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$66.81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$53.47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$61.64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$48.26</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Close</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$71.68</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$64.63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$71.68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$64.63</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$39.58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$37.51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$39.58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$37.51</w:t>
            </w:r>
          </w:p>
        </w:tc>
      </w:tr>
      <w:tr>
        <w:trPr>
          <w:trHeight w:val="59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229</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552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566</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328</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339</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697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707</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396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406</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1,816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1,513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3,578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3,107</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2,554</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2,276</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5,223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4,786</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1,004</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1,185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2,045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2,315</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3,558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3,461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7,268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7,101</w:t>
            </w:r>
          </w:p>
        </w:tc>
      </w:tr>
      <w:tr>
        <w:trPr>
          <w:trHeight w:val="588"/>
        </w:trPr>
        <w:tc>
          <w:tcPr>
            <w:tcW w:w="4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3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$24.9</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$59.8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$57.8</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32.6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31.5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68.6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64.0</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12.3</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15.3</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30.5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31.2</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120.8</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96.6</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241.3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196.5</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190.8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168.3</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400.2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349.5</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41.6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44.2</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82.8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86.4</w:t>
            </w:r>
          </w:p>
        </w:tc>
      </w:tr>
      <w:tr>
        <w:trPr>
          <w:trHeight w:val="27"/>
        </w:trPr>
        <w:tc>
          <w:tcPr>
            <w:tcW w:w="4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32.5</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22.4</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63.5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51.3</w:t>
            </w:r>
          </w:p>
        </w:tc>
      </w:tr>
      <w:tr>
        <w:trPr>
          <w:trHeight w:val="237"/>
        </w:trPr>
        <w:tc>
          <w:tcPr>
            <w:tcW w:w="4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$264.9</w:t>
            </w:r>
          </w:p>
        </w:tc>
        <w:tc>
          <w:tcPr>
            <w:tcW w:w="1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$234.9</w:t>
            </w:r>
          </w:p>
        </w:tc>
        <w:tc>
          <w:tcPr>
            <w:tcW w:w="19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$546.5</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$487.2</w:t>
            </w:r>
          </w:p>
        </w:tc>
      </w:tr>
      <w:tr>
        <w:trPr>
          <w:trHeight w:val="27"/>
        </w:trPr>
        <w:tc>
          <w:tcPr>
            <w:tcW w:w="4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endash "/>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99"/>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2019-12-29T04:57:27Z</dcterms:created>
  <dcterms:modified xsi:type="dcterms:W3CDTF">2019-12-29T04:57:27Z</dcterms:modified>
</cp:coreProperties>
</file>