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2017</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1148" w:right="239" w:bottom="1440" w:gutter="0" w:footer="0" w:header="0"/>
        </w:sectPr>
      </w:pPr>
    </w:p>
    <w:p>
      <w:pPr>
        <w:spacing w:after="0" w:line="255"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1148"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1148"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1148"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148" w:right="239" w:bottom="1440" w:gutter="0" w:footer="0" w:header="0"/>
          <w:type w:val="continuous"/>
        </w:sectPr>
      </w:pPr>
    </w:p>
    <w:p>
      <w:pPr>
        <w:spacing w:after="0" w:line="309"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1148"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6240" w:space="720"/>
            <w:col w:w="4460"/>
          </w:cols>
          <w:pgMar w:left="240" w:top="1148" w:right="239" w:bottom="1440" w:gutter="0" w:footer="0" w:header="0"/>
          <w:type w:val="continuous"/>
        </w:sect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1148" w:right="239" w:bottom="1440" w:gutter="0" w:footer="0" w:header="0"/>
          <w:type w:val="continuous"/>
        </w:sectPr>
      </w:pPr>
    </w:p>
    <w:p>
      <w:pPr>
        <w:spacing w:after="0" w:line="29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x No</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50,883,123 shares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of March 31, 2017</w:t>
      </w:r>
    </w:p>
    <w:p>
      <w:pPr>
        <w:sectPr>
          <w:pgSz w:w="11900" w:h="16838" w:orient="portrait"/>
          <w:cols w:equalWidth="0" w:num="1">
            <w:col w:w="11420"/>
          </w:cols>
          <w:pgMar w:left="240" w:top="114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80" w:type="dxa"/>
            <w:vAlign w:val="bottom"/>
            <w:gridSpan w:val="5"/>
          </w:tcPr>
          <w:p>
            <w:pPr>
              <w:jc w:val="center"/>
              <w:ind w:right="3060"/>
              <w:spacing w:after="0"/>
              <w:rPr>
                <w:sz w:val="20"/>
                <w:szCs w:val="20"/>
                <w:color w:val="auto"/>
              </w:rPr>
            </w:pPr>
            <w:r>
              <w:rPr>
                <w:rFonts w:ascii="Arial" w:cs="Arial" w:eastAsia="Arial" w:hAnsi="Arial"/>
                <w:sz w:val="18"/>
                <w:szCs w:val="18"/>
                <w:b w:val="1"/>
                <w:bCs w:val="1"/>
                <w:color w:val="auto"/>
                <w:w w:val="93"/>
              </w:rPr>
              <w:t>Index</w:t>
            </w: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380" w:type="dxa"/>
            <w:vAlign w:val="bottom"/>
            <w:gridSpan w:val="4"/>
          </w:tcPr>
          <w:p>
            <w:pPr>
              <w:ind w:left="2000"/>
              <w:spacing w:after="0"/>
              <w:rPr>
                <w:sz w:val="20"/>
                <w:szCs w:val="20"/>
                <w:color w:val="auto"/>
              </w:rPr>
            </w:pPr>
            <w:r>
              <w:rPr>
                <w:rFonts w:ascii="Arial" w:cs="Arial" w:eastAsia="Arial" w:hAnsi="Arial"/>
                <w:sz w:val="18"/>
                <w:szCs w:val="18"/>
                <w:color w:val="auto"/>
                <w:w w:val="85"/>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840" w:type="dxa"/>
            <w:vAlign w:val="bottom"/>
            <w:gridSpan w:val="5"/>
            <w:shd w:val="clear" w:color="auto" w:fill="CCEEFF"/>
          </w:tcPr>
          <w:p>
            <w:pPr>
              <w:ind w:left="40"/>
              <w:spacing w:after="0" w:line="202"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Definitions</w:t>
              </w:r>
            </w:hyperlink>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c>
          <w:tcPr>
            <w:tcW w:w="23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gridSpan w:val="2"/>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620" w:type="dxa"/>
            <w:vAlign w:val="bottom"/>
            <w:tcBorders>
              <w:top w:val="single" w:sz="8" w:color="CCEEFF"/>
            </w:tcBorders>
          </w:tcPr>
          <w:p>
            <w:pPr>
              <w:spacing w:after="0"/>
              <w:rPr>
                <w:sz w:val="23"/>
                <w:szCs w:val="23"/>
                <w:color w:val="auto"/>
              </w:rPr>
            </w:pPr>
          </w:p>
        </w:tc>
        <w:tc>
          <w:tcPr>
            <w:tcW w:w="2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040" w:type="dxa"/>
            <w:vAlign w:val="bottom"/>
            <w:gridSpan w:val="29"/>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3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660" w:type="dxa"/>
            <w:vAlign w:val="bottom"/>
            <w:tcBorders>
              <w:top w:val="single" w:sz="8" w:color="0000EE"/>
            </w:tcBorders>
            <w:gridSpan w:val="2"/>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620" w:type="dxa"/>
            <w:vAlign w:val="bottom"/>
            <w:tcBorders>
              <w:top w:val="single" w:sz="8" w:color="CCEEFF"/>
            </w:tcBorders>
          </w:tcPr>
          <w:p>
            <w:pPr>
              <w:spacing w:after="0"/>
              <w:rPr>
                <w:sz w:val="23"/>
                <w:szCs w:val="23"/>
                <w:color w:val="auto"/>
              </w:rPr>
            </w:pPr>
          </w:p>
        </w:tc>
        <w:tc>
          <w:tcPr>
            <w:tcW w:w="2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Part I.</w:t>
              </w:r>
            </w:hyperlink>
          </w:p>
        </w:tc>
        <w:tc>
          <w:tcPr>
            <w:tcW w:w="8200" w:type="dxa"/>
            <w:vAlign w:val="bottom"/>
            <w:gridSpan w:val="24"/>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2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620" w:type="dxa"/>
            <w:vAlign w:val="bottom"/>
            <w:tcBorders>
              <w:top w:val="single" w:sz="8" w:color="CCEEFF"/>
            </w:tcBorders>
          </w:tcPr>
          <w:p>
            <w:pPr>
              <w:spacing w:after="0"/>
              <w:rPr>
                <w:sz w:val="23"/>
                <w:szCs w:val="23"/>
                <w:color w:val="auto"/>
              </w:rPr>
            </w:pPr>
          </w:p>
        </w:tc>
        <w:tc>
          <w:tcPr>
            <w:tcW w:w="2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Item 1.</w:t>
              </w:r>
            </w:hyperlink>
          </w:p>
        </w:tc>
        <w:tc>
          <w:tcPr>
            <w:tcW w:w="7160" w:type="dxa"/>
            <w:vAlign w:val="bottom"/>
            <w:gridSpan w:val="21"/>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Financial Statements</w:t>
              </w:r>
            </w:hyperlink>
          </w:p>
        </w:tc>
        <w:tc>
          <w:tcPr>
            <w:tcW w:w="2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620" w:type="dxa"/>
            <w:vAlign w:val="bottom"/>
            <w:tcBorders>
              <w:top w:val="single" w:sz="8" w:color="CCEEFF"/>
            </w:tcBorders>
          </w:tcPr>
          <w:p>
            <w:pPr>
              <w:spacing w:after="0"/>
              <w:rPr>
                <w:sz w:val="23"/>
                <w:szCs w:val="23"/>
                <w:color w:val="auto"/>
              </w:rPr>
            </w:pPr>
          </w:p>
        </w:tc>
        <w:tc>
          <w:tcPr>
            <w:tcW w:w="2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0000EE"/>
            </w:tcBorders>
            <w:gridSpan w:val="10"/>
            <w:shd w:val="clear" w:color="auto" w:fill="CCEEFF"/>
          </w:tcPr>
          <w:p>
            <w:pPr>
              <w:spacing w:after="0" w:line="202"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Balance Sheet -</w:t>
              </w:r>
            </w:hyperlink>
          </w:p>
        </w:tc>
        <w:tc>
          <w:tcPr>
            <w:tcW w:w="5040" w:type="dxa"/>
            <w:vAlign w:val="bottom"/>
            <w:tcBorders>
              <w:bottom w:val="single" w:sz="8" w:color="CCEEFF"/>
            </w:tcBorders>
            <w:gridSpan w:val="11"/>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gridSpan w:val="19"/>
          </w:tcPr>
          <w:p>
            <w:pPr>
              <w:ind w:left="180"/>
              <w:spacing w:after="0" w:line="202" w:lineRule="exact"/>
              <w:rPr>
                <w:sz w:val="20"/>
                <w:szCs w:val="20"/>
                <w:color w:val="auto"/>
              </w:rPr>
            </w:pPr>
            <w:r>
              <w:rPr>
                <w:rFonts w:ascii="Arial" w:cs="Arial" w:eastAsia="Arial" w:hAnsi="Arial"/>
                <w:sz w:val="18"/>
                <w:szCs w:val="18"/>
                <w:color w:val="auto"/>
              </w:rPr>
              <w:t>March 31, 2017, and December 31, 2016</w:t>
            </w:r>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160" w:type="dxa"/>
            <w:vAlign w:val="bottom"/>
            <w:gridSpan w:val="21"/>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Income -</w:t>
              </w:r>
            </w:hyperlink>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80" w:type="dxa"/>
            <w:vAlign w:val="bottom"/>
            <w:gridSpan w:val="19"/>
            <w:shd w:val="clear" w:color="auto" w:fill="CCEEFF"/>
          </w:tcPr>
          <w:p>
            <w:pPr>
              <w:ind w:left="180"/>
              <w:spacing w:after="0" w:line="202" w:lineRule="exact"/>
              <w:rPr>
                <w:sz w:val="20"/>
                <w:szCs w:val="20"/>
                <w:color w:val="auto"/>
              </w:rPr>
            </w:pPr>
            <w:r>
              <w:rPr>
                <w:rFonts w:ascii="Arial" w:cs="Arial" w:eastAsia="Arial" w:hAnsi="Arial"/>
                <w:sz w:val="18"/>
                <w:szCs w:val="18"/>
                <w:color w:val="auto"/>
              </w:rPr>
              <w:t>Three Months Ended March 31, 2017 and 2016</w:t>
            </w:r>
          </w:p>
        </w:tc>
        <w:tc>
          <w:tcPr>
            <w:tcW w:w="23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30"/>
        </w:trPr>
        <w:tc>
          <w:tcPr>
            <w:tcW w:w="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21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160" w:type="dxa"/>
            <w:vAlign w:val="bottom"/>
            <w:gridSpan w:val="21"/>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 of Comprehensive Income -</w:t>
              </w:r>
            </w:hyperlink>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gridSpan w:val="19"/>
          </w:tcPr>
          <w:p>
            <w:pPr>
              <w:ind w:left="180"/>
              <w:spacing w:after="0" w:line="202" w:lineRule="exact"/>
              <w:rPr>
                <w:sz w:val="20"/>
                <w:szCs w:val="20"/>
                <w:color w:val="auto"/>
              </w:rPr>
            </w:pPr>
            <w:r>
              <w:rPr>
                <w:rFonts w:ascii="Arial" w:cs="Arial" w:eastAsia="Arial" w:hAnsi="Arial"/>
                <w:sz w:val="18"/>
                <w:szCs w:val="18"/>
                <w:color w:val="auto"/>
              </w:rPr>
              <w:t>Three Months Ended March 31, 2017 and 2016</w:t>
            </w:r>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160" w:type="dxa"/>
            <w:vAlign w:val="bottom"/>
            <w:gridSpan w:val="21"/>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 of Cash Flows -</w:t>
              </w:r>
            </w:hyperlink>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80" w:type="dxa"/>
            <w:vAlign w:val="bottom"/>
            <w:gridSpan w:val="19"/>
            <w:shd w:val="clear" w:color="auto" w:fill="CCEEFF"/>
          </w:tcPr>
          <w:p>
            <w:pPr>
              <w:ind w:left="180"/>
              <w:spacing w:after="0" w:line="202" w:lineRule="exact"/>
              <w:rPr>
                <w:sz w:val="20"/>
                <w:szCs w:val="20"/>
                <w:color w:val="auto"/>
              </w:rPr>
            </w:pPr>
            <w:r>
              <w:rPr>
                <w:rFonts w:ascii="Arial" w:cs="Arial" w:eastAsia="Arial" w:hAnsi="Arial"/>
                <w:sz w:val="18"/>
                <w:szCs w:val="18"/>
                <w:color w:val="auto"/>
              </w:rPr>
              <w:t>Three Months Ended March 31, 2017 and 2016</w:t>
            </w:r>
          </w:p>
        </w:tc>
        <w:tc>
          <w:tcPr>
            <w:tcW w:w="23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30"/>
        </w:trPr>
        <w:tc>
          <w:tcPr>
            <w:tcW w:w="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218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Consolidated Statement of Shareholders’ Equity -</w:t>
              </w:r>
            </w:hyperlink>
          </w:p>
        </w:tc>
        <w:tc>
          <w:tcPr>
            <w:tcW w:w="3580" w:type="dxa"/>
            <w:vAlign w:val="bottom"/>
            <w:tcBorders>
              <w:bottom w:val="single" w:sz="8" w:color="CCEEFF"/>
            </w:tcBorders>
            <w:gridSpan w:val="5"/>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gridSpan w:val="19"/>
          </w:tcPr>
          <w:p>
            <w:pPr>
              <w:ind w:left="180"/>
              <w:spacing w:after="0" w:line="202" w:lineRule="exact"/>
              <w:rPr>
                <w:sz w:val="20"/>
                <w:szCs w:val="20"/>
                <w:color w:val="auto"/>
              </w:rPr>
            </w:pPr>
            <w:r>
              <w:rPr>
                <w:rFonts w:ascii="Arial" w:cs="Arial" w:eastAsia="Arial" w:hAnsi="Arial"/>
                <w:sz w:val="18"/>
                <w:szCs w:val="18"/>
                <w:color w:val="auto"/>
              </w:rPr>
              <w:t>Three Months Ended March 31, 2017</w:t>
            </w:r>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30"/>
        </w:trPr>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160" w:type="dxa"/>
            <w:vAlign w:val="bottom"/>
            <w:gridSpan w:val="21"/>
          </w:tcPr>
          <w:p>
            <w:pPr>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Notes to Consolidated Financial Statements</w:t>
              </w:r>
            </w:hyperlink>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line="202"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520" w:type="dxa"/>
            <w:vAlign w:val="bottom"/>
            <w:gridSpan w:val="2"/>
          </w:tcPr>
          <w:p>
            <w:pPr>
              <w:spacing w:after="0"/>
              <w:rPr>
                <w:sz w:val="17"/>
                <w:szCs w:val="17"/>
                <w:color w:val="auto"/>
              </w:rPr>
            </w:pPr>
          </w:p>
        </w:tc>
        <w:tc>
          <w:tcPr>
            <w:tcW w:w="7160" w:type="dxa"/>
            <w:vAlign w:val="bottom"/>
            <w:gridSpan w:val="21"/>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w:t>
              </w:r>
            </w:hyperlink>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and Results of Operations</w:t>
              </w:r>
            </w:hyperlink>
          </w:p>
        </w:tc>
        <w:tc>
          <w:tcPr>
            <w:tcW w:w="2620" w:type="dxa"/>
            <w:vAlign w:val="bottom"/>
          </w:tcPr>
          <w:p>
            <w:pPr>
              <w:spacing w:after="0"/>
              <w:rPr>
                <w:sz w:val="17"/>
                <w:szCs w:val="17"/>
                <w:color w:val="auto"/>
              </w:rPr>
            </w:pPr>
          </w:p>
        </w:tc>
        <w:tc>
          <w:tcPr>
            <w:tcW w:w="2380" w:type="dxa"/>
            <w:vAlign w:val="bottom"/>
            <w:gridSpan w:val="4"/>
          </w:tcPr>
          <w:p>
            <w:pPr>
              <w:jc w:val="right"/>
              <w:ind w:right="2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7160" w:type="dxa"/>
            <w:vAlign w:val="bottom"/>
            <w:gridSpan w:val="21"/>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4.</w:t>
              </w:r>
            </w:hyperlink>
          </w:p>
        </w:tc>
        <w:tc>
          <w:tcPr>
            <w:tcW w:w="7160" w:type="dxa"/>
            <w:vAlign w:val="bottom"/>
            <w:gridSpan w:val="21"/>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Part II.</w:t>
              </w:r>
            </w:hyperlink>
          </w:p>
        </w:tc>
        <w:tc>
          <w:tcPr>
            <w:tcW w:w="8200" w:type="dxa"/>
            <w:vAlign w:val="bottom"/>
            <w:gridSpan w:val="24"/>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1.</w:t>
              </w:r>
            </w:hyperlink>
          </w:p>
        </w:tc>
        <w:tc>
          <w:tcPr>
            <w:tcW w:w="7160" w:type="dxa"/>
            <w:vAlign w:val="bottom"/>
            <w:gridSpan w:val="21"/>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1A.</w:t>
              </w:r>
            </w:hyperlink>
          </w:p>
        </w:tc>
        <w:tc>
          <w:tcPr>
            <w:tcW w:w="7160" w:type="dxa"/>
            <w:vAlign w:val="bottom"/>
            <w:gridSpan w:val="21"/>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2.</w:t>
              </w:r>
            </w:hyperlink>
          </w:p>
        </w:tc>
        <w:tc>
          <w:tcPr>
            <w:tcW w:w="7160" w:type="dxa"/>
            <w:vAlign w:val="bottom"/>
            <w:gridSpan w:val="21"/>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3.</w:t>
              </w:r>
            </w:hyperlink>
          </w:p>
        </w:tc>
        <w:tc>
          <w:tcPr>
            <w:tcW w:w="7160" w:type="dxa"/>
            <w:vAlign w:val="bottom"/>
            <w:gridSpan w:val="21"/>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4.</w:t>
              </w:r>
            </w:hyperlink>
          </w:p>
        </w:tc>
        <w:tc>
          <w:tcPr>
            <w:tcW w:w="7160" w:type="dxa"/>
            <w:vAlign w:val="bottom"/>
            <w:gridSpan w:val="21"/>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5.</w:t>
              </w:r>
            </w:hyperlink>
          </w:p>
        </w:tc>
        <w:tc>
          <w:tcPr>
            <w:tcW w:w="7160" w:type="dxa"/>
            <w:vAlign w:val="bottom"/>
            <w:gridSpan w:val="21"/>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6.</w:t>
              </w:r>
            </w:hyperlink>
          </w:p>
        </w:tc>
        <w:tc>
          <w:tcPr>
            <w:tcW w:w="7160" w:type="dxa"/>
            <w:vAlign w:val="bottom"/>
            <w:gridSpan w:val="21"/>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4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840" w:type="dxa"/>
            <w:vAlign w:val="bottom"/>
            <w:gridSpan w:val="5"/>
          </w:tcPr>
          <w:p>
            <w:pPr>
              <w:ind w:left="40"/>
              <w:spacing w:after="0" w:line="202"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Signatures</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380" w:type="dxa"/>
            <w:vAlign w:val="bottom"/>
            <w:gridSpan w:val="4"/>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446"/>
        </w:trPr>
        <w:tc>
          <w:tcPr>
            <w:tcW w:w="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60" w:type="dxa"/>
            <w:vAlign w:val="bottom"/>
            <w:gridSpan w:val="9"/>
          </w:tcPr>
          <w:p>
            <w:pPr>
              <w:jc w:val="center"/>
              <w:ind w:right="2000"/>
              <w:spacing w:after="0"/>
              <w:rPr>
                <w:sz w:val="20"/>
                <w:szCs w:val="20"/>
                <w:color w:val="auto"/>
              </w:rPr>
            </w:pPr>
            <w:r>
              <w:rPr>
                <w:rFonts w:ascii="Arial" w:cs="Arial" w:eastAsia="Arial" w:hAnsi="Arial"/>
                <w:sz w:val="14"/>
                <w:szCs w:val="14"/>
                <w:color w:val="auto"/>
                <w:w w:val="96"/>
              </w:rPr>
              <w:t>ALLETE, Inc. First Quarter 2017 Form 10-Q</w:t>
            </w:r>
          </w:p>
        </w:tc>
        <w:tc>
          <w:tcPr>
            <w:tcW w:w="2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1040" w:right="239" w:bottom="705" w:gutter="0" w:footer="0" w:header="0"/>
        </w:sect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1040" w:right="239" w:bottom="705"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29"/>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Allowance for Funds Used During Construction – the cost of both debt and equity funds used to finance utility</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plant additions during construction periods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Transmission Holdings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Transmission Holdings,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18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Wind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BNI Energy</w:t>
            </w:r>
          </w:p>
        </w:tc>
        <w:tc>
          <w:tcPr>
            <w:tcW w:w="8180" w:type="dxa"/>
            <w:vAlign w:val="bottom"/>
            <w:gridSpan w:val="2"/>
          </w:tcPr>
          <w:p>
            <w:pPr>
              <w:spacing w:after="0"/>
              <w:rPr>
                <w:sz w:val="20"/>
                <w:szCs w:val="20"/>
                <w:color w:val="auto"/>
              </w:rPr>
            </w:pPr>
            <w:r>
              <w:rPr>
                <w:rFonts w:ascii="Arial" w:cs="Arial" w:eastAsia="Arial" w:hAnsi="Arial"/>
                <w:sz w:val="18"/>
                <w:szCs w:val="18"/>
                <w:color w:val="auto"/>
              </w:rPr>
              <w:t>BNI Energy, Inc. and its subsidiary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Boswell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Boswell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Camp Ripley</w:t>
            </w:r>
          </w:p>
        </w:tc>
        <w:tc>
          <w:tcPr>
            <w:tcW w:w="8180" w:type="dxa"/>
            <w:vAlign w:val="bottom"/>
            <w:gridSpan w:val="2"/>
          </w:tcPr>
          <w:p>
            <w:pPr>
              <w:spacing w:after="0"/>
              <w:rPr>
                <w:sz w:val="20"/>
                <w:szCs w:val="20"/>
                <w:color w:val="auto"/>
              </w:rPr>
            </w:pPr>
            <w:r>
              <w:rPr>
                <w:rFonts w:ascii="Arial" w:cs="Arial" w:eastAsia="Arial" w:hAnsi="Arial"/>
                <w:sz w:val="18"/>
                <w:szCs w:val="18"/>
                <w:color w:val="auto"/>
              </w:rPr>
              <w:t>Camp Ripley Solar Array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Carbon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Company</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CSAPR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DC</w:t>
            </w:r>
          </w:p>
        </w:tc>
        <w:tc>
          <w:tcPr>
            <w:tcW w:w="8180" w:type="dxa"/>
            <w:vAlign w:val="bottom"/>
            <w:gridSpan w:val="2"/>
          </w:tcPr>
          <w:p>
            <w:pPr>
              <w:spacing w:after="0"/>
              <w:rPr>
                <w:sz w:val="20"/>
                <w:szCs w:val="20"/>
                <w:color w:val="auto"/>
              </w:rPr>
            </w:pPr>
            <w:r>
              <w:rPr>
                <w:rFonts w:ascii="Arial" w:cs="Arial" w:eastAsia="Arial" w:hAnsi="Arial"/>
                <w:sz w:val="18"/>
                <w:szCs w:val="18"/>
                <w:color w:val="auto"/>
              </w:rPr>
              <w:t>Direct Current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EIS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Environmental Impact Statement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180" w:type="dxa"/>
            <w:vAlign w:val="bottom"/>
            <w:gridSpan w:val="2"/>
          </w:tcPr>
          <w:p>
            <w:pPr>
              <w:spacing w:after="0"/>
              <w:rPr>
                <w:sz w:val="20"/>
                <w:szCs w:val="20"/>
                <w:color w:val="auto"/>
              </w:rPr>
            </w:pPr>
            <w:r>
              <w:rPr>
                <w:rFonts w:ascii="Arial" w:cs="Arial" w:eastAsia="Arial" w:hAnsi="Arial"/>
                <w:sz w:val="18"/>
                <w:szCs w:val="18"/>
                <w:color w:val="auto"/>
              </w:rPr>
              <w:t>United States 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ERP Iron Ore</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ERP Iron Ore,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ESOP</w:t>
            </w:r>
          </w:p>
        </w:tc>
        <w:tc>
          <w:tcPr>
            <w:tcW w:w="818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FERC</w:t>
            </w:r>
          </w:p>
        </w:tc>
        <w:tc>
          <w:tcPr>
            <w:tcW w:w="818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10-K</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Form 10-Q</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GHG</w:t>
            </w:r>
          </w:p>
        </w:tc>
        <w:tc>
          <w:tcPr>
            <w:tcW w:w="8180" w:type="dxa"/>
            <w:vAlign w:val="bottom"/>
            <w:gridSpan w:val="2"/>
          </w:tcPr>
          <w:p>
            <w:pPr>
              <w:spacing w:after="0"/>
              <w:rPr>
                <w:sz w:val="20"/>
                <w:szCs w:val="20"/>
                <w:color w:val="auto"/>
              </w:rPr>
            </w:pPr>
            <w:r>
              <w:rPr>
                <w:rFonts w:ascii="Arial" w:cs="Arial" w:eastAsia="Arial" w:hAnsi="Arial"/>
                <w:sz w:val="18"/>
                <w:szCs w:val="18"/>
                <w:color w:val="auto"/>
              </w:rPr>
              <w:t>Greenhouse Gases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GNTL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Northern Transmission Line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Invest Direct</w:t>
            </w:r>
          </w:p>
        </w:tc>
        <w:tc>
          <w:tcPr>
            <w:tcW w:w="818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IRP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Integrated Resource Plan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Item ___</w:t>
            </w:r>
          </w:p>
        </w:tc>
        <w:tc>
          <w:tcPr>
            <w:tcW w:w="8180" w:type="dxa"/>
            <w:vAlign w:val="bottom"/>
            <w:gridSpan w:val="2"/>
          </w:tcPr>
          <w:p>
            <w:pPr>
              <w:spacing w:after="0"/>
              <w:rPr>
                <w:sz w:val="20"/>
                <w:szCs w:val="20"/>
                <w:color w:val="auto"/>
              </w:rPr>
            </w:pPr>
            <w:r>
              <w:rPr>
                <w:rFonts w:ascii="Arial" w:cs="Arial" w:eastAsia="Arial" w:hAnsi="Arial"/>
                <w:sz w:val="18"/>
                <w:szCs w:val="18"/>
                <w:color w:val="auto"/>
              </w:rPr>
              <w:t>Item ___ of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Kilovolt(s)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kW / kWh</w:t>
            </w:r>
          </w:p>
        </w:tc>
        <w:tc>
          <w:tcPr>
            <w:tcW w:w="8180" w:type="dxa"/>
            <w:vAlign w:val="bottom"/>
            <w:gridSpan w:val="2"/>
          </w:tcPr>
          <w:p>
            <w:pPr>
              <w:spacing w:after="0"/>
              <w:rPr>
                <w:sz w:val="20"/>
                <w:szCs w:val="20"/>
                <w:color w:val="auto"/>
              </w:rPr>
            </w:pPr>
            <w:r>
              <w:rPr>
                <w:rFonts w:ascii="Arial" w:cs="Arial" w:eastAsia="Arial" w:hAnsi="Arial"/>
                <w:sz w:val="18"/>
                <w:szCs w:val="18"/>
                <w:color w:val="auto"/>
              </w:rPr>
              <w:t>Kilowatt(s) / Kilowatt-hour(s)</w:t>
            </w:r>
          </w:p>
        </w:tc>
      </w:tr>
      <w:tr>
        <w:trPr>
          <w:trHeight w:val="203"/>
        </w:trPr>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tcPr>
          <w:p>
            <w:pPr>
              <w:spacing w:after="0"/>
              <w:rPr>
                <w:sz w:val="17"/>
                <w:szCs w:val="17"/>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Laskin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MACT</w:t>
            </w:r>
          </w:p>
        </w:tc>
        <w:tc>
          <w:tcPr>
            <w:tcW w:w="8180" w:type="dxa"/>
            <w:vAlign w:val="bottom"/>
            <w:gridSpan w:val="2"/>
          </w:tcPr>
          <w:p>
            <w:pPr>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Magnetation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Magnetation, LLC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Manitoba Hydro</w:t>
            </w:r>
          </w:p>
        </w:tc>
        <w:tc>
          <w:tcPr>
            <w:tcW w:w="818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MATS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Mercury and Air Toxics Standards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Mesabi Metallics</w:t>
            </w:r>
          </w:p>
        </w:tc>
        <w:tc>
          <w:tcPr>
            <w:tcW w:w="8180" w:type="dxa"/>
            <w:vAlign w:val="bottom"/>
            <w:gridSpan w:val="2"/>
          </w:tcPr>
          <w:p>
            <w:pPr>
              <w:spacing w:after="0"/>
              <w:rPr>
                <w:sz w:val="20"/>
                <w:szCs w:val="20"/>
                <w:color w:val="auto"/>
              </w:rPr>
            </w:pPr>
            <w:r>
              <w:rPr>
                <w:rFonts w:ascii="Arial" w:cs="Arial" w:eastAsia="Arial" w:hAnsi="Arial"/>
                <w:sz w:val="18"/>
                <w:szCs w:val="18"/>
                <w:color w:val="auto"/>
              </w:rPr>
              <w:t>Mesabi Metallics Company, LLC (formerly Essar Steel Minnesota,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Montana-Dakota Utilities</w:t>
            </w:r>
          </w:p>
        </w:tc>
        <w:tc>
          <w:tcPr>
            <w:tcW w:w="8180" w:type="dxa"/>
            <w:vAlign w:val="bottom"/>
            <w:gridSpan w:val="2"/>
          </w:tcPr>
          <w:p>
            <w:pPr>
              <w:spacing w:after="0"/>
              <w:rPr>
                <w:sz w:val="20"/>
                <w:szCs w:val="20"/>
                <w:color w:val="auto"/>
              </w:rPr>
            </w:pPr>
            <w:r>
              <w:rPr>
                <w:rFonts w:ascii="Arial" w:cs="Arial" w:eastAsia="Arial" w:hAnsi="Arial"/>
                <w:sz w:val="18"/>
                <w:szCs w:val="18"/>
                <w:color w:val="auto"/>
              </w:rPr>
              <w:t>Montana-Dakota Utilities Co., a division of MDU Resources Group,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60"/>
              <w:spacing w:after="0"/>
              <w:rPr>
                <w:sz w:val="20"/>
                <w:szCs w:val="20"/>
                <w:color w:val="auto"/>
              </w:rPr>
            </w:pPr>
            <w:r>
              <w:rPr>
                <w:rFonts w:ascii="Arial" w:cs="Arial" w:eastAsia="Arial" w:hAnsi="Arial"/>
                <w:sz w:val="14"/>
                <w:szCs w:val="14"/>
                <w:color w:val="auto"/>
              </w:rPr>
              <w:t>ALLETE, Inc. First Quarter 2017 Form 10-Q</w:t>
            </w:r>
          </w:p>
        </w:tc>
      </w:tr>
    </w:tbl>
    <w:p>
      <w:pPr>
        <w:spacing w:after="0" w:line="1" w:lineRule="exact"/>
        <w:rPr>
          <w:sz w:val="20"/>
          <w:szCs w:val="20"/>
          <w:color w:val="auto"/>
        </w:rPr>
      </w:pPr>
    </w:p>
    <w:p>
      <w:pPr>
        <w:sectPr>
          <w:pgSz w:w="11900" w:h="16838" w:orient="portrait"/>
          <w:cols w:equalWidth="0" w:num="1">
            <w:col w:w="11420"/>
          </w:cols>
          <w:pgMar w:left="240" w:top="1040"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04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4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780" w:type="dxa"/>
            <w:vAlign w:val="bottom"/>
          </w:tcPr>
          <w:p>
            <w:pPr>
              <w:spacing w:after="0"/>
              <w:rPr>
                <w:sz w:val="4"/>
                <w:szCs w:val="4"/>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18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NOL</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18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Northern States Power</w:t>
            </w:r>
          </w:p>
        </w:tc>
        <w:tc>
          <w:tcPr>
            <w:tcW w:w="8180" w:type="dxa"/>
            <w:vAlign w:val="bottom"/>
            <w:gridSpan w:val="2"/>
          </w:tcPr>
          <w:p>
            <w:pPr>
              <w:spacing w:after="0"/>
              <w:rPr>
                <w:sz w:val="20"/>
                <w:szCs w:val="20"/>
                <w:color w:val="auto"/>
              </w:rPr>
            </w:pPr>
            <w:r>
              <w:rPr>
                <w:rFonts w:ascii="Arial" w:cs="Arial" w:eastAsia="Arial" w:hAnsi="Arial"/>
                <w:sz w:val="18"/>
                <w:szCs w:val="18"/>
                <w:color w:val="auto"/>
              </w:rPr>
              <w:t>Northern States Power Company, a subsidiary of Xcel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 ___</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NPDES</w:t>
            </w:r>
          </w:p>
        </w:tc>
        <w:tc>
          <w:tcPr>
            <w:tcW w:w="818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Oliver Wind II</w:t>
            </w:r>
          </w:p>
        </w:tc>
        <w:tc>
          <w:tcPr>
            <w:tcW w:w="818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 in Florida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PolyMet</w:t>
            </w:r>
          </w:p>
        </w:tc>
        <w:tc>
          <w:tcPr>
            <w:tcW w:w="8180" w:type="dxa"/>
            <w:vAlign w:val="bottom"/>
            <w:gridSpan w:val="2"/>
          </w:tcPr>
          <w:p>
            <w:pPr>
              <w:spacing w:after="0"/>
              <w:rPr>
                <w:sz w:val="20"/>
                <w:szCs w:val="20"/>
                <w:color w:val="auto"/>
              </w:rPr>
            </w:pPr>
            <w:r>
              <w:rPr>
                <w:rFonts w:ascii="Arial" w:cs="Arial" w:eastAsia="Arial" w:hAnsi="Arial"/>
                <w:sz w:val="18"/>
                <w:szCs w:val="18"/>
                <w:color w:val="auto"/>
              </w:rPr>
              <w:t>PolyMet Mining Corp.</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PPA/PSA</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PPACA</w:t>
            </w:r>
          </w:p>
        </w:tc>
        <w:tc>
          <w:tcPr>
            <w:tcW w:w="818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PSCW</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18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Silver Bay Power</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Silver Bay Power Company, a wholly-owned subsidiary of Cliffs Natural Resources Inc.</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SIP</w:t>
            </w:r>
          </w:p>
        </w:tc>
        <w:tc>
          <w:tcPr>
            <w:tcW w:w="8180" w:type="dxa"/>
            <w:vAlign w:val="bottom"/>
            <w:gridSpan w:val="2"/>
          </w:tcPr>
          <w:p>
            <w:pPr>
              <w:spacing w:after="0"/>
              <w:rPr>
                <w:sz w:val="20"/>
                <w:szCs w:val="20"/>
                <w:color w:val="auto"/>
              </w:rPr>
            </w:pPr>
            <w:r>
              <w:rPr>
                <w:rFonts w:ascii="Arial" w:cs="Arial" w:eastAsia="Arial" w:hAnsi="Arial"/>
                <w:sz w:val="18"/>
                <w:szCs w:val="18"/>
                <w:color w:val="auto"/>
              </w:rPr>
              <w:t>State Implementation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Square Butte</w:t>
            </w:r>
          </w:p>
        </w:tc>
        <w:tc>
          <w:tcPr>
            <w:tcW w:w="8180" w:type="dxa"/>
            <w:vAlign w:val="bottom"/>
            <w:gridSpan w:val="2"/>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Taconite Harbor</w:t>
            </w:r>
          </w:p>
        </w:tc>
        <w:tc>
          <w:tcPr>
            <w:tcW w:w="818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Thomson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Thomson Energy Center</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Town Center District</w:t>
            </w:r>
          </w:p>
        </w:tc>
        <w:tc>
          <w:tcPr>
            <w:tcW w:w="818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8"/>
                <w:szCs w:val="18"/>
                <w:color w:val="auto"/>
              </w:rPr>
              <w:t>U.S. Water Services</w:t>
            </w:r>
          </w:p>
        </w:tc>
        <w:tc>
          <w:tcPr>
            <w:tcW w:w="8180" w:type="dxa"/>
            <w:vAlign w:val="bottom"/>
            <w:gridSpan w:val="2"/>
          </w:tcPr>
          <w:p>
            <w:pPr>
              <w:spacing w:after="0"/>
              <w:rPr>
                <w:sz w:val="20"/>
                <w:szCs w:val="20"/>
                <w:color w:val="auto"/>
              </w:rPr>
            </w:pPr>
            <w:r>
              <w:rPr>
                <w:rFonts w:ascii="Arial" w:cs="Arial" w:eastAsia="Arial" w:hAnsi="Arial"/>
                <w:sz w:val="18"/>
                <w:szCs w:val="18"/>
                <w:color w:val="auto"/>
              </w:rPr>
              <w:t>U.S. Water Services Holding Company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50"/>
        </w:trPr>
        <w:tc>
          <w:tcPr>
            <w:tcW w:w="3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USS Corporation</w:t>
            </w: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r>
        <w:trPr>
          <w:trHeight w:val="83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tcPr>
          <w:p>
            <w:pPr>
              <w:ind w:left="760"/>
              <w:spacing w:after="0"/>
              <w:rPr>
                <w:sz w:val="20"/>
                <w:szCs w:val="20"/>
                <w:color w:val="auto"/>
              </w:rPr>
            </w:pPr>
            <w:r>
              <w:rPr>
                <w:rFonts w:ascii="Arial" w:cs="Arial" w:eastAsia="Arial" w:hAnsi="Arial"/>
                <w:sz w:val="14"/>
                <w:szCs w:val="14"/>
                <w:color w:val="auto"/>
              </w:rPr>
              <w:t>ALLETE, Inc. First Quarter 2017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18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 in regulated rates or sales price increases at our Energy Infrastructure and Related Services businesses;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greenhouse gases;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not improve;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success of efforts to realize value from, invest in, and develop new opportunities in, our Energy Infrastructure and Related Services businesses; and</w:t>
      </w:r>
    </w:p>
    <w:p>
      <w:pPr>
        <w:spacing w:after="0" w:line="32"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our Energy Infrastructure and Related Services businesses, including fluctuations in the volume of customer orders, unanticipated cost increases, changes in legislation and regulations impacting the industries in which the customers served operate, the effects of weather, creditworthiness of customers, ability to obtain materials required to perform services, and changing market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040"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Forward-Looking Statements (Continued)</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Part 1, Item 1A under the heading “Risk Factors” beginning on page 25 of ALLETE’s 2016 Form 10-K.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04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828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14"/>
        </w:trPr>
        <w:tc>
          <w:tcPr>
            <w:tcW w:w="8280" w:type="dxa"/>
            <w:vAlign w:val="bottom"/>
          </w:tcPr>
          <w:p>
            <w:pPr>
              <w:jc w:val="center"/>
              <w:ind w:left="3050"/>
              <w:spacing w:after="0"/>
              <w:rPr>
                <w:sz w:val="20"/>
                <w:szCs w:val="20"/>
                <w:color w:val="auto"/>
              </w:rPr>
            </w:pPr>
            <w:r>
              <w:rPr>
                <w:rFonts w:ascii="Arial" w:cs="Arial" w:eastAsia="Arial" w:hAnsi="Arial"/>
                <w:sz w:val="18"/>
                <w:szCs w:val="18"/>
                <w:b w:val="1"/>
                <w:bCs w:val="1"/>
                <w:color w:val="auto"/>
              </w:rPr>
              <w:t>ALLETE</w:t>
            </w: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8280" w:type="dxa"/>
            <w:vAlign w:val="bottom"/>
          </w:tcPr>
          <w:p>
            <w:pPr>
              <w:jc w:val="center"/>
              <w:ind w:left="3050"/>
              <w:spacing w:after="0"/>
              <w:rPr>
                <w:sz w:val="20"/>
                <w:szCs w:val="20"/>
                <w:color w:val="auto"/>
              </w:rPr>
            </w:pPr>
            <w:r>
              <w:rPr>
                <w:rFonts w:ascii="Arial" w:cs="Arial" w:eastAsia="Arial" w:hAnsi="Arial"/>
                <w:sz w:val="18"/>
                <w:szCs w:val="18"/>
                <w:b w:val="1"/>
                <w:bCs w:val="1"/>
                <w:color w:val="auto"/>
                <w:w w:val="99"/>
              </w:rPr>
              <w:t>CONSOLIDATED BALANCE SHEET</w:t>
            </w:r>
          </w:p>
        </w:tc>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8280" w:type="dxa"/>
            <w:vAlign w:val="bottom"/>
          </w:tcPr>
          <w:p>
            <w:pPr>
              <w:jc w:val="center"/>
              <w:ind w:left="3050"/>
              <w:spacing w:after="0"/>
              <w:rPr>
                <w:sz w:val="20"/>
                <w:szCs w:val="20"/>
                <w:color w:val="auto"/>
              </w:rPr>
            </w:pPr>
            <w:r>
              <w:rPr>
                <w:rFonts w:ascii="Arial" w:cs="Arial" w:eastAsia="Arial" w:hAnsi="Arial"/>
                <w:sz w:val="18"/>
                <w:szCs w:val="18"/>
                <w:b w:val="1"/>
                <w:bCs w:val="1"/>
                <w:color w:val="auto"/>
                <w:w w:val="93"/>
              </w:rPr>
              <w:t>Unaudited</w:t>
            </w: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41"/>
        </w:trPr>
        <w:tc>
          <w:tcPr>
            <w:tcW w:w="8280" w:type="dxa"/>
            <w:vAlign w:val="bottom"/>
          </w:tcPr>
          <w:p>
            <w:pPr>
              <w:spacing w:after="0"/>
              <w:rPr>
                <w:sz w:val="24"/>
                <w:szCs w:val="24"/>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80" w:type="dxa"/>
            <w:vAlign w:val="bottom"/>
          </w:tcPr>
          <w:p>
            <w:pPr>
              <w:spacing w:after="0"/>
              <w:rPr>
                <w:sz w:val="20"/>
                <w:szCs w:val="20"/>
                <w:color w:val="auto"/>
              </w:rPr>
            </w:pPr>
          </w:p>
        </w:tc>
        <w:tc>
          <w:tcPr>
            <w:tcW w:w="15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Accounts Receivable (Less Allowance of $2.4 and $3.1)</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122.8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122.5</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 Net</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110.5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45.5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40.3</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360.6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294.5</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3,745.3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3,741.2</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320.9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330.1</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140.2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135.6</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Goodwill and Intangible Assets – Net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212.0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213.4</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105.2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w:t>
            </w: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$4,941.9</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$4,876.9</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$59.2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$74.0</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56.1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14.8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17.6</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162.6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187.7</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Notes Payable</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w:t>
            </w:r>
          </w:p>
        </w:tc>
      </w:tr>
      <w:tr>
        <w:trPr>
          <w:trHeight w:val="237"/>
        </w:trPr>
        <w:tc>
          <w:tcPr>
            <w:tcW w:w="8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364.6</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399.5</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1,370.2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1,370.4</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568.6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554.6</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125.0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195.1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210.9</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316.9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322.7</w:t>
            </w:r>
          </w:p>
        </w:tc>
      </w:tr>
      <w:tr>
        <w:trPr>
          <w:trHeight w:val="237"/>
        </w:trPr>
        <w:tc>
          <w:tcPr>
            <w:tcW w:w="8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2,940.4</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2,983.9</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Guarantees and Contingencies (Note 13)</w:t>
            </w:r>
          </w:p>
        </w:tc>
        <w:tc>
          <w:tcPr>
            <w:tcW w:w="15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5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Common Stock Without Par Value, 80.0 Shares Authorized, 50.9 and 49.6 Shares Issued and Outstanding</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1,381.2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1,295.3</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(27.7)</w:t>
            </w:r>
          </w:p>
        </w:tc>
        <w:tc>
          <w:tcPr>
            <w:tcW w:w="154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648.0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625.9</w:t>
            </w:r>
          </w:p>
        </w:tc>
      </w:tr>
      <w:tr>
        <w:trPr>
          <w:trHeight w:val="237"/>
        </w:trPr>
        <w:tc>
          <w:tcPr>
            <w:tcW w:w="8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Shareholders’ Equity</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2,001.5</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1,893.0</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$4,941.9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$4,876.9</w:t>
            </w:r>
          </w:p>
        </w:tc>
      </w:tr>
      <w:tr>
        <w:trPr>
          <w:trHeight w:val="264"/>
        </w:trPr>
        <w:tc>
          <w:tcPr>
            <w:tcW w:w="8280" w:type="dxa"/>
            <w:vAlign w:val="bottom"/>
            <w:tcBorders>
              <w:top w:val="single" w:sz="8" w:color="auto"/>
            </w:tcBorders>
          </w:tcPr>
          <w:p>
            <w:pPr>
              <w:jc w:val="center"/>
              <w:ind w:left="3050"/>
              <w:spacing w:after="0"/>
              <w:rPr>
                <w:sz w:val="20"/>
                <w:szCs w:val="20"/>
                <w:color w:val="auto"/>
              </w:rPr>
            </w:pPr>
            <w:r>
              <w:rPr>
                <w:rFonts w:ascii="Arial" w:cs="Arial" w:eastAsia="Arial" w:hAnsi="Arial"/>
                <w:sz w:val="18"/>
                <w:szCs w:val="18"/>
                <w:color w:val="auto"/>
                <w:w w:val="88"/>
              </w:rPr>
              <w:t>The accompanying notes are an integral part of these statements.</w:t>
            </w:r>
          </w:p>
        </w:tc>
        <w:tc>
          <w:tcPr>
            <w:tcW w:w="15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04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26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760" w:type="dxa"/>
            <w:vAlign w:val="bottom"/>
          </w:tcPr>
          <w:p>
            <w:pPr>
              <w:spacing w:after="0"/>
              <w:rPr>
                <w:sz w:val="23"/>
                <w:szCs w:val="23"/>
                <w:color w:val="auto"/>
              </w:rPr>
            </w:pPr>
          </w:p>
        </w:tc>
        <w:tc>
          <w:tcPr>
            <w:tcW w:w="26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760" w:type="dxa"/>
            <w:vAlign w:val="bottom"/>
          </w:tcPr>
          <w:p>
            <w:pPr>
              <w:spacing w:after="0"/>
              <w:rPr>
                <w:sz w:val="23"/>
                <w:szCs w:val="23"/>
                <w:color w:val="auto"/>
              </w:rPr>
            </w:pPr>
          </w:p>
        </w:tc>
        <w:tc>
          <w:tcPr>
            <w:tcW w:w="17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$365.6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$333.8</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93.0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16.6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83.3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78.1</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14.4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293.0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72.6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66.8</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(17.2)</w:t>
            </w: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0.6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1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62.1</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55.7</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49.0</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$49.0</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1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Basic</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50.2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49.2</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$0.97</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$0.93</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$0.97</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$0.93</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$0.535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$0.52</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76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70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10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Pr>
          <w:p>
            <w:pPr>
              <w:spacing w:after="0"/>
              <w:rPr>
                <w:sz w:val="20"/>
                <w:szCs w:val="20"/>
                <w:color w:val="auto"/>
              </w:rPr>
            </w:pPr>
          </w:p>
        </w:tc>
        <w:tc>
          <w:tcPr>
            <w:tcW w:w="26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780" w:type="dxa"/>
            <w:vAlign w:val="bottom"/>
          </w:tcPr>
          <w:p>
            <w:pPr>
              <w:spacing w:after="0"/>
              <w:rPr>
                <w:sz w:val="23"/>
                <w:szCs w:val="23"/>
                <w:color w:val="auto"/>
              </w:rPr>
            </w:pPr>
          </w:p>
        </w:tc>
        <w:tc>
          <w:tcPr>
            <w:tcW w:w="264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780" w:type="dxa"/>
            <w:vAlign w:val="bottom"/>
          </w:tcPr>
          <w:p>
            <w:pPr>
              <w:spacing w:after="0"/>
              <w:rPr>
                <w:sz w:val="23"/>
                <w:szCs w:val="23"/>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r>
      <w:tr>
        <w:trPr>
          <w:trHeight w:val="27"/>
        </w:trPr>
        <w:tc>
          <w:tcPr>
            <w:tcW w:w="8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r>
      <w:tr>
        <w:trPr>
          <w:trHeight w:val="237"/>
        </w:trPr>
        <w:tc>
          <w:tcPr>
            <w:tcW w:w="8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6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Securities</w:t>
            </w:r>
          </w:p>
        </w:tc>
        <w:tc>
          <w:tcPr>
            <w:tcW w:w="1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Net of Income Tax Expense (Benefit) of $0.3 and $(0.3)</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Net of Income Tax Expense of $0.1 and $0.1</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0.2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49.5</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46.2</w:t>
            </w:r>
          </w:p>
        </w:tc>
      </w:tr>
      <w:tr>
        <w:trPr>
          <w:trHeight w:val="27"/>
        </w:trPr>
        <w:tc>
          <w:tcPr>
            <w:tcW w:w="8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16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8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16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$49.5</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w:t>
            </w:r>
          </w:p>
        </w:tc>
      </w:tr>
      <w:tr>
        <w:trPr>
          <w:trHeight w:val="27"/>
        </w:trPr>
        <w:tc>
          <w:tcPr>
            <w:tcW w:w="8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78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68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10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0" w:type="dxa"/>
            <w:vAlign w:val="bottom"/>
          </w:tcPr>
          <w:p>
            <w:pPr>
              <w:spacing w:after="0"/>
              <w:rPr>
                <w:sz w:val="19"/>
                <w:szCs w:val="19"/>
                <w:color w:val="auto"/>
              </w:rPr>
            </w:pPr>
          </w:p>
        </w:tc>
        <w:tc>
          <w:tcPr>
            <w:tcW w:w="262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Three Months Ended</w:t>
            </w:r>
          </w:p>
        </w:tc>
      </w:tr>
      <w:tr>
        <w:trPr>
          <w:trHeight w:val="270"/>
        </w:trPr>
        <w:tc>
          <w:tcPr>
            <w:tcW w:w="88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March 31,</w:t>
            </w:r>
          </w:p>
        </w:tc>
        <w:tc>
          <w:tcPr>
            <w:tcW w:w="680" w:type="dxa"/>
            <w:vAlign w:val="bottom"/>
          </w:tcPr>
          <w:p>
            <w:pPr>
              <w:spacing w:after="0"/>
              <w:rPr>
                <w:sz w:val="23"/>
                <w:szCs w:val="23"/>
                <w:color w:val="auto"/>
              </w:rPr>
            </w:pPr>
          </w:p>
        </w:tc>
      </w:tr>
      <w:tr>
        <w:trPr>
          <w:trHeight w:val="270"/>
        </w:trPr>
        <w:tc>
          <w:tcPr>
            <w:tcW w:w="8800" w:type="dxa"/>
            <w:vAlign w:val="bottom"/>
          </w:tcPr>
          <w:p>
            <w:pPr>
              <w:spacing w:after="0"/>
              <w:rPr>
                <w:sz w:val="23"/>
                <w:szCs w:val="23"/>
                <w:color w:val="auto"/>
              </w:rPr>
            </w:pPr>
          </w:p>
        </w:tc>
        <w:tc>
          <w:tcPr>
            <w:tcW w:w="1940" w:type="dxa"/>
            <w:vAlign w:val="bottom"/>
          </w:tcPr>
          <w:p>
            <w:pPr>
              <w:jc w:val="right"/>
              <w:ind w:right="695"/>
              <w:spacing w:after="0"/>
              <w:rPr>
                <w:sz w:val="20"/>
                <w:szCs w:val="20"/>
                <w:color w:val="auto"/>
              </w:rPr>
            </w:pPr>
            <w:r>
              <w:rPr>
                <w:rFonts w:ascii="Arial" w:cs="Arial" w:eastAsia="Arial" w:hAnsi="Arial"/>
                <w:sz w:val="17"/>
                <w:szCs w:val="17"/>
                <w:b w:val="1"/>
                <w:bCs w:val="1"/>
                <w:color w:val="auto"/>
              </w:rPr>
              <w:t>2017</w:t>
            </w:r>
          </w:p>
        </w:tc>
        <w:tc>
          <w:tcPr>
            <w:tcW w:w="680" w:type="dxa"/>
            <w:vAlign w:val="bottom"/>
          </w:tcPr>
          <w:p>
            <w:pPr>
              <w:jc w:val="right"/>
              <w:ind w:right="255"/>
              <w:spacing w:after="0"/>
              <w:rPr>
                <w:sz w:val="20"/>
                <w:szCs w:val="20"/>
                <w:color w:val="auto"/>
              </w:rPr>
            </w:pPr>
            <w:r>
              <w:rPr>
                <w:rFonts w:ascii="Arial" w:cs="Arial" w:eastAsia="Arial" w:hAnsi="Arial"/>
                <w:sz w:val="17"/>
                <w:szCs w:val="17"/>
                <w:b w:val="1"/>
                <w:bCs w:val="1"/>
                <w:color w:val="auto"/>
                <w:w w:val="84"/>
              </w:rPr>
              <w:t>2016</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3"/>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Millions</w:t>
            </w:r>
          </w:p>
        </w:tc>
        <w:tc>
          <w:tcPr>
            <w:tcW w:w="19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$49.0</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$46.4</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AFUDC – Equity</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Income from Equity Investments – Net of Dividends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(1.5)</w:t>
            </w:r>
          </w:p>
        </w:tc>
        <w:tc>
          <w:tcPr>
            <w:tcW w:w="6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 in Fair Value of Contingent Consideration</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(0.4)</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Loss on Sales of Property, Plant and Equipment</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0.1</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Expense</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49.2</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46.8</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Amortization of PSAs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(5.9)</w:t>
            </w:r>
          </w:p>
        </w:tc>
        <w:tc>
          <w:tcPr>
            <w:tcW w:w="68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Other Intangible Assets and Other Assets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2.9</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Deferred Income Tax Expense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13.0</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9.2</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Compensation Expense</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0.7</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0.6</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ESOP Compensation Expense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1.1</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2.5</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Bad Debt Expense (Recoveries)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(0.4)</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0.6</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80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0.1</w:t>
            </w:r>
          </w:p>
        </w:tc>
        <w:tc>
          <w:tcPr>
            <w:tcW w:w="6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Inventories</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(6.3)</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r>
      <w:tr>
        <w:trPr>
          <w:trHeight w:val="239"/>
        </w:trPr>
        <w:tc>
          <w:tcPr>
            <w:tcW w:w="8800" w:type="dxa"/>
            <w:vAlign w:val="bottom"/>
          </w:tcPr>
          <w:p>
            <w:pPr>
              <w:ind w:left="500"/>
              <w:spacing w:after="0"/>
              <w:rPr>
                <w:sz w:val="20"/>
                <w:szCs w:val="20"/>
                <w:color w:val="auto"/>
              </w:rPr>
            </w:pPr>
            <w:r>
              <w:rPr>
                <w:rFonts w:ascii="Arial" w:cs="Arial" w:eastAsia="Arial" w:hAnsi="Arial"/>
                <w:sz w:val="17"/>
                <w:szCs w:val="17"/>
                <w:color w:val="auto"/>
              </w:rPr>
              <w:t>Prepayments and Other</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1.8</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0.1</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Payable</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(11.3)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39"/>
        </w:trPr>
        <w:tc>
          <w:tcPr>
            <w:tcW w:w="8800" w:type="dxa"/>
            <w:vAlign w:val="bottom"/>
          </w:tcPr>
          <w:p>
            <w:pPr>
              <w:ind w:left="500"/>
              <w:spacing w:after="0"/>
              <w:rPr>
                <w:sz w:val="20"/>
                <w:szCs w:val="20"/>
                <w:color w:val="auto"/>
              </w:rPr>
            </w:pPr>
            <w:r>
              <w:rPr>
                <w:rFonts w:ascii="Arial" w:cs="Arial" w:eastAsia="Arial" w:hAnsi="Arial"/>
                <w:sz w:val="17"/>
                <w:szCs w:val="17"/>
                <w:color w:val="auto"/>
              </w:rPr>
              <w:t>Other Current Liabilities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(1.0)</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0.9</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Cash Contributions to Defined Benefit Pension Plans</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(1.7)</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9.6</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2.8</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33"/>
        </w:trPr>
        <w:tc>
          <w:tcPr>
            <w:tcW w:w="880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Operating Activities</w:t>
            </w:r>
          </w:p>
        </w:tc>
        <w:tc>
          <w:tcPr>
            <w:tcW w:w="194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color w:val="auto"/>
              </w:rPr>
              <w:t>98.7</w:t>
            </w:r>
          </w:p>
        </w:tc>
        <w:tc>
          <w:tcPr>
            <w:tcW w:w="6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93.2</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0.3</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1.1</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(0.5)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Investment in ATC</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(3.1)</w:t>
            </w: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to Other Investments</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(1.2)</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0.2</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(36.7)</w:t>
            </w:r>
          </w:p>
        </w:tc>
        <w:tc>
          <w:tcPr>
            <w:tcW w:w="680" w:type="dxa"/>
            <w:vAlign w:val="bottom"/>
          </w:tcPr>
          <w:p>
            <w:pPr>
              <w:jc w:val="right"/>
              <w:spacing w:after="0"/>
              <w:rPr>
                <w:sz w:val="20"/>
                <w:szCs w:val="20"/>
                <w:color w:val="auto"/>
              </w:rPr>
            </w:pPr>
            <w:r>
              <w:rPr>
                <w:rFonts w:ascii="Arial" w:cs="Arial" w:eastAsia="Arial" w:hAnsi="Arial"/>
                <w:sz w:val="17"/>
                <w:szCs w:val="17"/>
                <w:color w:val="auto"/>
              </w:rPr>
              <w:t>(42.4)</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Property, Plant and Equipment</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0.1</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3"/>
        </w:trPr>
        <w:tc>
          <w:tcPr>
            <w:tcW w:w="880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for Investing Activities</w:t>
            </w:r>
          </w:p>
        </w:tc>
        <w:tc>
          <w:tcPr>
            <w:tcW w:w="194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(41.1)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(42.6)</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70.6</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9.0</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Restricted Cash</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(6.9)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Changes in Notes Payable</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1.3</w:t>
            </w:r>
          </w:p>
        </w:tc>
        <w:tc>
          <w:tcPr>
            <w:tcW w:w="68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Repayments of Long-Term Debt</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(26.3)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(26.6)</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Acquisition-Related Contingent Consideration Payments</w:t>
            </w:r>
          </w:p>
        </w:tc>
        <w:tc>
          <w:tcPr>
            <w:tcW w:w="1940" w:type="dxa"/>
            <w:vAlign w:val="bottom"/>
          </w:tcPr>
          <w:p>
            <w:pPr>
              <w:jc w:val="right"/>
              <w:ind w:right="415"/>
              <w:spacing w:after="0"/>
              <w:rPr>
                <w:sz w:val="20"/>
                <w:szCs w:val="20"/>
                <w:color w:val="auto"/>
              </w:rPr>
            </w:pPr>
            <w:r>
              <w:rPr>
                <w:rFonts w:ascii="Arial" w:cs="Arial" w:eastAsia="Arial" w:hAnsi="Arial"/>
                <w:sz w:val="17"/>
                <w:szCs w:val="17"/>
                <w:color w:val="auto"/>
              </w:rPr>
              <w:t>(15.1)</w:t>
            </w:r>
          </w:p>
        </w:tc>
        <w:tc>
          <w:tcPr>
            <w:tcW w:w="68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Dividends on Common Stock</w:t>
            </w:r>
          </w:p>
        </w:tc>
        <w:tc>
          <w:tcPr>
            <w:tcW w:w="19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rPr>
              <w:t>(26.9)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(25.7)</w:t>
            </w:r>
          </w:p>
        </w:tc>
      </w:tr>
      <w:tr>
        <w:trPr>
          <w:trHeight w:val="233"/>
        </w:trPr>
        <w:tc>
          <w:tcPr>
            <w:tcW w:w="880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for Financing Activities</w:t>
            </w:r>
          </w:p>
        </w:tc>
        <w:tc>
          <w:tcPr>
            <w:tcW w:w="194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color w:val="auto"/>
              </w:rPr>
              <w:t>(3.3)</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(50.6)</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Change in Cash and Cash Equivalents</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54.3</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80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940" w:type="dxa"/>
            <w:vAlign w:val="bottom"/>
          </w:tcPr>
          <w:p>
            <w:pPr>
              <w:jc w:val="right"/>
              <w:ind w:right="455"/>
              <w:spacing w:after="0"/>
              <w:rPr>
                <w:sz w:val="20"/>
                <w:szCs w:val="20"/>
                <w:color w:val="auto"/>
              </w:rPr>
            </w:pPr>
            <w:r>
              <w:rPr>
                <w:rFonts w:ascii="Arial" w:cs="Arial" w:eastAsia="Arial" w:hAnsi="Arial"/>
                <w:sz w:val="17"/>
                <w:szCs w:val="17"/>
                <w:color w:val="auto"/>
              </w:rPr>
              <w:t>27.5</w:t>
            </w: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97.0</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19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$81.8</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$97.0</w:t>
            </w:r>
          </w:p>
        </w:tc>
      </w:tr>
      <w:tr>
        <w:trPr>
          <w:trHeight w:val="224"/>
        </w:trPr>
        <w:tc>
          <w:tcPr>
            <w:tcW w:w="8800" w:type="dxa"/>
            <w:vAlign w:val="bottom"/>
            <w:tcBorders>
              <w:top w:val="single" w:sz="8" w:color="auto"/>
            </w:tcBorders>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9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ectPr>
          <w:pgSz w:w="11900" w:h="16838" w:orient="portrait"/>
          <w:cols w:equalWidth="0" w:num="1">
            <w:col w:w="11420"/>
          </w:cols>
          <w:pgMar w:left="240" w:top="1040" w:right="239" w:bottom="782"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20"/>
          </w:cols>
          <w:pgMar w:left="240" w:top="1040" w:right="239" w:bottom="782" w:gutter="0" w:footer="0" w:header="0"/>
          <w:type w:val="continuous"/>
        </w:sectPr>
      </w:pPr>
    </w:p>
    <w:bookmarkStart w:id="10" w:name="page11"/>
    <w:bookmarkEnd w:id="10"/>
    <w:p>
      <w:pPr>
        <w:spacing w:after="0" w:line="209" w:lineRule="auto"/>
        <w:framePr w:w="700" w:h="160" w:wrap="auto" w:vAnchor="page" w:hAnchor="page" w:x="240" w:y="2829"/>
        <w:rPr>
          <w:rFonts w:ascii="Arial" w:cs="Arial" w:eastAsia="Arial" w:hAnsi="Arial"/>
          <w:sz w:val="16"/>
          <w:szCs w:val="16"/>
          <w:b w:val="1"/>
          <w:bCs w:val="1"/>
          <w:color w:val="auto"/>
        </w:rPr>
      </w:pPr>
      <w:r>
        <w:rPr>
          <w:rFonts w:ascii="Arial" w:cs="Arial" w:eastAsia="Arial" w:hAnsi="Arial"/>
          <w:sz w:val="16"/>
          <w:szCs w:val="16"/>
          <w:b w:val="1"/>
          <w:bCs w:val="1"/>
          <w:color w:val="auto"/>
        </w:rPr>
        <w:t>Millions</w:t>
      </w:r>
    </w:p>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tcPr>
          <w:p>
            <w:pPr>
              <w:jc w:val="center"/>
              <w:ind w:right="133"/>
              <w:spacing w:after="0"/>
              <w:rPr>
                <w:sz w:val="20"/>
                <w:szCs w:val="20"/>
                <w:color w:val="auto"/>
              </w:rPr>
            </w:pPr>
            <w:r>
              <w:rPr>
                <w:rFonts w:ascii="Arial" w:cs="Arial" w:eastAsia="Arial" w:hAnsi="Arial"/>
                <w:sz w:val="16"/>
                <w:szCs w:val="16"/>
                <w:b w:val="1"/>
                <w:bCs w:val="1"/>
                <w:color w:val="auto"/>
                <w:w w:val="91"/>
              </w:rPr>
              <w:t>Accumulated</w:t>
            </w:r>
          </w:p>
        </w:tc>
        <w:tc>
          <w:tcPr>
            <w:tcW w:w="1100" w:type="dxa"/>
            <w:vAlign w:val="bottom"/>
          </w:tcPr>
          <w:p>
            <w:pPr>
              <w:spacing w:after="0"/>
              <w:rPr>
                <w:sz w:val="16"/>
                <w:szCs w:val="16"/>
                <w:color w:val="auto"/>
              </w:rPr>
            </w:pPr>
          </w:p>
        </w:tc>
      </w:tr>
      <w:tr>
        <w:trPr>
          <w:trHeight w:val="203"/>
        </w:trPr>
        <w:tc>
          <w:tcPr>
            <w:tcW w:w="60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c>
          <w:tcPr>
            <w:tcW w:w="1340" w:type="dxa"/>
            <w:vAlign w:val="bottom"/>
          </w:tcPr>
          <w:p>
            <w:pPr>
              <w:spacing w:after="0"/>
              <w:rPr>
                <w:sz w:val="17"/>
                <w:szCs w:val="17"/>
                <w:color w:val="auto"/>
              </w:rPr>
            </w:pPr>
          </w:p>
        </w:tc>
        <w:tc>
          <w:tcPr>
            <w:tcW w:w="1540" w:type="dxa"/>
            <w:vAlign w:val="bottom"/>
          </w:tcPr>
          <w:p>
            <w:pPr>
              <w:jc w:val="center"/>
              <w:ind w:right="133"/>
              <w:spacing w:after="0"/>
              <w:rPr>
                <w:sz w:val="20"/>
                <w:szCs w:val="20"/>
                <w:color w:val="auto"/>
              </w:rPr>
            </w:pPr>
            <w:r>
              <w:rPr>
                <w:rFonts w:ascii="Arial" w:cs="Arial" w:eastAsia="Arial" w:hAnsi="Arial"/>
                <w:sz w:val="16"/>
                <w:szCs w:val="16"/>
                <w:b w:val="1"/>
                <w:bCs w:val="1"/>
                <w:color w:val="auto"/>
                <w:w w:val="93"/>
              </w:rPr>
              <w:t>Other</w:t>
            </w:r>
          </w:p>
        </w:tc>
        <w:tc>
          <w:tcPr>
            <w:tcW w:w="110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Shareholders’</w:t>
            </w:r>
          </w:p>
        </w:tc>
        <w:tc>
          <w:tcPr>
            <w:tcW w:w="1340" w:type="dxa"/>
            <w:vAlign w:val="bottom"/>
          </w:tcPr>
          <w:p>
            <w:pPr>
              <w:jc w:val="right"/>
              <w:ind w:right="312"/>
              <w:spacing w:after="0"/>
              <w:rPr>
                <w:sz w:val="20"/>
                <w:szCs w:val="20"/>
                <w:color w:val="auto"/>
              </w:rPr>
            </w:pPr>
            <w:r>
              <w:rPr>
                <w:rFonts w:ascii="Arial" w:cs="Arial" w:eastAsia="Arial" w:hAnsi="Arial"/>
                <w:sz w:val="16"/>
                <w:szCs w:val="16"/>
                <w:b w:val="1"/>
                <w:bCs w:val="1"/>
                <w:color w:val="auto"/>
              </w:rPr>
              <w:t>Retained</w:t>
            </w:r>
          </w:p>
        </w:tc>
        <w:tc>
          <w:tcPr>
            <w:tcW w:w="154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Comprehensive</w:t>
            </w:r>
          </w:p>
        </w:tc>
        <w:tc>
          <w:tcPr>
            <w:tcW w:w="1100" w:type="dxa"/>
            <w:vAlign w:val="bottom"/>
          </w:tcPr>
          <w:p>
            <w:pPr>
              <w:jc w:val="right"/>
              <w:ind w:right="212"/>
              <w:spacing w:after="0"/>
              <w:rPr>
                <w:sz w:val="20"/>
                <w:szCs w:val="20"/>
                <w:color w:val="auto"/>
              </w:rPr>
            </w:pPr>
            <w:r>
              <w:rPr>
                <w:rFonts w:ascii="Arial" w:cs="Arial" w:eastAsia="Arial" w:hAnsi="Arial"/>
                <w:sz w:val="16"/>
                <w:szCs w:val="16"/>
                <w:b w:val="1"/>
                <w:bCs w:val="1"/>
                <w:color w:val="auto"/>
              </w:rPr>
              <w:t>Common</w:t>
            </w:r>
          </w:p>
        </w:tc>
      </w:tr>
      <w:tr>
        <w:trPr>
          <w:trHeight w:val="210"/>
        </w:trPr>
        <w:tc>
          <w:tcPr>
            <w:tcW w:w="60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1340" w:type="dxa"/>
            <w:vAlign w:val="bottom"/>
          </w:tcPr>
          <w:p>
            <w:pPr>
              <w:jc w:val="right"/>
              <w:ind w:right="292"/>
              <w:spacing w:after="0"/>
              <w:rPr>
                <w:sz w:val="20"/>
                <w:szCs w:val="20"/>
                <w:color w:val="auto"/>
              </w:rPr>
            </w:pPr>
            <w:r>
              <w:rPr>
                <w:rFonts w:ascii="Arial" w:cs="Arial" w:eastAsia="Arial" w:hAnsi="Arial"/>
                <w:sz w:val="16"/>
                <w:szCs w:val="16"/>
                <w:b w:val="1"/>
                <w:bCs w:val="1"/>
                <w:color w:val="auto"/>
              </w:rPr>
              <w:t>Earnings</w:t>
            </w:r>
          </w:p>
        </w:tc>
        <w:tc>
          <w:tcPr>
            <w:tcW w:w="1540" w:type="dxa"/>
            <w:vAlign w:val="bottom"/>
          </w:tcPr>
          <w:p>
            <w:pPr>
              <w:jc w:val="center"/>
              <w:ind w:right="133"/>
              <w:spacing w:after="0"/>
              <w:rPr>
                <w:sz w:val="20"/>
                <w:szCs w:val="20"/>
                <w:color w:val="auto"/>
              </w:rPr>
            </w:pPr>
            <w:r>
              <w:rPr>
                <w:rFonts w:ascii="Arial" w:cs="Arial" w:eastAsia="Arial" w:hAnsi="Arial"/>
                <w:sz w:val="16"/>
                <w:szCs w:val="16"/>
                <w:b w:val="1"/>
                <w:bCs w:val="1"/>
                <w:color w:val="auto"/>
                <w:w w:val="85"/>
              </w:rPr>
              <w:t>Loss</w:t>
            </w:r>
          </w:p>
        </w:tc>
        <w:tc>
          <w:tcPr>
            <w:tcW w:w="1100" w:type="dxa"/>
            <w:vAlign w:val="bottom"/>
          </w:tcPr>
          <w:p>
            <w:pPr>
              <w:jc w:val="right"/>
              <w:ind w:right="332"/>
              <w:spacing w:after="0"/>
              <w:rPr>
                <w:sz w:val="20"/>
                <w:szCs w:val="20"/>
                <w:color w:val="auto"/>
              </w:rPr>
            </w:pPr>
            <w:r>
              <w:rPr>
                <w:rFonts w:ascii="Arial" w:cs="Arial" w:eastAsia="Arial" w:hAnsi="Arial"/>
                <w:sz w:val="16"/>
                <w:szCs w:val="16"/>
                <w:b w:val="1"/>
                <w:bCs w:val="1"/>
                <w:color w:val="auto"/>
              </w:rPr>
              <w:t>Stock</w:t>
            </w:r>
          </w:p>
        </w:tc>
      </w:tr>
      <w:tr>
        <w:trPr>
          <w:trHeight w:val="33"/>
        </w:trPr>
        <w:tc>
          <w:tcPr>
            <w:tcW w:w="60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$1,893.0</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$625.9</w:t>
            </w: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$(28.2)</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$1,295.3</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1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49.0</w:t>
            </w:r>
          </w:p>
        </w:tc>
        <w:tc>
          <w:tcPr>
            <w:tcW w:w="15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Comprehensive Income – Net of Tax</w:t>
            </w:r>
          </w:p>
        </w:tc>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Securities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0.3</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Defined Benefit Pension and Other Postretirement Plans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3"/>
              <w:spacing w:after="0"/>
              <w:rPr>
                <w:sz w:val="20"/>
                <w:szCs w:val="20"/>
                <w:color w:val="auto"/>
              </w:rPr>
            </w:pPr>
            <w:r>
              <w:rPr>
                <w:rFonts w:ascii="Arial" w:cs="Arial" w:eastAsia="Arial" w:hAnsi="Arial"/>
                <w:sz w:val="18"/>
                <w:szCs w:val="18"/>
                <w:color w:val="auto"/>
              </w:rPr>
              <w:t>0.2</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Comprehensive Income</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49.5</w:t>
            </w:r>
          </w:p>
        </w:tc>
        <w:tc>
          <w:tcPr>
            <w:tcW w:w="1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85.9</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85.9</w:t>
            </w:r>
          </w:p>
        </w:tc>
      </w:tr>
      <w:tr>
        <w:trPr>
          <w:trHeight w:val="27"/>
        </w:trPr>
        <w:tc>
          <w:tcPr>
            <w:tcW w:w="6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5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March 31, 2017</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$2,001.5</w:t>
            </w:r>
          </w:p>
        </w:tc>
        <w:tc>
          <w:tcPr>
            <w:tcW w:w="13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$648.0</w:t>
            </w:r>
          </w:p>
        </w:tc>
        <w:tc>
          <w:tcPr>
            <w:tcW w:w="15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$(27.7)</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$1,381.2</w:t>
            </w:r>
          </w:p>
        </w:tc>
      </w:tr>
    </w:tbl>
    <w:p>
      <w:pPr>
        <w:spacing w:after="0" w:line="26"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rFonts w:ascii="Arial" w:cs="Arial" w:eastAsia="Arial" w:hAnsi="Arial"/>
          <w:sz w:val="16"/>
          <w:szCs w:val="16"/>
          <w:b w:val="1"/>
          <w:bCs w:val="1"/>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104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2016, Consolidated Balance Sheet was derived from audited financial statements, but does not include all disclosures required by GAAP. In management’s opinion, these unaudited financial statements include all adjustments necessary for a fair statement of financial results. All adjustments are of a normal, recurring nature, except as otherwise disclosed. Operating results for the three months ended March 31, 2017, are not necessarily indicative of results that may be expected for any other interim period or for the year ending December 31, 2017. For further information, refer to the Consolidated Financial Statements and notes included in our 2016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and ALLETE Clean Energy</w:t>
      </w:r>
      <w:r>
        <w:rPr>
          <w:rFonts w:ascii="Arial" w:cs="Arial" w:eastAsia="Arial" w:hAnsi="Arial"/>
          <w:sz w:val="18"/>
          <w:szCs w:val="18"/>
          <w:b w:val="1"/>
          <w:bCs w:val="1"/>
          <w:color w:val="auto"/>
        </w:rPr>
        <w:t xml:space="preserve"> </w:t>
      </w:r>
      <w:r>
        <w:rPr>
          <w:rFonts w:ascii="Arial" w:cs="Arial" w:eastAsia="Arial" w:hAnsi="Arial"/>
          <w:sz w:val="18"/>
          <w:szCs w:val="18"/>
          <w:color w:val="auto"/>
        </w:rPr>
        <w:t>segments are carried at an average cost or first-in, first-out basis. Inventories in our U.S. Water Services segment and Corporate and Other operations are carried at an average cost, first-in, first-out or specific identification basis. Fuel for generation is carried at an average cost basis. Certain other inventories, including capital spares, are carried at specific cost.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3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Inventories – Net</w:t>
            </w:r>
          </w:p>
        </w:tc>
        <w:tc>
          <w:tcPr>
            <w:tcW w:w="33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3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3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$48.3</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43"/>
        </w:trPr>
        <w:tc>
          <w:tcPr>
            <w:tcW w:w="2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3380" w:type="dxa"/>
            <w:vAlign w:val="bottom"/>
          </w:tcPr>
          <w:p>
            <w:pPr>
              <w:jc w:val="right"/>
              <w:ind w:right="170"/>
              <w:spacing w:after="0"/>
              <w:rPr>
                <w:sz w:val="20"/>
                <w:szCs w:val="20"/>
                <w:color w:val="auto"/>
              </w:rPr>
            </w:pPr>
            <w:r>
              <w:rPr>
                <w:rFonts w:ascii="Arial" w:cs="Arial" w:eastAsia="Arial" w:hAnsi="Arial"/>
                <w:sz w:val="18"/>
                <w:szCs w:val="18"/>
                <w:color w:val="auto"/>
              </w:rPr>
              <w:t>49.0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48.7</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38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9.9</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20" w:type="dxa"/>
            <w:vAlign w:val="bottom"/>
          </w:tcPr>
          <w:p>
            <w:pPr>
              <w:spacing w:after="0"/>
              <w:rPr>
                <w:sz w:val="21"/>
                <w:szCs w:val="21"/>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Reserve for Obsolescence</w:t>
            </w:r>
          </w:p>
        </w:tc>
        <w:tc>
          <w:tcPr>
            <w:tcW w:w="338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20" w:type="dxa"/>
            <w:vAlign w:val="bottom"/>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 – Net</w:t>
            </w:r>
          </w:p>
        </w:tc>
        <w:tc>
          <w:tcPr>
            <w:tcW w:w="3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$110.5</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00"/>
        </w:trPr>
        <w:tc>
          <w:tcPr>
            <w:tcW w:w="20" w:type="dxa"/>
            <w:vAlign w:val="bottom"/>
          </w:tcPr>
          <w:p>
            <w:pPr>
              <w:spacing w:after="0"/>
              <w:rPr>
                <w:sz w:val="17"/>
                <w:szCs w:val="17"/>
                <w:color w:val="auto"/>
              </w:rPr>
            </w:pPr>
          </w:p>
        </w:tc>
        <w:tc>
          <w:tcPr>
            <w:tcW w:w="66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Fuel consists primarily of coal inventory at Minnesota Power.</w:t>
            </w:r>
          </w:p>
        </w:tc>
        <w:tc>
          <w:tcPr>
            <w:tcW w:w="33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390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9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0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9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3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$18.4</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900" w:type="dxa"/>
            <w:vAlign w:val="bottom"/>
          </w:tcPr>
          <w:p>
            <w:pPr>
              <w:jc w:val="right"/>
              <w:ind w:right="150"/>
              <w:spacing w:after="0"/>
              <w:rPr>
                <w:sz w:val="20"/>
                <w:szCs w:val="20"/>
                <w:color w:val="auto"/>
              </w:rPr>
            </w:pPr>
            <w:r>
              <w:rPr>
                <w:rFonts w:ascii="Arial" w:cs="Arial" w:eastAsia="Arial" w:hAnsi="Arial"/>
                <w:sz w:val="18"/>
                <w:szCs w:val="18"/>
                <w:color w:val="auto"/>
              </w:rPr>
              <w:t>9.1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0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18.0</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39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$45.5</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60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36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436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6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Payment</w:t>
            </w:r>
          </w:p>
        </w:tc>
        <w:tc>
          <w:tcPr>
            <w:tcW w:w="4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$28.9</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Finance Receivable</w:t>
            </w:r>
          </w:p>
        </w:tc>
        <w:tc>
          <w:tcPr>
            <w:tcW w:w="4360" w:type="dxa"/>
            <w:vAlign w:val="bottom"/>
          </w:tcPr>
          <w:p>
            <w:pPr>
              <w:jc w:val="right"/>
              <w:ind w:right="150"/>
              <w:spacing w:after="0"/>
              <w:rPr>
                <w:sz w:val="20"/>
                <w:szCs w:val="20"/>
                <w:color w:val="auto"/>
              </w:rPr>
            </w:pPr>
            <w:r>
              <w:rPr>
                <w:rFonts w:ascii="Arial" w:cs="Arial" w:eastAsia="Arial" w:hAnsi="Arial"/>
                <w:sz w:val="18"/>
                <w:szCs w:val="18"/>
                <w:color w:val="auto"/>
              </w:rPr>
              <w:t>11.5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56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4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8.6</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4360" w:type="dxa"/>
            <w:vAlign w:val="bottom"/>
          </w:tcPr>
          <w:p>
            <w:pPr>
              <w:jc w:val="right"/>
              <w:ind w:right="150"/>
              <w:spacing w:after="0"/>
              <w:rPr>
                <w:sz w:val="20"/>
                <w:szCs w:val="20"/>
                <w:color w:val="auto"/>
              </w:rPr>
            </w:pPr>
            <w:r>
              <w:rPr>
                <w:rFonts w:ascii="Arial" w:cs="Arial" w:eastAsia="Arial" w:hAnsi="Arial"/>
                <w:sz w:val="18"/>
                <w:szCs w:val="18"/>
                <w:color w:val="auto"/>
              </w:rPr>
              <w:t>56.2</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56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4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$105.2</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r>
      <w:tr>
        <w:trPr>
          <w:trHeight w:val="20"/>
        </w:trPr>
        <w:tc>
          <w:tcPr>
            <w:tcW w:w="5620" w:type="dxa"/>
            <w:vAlign w:val="bottom"/>
            <w:shd w:val="clear" w:color="auto" w:fill="000000"/>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104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41"/>
        </w:trPr>
        <w:tc>
          <w:tcPr>
            <w:tcW w:w="7840" w:type="dxa"/>
            <w:vAlign w:val="bottom"/>
          </w:tcPr>
          <w:p>
            <w:pPr>
              <w:spacing w:after="0"/>
              <w:rPr>
                <w:sz w:val="24"/>
                <w:szCs w:val="24"/>
                <w:color w:val="auto"/>
              </w:rPr>
            </w:pPr>
          </w:p>
        </w:tc>
        <w:tc>
          <w:tcPr>
            <w:tcW w:w="212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1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7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PSAs</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(a)</w:t>
            </w:r>
          </w:p>
        </w:tc>
        <w:tc>
          <w:tcPr>
            <w:tcW w:w="212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r>
      <w:tr>
        <w:trPr>
          <w:trHeight w:val="237"/>
        </w:trPr>
        <w:tc>
          <w:tcPr>
            <w:tcW w:w="7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2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$70.6</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Contingent Consideration relates to the estimated fair value of the earnings-based payment resulting from the U.S. Water Services acquisition. (See Note 5. Fair Value.)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422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7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$157.2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PSAs</w:t>
            </w:r>
          </w:p>
        </w:tc>
        <w:tc>
          <w:tcPr>
            <w:tcW w:w="4220" w:type="dxa"/>
            <w:vAlign w:val="bottom"/>
          </w:tcPr>
          <w:p>
            <w:pPr>
              <w:jc w:val="right"/>
              <w:ind w:right="150"/>
              <w:spacing w:after="0"/>
              <w:rPr>
                <w:sz w:val="20"/>
                <w:szCs w:val="20"/>
                <w:color w:val="auto"/>
              </w:rPr>
            </w:pPr>
            <w:r>
              <w:rPr>
                <w:rFonts w:ascii="Arial" w:cs="Arial" w:eastAsia="Arial" w:hAnsi="Arial"/>
                <w:sz w:val="18"/>
                <w:szCs w:val="18"/>
                <w:color w:val="auto"/>
              </w:rPr>
              <w:t>107.6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113.8</w:t>
            </w:r>
          </w:p>
        </w:tc>
      </w:tr>
      <w:tr>
        <w:trPr>
          <w:trHeight w:val="27"/>
        </w:trPr>
        <w:tc>
          <w:tcPr>
            <w:tcW w:w="57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6"/>
                <w:szCs w:val="16"/>
                <w:i w:val="1"/>
                <w:iCs w:val="1"/>
                <w:color w:val="auto"/>
              </w:rPr>
              <w:t>(a)</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Other</w:t>
            </w:r>
          </w:p>
        </w:tc>
        <w:tc>
          <w:tcPr>
            <w:tcW w:w="4220" w:type="dxa"/>
            <w:vAlign w:val="bottom"/>
          </w:tcPr>
          <w:p>
            <w:pPr>
              <w:jc w:val="right"/>
              <w:ind w:right="150"/>
              <w:spacing w:after="0"/>
              <w:rPr>
                <w:sz w:val="20"/>
                <w:szCs w:val="20"/>
                <w:color w:val="auto"/>
              </w:rPr>
            </w:pPr>
            <w:r>
              <w:rPr>
                <w:rFonts w:ascii="Arial" w:cs="Arial" w:eastAsia="Arial" w:hAnsi="Arial"/>
                <w:sz w:val="18"/>
                <w:szCs w:val="18"/>
                <w:color w:val="auto"/>
              </w:rPr>
              <w:t>46.7</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57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$316.9</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$322.7</w:t>
            </w:r>
          </w:p>
        </w:tc>
      </w:tr>
      <w:tr>
        <w:trPr>
          <w:trHeight w:val="20"/>
        </w:trPr>
        <w:tc>
          <w:tcPr>
            <w:tcW w:w="5740" w:type="dxa"/>
            <w:vAlign w:val="bottom"/>
            <w:shd w:val="clear" w:color="auto" w:fill="000000"/>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Contingent Consideration relates to the estimated fair value of the earnings-based payment resulting from the U.S. Water Services acquisition. (See Note 5.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$18.9</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Capitalized Asset Retirement Costs</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$19.3</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AFUDC–Equity</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ALLETE Common Stock Contributed to the Pension Plan</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$13.5</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Simplifying the Measurement of Inventory. </w:t>
      </w:r>
      <w:r>
        <w:rPr>
          <w:rFonts w:ascii="Arial" w:cs="Arial" w:eastAsia="Arial" w:hAnsi="Arial"/>
          <w:sz w:val="17"/>
          <w:szCs w:val="17"/>
          <w:color w:val="auto"/>
        </w:rPr>
        <w:t>In 2015, the FASB issued an accounting standard which requires entities that measure inventory using the first-in,</w:t>
      </w:r>
      <w:r>
        <w:rPr>
          <w:rFonts w:ascii="Arial" w:cs="Arial" w:eastAsia="Arial" w:hAnsi="Arial"/>
          <w:sz w:val="17"/>
          <w:szCs w:val="17"/>
          <w:i w:val="1"/>
          <w:iCs w:val="1"/>
          <w:color w:val="auto"/>
        </w:rPr>
        <w:t xml:space="preserve"> </w:t>
      </w:r>
      <w:r>
        <w:rPr>
          <w:rFonts w:ascii="Arial" w:cs="Arial" w:eastAsia="Arial" w:hAnsi="Arial"/>
          <w:sz w:val="17"/>
          <w:szCs w:val="17"/>
          <w:color w:val="auto"/>
        </w:rPr>
        <w:t>first-out or average cost methods to measure inventory at the lower of cost or net realizable value. Net realizable value is defined as estimated selling price in the ordinary course of business less reasonably predictable costs of completion, disposal and transportation. This accounting guidance was adopted in the first quarter of 2017 and did not have a material impact on our Consolidated Financial Statements.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Improvements to Employee Share-Based Payment Accounting. </w:t>
      </w:r>
      <w:r>
        <w:rPr>
          <w:rFonts w:ascii="Arial" w:cs="Arial" w:eastAsia="Arial" w:hAnsi="Arial"/>
          <w:sz w:val="16"/>
          <w:szCs w:val="16"/>
          <w:color w:val="auto"/>
        </w:rPr>
        <w:t>In March 2016, the FASB issued guidance to simplify the accounting for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by requiring all excess tax benefits and deficiencies to be recognized in income tax expense or benefit in earnings, thus eliminating the requirement to classify the excess tax benefit and deficiencies as additional paid-in capital. Under the new guidance, an entity makes an accounting policy election to either estimate the expected forfeiture awards or account for forfeitures as they occur. This accounting guidance was adopted in the first quarter of 2017. The adoption of this guidance is expected to result in a less than $1 million impact to income tax expense (benefit) annually.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20"/>
          </w:cols>
          <w:pgMar w:left="240" w:top="1040"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Clarifying the Definition of a Business. </w:t>
      </w:r>
      <w:r>
        <w:rPr>
          <w:rFonts w:ascii="Arial" w:cs="Arial" w:eastAsia="Arial" w:hAnsi="Arial"/>
          <w:sz w:val="18"/>
          <w:szCs w:val="18"/>
          <w:color w:val="auto"/>
        </w:rPr>
        <w:t>In January 2017, the FASB issued clarifying guidance on the definition of a business and provided additional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to assist with evaluating whether transactions are to be accounted for as an acquisition or disposal of a group of assets or a business. The clarifying guidance will also impact other areas including the accounting for goodwill and consolidation. This accounting guidance was adopted in the first quarter of 2017 and did not have an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Simplifying the Test for Goodwill Impairment. </w:t>
      </w:r>
      <w:r>
        <w:rPr>
          <w:rFonts w:ascii="Arial" w:cs="Arial" w:eastAsia="Arial" w:hAnsi="Arial"/>
          <w:sz w:val="18"/>
          <w:szCs w:val="18"/>
          <w:color w:val="auto"/>
        </w:rPr>
        <w:t>In January 2017, the FASB issued updated guidance which simplifies the measurement of goodwill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by removing step two of the goodwill impairment test that requires the determination of the fair value of individual assets and liabilities of a reporting unit. The updated guidance requires goodwill impairment to be measured as the amount by which a reporting unit’s carrying value exceeds its fair value; however, the loss recognized should not exceed the total amount of goodwill allocated to that reporting unit. This guidance is effective for the Company beginning in the first quarter of 2020, with early adoption permitted on a prospective basis.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Improving the Presentation of Net Periodic Pension Cost and Net Periodic Postretirement Benefit Cost. </w:t>
      </w:r>
      <w:r>
        <w:rPr>
          <w:rFonts w:ascii="Arial" w:cs="Arial" w:eastAsia="Arial" w:hAnsi="Arial"/>
          <w:sz w:val="17"/>
          <w:szCs w:val="17"/>
          <w:color w:val="auto"/>
        </w:rPr>
        <w:t>In March 2017, the FASB issued guidance to improve</w:t>
      </w:r>
      <w:r>
        <w:rPr>
          <w:rFonts w:ascii="Arial" w:cs="Arial" w:eastAsia="Arial" w:hAnsi="Arial"/>
          <w:sz w:val="17"/>
          <w:szCs w:val="17"/>
          <w:i w:val="1"/>
          <w:iCs w:val="1"/>
          <w:color w:val="auto"/>
        </w:rPr>
        <w:t xml:space="preserve"> </w:t>
      </w:r>
      <w:r>
        <w:rPr>
          <w:rFonts w:ascii="Arial" w:cs="Arial" w:eastAsia="Arial" w:hAnsi="Arial"/>
          <w:sz w:val="17"/>
          <w:szCs w:val="17"/>
          <w:color w:val="auto"/>
        </w:rPr>
        <w:t>the presentation of net periodic pension and postretirement benefit costs. Under the new guidance, an entity shall present the service cost component of the net periodic benefit cost in the same income statement line as other employee compensation costs arising from services rendered during the period. The guidance also allows only the service cost component of the periodic expense to be eligible for capitalization. The other components of net periodic expense will be presented separately from the line item that includes the service cost and will be excluded from the operating income subtotal. This accounting guidance is effective for the Company beginning in the first quarter of 2018. The adoption of this guidance by the Company is expected to result in higher operating expense and lower operating income. This guidance is not expected to have an impact on net income. We will continue to evaluate the impact of this standard on our Consolidated Financial Statements.</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In 2014, the FASB issued amended revenue recognition guidance to clarify the principles for recognizing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from contracts with customers. The guidance requires an entity to recognize revenue to depict the transfer of goods or services to customers in an amount that reflects the consideration to which an entity expects to be entitled in exchange for those goods or services. The guidance also requires expanded disclosures relating to the nature, amount, timing, and uncertainty of revenue and cash flows arising from contracts with customers. Additionally, qualitative and quantitative disclosures are required regarding customer contracts, significant judgments and changes in judgments, and assets recognized from the costs to obtain or fulfill a contract. The Company is considering the impact of the new guidance on its ability to recognize revenue from certain contracts where collectibility is in question and bundled sales contracts and contracts with pricing provisions that may require it to recognize revenue at prices other than the contract price (e.g., straight line or estimated future market prices). The guidance is effective for the Company beginning in the first quarter of 2018 with early adoption permitted. The Company will adopt this guidance for our fiscal year beginning January 1, 2018.</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an accounting standard update which revises the existing guidance for leases. Under the revised guidance, lessees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required to recognize a “right-of-use” asset and a lease liability for all leases with a term greater than 12 months. The new standard also requires additional quantitative and qualitative disclosures by lessees and lessors to enable users of the financial statements to assess the amount, timing and uncertainty of cash flows arising from leases. The accounting for leases by lessors and the recognition, measurement and presentation of expenses and cash flows from leases are not expected to significantly change as a result of the updated guidance. The revised guidance is effective for the Company beginning in the first quarter of 2019 with early adoption permitted. We are currently evaluating the impact of the amended lease guidance on our Consolidated Financial Statements.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Financial Instruments</w:t>
      </w:r>
      <w:r>
        <w:rPr>
          <w:rFonts w:ascii="Arial" w:cs="Arial" w:eastAsia="Arial" w:hAnsi="Arial"/>
          <w:sz w:val="17"/>
          <w:szCs w:val="17"/>
          <w:color w:val="auto"/>
        </w:rPr>
        <w:t>. In January 2016, the FASB issued an accounting standard update which requires entities to measure their investments at fair value and</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any changes in fair value in net income unless the investments qualify for the new practicability exception. The practicability exception will be available for equity investments that do not have readily determinable fair values. The updated guidance is effective for the Company beginning in the first quarter of 2018. We are currently evaluating the impact that the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104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(Continued)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Classification of Certain Cash Receipts and Cash Payments. </w:t>
      </w:r>
      <w:r>
        <w:rPr>
          <w:rFonts w:ascii="Arial" w:cs="Arial" w:eastAsia="Arial" w:hAnsi="Arial"/>
          <w:sz w:val="18"/>
          <w:szCs w:val="18"/>
          <w:color w:val="auto"/>
        </w:rPr>
        <w:t>In August 2016, the FASB issued an accounting standard update which addresses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This accounting guidance is effective for the Company beginning in the first quarter of 2018. The guidance will result in changes to the Company’s Consolidated Statement of Cash Flows relating to debt prepayments, contingent consideration payments, proceeds from insurance settlements, proceeds from corporate-owned life insurance policies and distributions received from equity method investees.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Statement of Cash Flows: Restricted Cash. </w:t>
      </w:r>
      <w:r>
        <w:rPr>
          <w:rFonts w:ascii="Arial" w:cs="Arial" w:eastAsia="Arial" w:hAnsi="Arial"/>
          <w:sz w:val="18"/>
          <w:szCs w:val="18"/>
          <w:color w:val="auto"/>
        </w:rPr>
        <w:t>In November 2016, the FASB issued an accounting standard update related to the presentation of restricted cash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Consolidated Statement of Cash Flows. The update requires that the Consolidated Statement of Cash Flows explain the change during the period in cash, cash equivalents, and restricted cash. Restricted cash should be included with cash and cash equivalents when reconciling the beginning-of-period and end-of-period total amounts shown on the Consolidated Statement of Cash Flows. This accounting guidance is effective for the Company beginning in the first quarter of 2018. The Company plans to adopt this guidance for our fiscal year beginning January 1, 2018, and the guidance will result in changes to the Company’s Consolidated Statement of Cash Flows such that restricted cash amounts will be included in the beginning-of-period and end-of-period cash and cash equivalents totals.</w:t>
      </w:r>
    </w:p>
    <w:p>
      <w:pPr>
        <w:spacing w:after="0" w:line="18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Revision of Prior Balance Sheet. </w:t>
      </w:r>
      <w:r>
        <w:rPr>
          <w:rFonts w:ascii="Arial" w:cs="Arial" w:eastAsia="Arial" w:hAnsi="Arial"/>
          <w:sz w:val="16"/>
          <w:szCs w:val="16"/>
          <w:color w:val="auto"/>
        </w:rPr>
        <w:t>During the first quarter of 2017, the Company identified an error related to the deferred income tax treatment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its Wholesale and Retail Contra AFUDC Regulatory Liability. The Company evaluated the materiality of the error and concluded it was not material to any previously issued historical financial statements. The Company has revised its historical Consolidated Balance Sheet as of December 31, 2016, by decreasing Regulatory Assets and Deferred Income Taxes by $29.5 million. The correction had no impact on our Consolidated Statement of Income.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As of March 31, 2017, the investment portfolio included the legacy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in other postretirement plans to fund employee benefits, the cash equivalents within these plans and other assets consisting primarily of land in Minnesota.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43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3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55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5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$31.6</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6"/>
                <w:szCs w:val="16"/>
                <w:i w:val="1"/>
                <w:iCs w:val="1"/>
                <w:color w:val="auto"/>
              </w:rPr>
              <w:t>(a)</w:t>
            </w:r>
          </w:p>
        </w:tc>
        <w:tc>
          <w:tcPr>
            <w:tcW w:w="4380" w:type="dxa"/>
            <w:vAlign w:val="bottom"/>
          </w:tcPr>
          <w:p>
            <w:pPr>
              <w:jc w:val="right"/>
              <w:ind w:right="210"/>
              <w:spacing w:after="0"/>
              <w:rPr>
                <w:sz w:val="20"/>
                <w:szCs w:val="20"/>
                <w:color w:val="auto"/>
              </w:rPr>
            </w:pPr>
            <w:r>
              <w:rPr>
                <w:rFonts w:ascii="Arial" w:cs="Arial" w:eastAsia="Arial" w:hAnsi="Arial"/>
                <w:sz w:val="18"/>
                <w:szCs w:val="18"/>
                <w:color w:val="auto"/>
              </w:rPr>
              <w:t>19.6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55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2.6</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w:t>
            </w:r>
          </w:p>
        </w:tc>
        <w:tc>
          <w:tcPr>
            <w:tcW w:w="438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5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$57.7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0"/>
        </w:trPr>
        <w:tc>
          <w:tcPr>
            <w:tcW w:w="554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right="20" w:hanging="332"/>
        <w:spacing w:after="0" w:line="263"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As of March 31, 2017, the aggregate amount of available-for-sale corporate and governmental debt securities maturing in one year or less was $0.2 million, in one year to less than three years was $3.0 million, in three years to less than five years was $5.0 million and in five or more years was $3.9 million.</w:t>
      </w:r>
    </w:p>
    <w:p>
      <w:pPr>
        <w:spacing w:after="0" w:line="17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Land Inventory. </w:t>
      </w:r>
      <w:r>
        <w:rPr>
          <w:rFonts w:ascii="Arial" w:cs="Arial" w:eastAsia="Arial" w:hAnsi="Arial"/>
          <w:sz w:val="16"/>
          <w:szCs w:val="16"/>
          <w:color w:val="auto"/>
        </w:rPr>
        <w:t>Land inventory is accounted for as held for use and is recorded at cost, unless the carrying value is determined not to be recoverable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accounting standards for property, plant and equipment, in which case the land inventory is written down to estimated fair value. Land values are reviewed for indicators of impairment on a quarterly basis and no impairment was recorded for the three months ended March 31, 2017, and 2016.</w:t>
      </w:r>
    </w:p>
    <w:p>
      <w:pPr>
        <w:spacing w:after="0" w:line="143"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Available-for-Sale Investments. </w:t>
      </w:r>
      <w:r>
        <w:rPr>
          <w:rFonts w:ascii="Arial" w:cs="Arial" w:eastAsia="Arial" w:hAnsi="Arial"/>
          <w:sz w:val="17"/>
          <w:szCs w:val="17"/>
          <w:color w:val="auto"/>
        </w:rPr>
        <w:t>We account for our available-for-sale portfolio in accordance with the guidance for certain investments in debt and equity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Our available-for-sale securities portfolio consisted primarily of securities held in other postretirement plans to fund employee benefits.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Gross realized and unrealized gains and losses on our available-for-sale investments were immaterial for the three months ended March 31, 2017, and 2016.</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104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acquisitions are consistent with ALLETE’s stated strategy of investing in energy infrastructure and related services businesses to complement its regulated businesses, balance exposure to business cycles and changing demand, and provide potential long-term earnings growth. The pro forma impact of the following acquisitions was not significant, either individually or in the aggregate, to the results of the Company for the three months ended March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Acquisition of Non-Controlling Interest. </w:t>
      </w:r>
      <w:r>
        <w:rPr>
          <w:rFonts w:ascii="Arial" w:cs="Arial" w:eastAsia="Arial" w:hAnsi="Arial"/>
          <w:sz w:val="18"/>
          <w:szCs w:val="18"/>
          <w:color w:val="auto"/>
        </w:rPr>
        <w:t>In April 2016, ALLETE Clean Energy acquired the non-controlling interest in the limited liability company that</w:t>
      </w:r>
      <w:r>
        <w:rPr>
          <w:rFonts w:ascii="Arial" w:cs="Arial" w:eastAsia="Arial" w:hAnsi="Arial"/>
          <w:sz w:val="18"/>
          <w:szCs w:val="18"/>
          <w:i w:val="1"/>
          <w:iCs w:val="1"/>
          <w:color w:val="auto"/>
        </w:rPr>
        <w:t xml:space="preserve"> </w:t>
      </w:r>
      <w:r>
        <w:rPr>
          <w:rFonts w:ascii="Arial" w:cs="Arial" w:eastAsia="Arial" w:hAnsi="Arial"/>
          <w:sz w:val="18"/>
          <w:szCs w:val="18"/>
          <w:color w:val="auto"/>
        </w:rPr>
        <w:t>owns the Condon wind energy facility for $8.0 million. This transaction was accounted for as an equity transaction, and no gain or loss was recognized in net income or other comprehensive income. As a result of the acquisition, the Condon wind energy facility is now a wholly-owned subsidiary of ALLETE Clean Energy.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WEST. </w:t>
      </w:r>
      <w:r>
        <w:rPr>
          <w:rFonts w:ascii="Arial" w:cs="Arial" w:eastAsia="Arial" w:hAnsi="Arial"/>
          <w:sz w:val="18"/>
          <w:szCs w:val="18"/>
          <w:color w:val="auto"/>
        </w:rPr>
        <w:t>In October 2016, U.S. Water Services acquired 100 percent of Water &amp; Energy Systems Technology of Nevada, Inc. (WEST). Total consideration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was $6.5 million, subject to a working capital adjustment. Consideration of $5.9 million was paid in cash on the acquisition date and a $0.6 million payment is due in April 2018. WEST is an integrated water management company and was acquired to expand U.S. Water Services’ regional footprint in the Southwestern United States.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acquisition was accounted for as a business combination and the purchase price was allocated based on the preliminary estimated fair values of the assets acquired and the liabilities assumed at the date of acquisition, as shown in the following table. The allocation of the purchase price is subject to judgment and the preliminary estimated fair value of the assets acquired and the liabilities assumed may be adjusted when the valuation analysis is complete in subsequent periods. Preliminary estimates subject to adjustment in subsequent periods relate primarily to working capital; subsequent adjustments could impact the amount of goodwill recorded. Fair value measurements were valued primarily using the discounted cash flow method and replacement cost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109220</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 xml:space="preserve">Customer Relationships </w:t>
            </w:r>
            <w:r>
              <w:rPr>
                <w:rFonts w:ascii="Arial" w:cs="Arial" w:eastAsia="Arial" w:hAnsi="Arial"/>
                <w:sz w:val="16"/>
                <w:szCs w:val="16"/>
                <w:i w:val="1"/>
                <w:iCs w:val="1"/>
                <w:color w:val="auto"/>
              </w:rPr>
              <w:t>(a)</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(a)(b)</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r>
      <w:tr>
        <w:trPr>
          <w:trHeight w:val="237"/>
        </w:trPr>
        <w:tc>
          <w:tcPr>
            <w:tcW w:w="69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400" w:type="dxa"/>
            <w:vAlign w:val="bottom"/>
            <w:tcBorders>
              <w:top w:val="single" w:sz="8" w:color="auto"/>
            </w:tcBorders>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440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69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37"/>
        </w:trPr>
        <w:tc>
          <w:tcPr>
            <w:tcW w:w="69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Presented within Goodwill and Intangible Assets – Net on the Consolidated Balance Sheet. (See Note 4. Goodwill and Intangible Assets.)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purposes, the purchase price allocation resulted in no allocation to goodwill.</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were immaterial, expensed as incurred during 2016 and recorded in Operating and Maintenance on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104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carrying amount of goodwill was $131.2 million as of March 31, 2017, and December 31, 2016. There have been no changes to goodwill by reportable segment for the three months ended March 31,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w w:val="94"/>
              </w:rPr>
              <w:t>Balances of intangible assets, net, excluding goodwill as of March 31, 2017, are as follows:</w:t>
            </w: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7"/>
        </w:trPr>
        <w:tc>
          <w:tcPr>
            <w:tcW w:w="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162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8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rPr>
              <w:t>Amortization</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r>
      <w:tr>
        <w:trPr>
          <w:trHeight w:val="27"/>
        </w:trPr>
        <w:tc>
          <w:tcPr>
            <w:tcW w:w="8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Definite-Lived Intangible Assets</w:t>
            </w:r>
          </w:p>
        </w:tc>
        <w:tc>
          <w:tcPr>
            <w:tcW w:w="16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$59.3</w:t>
            </w:r>
          </w:p>
        </w:tc>
        <w:tc>
          <w:tcPr>
            <w:tcW w:w="16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r>
      <w:tr>
        <w:trPr>
          <w:trHeight w:val="243"/>
        </w:trPr>
        <w:tc>
          <w:tcPr>
            <w:tcW w:w="80" w:type="dxa"/>
            <w:vAlign w:val="bottom"/>
          </w:tcPr>
          <w:p>
            <w:pPr>
              <w:spacing w:after="0"/>
              <w:rPr>
                <w:sz w:val="21"/>
                <w:szCs w:val="21"/>
                <w:color w:val="auto"/>
              </w:rPr>
            </w:pPr>
          </w:p>
        </w:tc>
        <w:tc>
          <w:tcPr>
            <w:tcW w:w="6760" w:type="dxa"/>
            <w:vAlign w:val="bottom"/>
          </w:tcPr>
          <w:p>
            <w:pPr>
              <w:ind w:left="26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6"/>
                <w:szCs w:val="16"/>
                <w:i w:val="1"/>
                <w:iCs w:val="1"/>
                <w:color w:val="auto"/>
              </w:rPr>
              <w:t>(a)</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6.3</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(0.3)</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7"/>
        </w:trPr>
        <w:tc>
          <w:tcPr>
            <w:tcW w:w="8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Definite-Lived Intangible Assets</w:t>
            </w: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65.6</w:t>
            </w:r>
          </w:p>
        </w:tc>
        <w:tc>
          <w:tcPr>
            <w:tcW w:w="16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r>
      <w:tr>
        <w:trPr>
          <w:trHeight w:val="243"/>
        </w:trPr>
        <w:tc>
          <w:tcPr>
            <w:tcW w:w="80" w:type="dxa"/>
            <w:vAlign w:val="bottom"/>
          </w:tcPr>
          <w:p>
            <w:pPr>
              <w:spacing w:after="0"/>
              <w:rPr>
                <w:sz w:val="21"/>
                <w:szCs w:val="21"/>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Indefinite-Lived Intangible Assets</w:t>
            </w:r>
          </w:p>
        </w:tc>
        <w:tc>
          <w:tcPr>
            <w:tcW w:w="16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80" w:type="dxa"/>
            <w:vAlign w:val="bottom"/>
          </w:tcPr>
          <w:p>
            <w:pPr>
              <w:spacing w:after="0"/>
              <w:rPr>
                <w:sz w:val="23"/>
                <w:szCs w:val="23"/>
                <w:color w:val="auto"/>
              </w:rPr>
            </w:pPr>
          </w:p>
        </w:tc>
        <w:tc>
          <w:tcPr>
            <w:tcW w:w="6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Trademarks and Trade Names</w:t>
            </w: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16.6</w:t>
            </w:r>
          </w:p>
        </w:tc>
        <w:tc>
          <w:tcPr>
            <w:tcW w:w="16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n/a</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r>
      <w:tr>
        <w:trPr>
          <w:trHeight w:val="237"/>
        </w:trPr>
        <w:tc>
          <w:tcPr>
            <w:tcW w:w="80" w:type="dxa"/>
            <w:vAlign w:val="bottom"/>
          </w:tcPr>
          <w:p>
            <w:pPr>
              <w:spacing w:after="0"/>
              <w:rPr>
                <w:sz w:val="20"/>
                <w:szCs w:val="20"/>
                <w:color w:val="auto"/>
              </w:rPr>
            </w:pPr>
          </w:p>
        </w:tc>
        <w:tc>
          <w:tcPr>
            <w:tcW w:w="6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16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$82.2</w:t>
            </w:r>
          </w:p>
        </w:tc>
        <w:tc>
          <w:tcPr>
            <w:tcW w:w="16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$(1.4)</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$80.8</w:t>
            </w:r>
          </w:p>
        </w:tc>
      </w:tr>
      <w:tr>
        <w:trPr>
          <w:trHeight w:val="27"/>
        </w:trPr>
        <w:tc>
          <w:tcPr>
            <w:tcW w:w="8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0"/>
        </w:trPr>
        <w:tc>
          <w:tcPr>
            <w:tcW w:w="6840" w:type="dxa"/>
            <w:vAlign w:val="bottom"/>
            <w:gridSpan w:val="2"/>
          </w:tcPr>
          <w:p>
            <w:pPr>
              <w:spacing w:after="0"/>
              <w:rPr>
                <w:sz w:val="20"/>
                <w:szCs w:val="20"/>
                <w:color w:val="auto"/>
              </w:rPr>
            </w:pPr>
            <w:r>
              <w:rPr>
                <w:rFonts w:ascii="Arial" w:cs="Arial" w:eastAsia="Arial" w:hAnsi="Arial"/>
                <w:sz w:val="16"/>
                <w:szCs w:val="16"/>
                <w:i w:val="1"/>
                <w:iCs w:val="1"/>
                <w:color w:val="auto"/>
                <w:w w:val="93"/>
              </w:rPr>
              <w:t>(a)  Developed Technology and Other includes patents, non-compete agreements and land easements.</w:t>
            </w: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remaining useful life of approximately 21 years, and developed technology and other have remaining useful lives ranging from approximately 2 years to approximately 12 years (weighted average of approximately 8 years). The weighted average remaining useful life of all definite-lived intangible assets as of March 31, 2017, is approximately 20 years.</w:t>
      </w:r>
    </w:p>
    <w:p>
      <w:pPr>
        <w:spacing w:after="0" w:line="18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Amortization expense of intangible assets was $1.4 million for the three months ended March 31, 2017 ($1.3 million for the three months ended March 31, 2016). Accumulated amortization was $10.7 million as of March 31, 2017 ($9.3 million as of December 31, 2016). The estimated amortization expense for 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for the remainder of 2017 is $4.1 million. Estimated annual amortization expense for 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is $5.1 million in 2018, $4.8 million in 2019, $4.5 million in 2020, $4.4 million in 2021 and $41.3 million thereafter.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2016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March 31, 2017, and December 31, 2016.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104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6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2"/>
              </w:rPr>
              <w:t>Fair Value as of March 31, 2017</w:t>
            </w:r>
          </w:p>
        </w:tc>
        <w:tc>
          <w:tcPr>
            <w:tcW w:w="760" w:type="dxa"/>
            <w:vAlign w:val="bottom"/>
          </w:tcPr>
          <w:p>
            <w:pPr>
              <w:spacing w:after="0"/>
              <w:rPr>
                <w:sz w:val="24"/>
                <w:szCs w:val="24"/>
                <w:color w:val="auto"/>
              </w:rPr>
            </w:pP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 3</w:t>
            </w: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7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7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$12.1</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12.1</w:t>
            </w:r>
          </w:p>
        </w:tc>
      </w:tr>
      <w:tr>
        <w:trPr>
          <w:trHeight w:val="27"/>
        </w:trPr>
        <w:tc>
          <w:tcPr>
            <w:tcW w:w="6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$12.1</w:t>
            </w:r>
          </w:p>
        </w:tc>
        <w:tc>
          <w:tcPr>
            <w:tcW w:w="12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w:t>
            </w:r>
          </w:p>
        </w:tc>
      </w:tr>
      <w:tr>
        <w:trPr>
          <w:trHeight w:val="27"/>
        </w:trPr>
        <w:tc>
          <w:tcPr>
            <w:tcW w:w="6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7"/>
        </w:trPr>
        <w:tc>
          <w:tcPr>
            <w:tcW w:w="61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17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$17.2</w:t>
            </w:r>
          </w:p>
        </w:tc>
        <w:tc>
          <w:tcPr>
            <w:tcW w:w="12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$10.0</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7"/>
        </w:trPr>
        <w:tc>
          <w:tcPr>
            <w:tcW w:w="6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$17.2</w:t>
            </w:r>
          </w:p>
        </w:tc>
        <w:tc>
          <w:tcPr>
            <w:tcW w:w="12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$(5.1)</w:t>
            </w:r>
          </w:p>
        </w:tc>
        <w:tc>
          <w:tcPr>
            <w:tcW w:w="12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$(10.0)</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right="920" w:hanging="332"/>
        <w:spacing w:after="0" w:line="257"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 with the exception of the current portion of the U.S. Water Services Contingent Consideration which is included in Other Current Liabilities. (See Note 1. Operations and Significant Accounting Policies.)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45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Fair Value as of December 31, 2016</w:t>
            </w:r>
          </w:p>
        </w:tc>
        <w:tc>
          <w:tcPr>
            <w:tcW w:w="700" w:type="dxa"/>
            <w:vAlign w:val="bottom"/>
          </w:tcPr>
          <w:p>
            <w:pPr>
              <w:spacing w:after="0"/>
              <w:rPr>
                <w:sz w:val="20"/>
                <w:szCs w:val="20"/>
                <w:color w:val="auto"/>
              </w:rPr>
            </w:pP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0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Level 3</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$7.1</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Available-for-sale – Corporate and Governmental Debt Securities</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$11.7</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11.7</w:t>
            </w: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$8.4</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$11.7</w:t>
            </w:r>
          </w:p>
        </w:tc>
        <w:tc>
          <w:tcPr>
            <w:tcW w:w="1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w:t>
            </w:r>
          </w:p>
        </w:tc>
      </w:tr>
      <w:tr>
        <w:trPr>
          <w:trHeight w:val="27"/>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77"/>
        </w:trPr>
        <w:tc>
          <w:tcPr>
            <w:tcW w:w="616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2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$16.0</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U.S. Water Services Contingent Consideration</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50"/>
              <w:spacing w:after="0"/>
              <w:rPr>
                <w:sz w:val="20"/>
                <w:szCs w:val="20"/>
                <w:color w:val="auto"/>
              </w:rPr>
            </w:pPr>
            <w:r>
              <w:rPr>
                <w:rFonts w:ascii="Arial" w:cs="Arial" w:eastAsia="Arial" w:hAnsi="Arial"/>
                <w:sz w:val="18"/>
                <w:szCs w:val="18"/>
                <w:color w:val="auto"/>
              </w:rPr>
              <w:t>$25.0</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7"/>
        </w:trPr>
        <w:tc>
          <w:tcPr>
            <w:tcW w:w="6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$16.0</w:t>
            </w:r>
          </w:p>
        </w:tc>
        <w:tc>
          <w:tcPr>
            <w:tcW w:w="1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$25.0</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$8.4</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$(4.3)</w:t>
            </w:r>
          </w:p>
        </w:tc>
        <w:tc>
          <w:tcPr>
            <w:tcW w:w="13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$(25.0)</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Level 3 liability in the preceding tables is the result of the 2015 acquisition of U.S. Water Services. Changes in the U.S. Water Services Contingent Consideration can result from changes in discount rates, timing of milestones that trigger payment, and the timing and amount of earnings estimates. The following table provides a reconciliation of the beginning and ending balances of the U.S. Water Services Contingent Consideration measured at fair value using Level 3 measurements as of March 31, 2017. Management analyzes the fair value of the contingent liability on a quarterly basis and makes adjustments as appropriate.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104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5. FAIR VALUE (Continued)</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Recurring Fair Value Measures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Activity in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wp:posOffset>
            </wp:positionV>
            <wp:extent cx="7203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58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4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458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678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16"/>
                <w:szCs w:val="16"/>
                <w:i w:val="1"/>
                <w:iCs w:val="1"/>
                <w:color w:val="auto"/>
              </w:rPr>
              <w:t>(a)</w:t>
            </w:r>
          </w:p>
        </w:tc>
        <w:tc>
          <w:tcPr>
            <w:tcW w:w="4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Changes in Cash Flow Projections </w:t>
            </w:r>
            <w:r>
              <w:rPr>
                <w:rFonts w:ascii="Arial" w:cs="Arial" w:eastAsia="Arial" w:hAnsi="Arial"/>
                <w:sz w:val="16"/>
                <w:szCs w:val="16"/>
                <w:i w:val="1"/>
                <w:iCs w:val="1"/>
                <w:color w:val="auto"/>
              </w:rPr>
              <w:t>(b)</w:t>
            </w:r>
          </w:p>
        </w:tc>
        <w:tc>
          <w:tcPr>
            <w:tcW w:w="45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78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2017</w:t>
            </w:r>
          </w:p>
        </w:tc>
        <w:tc>
          <w:tcPr>
            <w:tcW w:w="4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r>
      <w:tr>
        <w:trPr>
          <w:trHeight w:val="20"/>
        </w:trPr>
        <w:tc>
          <w:tcPr>
            <w:tcW w:w="6780" w:type="dxa"/>
            <w:vAlign w:val="bottom"/>
            <w:shd w:val="clear" w:color="auto" w:fill="000000"/>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Payments relate to retirement of U.S. Water Services former employees.</w:t>
      </w:r>
    </w:p>
    <w:p>
      <w:pPr>
        <w:spacing w:after="0" w:line="9" w:lineRule="exact"/>
        <w:rPr>
          <w:rFonts w:ascii="Arial" w:cs="Arial" w:eastAsia="Arial" w:hAnsi="Arial"/>
          <w:sz w:val="16"/>
          <w:szCs w:val="16"/>
          <w:i w:val="1"/>
          <w:iCs w:val="1"/>
          <w:color w:val="auto"/>
        </w:rPr>
      </w:pPr>
    </w:p>
    <w:p>
      <w:pPr>
        <w:jc w:val="both"/>
        <w:ind w:left="340" w:hanging="332"/>
        <w:spacing w:after="0" w:line="250"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Changes in cash flow projections reflect the impact of a modification to the shareholder agreement in the first quarter of 2017 which provided participants a one-time election to sell shares at a determined price. Participants representing approximately half of the outstanding contingent consideration shares made the election, which were paid in April 2017, resulting in $4.6 million of the U.S. Water Services Contingent Consideration liability being classified in Other Current Liabilities on the Consolidated Balance Sheet. The remaining liability will be paid through the first quarter of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2017, and the year ended December 31, 2016, there were no transfers in or out of Levels 1, 2 or 3.</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326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62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2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3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March 31, 2017</w:t>
            </w:r>
          </w:p>
        </w:tc>
        <w:tc>
          <w:tcPr>
            <w:tcW w:w="3260" w:type="dxa"/>
            <w:vAlign w:val="bottom"/>
          </w:tcPr>
          <w:p>
            <w:pPr>
              <w:jc w:val="right"/>
              <w:ind w:right="470"/>
              <w:spacing w:after="0"/>
              <w:rPr>
                <w:sz w:val="20"/>
                <w:szCs w:val="20"/>
                <w:color w:val="auto"/>
              </w:rPr>
            </w:pPr>
            <w:r>
              <w:rPr>
                <w:rFonts w:ascii="Arial" w:cs="Arial" w:eastAsia="Arial" w:hAnsi="Arial"/>
                <w:sz w:val="18"/>
                <w:szCs w:val="18"/>
                <w:color w:val="auto"/>
              </w:rPr>
              <w:t>$1,543.4</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$1,614.9</w:t>
            </w:r>
          </w:p>
        </w:tc>
      </w:tr>
      <w:tr>
        <w:trPr>
          <w:trHeight w:val="27"/>
        </w:trPr>
        <w:tc>
          <w:tcPr>
            <w:tcW w:w="62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2016</w:t>
            </w:r>
          </w:p>
        </w:tc>
        <w:tc>
          <w:tcPr>
            <w:tcW w:w="32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$1,569.1</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$1,653.8</w:t>
            </w:r>
          </w:p>
        </w:tc>
      </w:tr>
      <w:tr>
        <w:trPr>
          <w:trHeight w:val="20"/>
        </w:trPr>
        <w:tc>
          <w:tcPr>
            <w:tcW w:w="628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 For the three months ended March 31, 2017, and the year ended December 31, 2016, there were no triggering events or indicators of impairment for these non-financial assets.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MATTERS</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Regulatory matters are summarized in Note 4. Regulatory Matters to our Consolidated Financial Statements in our 2016 Form 10</w:t>
      </w:r>
      <w:r>
        <w:rPr>
          <w:rFonts w:ascii="MS PGothic" w:cs="MS PGothic" w:eastAsia="MS PGothic" w:hAnsi="MS PGothic"/>
          <w:sz w:val="18"/>
          <w:szCs w:val="18"/>
          <w:color w:val="auto"/>
        </w:rPr>
        <w:t>‑</w:t>
      </w:r>
      <w:r>
        <w:rPr>
          <w:rFonts w:ascii="Arial" w:cs="Arial" w:eastAsia="Arial" w:hAnsi="Arial"/>
          <w:sz w:val="18"/>
          <w:szCs w:val="18"/>
          <w:color w:val="auto"/>
        </w:rPr>
        <w:t>K, with additional disclosure provided in the following paragraphs.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FERC or PSCW.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2010 Minnesota General Rate Case. </w:t>
      </w:r>
      <w:r>
        <w:rPr>
          <w:rFonts w:ascii="Arial" w:cs="Arial" w:eastAsia="Arial" w:hAnsi="Arial"/>
          <w:sz w:val="18"/>
          <w:szCs w:val="18"/>
          <w:color w:val="auto"/>
        </w:rPr>
        <w:t>Minnesota Power’s current retail rates are based on a 2011 MPUC retail rate order that allows for a 10.38 percent return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common equity and a 54.29 percent equity ratio. As authorized by the MPUC, Minnesota Power also recognizes revenue under cost recovery riders for transmission, renewable and environmental investments and expenditures. (See </w:t>
      </w:r>
      <w:r>
        <w:rPr>
          <w:rFonts w:ascii="Arial" w:cs="Arial" w:eastAsia="Arial" w:hAnsi="Arial"/>
          <w:sz w:val="18"/>
          <w:szCs w:val="18"/>
          <w:i w:val="1"/>
          <w:iCs w:val="1"/>
          <w:color w:val="auto"/>
        </w:rPr>
        <w:t>Transmission Cost Recovery Rider, Renewable Cost Recovery Rider</w:t>
      </w:r>
      <w:r>
        <w:rPr>
          <w:rFonts w:ascii="Arial" w:cs="Arial" w:eastAsia="Arial" w:hAnsi="Arial"/>
          <w:sz w:val="18"/>
          <w:szCs w:val="18"/>
          <w:color w:val="auto"/>
        </w:rPr>
        <w:t xml:space="preserve"> and </w:t>
      </w:r>
      <w:r>
        <w:rPr>
          <w:rFonts w:ascii="Arial" w:cs="Arial" w:eastAsia="Arial" w:hAnsi="Arial"/>
          <w:sz w:val="18"/>
          <w:szCs w:val="18"/>
          <w:i w:val="1"/>
          <w:iCs w:val="1"/>
          <w:color w:val="auto"/>
        </w:rPr>
        <w:t>Environmental Improvement Rider</w:t>
      </w:r>
      <w:r>
        <w:rPr>
          <w:rFonts w:ascii="Arial" w:cs="Arial" w:eastAsia="Arial" w:hAnsi="Arial"/>
          <w:sz w:val="18"/>
          <w:szCs w:val="18"/>
          <w:color w:val="auto"/>
        </w:rPr>
        <w:t>.) Revenue from cost recovery riders was $24.2 million for the three months ended March 31, 2017 ($25.4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104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seeking an average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 percent for retail customers. The rate filing seeks a return on equity of 10.25 percent and a 53.8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January 1, 2017.</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23, 2017, Minnesota Power filed an additional request to further reduce its requested interim rate increase. In an order dated April 13, 2017, the MPUC approved Minnesota Power’s updated retail rate request resulting in a reduction in the annual interim rate increase to $32.2 million beginning May 1, 2017. On February 28, 2017, Minnesota Power filed an update to its rate increase request, reducing its requested final retail rate increase from approximately $55 million to approximately $39 million on an annualized basis. As of March 31, 2017, Minnesota Power has not received any indication that a refund of interim rates will be necessary. Management will continue to evaluate the need for a reserve for interim rates as the 2016 general rate case proceeds.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2016 Minnesota general rate request and through Minnesota Power’s 2017 remaining life depreciation petition filed on February 1, 2017, Minnesota Power is seeking an extension of the recovery period for Boswell to better reflect recent environmental investments at the facility and mitigate rate increases for our customers. If approved, annual depreciation expense will be reduced by approximately $25 million. If the requested recovery period extension is not approved, we would expect final rates to be increased by a similar amount, subject to regulatory approval. We cannot predict the level of final rates that may be authorized by the MPUC.</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Energy-Intensive Trade-Exposed (EITE) Customer Rates. </w:t>
      </w:r>
      <w:r>
        <w:rPr>
          <w:rFonts w:ascii="Arial" w:cs="Arial" w:eastAsia="Arial" w:hAnsi="Arial"/>
          <w:sz w:val="17"/>
          <w:szCs w:val="17"/>
          <w:color w:val="auto"/>
        </w:rPr>
        <w:t>The Minnesota Legislature enacted EITE customer ratemaking law in 2015 which established that it</w:t>
      </w:r>
      <w:r>
        <w:rPr>
          <w:rFonts w:ascii="Arial" w:cs="Arial" w:eastAsia="Arial" w:hAnsi="Arial"/>
          <w:sz w:val="17"/>
          <w:szCs w:val="17"/>
          <w:i w:val="1"/>
          <w:iCs w:val="1"/>
          <w:color w:val="auto"/>
        </w:rPr>
        <w:t xml:space="preserve"> </w:t>
      </w:r>
      <w:r>
        <w:rPr>
          <w:rFonts w:ascii="Arial" w:cs="Arial" w:eastAsia="Arial" w:hAnsi="Arial"/>
          <w:sz w:val="17"/>
          <w:szCs w:val="17"/>
          <w:color w:val="auto"/>
        </w:rPr>
        <w:t>is the energy policy of the state to have competitive rates for certain industries such as mining and forest products. In 2015, Minnesota Power filed a rate schedule petition with the MPUC for EITE customers and a corresponding rider for EITE cost recovery. In a March 2016 order, the MPUC dismissed the petition without prejudice, providing Minnesota Power the option to refile the petition with additional information or file a new petition. In June 2016, Minnesota Power filed a revised EITE petition with the MPUC which included additional information on the net benefits analysis, limits on eligible customers and term lengths for the EITE discount. The MPUC approved a reduction in rates for EITE customers in a December 2016 order and subsequently approved cost recovery in an order dated April 20, 2017. The rate adjustments are revenue and cash flow neutral to Minnesota Power.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 has 16 non-affiliated municipal customers in Minnesota. SWL&amp;P is a Wisconsin utility and a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of Minnesota Power. All wholesale contracts include a termination clause requiring a three-year notice to terminate.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2015, Minnesota Power amended its formula-based wholesale electric sales contract with the Nashwauk Public Utilities Commission, extending the term through June 30, 2028. No termination notice may be given for this contract prior to June 30, 2025. The electric service agreements with SWL&amp;P and another municipal customer are effective through January 31, 2020 and June 30, 2019, respectively. Under the agreement with SWL&amp;P, no termination notice may be given prior to April 30, 2017. The other municipal customer provided termination notice for its contract in June 2016. Minnesota Power currently provides approximately 29 MW of average monthly demand to this customer. The rates included in these three contracts are set each July 1 based on a cost-based formula methodology, using estimated costs and a rate of return that is equal to Minnesota Power’s authorized rate of return for Minnesota retail customers (currently 10.38 percent). The formula-based rate methodology also provides for a yearly true-up calculation for actual costs incurred.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Minnesota Power amended its wholesale electric contracts with 14 municipal customers, extending the contract terms through December 31, 2024. No termination notices may be given prior to December 31, 2021. These contracts include fixed capacity charges through 2018; beginning in 2019, the capacity charge will not increase by more than two percent or decrease by more than one percent from the previous year’s capacity charge and will be determined using a cost-based formula methodology. The base energy charge for each year of the contract term will be set each January 1, subject to monthly adjustment, and will also be determined using a cost-based formula methodology.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03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Transmission Cost Recovery Rider. </w:t>
      </w:r>
      <w:r>
        <w:rPr>
          <w:rFonts w:ascii="Arial" w:cs="Arial" w:eastAsia="Arial" w:hAnsi="Arial"/>
          <w:sz w:val="17"/>
          <w:szCs w:val="17"/>
          <w:color w:val="auto"/>
        </w:rPr>
        <w:t>Minnesota Power has an approved cost recovery rider in place for certain transmission investments and expenditures. In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February 2016 order, the MPUC approved Minnesota Power’s updated customer billing rates which allows Minnesota Power to charge retail customers on a current basis for the costs of constructing certain transmission facilities plus a return on the capital invested. As a result of the MPUC approval of the certificate of need for the GNTL in 2015, the project is eligible for cost recovery under the existing transmission cost recovery rider. Minnesota Power is funding the construction of the GNTL with Manitoba Hydro (see </w:t>
      </w:r>
      <w:r>
        <w:rPr>
          <w:rFonts w:ascii="Arial" w:cs="Arial" w:eastAsia="Arial" w:hAnsi="Arial"/>
          <w:sz w:val="17"/>
          <w:szCs w:val="17"/>
          <w:i w:val="1"/>
          <w:iCs w:val="1"/>
          <w:color w:val="auto"/>
        </w:rPr>
        <w:t>Great Northern Transmission Line</w:t>
      </w:r>
      <w:r>
        <w:rPr>
          <w:rFonts w:ascii="Arial" w:cs="Arial" w:eastAsia="Arial" w:hAnsi="Arial"/>
          <w:sz w:val="17"/>
          <w:szCs w:val="17"/>
          <w:color w:val="auto"/>
        </w:rPr>
        <w:t>), and anticipates including its portion of the investments and expenditures for the GNTL in future transmission cost recovery filings.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Renewable Cost Recovery Rider. </w:t>
      </w:r>
      <w:r>
        <w:rPr>
          <w:rFonts w:ascii="Arial" w:cs="Arial" w:eastAsia="Arial" w:hAnsi="Arial"/>
          <w:sz w:val="18"/>
          <w:szCs w:val="18"/>
          <w:color w:val="auto"/>
        </w:rPr>
        <w:t>Minnesota Power has an approved cost recovery rider in place for investments and expenditures related to Bison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restoration and repair of Thomson. Updated customer billing rates for the renewable cost recovery rider were approved by the MPUC in a December 2016 order, which allows Minnesota Power to charge retail customers on a current basis for the costs of constructing certain renewable investments plus a return on the capital invested. The approval is on a provisional basis pending the outcome of Minnesota Power’s 2016 general rate case. (See </w:t>
      </w:r>
      <w:r>
        <w:rPr>
          <w:rFonts w:ascii="Arial" w:cs="Arial" w:eastAsia="Arial" w:hAnsi="Arial"/>
          <w:sz w:val="18"/>
          <w:szCs w:val="18"/>
          <w:i w:val="1"/>
          <w:iCs w:val="1"/>
          <w:color w:val="auto"/>
        </w:rPr>
        <w:t>2016 Minnesota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Rate Case.)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November 2016 order, the MPUC directed Minnesota Power to attribute all North Dakota investment tax credits realized from Bison to Minnesota Power regulated retail customers. As a result of the adverse regulatory outcome, Minnesota Power recorded a regulatory liability and a reduction in operating revenue of $15.0 million in 2016. The North Dakota investment tax credits previously recognized as income tax credits in Corporate and Other were reversed in 2016 resulting in an $8.8 million charge to net income for the year ended December 31, 2016. In December 2016, Minnesota Power submitted a request for reconsideration with the MPUC. In an order dated February 14, 2017, the MPUC decided to reconsider its November 2016 order and requested comments by June 30, 2017.</w:t>
      </w:r>
    </w:p>
    <w:p>
      <w:pPr>
        <w:spacing w:after="0" w:line="19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Prior to the November 2016 MPUC order, Minnesota Power accounted for North Dakota investment tax credits based on the long</w:t>
      </w:r>
      <w:r>
        <w:rPr>
          <w:rFonts w:ascii="MS PGothic" w:cs="MS PGothic" w:eastAsia="MS PGothic" w:hAnsi="MS PGothic"/>
          <w:sz w:val="18"/>
          <w:szCs w:val="18"/>
          <w:color w:val="auto"/>
        </w:rPr>
        <w:t>‑</w:t>
      </w:r>
      <w:r>
        <w:rPr>
          <w:rFonts w:ascii="Arial" w:cs="Arial" w:eastAsia="Arial" w:hAnsi="Arial"/>
          <w:sz w:val="18"/>
          <w:szCs w:val="18"/>
          <w:color w:val="auto"/>
        </w:rPr>
        <w:t>standing regulatory precedents of stand-alone allocation methodology of accounting for income taxes. The stand-alone method provides that income taxes (and credits) are calculated as if Minnesota Power was the only entity included in ALLETE’s consolidated federal and unitary state income tax returns. Minnesota Power had recorded a regulatory liability for North Dakota investment tax credits generated by its jurisdictional activity and expected to be realized in the future. North Dakota investment tax credits attributable to ALLETE’s apportionment and income of ALLETE’s other subsidiaries were included in the ALLETE consolidated group.</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Minnesota Power also has approval for current cost recovery of investments and expenditures related to compliance with the Minnesota Solar Energy Standard. (See </w:t>
      </w:r>
      <w:r>
        <w:rPr>
          <w:rFonts w:ascii="Arial" w:cs="Arial" w:eastAsia="Arial" w:hAnsi="Arial"/>
          <w:sz w:val="18"/>
          <w:szCs w:val="18"/>
          <w:i w:val="1"/>
          <w:iCs w:val="1"/>
          <w:color w:val="auto"/>
        </w:rPr>
        <w:t>Minnesota Solar Energy Standard.</w:t>
      </w:r>
      <w:r>
        <w:rPr>
          <w:rFonts w:ascii="Arial" w:cs="Arial" w:eastAsia="Arial" w:hAnsi="Arial"/>
          <w:sz w:val="18"/>
          <w:szCs w:val="18"/>
          <w:color w:val="auto"/>
        </w:rPr>
        <w:t>) Currently, there is no approved customer billing rate for solar costs.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Environmental Improvement Rider</w:t>
      </w:r>
      <w:r>
        <w:rPr>
          <w:rFonts w:ascii="Arial" w:cs="Arial" w:eastAsia="Arial" w:hAnsi="Arial"/>
          <w:sz w:val="16"/>
          <w:szCs w:val="16"/>
          <w:color w:val="auto"/>
        </w:rPr>
        <w:t>. Minnesota Power has an approved environmental improvement rider in place for investments and expenditures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implementation of the Boswell Unit 4 mercury emissions reduction plan completed in 2015. Updated customer billing rates for the environmental improvement rider were approved by the MPUC in a December 2016 order; however, in an order dated March 22, 2017, the MPUC approved a request by Minnesota Power to delay implementation of the updated rates until resolution of its 2016 general rate case. (See </w:t>
      </w:r>
      <w:r>
        <w:rPr>
          <w:rFonts w:ascii="Arial" w:cs="Arial" w:eastAsia="Arial" w:hAnsi="Arial"/>
          <w:sz w:val="16"/>
          <w:szCs w:val="16"/>
          <w:i w:val="1"/>
          <w:iCs w:val="1"/>
          <w:color w:val="auto"/>
        </w:rPr>
        <w:t>2016 Minnesota General Rate Case.)</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2016 Wisconsin General Rate Case. </w:t>
      </w:r>
      <w:r>
        <w:rPr>
          <w:rFonts w:ascii="Arial" w:cs="Arial" w:eastAsia="Arial" w:hAnsi="Arial"/>
          <w:sz w:val="16"/>
          <w:szCs w:val="16"/>
          <w:color w:val="auto"/>
        </w:rPr>
        <w:t>SWL&amp;P’s current retail rates are based on a 2012 PSCW retail rate order that allows for a 10.9 percent return on</w:t>
      </w:r>
      <w:r>
        <w:rPr>
          <w:rFonts w:ascii="Arial" w:cs="Arial" w:eastAsia="Arial" w:hAnsi="Arial"/>
          <w:sz w:val="16"/>
          <w:szCs w:val="16"/>
          <w:i w:val="1"/>
          <w:iCs w:val="1"/>
          <w:color w:val="auto"/>
        </w:rPr>
        <w:t xml:space="preserve"> </w:t>
      </w:r>
      <w:r>
        <w:rPr>
          <w:rFonts w:ascii="Arial" w:cs="Arial" w:eastAsia="Arial" w:hAnsi="Arial"/>
          <w:sz w:val="16"/>
          <w:szCs w:val="16"/>
          <w:color w:val="auto"/>
        </w:rPr>
        <w:t>common equity. In June 2016, SWL&amp;P filed a rate increase request with the PSCW requesting an average increase of 3.1 percent for retail customers (3.5 percent increase in electric rates; 1.3 percent decrease in natural gas rates; and 7.8 percent increase in water rates). The filing seeks an overall return on equity of 10.9 percent and a 55 percent equity ratio. On an annualized basis, the requested rate increase would generate approximately $2.7 million in additional revenue. The Company anticipates new rates will take effect in mid-2017. We cannot predict the level of rates that may be approved by the PSCW.</w:t>
      </w:r>
    </w:p>
    <w:p>
      <w:pPr>
        <w:spacing w:after="0" w:line="15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Integrated Resource Plan. </w:t>
      </w:r>
      <w:r>
        <w:rPr>
          <w:rFonts w:ascii="Arial" w:cs="Arial" w:eastAsia="Arial" w:hAnsi="Arial"/>
          <w:sz w:val="17"/>
          <w:szCs w:val="17"/>
          <w:color w:val="auto"/>
        </w:rPr>
        <w:t>In 2015, Minnesota Power filed its 2015 IRP with the MPUC which included an analysis of a variety of existing and future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energy resource alternatives and a projection of customer cost impact by class. The 2015 IRP also contained the next steps in Minnesota Power’s </w:t>
      </w:r>
      <w:r>
        <w:rPr>
          <w:rFonts w:ascii="Arial" w:cs="Arial" w:eastAsia="Arial" w:hAnsi="Arial"/>
          <w:sz w:val="17"/>
          <w:szCs w:val="17"/>
          <w:i w:val="1"/>
          <w:iCs w:val="1"/>
          <w:color w:val="auto"/>
        </w:rPr>
        <w:t xml:space="preserve">EnergyForward </w:t>
      </w:r>
      <w:r>
        <w:rPr>
          <w:rFonts w:ascii="Arial" w:cs="Arial" w:eastAsia="Arial" w:hAnsi="Arial"/>
          <w:sz w:val="17"/>
          <w:szCs w:val="17"/>
          <w:color w:val="auto"/>
        </w:rPr>
        <w:t>plan including the economic idling of Taconite Harbor Units 1 and 2 which occurred in September 2016, the ceasing of coal-fired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at Taconite Harbor in 2020, and the addition of between 200 MW and 300 MW of natural gas-fired generation in the next decade.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104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Resource Plan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 July 2016 order, the MPUC approved Minnesota Power’s 2015 IRP with modifications. The order accepts Minnesota Power’s plans for Taconite Harbor, directs Minnesota Power to retire Boswell Units 1 and 2 no later than 2022, requires an analysis of generation and demand response alternatives to be filed with a natural gas resource proposal, and requires Minnesota Power to conduct request for proposals for additional wind, solar and demand response resource additions subject to further MPUC approvals. In October 2016, Minnesota Power announced Boswell Units 1 and 2 will be retired in 2018 as the latest step in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Minnesota Power’s next IRP must be filed by February 1, 2018.</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Great Northern Transmission Line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and Manitoba Hydro have proposed construction of the GNTL, an approximately 220-mile 500-kV</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transmission line between Manitoba and Minnesota’s Iron Range. In 2015, a certificate of need was approved by the MPUC. Based on this order, Minnesota Power’s portion of the investments and expenditures for the project are eligible for cost recovery under its existing transmission cost recovery rider and are anticipated to be included in future transmission cost recovery filings. (See </w:t>
      </w:r>
      <w:r>
        <w:rPr>
          <w:rFonts w:ascii="Arial" w:cs="Arial" w:eastAsia="Arial" w:hAnsi="Arial"/>
          <w:sz w:val="17"/>
          <w:szCs w:val="17"/>
          <w:i w:val="1"/>
          <w:iCs w:val="1"/>
          <w:color w:val="auto"/>
        </w:rPr>
        <w:t>Transmission Cost Recovery Rider</w:t>
      </w:r>
      <w:r>
        <w:rPr>
          <w:rFonts w:ascii="Arial" w:cs="Arial" w:eastAsia="Arial" w:hAnsi="Arial"/>
          <w:sz w:val="17"/>
          <w:szCs w:val="17"/>
          <w:color w:val="auto"/>
        </w:rPr>
        <w:t>.) In 2015, the FERC approved our request to recover on construction work in progress related to the GNTL from Minnesota Power’s wholesale customers. In an April 2016 order, the MPUC approved the route permit for the GNTL which largely follows Minnesota Power’s preferred route, including the international border crossing, and in November 2016, the U.S. Department of Energy issued a presidential permit to cross the U.S.-Canadian border, which was the final major regulatory approval needed before construction in the U.S. could begin. Site clearing and pre-construction activities commenced in the first quarter of 2017 with construction expected to be completed in 2020.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$56.8 million have been incurred through March 31, 2017, of which $29.6 million has been recovered from a subsidiary of Manitoba Hydro.</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2015, Manitoba Hydro submitted the final preferred route and EIS for the transmission line in Canada to the Manitoba Conservation and Water Stewardship for regulatory approval. Construction of Manitoba Hydro’s hydroelectric generation facility commenced in 2014.</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MISO Return on Equity Complaints. </w:t>
      </w:r>
      <w:r>
        <w:rPr>
          <w:rFonts w:ascii="Arial" w:cs="Arial" w:eastAsia="Arial" w:hAnsi="Arial"/>
          <w:sz w:val="18"/>
          <w:szCs w:val="18"/>
          <w:color w:val="auto"/>
        </w:rPr>
        <w:t>In 2013, several customer groups located within the MISO service area filed complaints with the FERC requesting,</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a reduction in the base return on equity used by MISO transmission owners, including ALLETE and ATC, to 9.15 percent. In 2015, a federal administrative law judge ruled on the complaint proposing a reduction in the base return on equity to 10.32 percent, or 10.82 percent including an incentive adder for participation in a regional transmission organization. In September 2016, the FERC issued an order affirming the administrative law judge’s recommendation.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an additional complaint was filed with the FERC seeking an order to further reduce the base return on equity to 8.67 percent. In June 2016, a federal administrative law judge ruled on the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expected in 2017. The final decision from the FERC is not expected to have a material impact on our Consolidated Financial Statements.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Minnesota Solar Energy Standard. </w:t>
      </w:r>
      <w:r>
        <w:rPr>
          <w:rFonts w:ascii="Arial" w:cs="Arial" w:eastAsia="Arial" w:hAnsi="Arial"/>
          <w:sz w:val="17"/>
          <w:szCs w:val="17"/>
          <w:color w:val="auto"/>
        </w:rPr>
        <w:t>In 2013, legislation was enacted by the state of Minnesota requiring at least 1.5 percent of total retail electric sales,</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sales to certain customers, to be generated by solar energy by the end of 2020. At least 10 percent of the 1.5 percent mandate must be met by solar energy generated by or procured from solar photovoltaic devices with a nameplate capacity of 20 kW or less. Minnesota Power has two completed solar projects and another solar project is under development. In 2015, Minnesota Power filed for MPUC approval of a 10 MW utility scale solar project at the Camp Ripley Minnesota Army National Guard base and training facility near Little Falls, Minnesota. In a February 2016 order, the MPUC approved Camp Ripley as eligible to meet the solar energy standard and for current cost recovery, which was subsequently finalized by the MPUC in a December 2016 order. Camp Ripley was completed in the fourth quarter of 2016. In 2015, Minnesota Power filed for MPUC approval of a community solar garden project in northeastern Minnesota, which is comprised of a 1 MW solar array to be owned and operated by a third party with the output purchased by Minnesota Power and a 40 kW solar array that is owned and operated by Minnesota Power. In a July 2016 order, the MPUC approved the community solar garden project and cost recovery, subject to certain compliance requirements. Minnesota Power believes these projects will meet approximately one-third of the overall mandate. Additionally, in an order dated February 10, 2017, the MPUC approved Minnesota Power’s proposal to increase the amount of solar rebates available for customer-sited solar installations and recover costs of the program through Minnesota Power’s renewable cost recovery rider. This proposal to incentivize customer-sited solar installations is expected to meet a portion of the required mandate related to solar photovoltaic devices with a nameplate capacity of 20 kW or less.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104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2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22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Regulatory Assets</w:t>
            </w:r>
          </w:p>
        </w:tc>
        <w:tc>
          <w:tcPr>
            <w:tcW w:w="2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60" w:type="dxa"/>
            <w:vAlign w:val="bottom"/>
          </w:tcPr>
          <w:p>
            <w:pPr>
              <w:ind w:left="260"/>
              <w:spacing w:after="0"/>
              <w:rPr>
                <w:sz w:val="20"/>
                <w:szCs w:val="20"/>
                <w:color w:val="auto"/>
              </w:rPr>
            </w:pPr>
            <w:r>
              <w:rPr>
                <w:rFonts w:ascii="Arial" w:cs="Arial" w:eastAsia="Arial" w:hAnsi="Arial"/>
                <w:sz w:val="18"/>
                <w:szCs w:val="18"/>
                <w:color w:val="auto"/>
              </w:rPr>
              <w:t>Deferred Fuel Adjustment Clause</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$18.4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20" w:type="dxa"/>
            <w:vAlign w:val="bottom"/>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Assets</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37"/>
        </w:trPr>
        <w:tc>
          <w:tcPr>
            <w:tcW w:w="20" w:type="dxa"/>
            <w:vAlign w:val="bottom"/>
          </w:tcPr>
          <w:p>
            <w:pPr>
              <w:spacing w:after="0"/>
              <w:rPr>
                <w:sz w:val="20"/>
                <w:szCs w:val="20"/>
                <w:color w:val="auto"/>
              </w:rPr>
            </w:pPr>
          </w:p>
        </w:tc>
        <w:tc>
          <w:tcPr>
            <w:tcW w:w="75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2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Defined Benefit Pension and Other Postretirement Benefit Plans</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224.1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w:t>
            </w:r>
          </w:p>
        </w:tc>
      </w:tr>
      <w:tr>
        <w:trPr>
          <w:trHeight w:val="243"/>
        </w:trPr>
        <w:tc>
          <w:tcPr>
            <w:tcW w:w="20" w:type="dxa"/>
            <w:vAlign w:val="bottom"/>
          </w:tcPr>
          <w:p>
            <w:pPr>
              <w:spacing w:after="0"/>
              <w:rPr>
                <w:sz w:val="21"/>
                <w:szCs w:val="21"/>
                <w:color w:val="auto"/>
              </w:rPr>
            </w:pPr>
          </w:p>
        </w:tc>
        <w:tc>
          <w:tcPr>
            <w:tcW w:w="7560" w:type="dxa"/>
            <w:vAlign w:val="bottom"/>
          </w:tcPr>
          <w:p>
            <w:pPr>
              <w:ind w:left="26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(a)</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34.6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Asset Retirement Obligations</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27.1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20" w:type="dxa"/>
            <w:vAlign w:val="bottom"/>
          </w:tcPr>
          <w:p>
            <w:pPr>
              <w:spacing w:after="0"/>
              <w:rPr>
                <w:sz w:val="21"/>
                <w:szCs w:val="21"/>
                <w:color w:val="auto"/>
              </w:rPr>
            </w:pPr>
          </w:p>
        </w:tc>
        <w:tc>
          <w:tcPr>
            <w:tcW w:w="7560" w:type="dxa"/>
            <w:vAlign w:val="bottom"/>
          </w:tcPr>
          <w:p>
            <w:pPr>
              <w:ind w:left="260"/>
              <w:spacing w:after="0"/>
              <w:rPr>
                <w:sz w:val="20"/>
                <w:szCs w:val="20"/>
                <w:color w:val="auto"/>
              </w:rPr>
            </w:pPr>
            <w:r>
              <w:rPr>
                <w:rFonts w:ascii="Arial" w:cs="Arial" w:eastAsia="Arial" w:hAnsi="Arial"/>
                <w:sz w:val="18"/>
                <w:szCs w:val="18"/>
                <w:color w:val="auto"/>
              </w:rPr>
              <w:t>Cost Recovery Riders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20.1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PPACA Income Tax Deferral</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7560" w:type="dxa"/>
            <w:vAlign w:val="bottom"/>
          </w:tcPr>
          <w:p>
            <w:pPr>
              <w:ind w:left="260"/>
              <w:spacing w:after="0"/>
              <w:rPr>
                <w:sz w:val="20"/>
                <w:szCs w:val="20"/>
                <w:color w:val="auto"/>
              </w:rPr>
            </w:pPr>
            <w:r>
              <w:rPr>
                <w:rFonts w:ascii="Arial" w:cs="Arial" w:eastAsia="Arial" w:hAnsi="Arial"/>
                <w:sz w:val="18"/>
                <w:szCs w:val="18"/>
                <w:color w:val="auto"/>
              </w:rPr>
              <w:t>Other</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20" w:type="dxa"/>
            <w:vAlign w:val="bottom"/>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Non-Current Regulatory Assets</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320.9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330.1</w:t>
            </w:r>
          </w:p>
        </w:tc>
      </w:tr>
      <w:tr>
        <w:trPr>
          <w:trHeight w:val="237"/>
        </w:trPr>
        <w:tc>
          <w:tcPr>
            <w:tcW w:w="20" w:type="dxa"/>
            <w:vAlign w:val="bottom"/>
          </w:tcPr>
          <w:p>
            <w:pPr>
              <w:spacing w:after="0"/>
              <w:rPr>
                <w:sz w:val="20"/>
                <w:szCs w:val="20"/>
                <w:color w:val="auto"/>
              </w:rPr>
            </w:pPr>
          </w:p>
        </w:tc>
        <w:tc>
          <w:tcPr>
            <w:tcW w:w="7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Regulatory Assets</w:t>
            </w:r>
          </w:p>
        </w:tc>
        <w:tc>
          <w:tcPr>
            <w:tcW w:w="22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$339.3</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$348.7</w:t>
            </w:r>
          </w:p>
        </w:tc>
      </w:tr>
      <w:tr>
        <w:trPr>
          <w:trHeight w:val="27"/>
        </w:trPr>
        <w:tc>
          <w:tcPr>
            <w:tcW w:w="20" w:type="dxa"/>
            <w:vAlign w:val="bottom"/>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56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Wholesale and Retail Contra AFUDC</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$56.8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r>
      <w:tr>
        <w:trPr>
          <w:trHeight w:val="243"/>
        </w:trPr>
        <w:tc>
          <w:tcPr>
            <w:tcW w:w="20" w:type="dxa"/>
            <w:vAlign w:val="bottom"/>
          </w:tcPr>
          <w:p>
            <w:pPr>
              <w:spacing w:after="0"/>
              <w:rPr>
                <w:sz w:val="21"/>
                <w:szCs w:val="21"/>
                <w:color w:val="auto"/>
              </w:rPr>
            </w:pPr>
          </w:p>
        </w:tc>
        <w:tc>
          <w:tcPr>
            <w:tcW w:w="7560" w:type="dxa"/>
            <w:vAlign w:val="bottom"/>
          </w:tcPr>
          <w:p>
            <w:pPr>
              <w:ind w:left="260"/>
              <w:spacing w:after="0"/>
              <w:rPr>
                <w:sz w:val="20"/>
                <w:szCs w:val="20"/>
                <w:color w:val="auto"/>
              </w:rPr>
            </w:pPr>
            <w:r>
              <w:rPr>
                <w:rFonts w:ascii="Arial" w:cs="Arial" w:eastAsia="Arial" w:hAnsi="Arial"/>
                <w:sz w:val="18"/>
                <w:szCs w:val="18"/>
                <w:color w:val="auto"/>
              </w:rPr>
              <w:t>North Dakota Investment Tax Credits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27.4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28.2</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Taxes</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43"/>
        </w:trPr>
        <w:tc>
          <w:tcPr>
            <w:tcW w:w="20" w:type="dxa"/>
            <w:vAlign w:val="bottom"/>
          </w:tcPr>
          <w:p>
            <w:pPr>
              <w:spacing w:after="0"/>
              <w:rPr>
                <w:sz w:val="21"/>
                <w:szCs w:val="21"/>
                <w:color w:val="auto"/>
              </w:rPr>
            </w:pPr>
          </w:p>
        </w:tc>
        <w:tc>
          <w:tcPr>
            <w:tcW w:w="7560" w:type="dxa"/>
            <w:vAlign w:val="bottom"/>
          </w:tcPr>
          <w:p>
            <w:pPr>
              <w:ind w:left="260"/>
              <w:spacing w:after="0"/>
              <w:rPr>
                <w:sz w:val="20"/>
                <w:szCs w:val="20"/>
                <w:color w:val="auto"/>
              </w:rPr>
            </w:pPr>
            <w:r>
              <w:rPr>
                <w:rFonts w:ascii="Arial" w:cs="Arial" w:eastAsia="Arial" w:hAnsi="Arial"/>
                <w:sz w:val="18"/>
                <w:szCs w:val="18"/>
                <w:color w:val="auto"/>
              </w:rPr>
              <w:t>Plant Removal Obligations</w:t>
            </w:r>
          </w:p>
        </w:tc>
        <w:tc>
          <w:tcPr>
            <w:tcW w:w="2280" w:type="dxa"/>
            <w:vAlign w:val="bottom"/>
          </w:tcPr>
          <w:p>
            <w:pPr>
              <w:jc w:val="right"/>
              <w:ind w:right="270"/>
              <w:spacing w:after="0"/>
              <w:rPr>
                <w:sz w:val="20"/>
                <w:szCs w:val="20"/>
                <w:color w:val="auto"/>
              </w:rPr>
            </w:pPr>
            <w:r>
              <w:rPr>
                <w:rFonts w:ascii="Arial" w:cs="Arial" w:eastAsia="Arial" w:hAnsi="Arial"/>
                <w:sz w:val="18"/>
                <w:szCs w:val="18"/>
                <w:color w:val="auto"/>
              </w:rPr>
              <w:t>18.9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2.7</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37"/>
        </w:trPr>
        <w:tc>
          <w:tcPr>
            <w:tcW w:w="20" w:type="dxa"/>
            <w:vAlign w:val="bottom"/>
          </w:tcPr>
          <w:p>
            <w:pPr>
              <w:spacing w:after="0"/>
              <w:rPr>
                <w:sz w:val="20"/>
                <w:szCs w:val="20"/>
                <w:color w:val="auto"/>
              </w:rPr>
            </w:pPr>
          </w:p>
        </w:tc>
        <w:tc>
          <w:tcPr>
            <w:tcW w:w="75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Non-Current Regulatory Liabilities</w:t>
            </w:r>
          </w:p>
        </w:tc>
        <w:tc>
          <w:tcPr>
            <w:tcW w:w="22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$125.0</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$125.8</w:t>
            </w:r>
          </w:p>
        </w:tc>
      </w:tr>
      <w:tr>
        <w:trPr>
          <w:trHeight w:val="27"/>
        </w:trPr>
        <w:tc>
          <w:tcPr>
            <w:tcW w:w="758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5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See Note 1. Operations and Significant Accounting Policies – Revision of Prior Balance Sheet.</w:t>
            </w:r>
          </w:p>
        </w:tc>
        <w:tc>
          <w:tcPr>
            <w:tcW w:w="22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parts of Wisconsin, Michigan, Minnesota and Illinois. We account for our investment in ATC under the equity method of accounting. As of March 31, 2017, our equity investment in ATC was $140.2 million ($135.6 million at December 31, 2016). In the first three months of 2017, we invested $3.1 million in ATC, and on April 28, 2017, we invested an additional $1.9 million. We expect to make additional investments of approximately $5.9 million in 2017.</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2016</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March 31, 2017</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r>
      <w:tr>
        <w:trPr>
          <w:trHeight w:val="20"/>
        </w:trPr>
        <w:tc>
          <w:tcPr>
            <w:tcW w:w="73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2016, the FERC issued an order reducing ATC’s authorized return on equity to 10.32 percent, or 10.82 percent including an incentive adder for participation in a regional transmission organization. Prior to this order, ATC had been allowed a return on equity of 12.2 percent which had been impacted by reductions for estimated refunds related to complaints filed with the FERC by several customers located within the MISO service area.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ectPr>
          <w:pgSz w:w="11900" w:h="16838" w:orient="portrait"/>
          <w:cols w:equalWidth="0" w:num="1">
            <w:col w:w="11420"/>
          </w:cols>
          <w:pgMar w:left="240" w:top="1039"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20"/>
          </w:cols>
          <w:pgMar w:left="240" w:top="1039"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7. INVESTMENT IN ATC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a federal administrative law judge ruled on an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expected in 2017. (See Note 6. Regulatory Matters.) We own approximately 8 percent of ATC and estimate that for every 50 basis point reduction in ATC’s allowed return on equity our equity earnings in ATC would be impacted annually by approximately $0.5 million after-tax.</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ALLETE’s short-term and long-term debt as of March 31, 2017 and December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March 31, 2017</w:t>
            </w:r>
          </w:p>
        </w:tc>
        <w:tc>
          <w:tcPr>
            <w:tcW w:w="200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Debt </w:t>
            </w:r>
            <w:r>
              <w:rPr>
                <w:rFonts w:ascii="Arial" w:cs="Arial" w:eastAsia="Arial" w:hAnsi="Arial"/>
                <w:sz w:val="16"/>
                <w:szCs w:val="16"/>
                <w:i w:val="1"/>
                <w:iCs w:val="1"/>
                <w:color w:val="auto"/>
              </w:rPr>
              <w:t>(a)</w:t>
            </w:r>
          </w:p>
        </w:tc>
        <w:tc>
          <w:tcPr>
            <w:tcW w:w="2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$164.5</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$(0.6)</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w:t>
            </w:r>
          </w:p>
        </w:tc>
      </w:tr>
      <w:tr>
        <w:trPr>
          <w:trHeight w:val="243"/>
        </w:trPr>
        <w:tc>
          <w:tcPr>
            <w:tcW w:w="20" w:type="dxa"/>
            <w:vAlign w:val="bottom"/>
          </w:tcPr>
          <w:p>
            <w:pPr>
              <w:spacing w:after="0"/>
              <w:rPr>
                <w:sz w:val="21"/>
                <w:szCs w:val="21"/>
                <w:color w:val="auto"/>
              </w:rPr>
            </w:pPr>
          </w:p>
        </w:tc>
        <w:tc>
          <w:tcPr>
            <w:tcW w:w="55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0" w:type="dxa"/>
            <w:vAlign w:val="bottom"/>
          </w:tcPr>
          <w:p>
            <w:pPr>
              <w:jc w:val="right"/>
              <w:ind w:right="270"/>
              <w:spacing w:after="0"/>
              <w:rPr>
                <w:sz w:val="20"/>
                <w:szCs w:val="20"/>
                <w:color w:val="auto"/>
              </w:rPr>
            </w:pPr>
            <w:r>
              <w:rPr>
                <w:rFonts w:ascii="Arial" w:cs="Arial" w:eastAsia="Arial" w:hAnsi="Arial"/>
                <w:sz w:val="18"/>
                <w:szCs w:val="18"/>
                <w:color w:val="auto"/>
              </w:rPr>
              <w:t>1,380.2</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(10.0)</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1,370.2</w:t>
            </w:r>
          </w:p>
        </w:tc>
      </w:tr>
      <w:tr>
        <w:trPr>
          <w:trHeight w:val="27"/>
        </w:trPr>
        <w:tc>
          <w:tcPr>
            <w:tcW w:w="2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$1,544.7</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$(10.6)</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$1,534.1</w:t>
            </w:r>
          </w:p>
        </w:tc>
      </w:tr>
      <w:tr>
        <w:trPr>
          <w:trHeight w:val="200"/>
        </w:trPr>
        <w:tc>
          <w:tcPr>
            <w:tcW w:w="20" w:type="dxa"/>
            <w:vAlign w:val="bottom"/>
          </w:tcPr>
          <w:p>
            <w:pPr>
              <w:spacing w:after="0"/>
              <w:rPr>
                <w:sz w:val="17"/>
                <w:szCs w:val="17"/>
                <w:color w:val="auto"/>
              </w:rPr>
            </w:pPr>
          </w:p>
        </w:tc>
        <w:tc>
          <w:tcPr>
            <w:tcW w:w="556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Consists of long-term debt due within one year and notes payable.</w:t>
            </w:r>
          </w:p>
        </w:tc>
        <w:tc>
          <w:tcPr>
            <w:tcW w:w="200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Unamortized Debt</w:t>
            </w:r>
          </w:p>
        </w:tc>
        <w:tc>
          <w:tcPr>
            <w:tcW w:w="14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December 31, 2016</w:t>
            </w:r>
          </w:p>
        </w:tc>
        <w:tc>
          <w:tcPr>
            <w:tcW w:w="2580" w:type="dxa"/>
            <w:vAlign w:val="bottom"/>
          </w:tcPr>
          <w:p>
            <w:pPr>
              <w:jc w:val="right"/>
              <w:ind w:right="270"/>
              <w:spacing w:after="0"/>
              <w:rPr>
                <w:sz w:val="20"/>
                <w:szCs w:val="20"/>
                <w:color w:val="auto"/>
              </w:rPr>
            </w:pPr>
            <w:r>
              <w:rPr>
                <w:rFonts w:ascii="Arial" w:cs="Arial" w:eastAsia="Arial" w:hAnsi="Arial"/>
                <w:sz w:val="18"/>
                <w:szCs w:val="18"/>
                <w:b w:val="1"/>
                <w:bCs w:val="1"/>
                <w:color w:val="auto"/>
              </w:rPr>
              <w:t>Principal</w:t>
            </w:r>
          </w:p>
        </w:tc>
        <w:tc>
          <w:tcPr>
            <w:tcW w:w="2440" w:type="dxa"/>
            <w:vAlign w:val="bottom"/>
          </w:tcPr>
          <w:p>
            <w:pPr>
              <w:jc w:val="right"/>
              <w:ind w:right="570"/>
              <w:spacing w:after="0"/>
              <w:rPr>
                <w:sz w:val="20"/>
                <w:szCs w:val="20"/>
                <w:color w:val="auto"/>
              </w:rPr>
            </w:pPr>
            <w:r>
              <w:rPr>
                <w:rFonts w:ascii="Arial" w:cs="Arial" w:eastAsia="Arial" w:hAnsi="Arial"/>
                <w:sz w:val="18"/>
                <w:szCs w:val="18"/>
                <w:b w:val="1"/>
                <w:bCs w:val="1"/>
                <w:color w:val="auto"/>
              </w:rPr>
              <w:t>Issuance Costs</w:t>
            </w: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Debt </w:t>
            </w:r>
            <w:r>
              <w:rPr>
                <w:rFonts w:ascii="Arial" w:cs="Arial" w:eastAsia="Arial" w:hAnsi="Arial"/>
                <w:sz w:val="16"/>
                <w:szCs w:val="16"/>
                <w:i w:val="1"/>
                <w:iCs w:val="1"/>
                <w:color w:val="auto"/>
              </w:rPr>
              <w:t>(a)</w:t>
            </w:r>
          </w:p>
        </w:tc>
        <w:tc>
          <w:tcPr>
            <w:tcW w:w="2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$188.3</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$(0.6)</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w:t>
            </w:r>
          </w:p>
        </w:tc>
      </w:tr>
      <w:tr>
        <w:trPr>
          <w:trHeight w:val="243"/>
        </w:trPr>
        <w:tc>
          <w:tcPr>
            <w:tcW w:w="2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580" w:type="dxa"/>
            <w:vAlign w:val="bottom"/>
          </w:tcPr>
          <w:p>
            <w:pPr>
              <w:jc w:val="right"/>
              <w:ind w:right="270"/>
              <w:spacing w:after="0"/>
              <w:rPr>
                <w:sz w:val="20"/>
                <w:szCs w:val="20"/>
                <w:color w:val="auto"/>
              </w:rPr>
            </w:pPr>
            <w:r>
              <w:rPr>
                <w:rFonts w:ascii="Arial" w:cs="Arial" w:eastAsia="Arial" w:hAnsi="Arial"/>
                <w:sz w:val="18"/>
                <w:szCs w:val="18"/>
                <w:color w:val="auto"/>
              </w:rPr>
              <w:t>1,380.8</w:t>
            </w:r>
          </w:p>
        </w:tc>
        <w:tc>
          <w:tcPr>
            <w:tcW w:w="2440" w:type="dxa"/>
            <w:vAlign w:val="bottom"/>
          </w:tcPr>
          <w:p>
            <w:pPr>
              <w:jc w:val="right"/>
              <w:ind w:right="570"/>
              <w:spacing w:after="0"/>
              <w:rPr>
                <w:sz w:val="20"/>
                <w:szCs w:val="20"/>
                <w:color w:val="auto"/>
              </w:rPr>
            </w:pPr>
            <w:r>
              <w:rPr>
                <w:rFonts w:ascii="Arial" w:cs="Arial" w:eastAsia="Arial" w:hAnsi="Arial"/>
                <w:sz w:val="18"/>
                <w:szCs w:val="18"/>
                <w:color w:val="auto"/>
              </w:rPr>
              <w:t>(10.4)</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1,370.4</w:t>
            </w:r>
          </w:p>
        </w:tc>
      </w:tr>
      <w:tr>
        <w:trPr>
          <w:trHeight w:val="27"/>
        </w:trPr>
        <w:tc>
          <w:tcPr>
            <w:tcW w:w="2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$1,569.1</w:t>
            </w:r>
          </w:p>
        </w:tc>
        <w:tc>
          <w:tcPr>
            <w:tcW w:w="24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$(11.0)</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$1,558.1</w:t>
            </w:r>
          </w:p>
        </w:tc>
      </w:tr>
      <w:tr>
        <w:trPr>
          <w:trHeight w:val="200"/>
        </w:trPr>
        <w:tc>
          <w:tcPr>
            <w:tcW w:w="20" w:type="dxa"/>
            <w:vAlign w:val="bottom"/>
          </w:tcPr>
          <w:p>
            <w:pPr>
              <w:spacing w:after="0"/>
              <w:rPr>
                <w:sz w:val="17"/>
                <w:szCs w:val="17"/>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Consisted of long-term debt due within one year.</w:t>
            </w:r>
          </w:p>
        </w:tc>
        <w:tc>
          <w:tcPr>
            <w:tcW w:w="258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long-term debt was issued in the first three months of 2017.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2016, ALLETE entered into an agreement to sell $80 million of the Company's senior unsecured notes (the Notes) to certain institutional buyers in the private placement market. The Notes will be sold in reliance on an exemption from registration under Section 4(a)(2) of the Securities Act of 1933, as amended, to institutional accredited investors. The Notes will be issued on or about June 1, 2017, carry an interest rate of 3.11 percent and mature on June 1, 2027.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Notes is payable semi-annually on June 1 and December 1 of each year, commencing on December 1, 2017. The Company has the option to prepay all or a portion of the Notes at its discretion, subject to a make-whole provision. The Notes are subject to additional terms and conditions which are customary for these types of transactions. Proceeds from the sale of the Notes will be used to redeem debt, fund corporate growth opportunities and/or for general corporate purposes.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2017, our ratio was approximately 0.43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March 31, 2017,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104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NOTE 9. INCOME TAX EXPENSE</w:t>
            </w:r>
          </w:p>
        </w:tc>
        <w:tc>
          <w:tcPr>
            <w:tcW w:w="4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6080" w:type="dxa"/>
            <w:vAlign w:val="bottom"/>
          </w:tcPr>
          <w:p>
            <w:pPr>
              <w:spacing w:after="0"/>
              <w:rPr>
                <w:sz w:val="24"/>
                <w:szCs w:val="24"/>
                <w:color w:val="auto"/>
              </w:rPr>
            </w:pPr>
          </w:p>
        </w:tc>
        <w:tc>
          <w:tcPr>
            <w:tcW w:w="53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080" w:type="dxa"/>
            <w:vAlign w:val="bottom"/>
          </w:tcPr>
          <w:p>
            <w:pPr>
              <w:spacing w:after="0"/>
              <w:rPr>
                <w:sz w:val="23"/>
                <w:szCs w:val="23"/>
                <w:color w:val="auto"/>
              </w:rPr>
            </w:pP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23"/>
                <w:szCs w:val="23"/>
                <w:color w:val="auto"/>
              </w:rPr>
            </w:pPr>
          </w:p>
        </w:tc>
      </w:tr>
      <w:tr>
        <w:trPr>
          <w:trHeight w:val="270"/>
        </w:trPr>
        <w:tc>
          <w:tcPr>
            <w:tcW w:w="6080" w:type="dxa"/>
            <w:vAlign w:val="bottom"/>
          </w:tcPr>
          <w:p>
            <w:pPr>
              <w:spacing w:after="0"/>
              <w:rPr>
                <w:sz w:val="23"/>
                <w:szCs w:val="23"/>
                <w:color w:val="auto"/>
              </w:rPr>
            </w:pPr>
          </w:p>
        </w:tc>
        <w:tc>
          <w:tcPr>
            <w:tcW w:w="4500" w:type="dxa"/>
            <w:vAlign w:val="bottom"/>
          </w:tcPr>
          <w:p>
            <w:pPr>
              <w:jc w:val="right"/>
              <w:ind w:right="870"/>
              <w:spacing w:after="0"/>
              <w:rPr>
                <w:sz w:val="20"/>
                <w:szCs w:val="20"/>
                <w:color w:val="auto"/>
              </w:rPr>
            </w:pPr>
            <w:r>
              <w:rPr>
                <w:rFonts w:ascii="Arial" w:cs="Arial" w:eastAsia="Arial" w:hAnsi="Arial"/>
                <w:sz w:val="18"/>
                <w:szCs w:val="18"/>
                <w:b w:val="1"/>
                <w:bCs w:val="1"/>
                <w:color w:val="auto"/>
              </w:rPr>
              <w:t>2017</w:t>
            </w: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60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Tax Expense </w:t>
            </w:r>
            <w:r>
              <w:rPr>
                <w:rFonts w:ascii="Arial" w:cs="Arial" w:eastAsia="Arial" w:hAnsi="Arial"/>
                <w:sz w:val="16"/>
                <w:szCs w:val="16"/>
                <w:i w:val="1"/>
                <w:iCs w:val="1"/>
                <w:color w:val="auto"/>
              </w:rPr>
              <w:t>(a)</w:t>
            </w:r>
          </w:p>
        </w:tc>
        <w:tc>
          <w:tcPr>
            <w:tcW w:w="4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450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45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$0.1</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37"/>
        </w:trPr>
        <w:tc>
          <w:tcPr>
            <w:tcW w:w="60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w:t>
            </w:r>
          </w:p>
        </w:tc>
        <w:tc>
          <w:tcPr>
            <w:tcW w:w="450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$0.1</w:t>
            </w: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r>
      <w:tr>
        <w:trPr>
          <w:trHeight w:val="27"/>
        </w:trPr>
        <w:tc>
          <w:tcPr>
            <w:tcW w:w="60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w:t>
            </w:r>
          </w:p>
        </w:tc>
        <w:tc>
          <w:tcPr>
            <w:tcW w:w="4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4500" w:type="dxa"/>
            <w:vAlign w:val="bottom"/>
          </w:tcPr>
          <w:p>
            <w:pPr>
              <w:jc w:val="right"/>
              <w:ind w:right="590"/>
              <w:spacing w:after="0"/>
              <w:rPr>
                <w:sz w:val="20"/>
                <w:szCs w:val="20"/>
                <w:color w:val="auto"/>
              </w:rPr>
            </w:pPr>
            <w:r>
              <w:rPr>
                <w:rFonts w:ascii="Arial" w:cs="Arial" w:eastAsia="Arial" w:hAnsi="Arial"/>
                <w:sz w:val="18"/>
                <w:szCs w:val="18"/>
                <w:color w:val="auto"/>
              </w:rPr>
              <w:t>$7.3</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$4.6</w:t>
            </w:r>
          </w:p>
        </w:tc>
      </w:tr>
      <w:tr>
        <w:trPr>
          <w:trHeight w:val="27"/>
        </w:trPr>
        <w:tc>
          <w:tcPr>
            <w:tcW w:w="60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45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5.9</w:t>
            </w: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4500" w:type="dxa"/>
            <w:vAlign w:val="bottom"/>
          </w:tcPr>
          <w:p>
            <w:pPr>
              <w:jc w:val="right"/>
              <w:ind w:right="590"/>
              <w:spacing w:after="0"/>
              <w:rPr>
                <w:sz w:val="20"/>
                <w:szCs w:val="20"/>
                <w:color w:val="auto"/>
              </w:rPr>
            </w:pPr>
            <w:r>
              <w:rPr>
                <w:rFonts w:ascii="Arial" w:cs="Arial" w:eastAsia="Arial" w:hAnsi="Arial"/>
                <w:sz w:val="18"/>
                <w:szCs w:val="18"/>
                <w:color w:val="auto"/>
              </w:rPr>
              <w:t>(0.2)</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60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45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$13.0</w:t>
            </w: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45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$13.1</w:t>
            </w:r>
          </w:p>
        </w:tc>
        <w:tc>
          <w:tcPr>
            <w:tcW w:w="8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line="349"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March 31, 2017, and 2016, the federal and state current tax expense was minimal due to NOLs which resulted from the bonus depreciation provisions of the Protecting Americans from Tax Hikes Act of 2015, the Tax Increase Prevention Act of 2014 and the American Taxpayer Relief Act of 2012.</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45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3780" w:type="dxa"/>
            <w:vAlign w:val="bottom"/>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720" w:type="dxa"/>
            <w:vAlign w:val="bottom"/>
          </w:tcPr>
          <w:p>
            <w:pPr>
              <w:spacing w:after="0"/>
              <w:rPr>
                <w:sz w:val="23"/>
                <w:szCs w:val="23"/>
                <w:color w:val="auto"/>
              </w:rPr>
            </w:pPr>
          </w:p>
        </w:tc>
      </w:tr>
      <w:tr>
        <w:trPr>
          <w:trHeight w:val="270"/>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Rate to Total Income Tax Expense</w:t>
            </w:r>
          </w:p>
        </w:tc>
        <w:tc>
          <w:tcPr>
            <w:tcW w:w="37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r>
      <w:tr>
        <w:trPr>
          <w:trHeight w:val="27"/>
        </w:trPr>
        <w:tc>
          <w:tcPr>
            <w:tcW w:w="69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69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Non-Controlling Interest and Income Taxes</w:t>
            </w:r>
          </w:p>
        </w:tc>
        <w:tc>
          <w:tcPr>
            <w:tcW w:w="37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$62.1</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$55.7</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Statutory Federal Income Tax Rate</w:t>
            </w:r>
          </w:p>
        </w:tc>
        <w:tc>
          <w:tcPr>
            <w:tcW w:w="3780" w:type="dxa"/>
            <w:vAlign w:val="bottom"/>
          </w:tcPr>
          <w:p>
            <w:pPr>
              <w:jc w:val="right"/>
              <w:ind w:right="530"/>
              <w:spacing w:after="0"/>
              <w:rPr>
                <w:sz w:val="20"/>
                <w:szCs w:val="20"/>
                <w:color w:val="auto"/>
              </w:rPr>
            </w:pPr>
            <w:r>
              <w:rPr>
                <w:rFonts w:ascii="Arial" w:cs="Arial" w:eastAsia="Arial" w:hAnsi="Arial"/>
                <w:sz w:val="18"/>
                <w:szCs w:val="18"/>
                <w:color w:val="auto"/>
              </w:rPr>
              <w:t>35%</w:t>
            </w: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9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Computed at 35 percent Statutory Federal Rate</w:t>
            </w:r>
          </w:p>
        </w:tc>
        <w:tc>
          <w:tcPr>
            <w:tcW w:w="37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$21.7</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Increase (Decrease) in Tax Due to:</w:t>
            </w:r>
          </w:p>
        </w:tc>
        <w:tc>
          <w:tcPr>
            <w:tcW w:w="37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 Net of Federal Income Tax Benefit</w:t>
            </w:r>
          </w:p>
        </w:tc>
        <w:tc>
          <w:tcPr>
            <w:tcW w:w="37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3.9</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Production Tax Credits</w:t>
            </w:r>
          </w:p>
        </w:tc>
        <w:tc>
          <w:tcPr>
            <w:tcW w:w="3780" w:type="dxa"/>
            <w:vAlign w:val="bottom"/>
          </w:tcPr>
          <w:p>
            <w:pPr>
              <w:jc w:val="right"/>
              <w:ind w:right="630"/>
              <w:spacing w:after="0"/>
              <w:rPr>
                <w:sz w:val="20"/>
                <w:szCs w:val="20"/>
                <w:color w:val="auto"/>
              </w:rPr>
            </w:pPr>
            <w:r>
              <w:rPr>
                <w:rFonts w:ascii="Arial" w:cs="Arial" w:eastAsia="Arial" w:hAnsi="Arial"/>
                <w:sz w:val="18"/>
                <w:szCs w:val="18"/>
                <w:color w:val="auto"/>
              </w:rPr>
              <w:t>(13.0)</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(13.9)</w:t>
            </w:r>
          </w:p>
        </w:tc>
      </w:tr>
      <w:tr>
        <w:trPr>
          <w:trHeight w:val="27"/>
        </w:trPr>
        <w:tc>
          <w:tcPr>
            <w:tcW w:w="69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Differences for Utility Plant</w:t>
            </w:r>
          </w:p>
        </w:tc>
        <w:tc>
          <w:tcPr>
            <w:tcW w:w="37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0.1</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Other</w:t>
            </w:r>
          </w:p>
        </w:tc>
        <w:tc>
          <w:tcPr>
            <w:tcW w:w="3780" w:type="dxa"/>
            <w:vAlign w:val="bottom"/>
          </w:tcPr>
          <w:p>
            <w:pPr>
              <w:jc w:val="right"/>
              <w:ind w:right="690"/>
              <w:spacing w:after="0"/>
              <w:rPr>
                <w:sz w:val="20"/>
                <w:szCs w:val="20"/>
                <w:color w:val="auto"/>
              </w:rPr>
            </w:pPr>
            <w:r>
              <w:rPr>
                <w:rFonts w:ascii="Arial" w:cs="Arial" w:eastAsia="Arial" w:hAnsi="Arial"/>
                <w:sz w:val="18"/>
                <w:szCs w:val="18"/>
                <w:color w:val="auto"/>
              </w:rPr>
              <w:t>0.4</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7"/>
        </w:trPr>
        <w:tc>
          <w:tcPr>
            <w:tcW w:w="69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37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$13.1</w:t>
            </w: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w:t>
            </w:r>
          </w:p>
        </w:tc>
      </w:tr>
      <w:tr>
        <w:trPr>
          <w:trHeight w:val="20"/>
        </w:trPr>
        <w:tc>
          <w:tcPr>
            <w:tcW w:w="692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2017, the effective tax rate was 21.1 percent (16.7 percent for the three months ended March 31, 2016).</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March 31, 2017, we had gross unrecognized tax benefits of $2.0 million ($2.0 million as of December 31, 2016).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$0.7 million represents the amount of unrecognized tax benefits included on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ALLETE has no open federal or state audits, and is no longer subject to federal examination for years before 2013, or state examination for years before 2012.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20"/>
          </w:cols>
          <w:pgMar w:left="240" w:top="1040"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10. RECLASSIFICATIONS OUT OF ACCUMULATED OTHER COMPREHENSIVE LOSS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Accumulated Other Comprehensive Loss. </w:t>
      </w:r>
      <w:r>
        <w:rPr>
          <w:rFonts w:ascii="Arial" w:cs="Arial" w:eastAsia="Arial" w:hAnsi="Arial"/>
          <w:sz w:val="18"/>
          <w:szCs w:val="18"/>
          <w:color w:val="auto"/>
        </w:rPr>
        <w:t>Comprehensive income (loss) is the change in shareholders’ equity during a period from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 events from non-owner sources, including net income. The amounts recorded to accumulated other comprehensive loss include unrealized gains and losses on available-for-sale securities, and defined benefit pension and other postretirement items, consisting of deferred actuarial gains or losses and prior service costs or credits.</w:t>
      </w:r>
    </w:p>
    <w:p>
      <w:pPr>
        <w:spacing w:after="0" w:line="18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March 31, 2017, and 2016, reclassifications out of accumulated other comprehensive loss for the Company were not material. Changes in accumulated other comprehensive loss for the three months ended March 31, 2017, are presented on the Consolidated Statement of Shareholders’ Equity.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and performance share awards granted under our Executive Long-Term Incentive Compensation Plan. For the three months ended March 31, 2017, and 2016, no options to purchase shares of ALLETE common stock were excluded from the computation of diluted earnings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$49.0</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$45.9</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50.2</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49.2</w:t>
            </w:r>
          </w:p>
        </w:tc>
        <w:tc>
          <w:tcPr>
            <w:tcW w:w="1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$0.97</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$0.93</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Contributions to Pension. </w:t>
      </w:r>
      <w:r>
        <w:rPr>
          <w:rFonts w:ascii="Arial" w:cs="Arial" w:eastAsia="Arial" w:hAnsi="Arial"/>
          <w:sz w:val="18"/>
          <w:szCs w:val="18"/>
          <w:color w:val="auto"/>
        </w:rPr>
        <w:t>For the three months ended March 31, 2017, we contributed 0.2 million shares of ALLETE common stock to our defined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pension plan, which had an aggregate value of $13.5 million when contributed (no shares were contributed to the defined benefit pension plan for the three months ended March 31, 2016). These shares of ALLETE common stock were contributed in reliance upon an exemption available pursuant to Section 4(a)(2) of the Securities Act of 1933, as amended.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w:t>
            </w:r>
          </w:p>
        </w:tc>
        <w:tc>
          <w:tcPr>
            <w:tcW w:w="1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41"/>
        </w:trPr>
        <w:tc>
          <w:tcPr>
            <w:tcW w:w="6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b w:val="1"/>
                <w:bCs w:val="1"/>
                <w:color w:val="auto"/>
                <w:w w:val="91"/>
              </w:rPr>
              <w:t>Other</w:t>
            </w:r>
          </w:p>
        </w:tc>
      </w:tr>
      <w:tr>
        <w:trPr>
          <w:trHeight w:val="234"/>
        </w:trPr>
        <w:tc>
          <w:tcPr>
            <w:tcW w:w="64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60" w:type="dxa"/>
            <w:vAlign w:val="bottom"/>
          </w:tcPr>
          <w:p>
            <w:pPr>
              <w:spacing w:after="0"/>
              <w:rPr>
                <w:sz w:val="20"/>
                <w:szCs w:val="20"/>
                <w:color w:val="auto"/>
              </w:rPr>
            </w:pPr>
          </w:p>
        </w:tc>
        <w:tc>
          <w:tcPr>
            <w:tcW w:w="23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 (Income)</w:t>
            </w:r>
          </w:p>
        </w:tc>
        <w:tc>
          <w:tcPr>
            <w:tcW w:w="1660" w:type="dxa"/>
            <w:vAlign w:val="bottom"/>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2016</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6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$2.5</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6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8.1</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(10.6)</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(10.6)</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(2.8)</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Credits</w:t>
            </w:r>
          </w:p>
        </w:tc>
        <w:tc>
          <w:tcPr>
            <w:tcW w:w="16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2.5</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2.4</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16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$2.5</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$(0.6)</w:t>
            </w:r>
          </w:p>
        </w:tc>
      </w:tr>
      <w:tr>
        <w:trPr>
          <w:trHeight w:val="20"/>
        </w:trPr>
        <w:tc>
          <w:tcPr>
            <w:tcW w:w="64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three months ended March 31, 2017, we contributed $1.7 million in cash and $13.5 million in ALLETE common stock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defined benefit pension plan (none for the three months ended March 31, 2016); we do not expect to make additional contributions to our defined benefit pension plan in 2017. For the three months ended March 31, 2017, and 2016, we made no contributions to our other postretirement benefit plan; we do not expect to make any contributions to our other postretirement benefit plan in 2017.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20"/>
          </w:cols>
          <w:pgMar w:left="240" w:top="1040"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PPAs are summarized in Note 11. Commitments, Guarantees and Contingencies to our Consolidated Financial Statements in our 2016 Form 10-K, with additional disclosure provided in the following paragraphs.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Square Butte PPA. </w:t>
      </w:r>
      <w:r>
        <w:rPr>
          <w:rFonts w:ascii="Arial" w:cs="Arial" w:eastAsia="Arial" w:hAnsi="Arial"/>
          <w:sz w:val="17"/>
          <w:szCs w:val="17"/>
          <w:color w:val="auto"/>
        </w:rPr>
        <w:t>Minnesota Power has a PPA with Square Butte that extends through 2026 (Agreement). Minnesota Power is obligated to pay its pro rata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share of Square Butte’s costs based on its entitlement to the output of Square Butte’s 455 MW coal-fired generating unit. Minnesota Power’s output entitlement under the Agreement is 50 percent for the remainder of the Agreement, subject to the provisions of the Minnkota Power PSA. (See </w:t>
      </w:r>
      <w:r>
        <w:rPr>
          <w:rFonts w:ascii="Arial" w:cs="Arial" w:eastAsia="Arial" w:hAnsi="Arial"/>
          <w:sz w:val="17"/>
          <w:szCs w:val="17"/>
          <w:i w:val="1"/>
          <w:iCs w:val="1"/>
          <w:color w:val="auto"/>
        </w:rPr>
        <w:t>Minnkota</w:t>
      </w:r>
      <w:r>
        <w:rPr>
          <w:rFonts w:ascii="Arial" w:cs="Arial" w:eastAsia="Arial" w:hAnsi="Arial"/>
          <w:sz w:val="17"/>
          <w:szCs w:val="17"/>
          <w:color w:val="auto"/>
        </w:rPr>
        <w:t xml:space="preserve"> </w:t>
      </w:r>
      <w:r>
        <w:rPr>
          <w:rFonts w:ascii="Arial" w:cs="Arial" w:eastAsia="Arial" w:hAnsi="Arial"/>
          <w:sz w:val="17"/>
          <w:szCs w:val="17"/>
          <w:i w:val="1"/>
          <w:iCs w:val="1"/>
          <w:color w:val="auto"/>
        </w:rPr>
        <w:t>Power PSA</w:t>
      </w:r>
      <w:r>
        <w:rPr>
          <w:rFonts w:ascii="Arial" w:cs="Arial" w:eastAsia="Arial" w:hAnsi="Arial"/>
          <w:sz w:val="17"/>
          <w:szCs w:val="17"/>
          <w:color w:val="auto"/>
        </w:rPr>
        <w:t>.) Square Butte’s costs consist primarily of debt service, operating and maintenance, depreciation and fuel expenses. As of March 31, 2017, Square</w:t>
      </w:r>
      <w:r>
        <w:rPr>
          <w:rFonts w:ascii="Arial" w:cs="Arial" w:eastAsia="Arial" w:hAnsi="Arial"/>
          <w:sz w:val="17"/>
          <w:szCs w:val="17"/>
          <w:i w:val="1"/>
          <w:iCs w:val="1"/>
          <w:color w:val="auto"/>
        </w:rPr>
        <w:t xml:space="preserve"> </w:t>
      </w:r>
      <w:r>
        <w:rPr>
          <w:rFonts w:ascii="Arial" w:cs="Arial" w:eastAsia="Arial" w:hAnsi="Arial"/>
          <w:sz w:val="17"/>
          <w:szCs w:val="17"/>
          <w:color w:val="auto"/>
        </w:rPr>
        <w:t>Butte had total debt outstanding of $313.7 million. Fuel expenses are recoverable through Minnesota Power’s fuel adjustment clause and include the cost of coal purchased from BNI Energy under a long-term contract.</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Minnesota Power’s cost of power purchased from Square Butte during the three months ended March 31, 2017, was $20.3 million ($18.5 million for the three months ended March 31, 2016). This reflects Minnesota Power’s pro rata share of total Square Butte costs based on the 50 percent output entitlement. Included in this amount was Minnesota Power’s pro rata share of interest expense of $2.3 million ($2.4 million for the same period in 2016). Minnesota Power’s payments to Square Butte are approved as a purchased power expense for ratemaking purposes by both the MPUC and the FERC.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which commenced in 2014. Under the PSA, Minnesota Power is selling a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2017 and in 2016.</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Minnesota Power has coal supply agreements providing for the purchase of a significant portion of its coal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December 2017 and a portion of its coal requirements through December 2021. Minnesota Power also has coal transportation agreements in place for the delivery of a significant portion of its coal requirements through December 2019. The minimum annual payment obligation under these supply and transportation agreements is $20.7 million for the remainder of 2017, $27.0 million in 2018, $1.8 million in 2019 and none thereafter. The delivered costs of fuel for Minnesota Power’s generation are recoverable from Minnesota Power’s utility customers through the fuel adjustment clause.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Leasing Agreements. </w:t>
      </w:r>
      <w:r>
        <w:rPr>
          <w:rFonts w:ascii="Arial" w:cs="Arial" w:eastAsia="Arial" w:hAnsi="Arial"/>
          <w:sz w:val="17"/>
          <w:szCs w:val="17"/>
          <w:color w:val="auto"/>
        </w:rPr>
        <w:t>BNI Energy is obligated to make lease payments for a dragline totaling $2.8 million annually during the lease term, which expires in</w:t>
      </w:r>
      <w:r>
        <w:rPr>
          <w:rFonts w:ascii="Arial" w:cs="Arial" w:eastAsia="Arial" w:hAnsi="Arial"/>
          <w:sz w:val="17"/>
          <w:szCs w:val="17"/>
          <w:b w:val="1"/>
          <w:bCs w:val="1"/>
          <w:color w:val="auto"/>
        </w:rPr>
        <w:t xml:space="preserve"> </w:t>
      </w:r>
      <w:r>
        <w:rPr>
          <w:rFonts w:ascii="Arial" w:cs="Arial" w:eastAsia="Arial" w:hAnsi="Arial"/>
          <w:sz w:val="17"/>
          <w:szCs w:val="17"/>
          <w:color w:val="auto"/>
        </w:rPr>
        <w:t>2027. BNI Energy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2023. The aggregate amount of minimum lease payments for all operating leases is $10.3 million for the remainder of 2017, $12.0 million in 2018, $10.7 million in 2019, $7.5 million in 2020, $5.9 million in 2021 and $18.3 million thereafter.</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and Manitoba Hydro proposed construction of the GNTL, an approximately 220-mile 500-kV transmission line between Manitoba and Minnesota’s Iron Range in order to strengthen the electric grid, enhance regional reliability and promote a greater exchange of sustainable energy.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104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2015, a certificate of need was approved by the MPUC. Based on this order, Minnesota Power’s portion of the investments and expenditures for the project are eligible for cost recovery under its existing transmission cost recovery rider and are anticipated to be included in future transmission cost recovery filings. (See Note 6. Regulatory Matters.) In 2015, the FERC approved our request to recover on construction work in progress related to the GNTL from Minnesota Power’s wholesale customers. In an April 2016 order, the MPUC approved the route permit for the GNTL which largely follows Minnesota Power’s preferred route, including the international border crossing, and in November 2016, the U.S. Department of Energy issued a presidential permit to cross the U.S.-Canadian border, which was the final major regulatory approval needed before construction in the U.S. could begin. Site clearing and pre-construction activities commenced in the first quarter of 2017 with construction expected to be completed in 2020.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$56.8 million have been incurred through March 31, 2017, of which $29.6 million has been recovered from a subsidiary of Manitoba Hydro.</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2015, Manitoba Hydro submitted the final preferred route and EIS for the transmission line in Canada to the Manitoba Conservation and Water Stewardship for regulatory approval. Construction of Manitoba Hydro’s hydroelectric generation facility commenced in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regulation under many of these regulations. In response to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to conduct such operations have been obtained. We anticipate that with many state and federal environmental regulations finalized, or to be finalized in the near future, potential expenditures for future environmental matters may be material and may require significant capital investments. Minnesota Power has evaluated various environmental compliance scenarios using possible outcomes of environmental regulations to project power supply trends and impacts on customers.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104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New Source Review (NSR). </w:t>
      </w:r>
      <w:r>
        <w:rPr>
          <w:rFonts w:ascii="Arial" w:cs="Arial" w:eastAsia="Arial" w:hAnsi="Arial"/>
          <w:sz w:val="17"/>
          <w:szCs w:val="17"/>
          <w:color w:val="auto"/>
        </w:rPr>
        <w:t>In 2008, Minnesota Power received a Notice of Violation (NOV) from the EPA asserting violations of the NSR requirements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Clean Air Act at Boswell and Laskin Unit 2 between the years of 1981 and 2001. Minnesota Power received an additional NOV in 2011 alleging that two projects undertaken at Rapids Energy Center in 2004 and 2005 should have been reviewed under the NSR requirements and that the Rapids Energy Center’s Title V permit was violated. Minnesota Power reached a settlement with the EPA regarding these NOVs and entered into a Consent Decree which was approved by the U.S. District Court for the District of Minnesota in 2014. The Consent Decree provided for, among other requirements, more stringent emissions limits at all affected units, the option of refueling, retrofits or retirements at certain small coal units, and the addition of 200 MW of wind energy. Provisions of the Consent Decree require that, by no later than December 31, 2018, Boswell Units 1 and 2 must be retired, refueled, repowered, or emissions rerouted through existing emission control technology at Boswell. In October 2016, Minnesota Power announced that Boswell Units 1 and 2 will be retired in 2018 as the latest step in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We believe that costs to retire will be eligible for recovery in rates over time, subject to regulatory approval in a rate proceeding.</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The CSAPR requires a total of 28 states in the eastern half of the U.S., including Minnesota, to reduce power plant</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that contribute to ozone or fine particulate pollution in other states. The CSAPR does not require installation of controls; rather it requires that facilities have sufficient allowances to cover their emissions on an annual basis. These allowances are allocated to facilities from each state’s annual budget, and can be bought and sold.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Power’s generation levels and emission rates in 2015 and 2016 were below its allowances. Allowances for 2017 and 2018 were distributed in June 2016. Based on our review of the NO</w:t>
      </w:r>
      <w:r>
        <w:rPr>
          <w:rFonts w:ascii="Arial" w:cs="Arial" w:eastAsia="Arial" w:hAnsi="Arial"/>
          <w:sz w:val="12"/>
          <w:szCs w:val="12"/>
          <w:color w:val="auto"/>
        </w:rPr>
        <w:t>x</w:t>
      </w:r>
      <w:r>
        <w:rPr>
          <w:rFonts w:ascii="Arial" w:cs="Arial" w:eastAsia="Arial" w:hAnsi="Arial"/>
          <w:sz w:val="18"/>
          <w:szCs w:val="18"/>
          <w:color w:val="auto"/>
        </w:rPr>
        <w:t xml:space="preserve"> and SO</w:t>
      </w:r>
      <w:r>
        <w:rPr>
          <w:rFonts w:ascii="Arial" w:cs="Arial" w:eastAsia="Arial" w:hAnsi="Arial"/>
          <w:sz w:val="12"/>
          <w:szCs w:val="12"/>
          <w:color w:val="auto"/>
        </w:rPr>
        <w:t>2</w:t>
      </w:r>
      <w:r>
        <w:rPr>
          <w:rFonts w:ascii="Arial" w:cs="Arial" w:eastAsia="Arial" w:hAnsi="Arial"/>
          <w:sz w:val="18"/>
          <w:szCs w:val="18"/>
          <w:color w:val="auto"/>
        </w:rPr>
        <w:t xml:space="preserve"> allowances issued and pending issuance, we currently expect generation levels and emission rates will result in compliance with the CSAPR.</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Mercury and Air Toxics Standards (MATS) Rule (formerly known as the Electric Generating Unit Maximum Achievable Control Technology (MACT) Rule). </w:t>
      </w:r>
      <w:r>
        <w:rPr>
          <w:rFonts w:ascii="Arial" w:cs="Arial" w:eastAsia="Arial" w:hAnsi="Arial"/>
          <w:sz w:val="17"/>
          <w:szCs w:val="17"/>
          <w:color w:val="auto"/>
        </w:rPr>
        <w:t>Under Section 112 of the Clean Air Act, the EPA is required to set emission standards for hazardous air pollutants (HAPs) for certain source categories. The EPA published the final MATS rule in the Federal Register in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were required to be in compliance with the rule by April 2015. States had the authority to grant sources a one-year extension. The MPCA approved Minnesota Power’s request for an extension of the date of compliance for the Boswell Unit 4 environmental upgrade to April 2016. Construction on the project to implement the Boswell Unit 4 mercury emissions reduction plan was completed in 2015. Boswell Unit 3 is also subject to the MATS rule; however, investments and compliance work completed at Boswell Unit 3, including emission reduction investments completed in 2009, meet the requirements of the MATS rule. The conversion of Laskin Units 1 and 2 to natural gas in 2015 positioned those units for MATS compliance.</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2015, the U.S. Supreme Court reversed and remanded an earlier U.S. Court of Appeals for the D.C. Circuit decision on the MATS rule. The U.S. Supreme Court ruled that it was unreasonable for the EPA to deem cost of compliance irrelevant in determining that regulation of emissions of hazardous air pollutants from power plants was “appropriate and necessary” under Section 112 of the Clean Air Act. The MATS rule remains in effect until the U.S. Court of Appeals for the D.C. Circuit acts on the remand. In 2015, the U.S. Court of Appeals for the D.C. Circuit rejected a motion by utilities and states to vacate the MATS rule, instead ordering the rule to remain in effect while the EPA completes its review. In April 2016, the EPA announced its determination that the MATS rule is appropriate and necessary, even after considering cost of compliance. The outcome of these proceedings is not expected to have a material impact on Minnesota Power generation due to emission reduction obligations under the Minnesota Mercury Emissions Reduction Act and the Consent Decree. (See </w:t>
      </w:r>
      <w:r>
        <w:rPr>
          <w:rFonts w:ascii="Arial" w:cs="Arial" w:eastAsia="Arial" w:hAnsi="Arial"/>
          <w:sz w:val="18"/>
          <w:szCs w:val="18"/>
          <w:i w:val="1"/>
          <w:iCs w:val="1"/>
          <w:color w:val="auto"/>
        </w:rPr>
        <w:t>New Source Review.</w:t>
      </w:r>
      <w:r>
        <w:rPr>
          <w:rFonts w:ascii="Arial" w:cs="Arial" w:eastAsia="Arial" w:hAnsi="Arial"/>
          <w:sz w:val="18"/>
          <w:szCs w:val="18"/>
          <w:color w:val="auto"/>
        </w:rPr>
        <w: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Mercury Emissions Reduction Act/Rule. </w:t>
      </w:r>
      <w:r>
        <w:rPr>
          <w:rFonts w:ascii="Arial" w:cs="Arial" w:eastAsia="Arial" w:hAnsi="Arial"/>
          <w:sz w:val="18"/>
          <w:szCs w:val="18"/>
          <w:color w:val="auto"/>
        </w:rPr>
        <w:t>In order to comply with the Minnesota Mercury Emissions Reduction Act, which was incorporated into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rules promulgated by the MPCA in September 2014, Minnesota Power was required to implement a mercury emissions reduction project for Boswell Unit 4 by December 31, 2018. The Boswell Unit 4 environmental upgrade discussed above (see </w:t>
      </w:r>
      <w:r>
        <w:rPr>
          <w:rFonts w:ascii="Arial" w:cs="Arial" w:eastAsia="Arial" w:hAnsi="Arial"/>
          <w:sz w:val="18"/>
          <w:szCs w:val="18"/>
          <w:i w:val="1"/>
          <w:iCs w:val="1"/>
          <w:color w:val="auto"/>
        </w:rPr>
        <w:t>Mercury and Air Toxics Standards (MATS) Rule</w:t>
      </w:r>
      <w:r>
        <w:rPr>
          <w:rFonts w:ascii="Arial" w:cs="Arial" w:eastAsia="Arial" w:hAnsi="Arial"/>
          <w:sz w:val="18"/>
          <w:szCs w:val="18"/>
          <w:color w:val="auto"/>
        </w:rPr>
        <w:t>) fulfills the requirements of the Minnesota Mercury Emissions Reduction Act.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20"/>
          </w:cols>
          <w:pgMar w:left="240" w:top="104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8"/>
          <w:szCs w:val="18"/>
          <w:color w:val="auto"/>
        </w:rPr>
        <w:t>A</w:t>
      </w:r>
      <w:r>
        <w:rPr>
          <w:rFonts w:ascii="Arial" w:cs="Arial" w:eastAsia="Arial" w:hAnsi="Arial"/>
          <w:sz w:val="18"/>
          <w:szCs w:val="18"/>
          <w:i w:val="1"/>
          <w:iCs w:val="1"/>
          <w:color w:val="auto"/>
        </w:rPr>
        <w:t xml:space="preserve"> </w:t>
      </w:r>
      <w:r>
        <w:rPr>
          <w:rFonts w:ascii="Arial" w:cs="Arial" w:eastAsia="Arial" w:hAnsi="Arial"/>
          <w:sz w:val="18"/>
          <w:szCs w:val="18"/>
          <w:color w:val="auto"/>
        </w:rPr>
        <w:t>final rule issued by the EPA for Industrial Boiler MACT became effective in 2012. Major existing sources had until January 2016, to achieve compliance with the final rule and July 2016, to perform initial compliance demonstrations. Minnesota Power’s Hibbard Renewable Energy Center and Rapids Energy Center are subject to this rule and are currently in compliance. Compliance consisted largely of adjustments to our operating practices; therefore, the costs for complying with the final rule were not material.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has proposed more stringent control related to emissions that result in ground level ozone. In 2010, the EPA proposed to revise the</w:t>
      </w:r>
      <w:r>
        <w:rPr>
          <w:rFonts w:ascii="Arial" w:cs="Arial" w:eastAsia="Arial" w:hAnsi="Arial"/>
          <w:sz w:val="17"/>
          <w:szCs w:val="17"/>
          <w:i w:val="1"/>
          <w:iCs w:val="1"/>
          <w:color w:val="auto"/>
        </w:rPr>
        <w:t xml:space="preserve"> </w:t>
      </w:r>
      <w:r>
        <w:rPr>
          <w:rFonts w:ascii="Arial" w:cs="Arial" w:eastAsia="Arial" w:hAnsi="Arial"/>
          <w:sz w:val="17"/>
          <w:szCs w:val="17"/>
          <w:color w:val="auto"/>
        </w:rPr>
        <w:t>2008 eight-hour ozone standard of 75 parts per billion (ppb) and to adopt a secondary standard for the protection of sensitive vegetation from ozone-related damage. In 2015, the EPA published the final rule in the Federal Register revising the eight-hour ozone standard to 70 ppb with a secondary standard also set at 70 ppb. All areas of Minnesota currently meet the new standard based on the most recent available ambient monitoring data; however, some areas in the metropolitan Twin Cities and southwest portion of the state are close to exceeding the standard. As a result, voluntary efforts to reduce ozone continue in the state. No additional costs for compliance are anticipated at this time.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Particulate Matter NAAQS. </w:t>
      </w:r>
      <w:r>
        <w:rPr>
          <w:rFonts w:ascii="Arial" w:cs="Arial" w:eastAsia="Arial" w:hAnsi="Arial"/>
          <w:sz w:val="18"/>
          <w:szCs w:val="18"/>
          <w:color w:val="auto"/>
        </w:rPr>
        <w:t>The EPA finalized the Particulate Matter NAAQS in 2006. Since then, the EPA has established more stringent 24-hour and annual</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fine particulate matter (PM</w:t>
      </w:r>
      <w:r>
        <w:rPr>
          <w:rFonts w:ascii="Arial" w:cs="Arial" w:eastAsia="Arial" w:hAnsi="Arial"/>
          <w:sz w:val="12"/>
          <w:szCs w:val="12"/>
          <w:color w:val="auto"/>
        </w:rPr>
        <w:t>2.5</w:t>
      </w:r>
      <w:r>
        <w:rPr>
          <w:rFonts w:ascii="Arial" w:cs="Arial" w:eastAsia="Arial" w:hAnsi="Arial"/>
          <w:sz w:val="18"/>
          <w:szCs w:val="18"/>
          <w:color w:val="auto"/>
        </w:rPr>
        <w:t>) standards; the 24-hour coarse particulate matter standard has remained unchanged. In 2012, the EPA issued a final rule implementing a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revising aspects of relevant monitoring, designation and permitting requirements. New projects and permits must comply with the new standard, which is generally demonstrated by modeling at the facility level.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relocating or repurposing existing monitors. The EPA asked states to submit attainment designations by 2013, based on already available monitoring data, and issued designations of the 2012 revised primary annual fine particulate attainment status in 2014. The EPA designated the entire state of Minnesota as unclassifiable/attainment; however, Minnesota sources may ultimately be required to reduce their emissions to assist with attainment in neighboring states. In September 2016, environmental groups filed a lawsuit against the EPA in the United States District Court for the Northern District of California alleging the EPA had failed to fully implement the PM</w:t>
      </w:r>
      <w:r>
        <w:rPr>
          <w:rFonts w:ascii="Arial" w:cs="Arial" w:eastAsia="Arial" w:hAnsi="Arial"/>
          <w:sz w:val="12"/>
          <w:szCs w:val="12"/>
          <w:color w:val="auto"/>
        </w:rPr>
        <w:t>2.5</w:t>
      </w:r>
      <w:r>
        <w:rPr>
          <w:rFonts w:ascii="Arial" w:cs="Arial" w:eastAsia="Arial" w:hAnsi="Arial"/>
          <w:sz w:val="18"/>
          <w:szCs w:val="18"/>
          <w:color w:val="auto"/>
        </w:rPr>
        <w:t xml:space="preserve"> standards in 24 states, including Minnesota, by not enforcing states’ submittals of required infrastructure SIPs for the 2012 PM</w:t>
      </w:r>
      <w:r>
        <w:rPr>
          <w:rFonts w:ascii="Arial" w:cs="Arial" w:eastAsia="Arial" w:hAnsi="Arial"/>
          <w:sz w:val="12"/>
          <w:szCs w:val="12"/>
          <w:color w:val="auto"/>
        </w:rPr>
        <w:t>2.5</w:t>
      </w:r>
      <w:r>
        <w:rPr>
          <w:rFonts w:ascii="Arial" w:cs="Arial" w:eastAsia="Arial" w:hAnsi="Arial"/>
          <w:sz w:val="18"/>
          <w:szCs w:val="18"/>
          <w:color w:val="auto"/>
        </w:rPr>
        <w:t xml:space="preserve"> NAAQS. The outcome of this litigation is uncertain, and as such, any costs for complying with the final Particulate Matter NAAQS cannot be estimated at this time.</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SO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6"/>
          <w:szCs w:val="16"/>
          <w:i w:val="1"/>
          <w:iCs w:val="1"/>
          <w:color w:val="auto"/>
        </w:rPr>
        <w:t xml:space="preserve"> NAAQS. </w:t>
      </w:r>
      <w:r>
        <w:rPr>
          <w:rFonts w:ascii="Arial" w:cs="Arial" w:eastAsia="Arial" w:hAnsi="Arial"/>
          <w:sz w:val="16"/>
          <w:szCs w:val="16"/>
          <w:color w:val="auto"/>
        </w:rPr>
        <w:t>During 2010, the EPA finalized one-hour NAAQS for SO</w:t>
      </w:r>
      <w:r>
        <w:rPr>
          <w:rFonts w:ascii="Arial" w:cs="Arial" w:eastAsia="Arial" w:hAnsi="Arial"/>
          <w:sz w:val="11"/>
          <w:szCs w:val="11"/>
          <w:color w:val="auto"/>
        </w:rPr>
        <w:t>2</w:t>
      </w:r>
      <w:r>
        <w:rPr>
          <w:rFonts w:ascii="Arial" w:cs="Arial" w:eastAsia="Arial" w:hAnsi="Arial"/>
          <w:sz w:val="16"/>
          <w:szCs w:val="16"/>
          <w:i w:val="1"/>
          <w:iCs w:val="1"/>
          <w:color w:val="auto"/>
        </w:rPr>
        <w:t xml:space="preserve"> </w:t>
      </w:r>
      <w:r>
        <w:rPr>
          <w:rFonts w:ascii="Arial" w:cs="Arial" w:eastAsia="Arial" w:hAnsi="Arial"/>
          <w:sz w:val="16"/>
          <w:szCs w:val="16"/>
          <w:color w:val="auto"/>
        </w:rPr>
        <w:t>and NO</w:t>
      </w:r>
      <w:r>
        <w:rPr>
          <w:rFonts w:ascii="Arial" w:cs="Arial" w:eastAsia="Arial" w:hAnsi="Arial"/>
          <w:sz w:val="11"/>
          <w:szCs w:val="11"/>
          <w:color w:val="auto"/>
        </w:rPr>
        <w:t>2</w:t>
      </w:r>
      <w:r>
        <w:rPr>
          <w:rFonts w:ascii="Arial" w:cs="Arial" w:eastAsia="Arial" w:hAnsi="Arial"/>
          <w:sz w:val="16"/>
          <w:szCs w:val="16"/>
          <w:color w:val="auto"/>
        </w:rPr>
        <w:t>. Ambient monitoring data indicates that Minnesota is likely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these standards; however, the one-hour SO</w:t>
      </w:r>
      <w:r>
        <w:rPr>
          <w:rFonts w:ascii="Arial" w:cs="Arial" w:eastAsia="Arial" w:hAnsi="Arial"/>
          <w:sz w:val="11"/>
          <w:szCs w:val="11"/>
          <w:color w:val="auto"/>
        </w:rPr>
        <w:t>2</w:t>
      </w:r>
      <w:r>
        <w:rPr>
          <w:rFonts w:ascii="Arial" w:cs="Arial" w:eastAsia="Arial" w:hAnsi="Arial"/>
          <w:sz w:val="16"/>
          <w:szCs w:val="16"/>
          <w:color w:val="auto"/>
        </w:rPr>
        <w:t xml:space="preserve"> NAAQS also requires the EPA to evaluate additional modeling and monitoring considerations to determine attainment. In 2012, the MPCA notified Minnesota Power that modeling had been suspended as a result of the EPA’s announcement that the SIP submittals would not require modeling demonstrations for states, such as Minnesota, where ambient monitors indicate compliance with the standard. The EPA notified states that their infrastructure SIPs for maintaining attainment of the standard were required to be submitted to the EPA for approval by 2013; however, the State of Minnesota delayed completing the documents pending EPA guidance to states for preparing the SIP submittal.</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2013, the EPA provided guidance to states regarding implementation of the one-hour NO</w:t>
      </w:r>
      <w:r>
        <w:rPr>
          <w:rFonts w:ascii="Arial" w:cs="Arial" w:eastAsia="Arial" w:hAnsi="Arial"/>
          <w:sz w:val="11"/>
          <w:szCs w:val="11"/>
          <w:color w:val="auto"/>
        </w:rPr>
        <w:t>2</w:t>
      </w:r>
      <w:r>
        <w:rPr>
          <w:rFonts w:ascii="Arial" w:cs="Arial" w:eastAsia="Arial" w:hAnsi="Arial"/>
          <w:sz w:val="16"/>
          <w:szCs w:val="16"/>
          <w:color w:val="auto"/>
        </w:rPr>
        <w:t xml:space="preserve"> NAAQS and in 2014, as clarified in 2015, the MPCA submitted a SIP revision to the EPA addressing the infrastructure requirements of Sections 110(a)(1) and 110(a)(2) of the Clean Air Act in regards to the one-hour NO</w:t>
      </w:r>
      <w:r>
        <w:rPr>
          <w:rFonts w:ascii="Arial" w:cs="Arial" w:eastAsia="Arial" w:hAnsi="Arial"/>
          <w:sz w:val="11"/>
          <w:szCs w:val="11"/>
          <w:color w:val="auto"/>
        </w:rPr>
        <w:t>2</w:t>
      </w:r>
      <w:r>
        <w:rPr>
          <w:rFonts w:ascii="Arial" w:cs="Arial" w:eastAsia="Arial" w:hAnsi="Arial"/>
          <w:sz w:val="16"/>
          <w:szCs w:val="16"/>
          <w:color w:val="auto"/>
        </w:rPr>
        <w:t xml:space="preserve"> and SO</w:t>
      </w:r>
      <w:r>
        <w:rPr>
          <w:rFonts w:ascii="Arial" w:cs="Arial" w:eastAsia="Arial" w:hAnsi="Arial"/>
          <w:sz w:val="11"/>
          <w:szCs w:val="11"/>
          <w:color w:val="auto"/>
        </w:rPr>
        <w:t>2</w:t>
      </w:r>
      <w:r>
        <w:rPr>
          <w:rFonts w:ascii="Arial" w:cs="Arial" w:eastAsia="Arial" w:hAnsi="Arial"/>
          <w:sz w:val="16"/>
          <w:szCs w:val="16"/>
          <w:color w:val="auto"/>
        </w:rPr>
        <w:t xml:space="preserve"> NAAQS, among other standards. The SIP stated that since the EPA determined in 2012 that no area in the country is in violation of the one-hour NO</w:t>
      </w:r>
      <w:r>
        <w:rPr>
          <w:rFonts w:ascii="Arial" w:cs="Arial" w:eastAsia="Arial" w:hAnsi="Arial"/>
          <w:sz w:val="11"/>
          <w:szCs w:val="11"/>
          <w:color w:val="auto"/>
        </w:rPr>
        <w:t>2</w:t>
      </w:r>
      <w:r>
        <w:rPr>
          <w:rFonts w:ascii="Arial" w:cs="Arial" w:eastAsia="Arial" w:hAnsi="Arial"/>
          <w:sz w:val="16"/>
          <w:szCs w:val="16"/>
          <w:color w:val="auto"/>
        </w:rPr>
        <w:t xml:space="preserve"> NAAQS, there are no nonattainment areas in the country for this pollutant, and therefore Minnesota’s NO</w:t>
      </w:r>
      <w:r>
        <w:rPr>
          <w:rFonts w:ascii="Arial" w:cs="Arial" w:eastAsia="Arial" w:hAnsi="Arial"/>
          <w:sz w:val="11"/>
          <w:szCs w:val="11"/>
          <w:color w:val="auto"/>
        </w:rPr>
        <w:t>2</w:t>
      </w:r>
      <w:r>
        <w:rPr>
          <w:rFonts w:ascii="Arial" w:cs="Arial" w:eastAsia="Arial" w:hAnsi="Arial"/>
          <w:sz w:val="16"/>
          <w:szCs w:val="16"/>
          <w:color w:val="auto"/>
        </w:rPr>
        <w:t xml:space="preserve"> emissions cannot be significantly contributing to nonattainment in any other state. In 2015, the EPA published in the Federal Register an approval and partial disapproval of the 2014 SIP revision. According to the MPCA, the partial disapproval is regarding state delegation of a program unrelated to the one-hour NAAQS for SO</w:t>
      </w:r>
      <w:r>
        <w:rPr>
          <w:rFonts w:ascii="Arial" w:cs="Arial" w:eastAsia="Arial" w:hAnsi="Arial"/>
          <w:sz w:val="11"/>
          <w:szCs w:val="11"/>
          <w:color w:val="auto"/>
        </w:rPr>
        <w:t>2</w:t>
      </w:r>
      <w:r>
        <w:rPr>
          <w:rFonts w:ascii="Arial" w:cs="Arial" w:eastAsia="Arial" w:hAnsi="Arial"/>
          <w:sz w:val="16"/>
          <w:szCs w:val="16"/>
          <w:color w:val="auto"/>
        </w:rPr>
        <w:t xml:space="preserve"> and NO</w:t>
      </w:r>
      <w:r>
        <w:rPr>
          <w:rFonts w:ascii="Arial" w:cs="Arial" w:eastAsia="Arial" w:hAnsi="Arial"/>
          <w:sz w:val="11"/>
          <w:szCs w:val="11"/>
          <w:color w:val="auto"/>
        </w:rPr>
        <w:t>2,</w:t>
      </w:r>
      <w:r>
        <w:rPr>
          <w:rFonts w:ascii="Arial" w:cs="Arial" w:eastAsia="Arial" w:hAnsi="Arial"/>
          <w:sz w:val="16"/>
          <w:szCs w:val="16"/>
          <w:color w:val="auto"/>
        </w:rPr>
        <w:t xml:space="preserve"> and is not expected to require further action. As such, additional compliance costs for the one-hour NO</w:t>
      </w:r>
      <w:r>
        <w:rPr>
          <w:rFonts w:ascii="Arial" w:cs="Arial" w:eastAsia="Arial" w:hAnsi="Arial"/>
          <w:sz w:val="11"/>
          <w:szCs w:val="11"/>
          <w:color w:val="auto"/>
        </w:rPr>
        <w:t>2</w:t>
      </w:r>
      <w:r>
        <w:rPr>
          <w:rFonts w:ascii="Arial" w:cs="Arial" w:eastAsia="Arial" w:hAnsi="Arial"/>
          <w:sz w:val="16"/>
          <w:szCs w:val="16"/>
          <w:color w:val="auto"/>
        </w:rPr>
        <w:t xml:space="preserve"> NAAQS are not expected at this time.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104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2015, the EPA finalized the SO</w:t>
      </w:r>
      <w:r>
        <w:rPr>
          <w:rFonts w:ascii="Arial" w:cs="Arial" w:eastAsia="Arial" w:hAnsi="Arial"/>
          <w:sz w:val="11"/>
          <w:szCs w:val="11"/>
          <w:color w:val="auto"/>
        </w:rPr>
        <w:t>2</w:t>
      </w:r>
      <w:r>
        <w:rPr>
          <w:rFonts w:ascii="Arial" w:cs="Arial" w:eastAsia="Arial" w:hAnsi="Arial"/>
          <w:sz w:val="17"/>
          <w:szCs w:val="17"/>
          <w:color w:val="auto"/>
        </w:rPr>
        <w:t xml:space="preserve"> data requirements rule (DRR) for the 2010 one-hour NAAQS to assist the states in implementing the standard. The rule sets emissions thresholds and exemptions for facilities that trigger modeling requirements. In January 2016, the MPCA informed the EPA of the Minnesota sources subject to the rule, confirming that Boswell and Taconite Harbor are the only Minnesota Power generating facilities subject to the DRR. The MPCA was required to notify the EPA as to how each source will evaluate air quality by July 2016. Compliance options include ambient monitoring, modeling existing enforceable emission limits, or modeling actual emissions. The MPCA initially informed Minnesota Power that compliant SO</w:t>
      </w:r>
      <w:r>
        <w:rPr>
          <w:rFonts w:ascii="Arial" w:cs="Arial" w:eastAsia="Arial" w:hAnsi="Arial"/>
          <w:sz w:val="11"/>
          <w:szCs w:val="11"/>
          <w:color w:val="auto"/>
        </w:rPr>
        <w:t>2</w:t>
      </w:r>
      <w:r>
        <w:rPr>
          <w:rFonts w:ascii="Arial" w:cs="Arial" w:eastAsia="Arial" w:hAnsi="Arial"/>
          <w:sz w:val="17"/>
          <w:szCs w:val="17"/>
          <w:color w:val="auto"/>
        </w:rPr>
        <w:t xml:space="preserve"> modeling recently completed at these facilities would satisfy the DRR obligations and no further modeling would be required; however, the DRR also requires facilities have federally-enforceable permit limits at which the one-hour SO</w:t>
      </w:r>
      <w:r>
        <w:rPr>
          <w:rFonts w:ascii="Arial" w:cs="Arial" w:eastAsia="Arial" w:hAnsi="Arial"/>
          <w:sz w:val="11"/>
          <w:szCs w:val="11"/>
          <w:color w:val="auto"/>
        </w:rPr>
        <w:t>2</w:t>
      </w:r>
      <w:r>
        <w:rPr>
          <w:rFonts w:ascii="Arial" w:cs="Arial" w:eastAsia="Arial" w:hAnsi="Arial"/>
          <w:sz w:val="17"/>
          <w:szCs w:val="17"/>
          <w:color w:val="auto"/>
        </w:rPr>
        <w:t xml:space="preserve"> NAAQS compliance was modeled by January 13, 2017. Taconite Harbor was issued an amended air permit in September 2016, containing the new modeling limits at that facility. The MPCA did not meet the January 13, 2017, deadline to amend the Boswell permit. The MPCA is in discussions with the EPA on alternate compliance pathways to use existing completed modeling at current limits. Compliance costs for the one-hour SO</w:t>
      </w:r>
      <w:r>
        <w:rPr>
          <w:rFonts w:ascii="Arial" w:cs="Arial" w:eastAsia="Arial" w:hAnsi="Arial"/>
          <w:sz w:val="11"/>
          <w:szCs w:val="11"/>
          <w:color w:val="auto"/>
        </w:rPr>
        <w:t>2</w:t>
      </w:r>
      <w:r>
        <w:rPr>
          <w:rFonts w:ascii="Arial" w:cs="Arial" w:eastAsia="Arial" w:hAnsi="Arial"/>
          <w:sz w:val="17"/>
          <w:szCs w:val="17"/>
          <w:color w:val="auto"/>
        </w:rPr>
        <w:t xml:space="preserve"> NAAQS are not expected to be material.</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Class I Air Quality Petitions and Requests. </w:t>
      </w:r>
      <w:r>
        <w:rPr>
          <w:rFonts w:ascii="Arial" w:cs="Arial" w:eastAsia="Arial" w:hAnsi="Arial"/>
          <w:sz w:val="16"/>
          <w:szCs w:val="16"/>
          <w:color w:val="auto"/>
        </w:rPr>
        <w:t>In 2014, the Fond du Lac Band of Lake Superior Chippewa (Fond du Lac Band) announced its intent to 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EPA to redesignate its reservation air shed from Class II to Class I air quality pursuant to Section 164(c) of the Clean Air Act. The Fond du Lac Band does not currently possess authority to directly regulate air quality. Class I air shed status, if granted, would allow the Fond du Lac Band to impose more stringent Clean Air Act protections within the boundaries of the Fond du Lac reservation, including the reservation air shed, near Cloquet, Minnesota. Five other reservations across the U.S. have received Class I status. A public hearing was held by the Fond du Lac Band and the public comment period on the petition expired in 2014. After the Fond du Lac Band prepares responses to the comments, it is anticipated to make a formal submittal request to the EPA.</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2013, the Bad River Band of Lake Superior Chippewa (Bad River Band) announced its intent to petition the EPA to redesignate its reservation air shed from Class II to Class I air quality pursuant to Section 164(c) of the Clean Air Act. The Class I analysis report was issued by the Bad River Band and was followed by public hearings and public comment period ending in 2015. After the Bad River Band prepares responses to the comments, it is also anticipated to make a formal submittal request to the EPA.</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no deadline for the approval, denial, or modification of these requests by the EPA. We are unable to determine the impact of potential Class I status on the Company’s operations at this time.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Climate Action Plan. </w:t>
      </w:r>
      <w:r>
        <w:rPr>
          <w:rFonts w:ascii="Arial" w:cs="Arial" w:eastAsia="Arial" w:hAnsi="Arial"/>
          <w:sz w:val="18"/>
          <w:szCs w:val="18"/>
          <w:color w:val="auto"/>
        </w:rPr>
        <w:t>In 2015, the Federal government announced an updated Climate Action Plan (CAP) that calls for implementation of measures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 On March 28, 2017, President Trump signed an Executive Order titled Promoting Energy Independence and Economic Growth that rescinds the Climate Action Plan.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2010, the EPA issued the Prevention of Significant Deterioration (PSD) and Title V Greenhouse Gas Tailoring Rule</w:t>
      </w:r>
      <w:r>
        <w:rPr>
          <w:rFonts w:ascii="Arial" w:cs="Arial" w:eastAsia="Arial" w:hAnsi="Arial"/>
          <w:sz w:val="18"/>
          <w:szCs w:val="18"/>
          <w:i w:val="1"/>
          <w:iCs w:val="1"/>
          <w:color w:val="auto"/>
        </w:rPr>
        <w:t xml:space="preserve"> </w:t>
      </w:r>
      <w:r>
        <w:rPr>
          <w:rFonts w:ascii="Arial" w:cs="Arial" w:eastAsia="Arial" w:hAnsi="Arial"/>
          <w:sz w:val="18"/>
          <w:szCs w:val="18"/>
          <w:color w:val="auto"/>
        </w:rPr>
        <w:t>(Tailoring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may be added to our existing Title V operating permits by the MPCA as these permits are renewed or amended.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04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w:t>
      </w:r>
      <w:r>
        <w:rPr>
          <w:rFonts w:ascii="MS PGothic" w:cs="MS PGothic" w:eastAsia="MS PGothic" w:hAnsi="MS PGothic"/>
          <w:sz w:val="17"/>
          <w:szCs w:val="17"/>
          <w:color w:val="auto"/>
        </w:rPr>
        <w:t>‑</w:t>
      </w:r>
      <w:r>
        <w:rPr>
          <w:rFonts w:ascii="Arial" w:cs="Arial" w:eastAsia="Arial" w:hAnsi="Arial"/>
          <w:sz w:val="17"/>
          <w:szCs w:val="17"/>
          <w:color w:val="auto"/>
        </w:rPr>
        <w:t>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2014, the U.S. Supreme Court invalidated the aspect of the Tailoring Rule that established higher permitting thresholds for GHG than for other pollutants subject to PSD. However, the court also upheld the EPA’s power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At this time, we are unable to predict the compliance costs that we might incur.</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2016, the EPA published a proposed rule in the Federal Register to revise its PSD and Title V regulatory provisions concerning GHG emissions. In this proposed rule, the EPA proposes to amend its regulations to clarify that a source’s obligation to obtain a PSD or Title V permit is triggered only by non-GHG pollutants. If the PSD or Title V permitting requirements are triggered by non-GHG, NSR pollutants, then these programs will also apply to the source’s GHG emissions. The proposed rule, as currently written, is not expected to have a material impact on the Title V permitting for current operations. It is uncertain as to how the Title V permitting requirements will be affected by the March 28, 2017, Executive Order titled Promoting Energy Independence and Economic Growth.</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2014, the EPA announced a proposed rule under Section 111(d) of the Clean Air Act for existing power plants entitled “Carbon Pollution Emission Guidelines for Existing Stationary Sources: Electric Generating Units”, also referred to as the Clean Power Plan (CPP). The EPA issued the final CPP in 2015, together with a proposed federal implementation plan and a model rule for emissions trading. Petitions for review of the rule were filed with the U.S. Court of Appeals for the District of Columbia Circuit. In February 2016, the U.S. Supreme Court issued an order staying the effectiveness of the rule until after the appellate court process is complete. In September 2016, the U.S. Court of Appeals for the District of Columbia heard oral arguments and is currently deliberating. The EPA is precluded from enforcing the CPP while the U.S. Supreme Court stay is in force; however, the MPCA has been holding a series of meetings on the CPP for educational and planning purposes in the interim. Minnesota Power has been actively involved in these MPCA meetings, and is closely monitoring the appeals process.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upheld, the CPP would establish uniform CO</w:t>
      </w:r>
      <w:r>
        <w:rPr>
          <w:rFonts w:ascii="Arial" w:cs="Arial" w:eastAsia="Arial" w:hAnsi="Arial"/>
          <w:sz w:val="11"/>
          <w:szCs w:val="11"/>
          <w:color w:val="auto"/>
        </w:rPr>
        <w:t>2</w:t>
      </w:r>
      <w:r>
        <w:rPr>
          <w:rFonts w:ascii="Arial" w:cs="Arial" w:eastAsia="Arial" w:hAnsi="Arial"/>
          <w:sz w:val="17"/>
          <w:szCs w:val="17"/>
          <w:color w:val="auto"/>
        </w:rPr>
        <w:t xml:space="preserve"> emission performance rates for existing fossil fuel-fired and natural gas-fired combined cycle generating units, setting state-specific goals for CO</w:t>
      </w:r>
      <w:r>
        <w:rPr>
          <w:rFonts w:ascii="Arial" w:cs="Arial" w:eastAsia="Arial" w:hAnsi="Arial"/>
          <w:sz w:val="11"/>
          <w:szCs w:val="11"/>
          <w:color w:val="auto"/>
        </w:rPr>
        <w:t>2</w:t>
      </w:r>
      <w:r>
        <w:rPr>
          <w:rFonts w:ascii="Arial" w:cs="Arial" w:eastAsia="Arial" w:hAnsi="Arial"/>
          <w:sz w:val="17"/>
          <w:szCs w:val="17"/>
          <w:color w:val="auto"/>
        </w:rPr>
        <w:t xml:space="preserve"> emissions from the power sector. State goals were determined based on CPP source-specific performance emission rates and each state’s mix of power plants. The EPA maintains such goals are achievable if a state undertakes a combination of measures across its power sector that constitutes the EPA’s guideline for a Best System of Emission Reductions (BSER). BSER is comprised of three building blocks: 1) improved fossil fuel power plant efficiency, 2) increased reliance on low-emitting power sources by generating more electricity from existing natural gas combined cycle units, and 3) building more zero- and low-emitting power sources, including renewable energy. States may also choose to include avoided CO</w:t>
      </w:r>
      <w:r>
        <w:rPr>
          <w:rFonts w:ascii="Arial" w:cs="Arial" w:eastAsia="Arial" w:hAnsi="Arial"/>
          <w:sz w:val="11"/>
          <w:szCs w:val="11"/>
          <w:color w:val="auto"/>
        </w:rPr>
        <w:t>2</w:t>
      </w:r>
      <w:r>
        <w:rPr>
          <w:rFonts w:ascii="Arial" w:cs="Arial" w:eastAsia="Arial" w:hAnsi="Arial"/>
          <w:sz w:val="17"/>
          <w:szCs w:val="17"/>
          <w:color w:val="auto"/>
        </w:rPr>
        <w:t xml:space="preserve"> emissions from customer energy efficiency measures for credit towards meeting state goals. The regulatory review initiated by the March 28, 2017, Executive Order titled Promoting Energy Independence and Economic Growth is directed to include Section 111(b) and 111(d) CPP provisions. In addition, the EPA has filed a motion with the U.S. Court of Appeals for the District of Columbia Circuit to hold CPP-related litigation in abeyance while the EPA is reviewing the rule. Minnesota Power is monitoring developments with respect to the CPP rule and related matters.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 goals under the CPP are expressed as both mass-based and rate-based, and include interim goals to be met over the years 2022 through 2029, as well as a final goal to be met in 2030 and thereafter. Under the original schedule for the CPP, each state would have been required to develop a SIP by September 2016, or by September 6, 2018, if granted an extension. Due to the U.S. Supreme Court order staying the effectiveness of the CPP, those SIP submittal dates are not currently in effect. If the CPP is upheld at the completion of the appellate court process, all of the CPP regulatory deadlines are expected to be reset based on the length of time that the appeals process takes.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104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developing its plan, a state may choose to meet either the mass-based or the rate-based goals. Minnesota Power is currently evaluating the CPP as it relates to the State of Minnesota as well as its potential impact on the Company and is actively discussing potential compliance scenarios with regulatory agencies and in public stakeholder meetings. Minnesota has already initiated several measures consistent with those called for under the CAP and CPP. Minnesota Power is implementing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strategic plan that provides for significant emission reductions and diversifying its electricity generation mix to include more renewable and natural gas energy. (See Note 6. Regulatory Matters.)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Minnesota Power would seek recovery of any additional costs through a rate proceeding.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was effective in 2014. The Section 316(b) standards will be implemented through NPDES permits issued to the covered facilities with compliance timing dependent on individual NPDES renewal schedules. No NPDES permits for Minnesota Power generating facilities have been re-issued containing Section 316(b) requirements since the final rule was published, so at this time we are unable to determine the final cost of compliance. Should the MPCA require significant modifications to Minnesota Power’s intake structures, a preliminary assessment indicates costs of compliance up to $15 million over the next 5 years. Minnesota Power would seek recovery of any additional costs through a general rate case.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Steam Electric Power Generating Effluent Guidelines. </w:t>
      </w:r>
      <w:r>
        <w:rPr>
          <w:rFonts w:ascii="Arial" w:cs="Arial" w:eastAsia="Arial" w:hAnsi="Arial"/>
          <w:sz w:val="18"/>
          <w:szCs w:val="18"/>
          <w:color w:val="auto"/>
        </w:rPr>
        <w:t>In 2015, the EPA issued revised federal effluent limit guidelines (ELG) for steam electric power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stations under the Clean Water Act. It sets effluent limits and prescribes BACT for several wastewater streams, including flue gas desulphurization (FGD) water and coal combustion landfill leachate. The ELG rule also prohibits the discharge of bottom and fly ash contact waters. Compliance with the final rule is required between November 1, 2018, and December 31, 2023.</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reviewing the final rule and evaluating its potential impact on Minnesota Power’s operations, primarily at Boswell. Boswell currently discharges bottom ash contact water through its NPDES permit, and also has a closed-loop FGD system that does not currently discharge, but may do so in the future. Under the final ELG rule, bottom ash discharge would not be allowed and bottom ash contact water would either need to be re-used in a closed-loop process, routed to a FGD scrubber, or the bottom ash handling system would need to be converted to a dry process. If the FGD wastewater is discharged in the future, it would require additional wastewater treatment. Efforts have been underway at Boswell for several years to reduce the amount of water discharged and evaluate potential re-use options in its plant processes. Additional efforts are underway to determine if land application of certain wastewater streams under a state disposal system may be feasible.</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12, 2017, the EPA announced that it would reconsider the final ELG rule and administratively stay the compliance dates set forth in the rule. The EPA has received seven petitions for review of the ELG rule, which were consolidated in the U.S. Court of Appeals for the Fifth Circuit in late 2015. The EPA has indicated they will also file a motion requesting that court to hold litigation challenging the ELG rule in abeyance while the EPA reconsiders the rule. All pending deadlines under the ELG rule will be stayed while the EPA re-examines it. Under the ELG rule schedule, required compliance activity deadlines could have been in place as soon as November 1, 2018. These deadlines could have included prescriptive wastewater treatment technology installation, as well as a ban on bottom ash contact water discharges. If the EPA’s reconsideration results in the rule being revised or rescinded, the authority to regulate bottom ash transport water and FGD wastewater would fall under existing Effluent Guidelines Limits and state resource agency purview.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20"/>
          </w:cols>
          <w:pgMar w:left="240" w:top="104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time, we cannot estimate what compliance costs we might incur related to these or other potential future water discharge regulations; however, the costs could be material, including costs associated with retrofits for bottom ash handling, pond dewatering, pond closure, and wastewater treatment and/or reuse. Minnesota Power would seek recovery of any additional costs through a rate proceeding.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disposes or stores coal ash at four of its electric generating facilities by the following methods; storing</w:t>
      </w:r>
      <w:r>
        <w:rPr>
          <w:rFonts w:ascii="Arial" w:cs="Arial" w:eastAsia="Arial" w:hAnsi="Arial"/>
          <w:sz w:val="18"/>
          <w:szCs w:val="18"/>
          <w:i w:val="1"/>
          <w:iCs w:val="1"/>
          <w:color w:val="auto"/>
        </w:rPr>
        <w:t xml:space="preserve"> </w:t>
      </w:r>
      <w:r>
        <w:rPr>
          <w:rFonts w:ascii="Arial" w:cs="Arial" w:eastAsia="Arial" w:hAnsi="Arial"/>
          <w:sz w:val="18"/>
          <w:szCs w:val="18"/>
          <w:color w:val="auto"/>
        </w:rPr>
        <w:t>ash in lined onsite impoundments (ash ponds), disposing of dry ash in a lined dry ash landfill which has been idled and has a temporary landfill cover in place, applying ash to land as an approved beneficial use or trucking ash to state permitted landfills.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EPA issued the final CCR rule in 2014 under Subtitle D (non-hazardous) of RCRA and it was published in the Federal Register in 2015. The rule includes additional requirements for new landfill and impoundment construction as well as closure activities related to certain existing impoundments. Costs of compliance for Boswell and Laskin are expected to occur primarily over the next 10 years and be between approximately $65 million and $100 million. Recently, the EPA has indicated to Minnesota Power that the Taconite Harbor landfill is a CCR unit, based on EPA’s interpretation of the CCR rule language. Minnesota Power has agreed to post the required CCR information for the Taconite Harbor landfill on Minnesota Power’s website while the CCR issue is resolved. Minnesota Power continues to work on minimizing costs through evaluation of beneficial re-use and recycling of CCR and CCR-related waters. Compliance costs, if any for CCR at Taconite Harbor are not expected to be material. Minnesota Power would seek recovery of any additional costs through a general rate case.</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Other Environmental Matters. </w:t>
      </w:r>
      <w:r>
        <w:rPr>
          <w:rFonts w:ascii="Arial" w:cs="Arial" w:eastAsia="Arial" w:hAnsi="Arial"/>
          <w:sz w:val="18"/>
          <w:szCs w:val="18"/>
          <w:color w:val="auto"/>
        </w:rPr>
        <w:t>In November 2016, U.S. Water Services received notice from the EPA regarding potential violations under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Insecticide, Fungicide and Rodenticide Act for the sale of certain chemicals without registration or that were misbranded. The potential violations primarily related to sales in 2013 by a U.S. Water Services subsidiary which occurred prior to U.S. Water Services’ acquisition of that subsidiary. In the first quarter of 2017, U.S. Water Services reached a settlement with the EPA and entered into a consent agreement which provides for the payment of approximately $0.2 million to resolve this matter.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ALLETE Clean Energy’s wind energy facilities have PSAs in place for their entire output and expire in various years between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 2032. As of March 31, 2017, ALLETE Clean Energy has $14.6 million outstanding in standby letters of credit.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March 31, 2017, U.S. Water Services has $0.8 million outstanding in standby letters of credit.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Energy. </w:t>
      </w:r>
      <w:r>
        <w:rPr>
          <w:rFonts w:ascii="Arial" w:cs="Arial" w:eastAsia="Arial" w:hAnsi="Arial"/>
          <w:sz w:val="18"/>
          <w:szCs w:val="18"/>
          <w:color w:val="auto"/>
        </w:rPr>
        <w:t>As of March 31, 2017, BNI Energy had surety bonds outstanding of $49.9 million related to the reclamation liability for closing costs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its mine and mine facilities. Although its coal supply agreements obligate the customers to provide for the closing costs, additional assurance is required by federal and state regulations. In addition to the surety bonds, BNI Energy has secured a letter of credit for an additional $0.6 million to provide for BNI Energy’s total reclamation liability, which is currently estimated at $47.5 million. BNI Energy does not believe it is likely that any of these outstanding surety bonds or the letter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March 31, 2017, ALLETE Properties, through its subsidiaries, had surety bonds outstanding and letters of credit to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totaling $8.6 million primarily related to development and maintenance obligations for various projects. The estimated cost of the remaining development work is approximately $5.4 million. ALLETE Properties does not believe it is likely that any of these outstanding surety bonds or letters of credit will be drawn upon.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20"/>
          </w:cols>
          <w:pgMar w:left="240" w:top="104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Community Development District Obligations. </w:t>
      </w:r>
      <w:r>
        <w:rPr>
          <w:rFonts w:ascii="Arial" w:cs="Arial" w:eastAsia="Arial" w:hAnsi="Arial"/>
          <w:sz w:val="18"/>
          <w:szCs w:val="18"/>
          <w:color w:val="auto"/>
        </w:rPr>
        <w:t>At March 31, 2017, we owned 71 percent of the assessable land in the Town Center District (72 percent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2016) and 89 percent of the assessable land in the Palm Coast Park District (92 percent at December 31, 2016). At these ownership levels, our annual assessments related to capital improvement and special assessment bonds for the ALLETE Properties projects within these districts are approximately $1.4 million for Town Center at Palm Coast and $2.1 million for Palm Coast Park. As we sell property at these projects, the obligation to pay special assessments will pass to the new landowners. In accordance with accounting guidance, these bonds are not reflected as debt on our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is our integrated water management company. The ALLETE Clean Energy and U.S. Water Services reportable segments comprise our Energy Infrastructure and Related Services businesses. We also present Corporate and Other which includes two operating segments, BNI Energy, our coal mining operations in North Dakota, and ALLETE Properties, our legacy Florida real estate investment, along with other business development and corporate expenditures, unallocated interest expense, a small amount of non-rate base generation, approximately 5,000 acres of land in Minnesota, and earnings on cash and investments.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48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580" w:type="dxa"/>
            <w:vAlign w:val="bottom"/>
          </w:tcPr>
          <w:p>
            <w:pPr>
              <w:spacing w:after="0"/>
              <w:rPr>
                <w:sz w:val="23"/>
                <w:szCs w:val="23"/>
                <w:color w:val="auto"/>
              </w:rPr>
            </w:pPr>
          </w:p>
        </w:tc>
        <w:tc>
          <w:tcPr>
            <w:tcW w:w="48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6580" w:type="dxa"/>
            <w:vAlign w:val="bottom"/>
          </w:tcPr>
          <w:p>
            <w:pPr>
              <w:spacing w:after="0"/>
              <w:rPr>
                <w:sz w:val="23"/>
                <w:szCs w:val="23"/>
                <w:color w:val="auto"/>
              </w:rPr>
            </w:pPr>
          </w:p>
        </w:tc>
        <w:tc>
          <w:tcPr>
            <w:tcW w:w="39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5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9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900" w:type="dxa"/>
            <w:vAlign w:val="bottom"/>
          </w:tcPr>
          <w:p>
            <w:pPr>
              <w:jc w:val="right"/>
              <w:ind w:right="110"/>
              <w:spacing w:after="0"/>
              <w:rPr>
                <w:sz w:val="20"/>
                <w:szCs w:val="20"/>
                <w:color w:val="auto"/>
              </w:rPr>
            </w:pPr>
            <w:r>
              <w:rPr>
                <w:rFonts w:ascii="Arial" w:cs="Arial" w:eastAsia="Arial" w:hAnsi="Arial"/>
                <w:sz w:val="18"/>
                <w:szCs w:val="18"/>
                <w:color w:val="auto"/>
              </w:rPr>
              <w:t>$281.6</w:t>
            </w:r>
          </w:p>
        </w:tc>
        <w:tc>
          <w:tcPr>
            <w:tcW w:w="940" w:type="dxa"/>
            <w:vAlign w:val="bottom"/>
          </w:tcPr>
          <w:p>
            <w:pPr>
              <w:jc w:val="right"/>
              <w:spacing w:after="0"/>
              <w:rPr>
                <w:sz w:val="20"/>
                <w:szCs w:val="20"/>
                <w:color w:val="auto"/>
              </w:rPr>
            </w:pPr>
            <w:r>
              <w:rPr>
                <w:rFonts w:ascii="Arial" w:cs="Arial" w:eastAsia="Arial" w:hAnsi="Arial"/>
                <w:sz w:val="18"/>
                <w:szCs w:val="18"/>
                <w:color w:val="auto"/>
              </w:rPr>
              <w:t>$252.3</w:t>
            </w:r>
          </w:p>
        </w:tc>
      </w:tr>
      <w:tr>
        <w:trPr>
          <w:trHeight w:val="27"/>
        </w:trPr>
        <w:tc>
          <w:tcPr>
            <w:tcW w:w="6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8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9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3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23.7</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658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90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6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8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658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900" w:type="dxa"/>
            <w:vAlign w:val="bottom"/>
          </w:tcPr>
          <w:p>
            <w:pPr>
              <w:jc w:val="right"/>
              <w:ind w:right="190"/>
              <w:spacing w:after="0"/>
              <w:rPr>
                <w:sz w:val="20"/>
                <w:szCs w:val="20"/>
                <w:color w:val="auto"/>
              </w:rPr>
            </w:pPr>
            <w:r>
              <w:rPr>
                <w:rFonts w:ascii="Arial" w:cs="Arial" w:eastAsia="Arial" w:hAnsi="Arial"/>
                <w:sz w:val="18"/>
                <w:szCs w:val="18"/>
                <w:color w:val="auto"/>
              </w:rPr>
              <w:t>28.2</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65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Revenue</w:t>
            </w:r>
          </w:p>
        </w:tc>
        <w:tc>
          <w:tcPr>
            <w:tcW w:w="3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$365.6</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$333.8</w:t>
            </w:r>
          </w:p>
        </w:tc>
      </w:tr>
      <w:tr>
        <w:trPr>
          <w:trHeight w:val="237"/>
        </w:trPr>
        <w:tc>
          <w:tcPr>
            <w:tcW w:w="65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Attributable to ALLETE</w:t>
            </w:r>
          </w:p>
        </w:tc>
        <w:tc>
          <w:tcPr>
            <w:tcW w:w="3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Regulated Operations</w:t>
            </w:r>
          </w:p>
        </w:tc>
        <w:tc>
          <w:tcPr>
            <w:tcW w:w="3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$43.5</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70"/>
        </w:trPr>
        <w:tc>
          <w:tcPr>
            <w:tcW w:w="658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280"/>
              <w:spacing w:after="0"/>
              <w:rPr>
                <w:sz w:val="20"/>
                <w:szCs w:val="20"/>
                <w:color w:val="auto"/>
              </w:rPr>
            </w:pPr>
            <w:r>
              <w:rPr>
                <w:rFonts w:ascii="Arial" w:cs="Arial" w:eastAsia="Arial" w:hAnsi="Arial"/>
                <w:sz w:val="18"/>
                <w:szCs w:val="18"/>
                <w:color w:val="auto"/>
              </w:rPr>
              <w:t>ALLETE Clean Energy</w:t>
            </w:r>
          </w:p>
        </w:tc>
        <w:tc>
          <w:tcPr>
            <w:tcW w:w="3900" w:type="dxa"/>
            <w:vAlign w:val="bottom"/>
          </w:tcPr>
          <w:p>
            <w:pPr>
              <w:jc w:val="right"/>
              <w:ind w:right="190"/>
              <w:spacing w:after="0"/>
              <w:rPr>
                <w:sz w:val="20"/>
                <w:szCs w:val="20"/>
                <w:color w:val="auto"/>
              </w:rPr>
            </w:pPr>
            <w:r>
              <w:rPr>
                <w:rFonts w:ascii="Arial" w:cs="Arial" w:eastAsia="Arial" w:hAnsi="Arial"/>
                <w:sz w:val="18"/>
                <w:szCs w:val="18"/>
                <w:color w:val="auto"/>
              </w:rPr>
              <w:t>6.7</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6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Water Services</w:t>
            </w:r>
          </w:p>
        </w:tc>
        <w:tc>
          <w:tcPr>
            <w:tcW w:w="3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70"/>
        </w:trPr>
        <w:tc>
          <w:tcPr>
            <w:tcW w:w="658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5"/>
        </w:trPr>
        <w:tc>
          <w:tcPr>
            <w:tcW w:w="6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3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658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Total Net Income Attributable to ALLETE</w:t>
            </w:r>
          </w:p>
        </w:tc>
        <w:tc>
          <w:tcPr>
            <w:tcW w:w="39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$49.0</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w:t>
            </w:r>
          </w:p>
        </w:tc>
      </w:tr>
      <w:tr>
        <w:trPr>
          <w:trHeight w:val="27"/>
        </w:trPr>
        <w:tc>
          <w:tcPr>
            <w:tcW w:w="65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20"/>
          </w:cols>
          <w:pgMar w:left="240" w:top="1040"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37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1"/>
        </w:trPr>
        <w:tc>
          <w:tcPr>
            <w:tcW w:w="6360" w:type="dxa"/>
            <w:vAlign w:val="bottom"/>
          </w:tcPr>
          <w:p>
            <w:pPr>
              <w:spacing w:after="0"/>
              <w:rPr>
                <w:sz w:val="24"/>
                <w:szCs w:val="24"/>
                <w:color w:val="auto"/>
              </w:rPr>
            </w:pPr>
          </w:p>
        </w:tc>
        <w:tc>
          <w:tcPr>
            <w:tcW w:w="372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6360" w:type="dxa"/>
            <w:vAlign w:val="bottom"/>
          </w:tcPr>
          <w:p>
            <w:pPr>
              <w:spacing w:after="0"/>
              <w:rPr>
                <w:sz w:val="20"/>
                <w:szCs w:val="20"/>
                <w:color w:val="auto"/>
              </w:rPr>
            </w:pPr>
          </w:p>
        </w:tc>
        <w:tc>
          <w:tcPr>
            <w:tcW w:w="3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63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Regulated Operations</w:t>
            </w:r>
          </w:p>
        </w:tc>
        <w:tc>
          <w:tcPr>
            <w:tcW w:w="3720" w:type="dxa"/>
            <w:vAlign w:val="bottom"/>
          </w:tcPr>
          <w:p>
            <w:pPr>
              <w:jc w:val="right"/>
              <w:ind w:right="50"/>
              <w:spacing w:after="0"/>
              <w:rPr>
                <w:sz w:val="20"/>
                <w:szCs w:val="20"/>
                <w:color w:val="auto"/>
              </w:rPr>
            </w:pPr>
            <w:r>
              <w:rPr>
                <w:rFonts w:ascii="Arial" w:cs="Arial" w:eastAsia="Arial" w:hAnsi="Arial"/>
                <w:sz w:val="18"/>
                <w:szCs w:val="18"/>
                <w:color w:val="auto"/>
              </w:rPr>
              <w:t>$3,828.2</w:t>
            </w:r>
          </w:p>
        </w:tc>
        <w:tc>
          <w:tcPr>
            <w:tcW w:w="1340" w:type="dxa"/>
            <w:vAlign w:val="bottom"/>
          </w:tcPr>
          <w:p>
            <w:pPr>
              <w:jc w:val="right"/>
              <w:spacing w:after="0"/>
              <w:rPr>
                <w:sz w:val="20"/>
                <w:szCs w:val="20"/>
                <w:color w:val="auto"/>
              </w:rPr>
            </w:pPr>
            <w:r>
              <w:rPr>
                <w:rFonts w:ascii="Arial" w:cs="Arial" w:eastAsia="Arial" w:hAnsi="Arial"/>
                <w:sz w:val="18"/>
                <w:szCs w:val="18"/>
                <w:color w:val="auto"/>
              </w:rPr>
              <w:t>$3,823.9</w:t>
            </w:r>
          </w:p>
        </w:tc>
      </w:tr>
      <w:tr>
        <w:trPr>
          <w:trHeight w:val="27"/>
        </w:trPr>
        <w:tc>
          <w:tcPr>
            <w:tcW w:w="6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36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360" w:type="dxa"/>
            <w:vAlign w:val="bottom"/>
          </w:tcPr>
          <w:p>
            <w:pPr>
              <w:ind w:left="180"/>
              <w:spacing w:after="0"/>
              <w:rPr>
                <w:sz w:val="20"/>
                <w:szCs w:val="20"/>
                <w:color w:val="auto"/>
              </w:rPr>
            </w:pPr>
            <w:r>
              <w:rPr>
                <w:rFonts w:ascii="Arial" w:cs="Arial" w:eastAsia="Arial" w:hAnsi="Arial"/>
                <w:sz w:val="18"/>
                <w:szCs w:val="18"/>
                <w:color w:val="auto"/>
              </w:rPr>
              <w:t>Energy Infrastructure and Related Services</w:t>
            </w:r>
          </w:p>
        </w:tc>
        <w:tc>
          <w:tcPr>
            <w:tcW w:w="37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Clean Energy</w:t>
            </w:r>
          </w:p>
        </w:tc>
        <w:tc>
          <w:tcPr>
            <w:tcW w:w="3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571.7</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566.0</w:t>
            </w: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U.S. Water Services</w:t>
            </w:r>
          </w:p>
        </w:tc>
        <w:tc>
          <w:tcPr>
            <w:tcW w:w="3720" w:type="dxa"/>
            <w:vAlign w:val="bottom"/>
          </w:tcPr>
          <w:p>
            <w:pPr>
              <w:jc w:val="right"/>
              <w:ind w:right="150"/>
              <w:spacing w:after="0"/>
              <w:rPr>
                <w:sz w:val="20"/>
                <w:szCs w:val="20"/>
                <w:color w:val="auto"/>
              </w:rPr>
            </w:pPr>
            <w:r>
              <w:rPr>
                <w:rFonts w:ascii="Arial" w:cs="Arial" w:eastAsia="Arial" w:hAnsi="Arial"/>
                <w:sz w:val="18"/>
                <w:szCs w:val="18"/>
                <w:color w:val="auto"/>
              </w:rPr>
              <w:t>265.1</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264.1</w:t>
            </w:r>
          </w:p>
        </w:tc>
      </w:tr>
      <w:tr>
        <w:trPr>
          <w:trHeight w:val="27"/>
        </w:trPr>
        <w:tc>
          <w:tcPr>
            <w:tcW w:w="6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36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Corporate and Other</w:t>
            </w:r>
          </w:p>
        </w:tc>
        <w:tc>
          <w:tcPr>
            <w:tcW w:w="3720" w:type="dxa"/>
            <w:vAlign w:val="bottom"/>
          </w:tcPr>
          <w:p>
            <w:pPr>
              <w:jc w:val="right"/>
              <w:ind w:right="150"/>
              <w:spacing w:after="0"/>
              <w:rPr>
                <w:sz w:val="20"/>
                <w:szCs w:val="20"/>
                <w:color w:val="auto"/>
              </w:rPr>
            </w:pPr>
            <w:r>
              <w:rPr>
                <w:rFonts w:ascii="Arial" w:cs="Arial" w:eastAsia="Arial" w:hAnsi="Arial"/>
                <w:sz w:val="18"/>
                <w:szCs w:val="18"/>
                <w:color w:val="auto"/>
              </w:rPr>
              <w:t>276.9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222.9</w:t>
            </w:r>
          </w:p>
        </w:tc>
      </w:tr>
      <w:tr>
        <w:trPr>
          <w:trHeight w:val="27"/>
        </w:trPr>
        <w:tc>
          <w:tcPr>
            <w:tcW w:w="63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3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$4,941.9</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$4,876.9</w:t>
            </w:r>
          </w:p>
        </w:tc>
      </w:tr>
      <w:tr>
        <w:trPr>
          <w:trHeight w:val="20"/>
        </w:trPr>
        <w:tc>
          <w:tcPr>
            <w:tcW w:w="636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the 2016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2016 Form 10-K under the headings: “Forward-Looking Statements” located on page 6 and “Risk Factors” located in Part I, Item 1A, beginning on page 25 of our 2016 Form 10-K. The risks and uncertainties described in this Form 10-Q and our 2016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7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includes our regulated utilities, Minnesota Power and SWL&amp;P, as well as our investment in ATC, a Wisconsin-based regulated utility</w:t>
      </w:r>
      <w:r>
        <w:rPr>
          <w:rFonts w:ascii="Arial" w:cs="Arial" w:eastAsia="Arial" w:hAnsi="Arial"/>
          <w:sz w:val="16"/>
          <w:szCs w:val="16"/>
          <w:b w:val="1"/>
          <w:bCs w:val="1"/>
          <w:color w:val="auto"/>
        </w:rPr>
        <w:t xml:space="preserve"> </w:t>
      </w:r>
      <w:r>
        <w:rPr>
          <w:rFonts w:ascii="Arial" w:cs="Arial" w:eastAsia="Arial" w:hAnsi="Arial"/>
          <w:sz w:val="16"/>
          <w:szCs w:val="16"/>
          <w:color w:val="auto"/>
        </w:rPr>
        <w:t>that owns and maintains electric transmission assets in parts of Wisconsin, Michigan, Minnesota and Illinois. Minnesota Power provides regulated utility electric service in northeastern Minnesota to approximately 145,000 retail customers. Minnesota Power also has 16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6"/>
          <w:szCs w:val="16"/>
          <w:i w:val="1"/>
          <w:iCs w:val="1"/>
          <w:color w:val="auto"/>
        </w:rPr>
        <w:t>.</w:t>
      </w:r>
      <w:r>
        <w:rPr>
          <w:rFonts w:ascii="Arial" w:cs="Arial" w:eastAsia="Arial" w:hAnsi="Arial"/>
          <w:sz w:val="16"/>
          <w:szCs w:val="16"/>
          <w:color w:val="auto"/>
        </w:rPr>
        <w:t xml:space="preserve"> (See Note 6. Regulatory Matters.)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focuses on developing, acquiring, and operating clean and renewable energy projects. ALLETE Clean Energy currently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in four states, approximately 535 MW of nameplate capacity wind energy generation that is from PSAs under various durations. In addition, ALLETE Clean Energy constructed and sold a 107 MW wind energy facility in 2015. On January 3, 2017, ALLETE Clean Energy announced that it will develop another wind energy facility of up to 50 MW after securing a 25-year PSA with Montana-Dakota Utilities. The PSA includes an option for Montana-Dakota Utilities to purchase the facility upon completion; construction is expected to begin in 2018. On March 16, 2017, ALLETE Clean Energy announced it will build, own and operate a separate 100 MW wind energy facility pursuant to a 20-year PSA with Northern States Power; construction is expected to begin in late 2018 and is subject to regulatory approvals.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provides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ALLETE Properties, our legacy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other business development and corporate expenditures, unallocated interest expense, a small amount of non-rate base generation, approximately 5,000 acres of land in Minnesota, and earnings on cash and investments.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104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2017,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three months ended March 31, 2017, to the three months ended March 31, 2016.</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attributable to ALLETE for the three months ended March 31, 2017, was $49.0 million, or $0.97 per diluted share, compared to $45.9 million, or $0.93 per diluted share, for the same period in 2016. Earnings per share dilution was $0.02 due to additional shares of common stock outstanding as of March 31, 2017.</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$43.5 million for the three months ended March 31, 2017, compared to $42.4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2016. Net income increased primarily due to higher net income at Minnesota Power resulting from the implementation of interim retail rates on January 1, 2017, and higher kWh sales primarily due to increased industrial sales. These increases were mostly offset by higher operating and maintenance, depreciation, property tax, and interest expenses. Our equity earnings in ATC for the three months ended March 31, 2017, increased $0.7 million after-tax reflecting a higher investment balance and period over period changes in ATC’s estimate of a refund liability related to MISO return on equity complaints.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net income attributable to ALLETE was $6.7 million for the three months ended March 31, 2017, compared to $6.1 million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in 2016. Net income in 2016 included an allocation of earnings to a non-controlling interest in the limited liability company that owns the Condon wind energy facility, which was subsequently acquired by ALLETE Clean Energy in April 2016. (See Note 3. Acquisitions.)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U.S. Water Services </w:t>
      </w:r>
      <w:r>
        <w:rPr>
          <w:rFonts w:ascii="Arial" w:cs="Arial" w:eastAsia="Arial" w:hAnsi="Arial"/>
          <w:sz w:val="17"/>
          <w:szCs w:val="17"/>
          <w:color w:val="auto"/>
        </w:rPr>
        <w:t>net loss attributable to ALLETE was $0.3 million for the three months ended March 31, 2017, compared to a net loss of $0.5 million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period in 2016. The net loss in 2017 includes an after-tax expense of $0.2 million for the settlement of an EPA investigation, and lower operating expenses. (See Note 13. Commitments, Guarantees and Contingencies.) The net loss in 2016 included $0.3 million of after-tax expense recognized as cost of sales related to purchase accounting for inventories and sales backlog. U.S. Water Services sells certain products which are seasonal in nature, with higher demand typically realized in warmer months; generally, lower sales occur in the first quarter of each year.</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net loss attributable to ALLETE was $0.9 million for the three months ended March 31, 2017, compared to a net loss of $2.1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same period in 2016. The net loss in 2017 decreased primarily due to lower accretion expense resulting from the contingent consideration liability. (See Note 5. Fair Value.)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104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COMPARISON OF THE THREE MONTHS ENDED MARCH 31, 2017 AND 2016</w:t>
            </w: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4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4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$281.6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480" w:type="dxa"/>
            <w:vAlign w:val="bottom"/>
          </w:tcPr>
          <w:p>
            <w:pPr>
              <w:jc w:val="right"/>
              <w:ind w:right="250"/>
              <w:spacing w:after="0"/>
              <w:rPr>
                <w:sz w:val="20"/>
                <w:szCs w:val="20"/>
                <w:color w:val="auto"/>
              </w:rPr>
            </w:pPr>
            <w:r>
              <w:rPr>
                <w:rFonts w:ascii="Arial" w:cs="Arial" w:eastAsia="Arial" w:hAnsi="Arial"/>
                <w:sz w:val="18"/>
                <w:szCs w:val="18"/>
                <w:color w:val="auto"/>
              </w:rPr>
              <w:t>93.0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76.9</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Services</w:t>
            </w:r>
          </w:p>
        </w:tc>
        <w:tc>
          <w:tcPr>
            <w:tcW w:w="2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80" w:type="dxa"/>
            <w:vAlign w:val="bottom"/>
          </w:tcPr>
          <w:p>
            <w:pPr>
              <w:jc w:val="right"/>
              <w:ind w:right="250"/>
              <w:spacing w:after="0"/>
              <w:rPr>
                <w:sz w:val="20"/>
                <w:szCs w:val="20"/>
                <w:color w:val="auto"/>
              </w:rPr>
            </w:pPr>
            <w:r>
              <w:rPr>
                <w:rFonts w:ascii="Arial" w:cs="Arial" w:eastAsia="Arial" w:hAnsi="Arial"/>
                <w:sz w:val="18"/>
                <w:szCs w:val="18"/>
                <w:color w:val="auto"/>
              </w:rPr>
              <w:t>3.6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55.0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80" w:type="dxa"/>
            <w:vAlign w:val="bottom"/>
          </w:tcPr>
          <w:p>
            <w:pPr>
              <w:jc w:val="right"/>
              <w:ind w:right="250"/>
              <w:spacing w:after="0"/>
              <w:rPr>
                <w:sz w:val="20"/>
                <w:szCs w:val="20"/>
                <w:color w:val="auto"/>
              </w:rPr>
            </w:pPr>
            <w:r>
              <w:rPr>
                <w:rFonts w:ascii="Arial" w:cs="Arial" w:eastAsia="Arial" w:hAnsi="Arial"/>
                <w:sz w:val="18"/>
                <w:szCs w:val="18"/>
                <w:color w:val="auto"/>
              </w:rPr>
              <w:t>39.7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2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37"/>
        </w:trPr>
        <w:tc>
          <w:tcPr>
            <w:tcW w:w="420" w:type="dxa"/>
            <w:vAlign w:val="bottom"/>
          </w:tcPr>
          <w:p>
            <w:pPr>
              <w:spacing w:after="0"/>
              <w:rPr>
                <w:sz w:val="20"/>
                <w:szCs w:val="20"/>
                <w:color w:val="auto"/>
              </w:rPr>
            </w:pPr>
          </w:p>
        </w:tc>
        <w:tc>
          <w:tcPr>
            <w:tcW w:w="7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Operating Income</w:t>
            </w:r>
          </w:p>
        </w:tc>
        <w:tc>
          <w:tcPr>
            <w:tcW w:w="2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60.5</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2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420" w:type="dxa"/>
            <w:vAlign w:val="bottom"/>
          </w:tcPr>
          <w:p>
            <w:pPr>
              <w:spacing w:after="0"/>
              <w:rPr>
                <w:sz w:val="21"/>
                <w:szCs w:val="21"/>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Equity Earnings in ATC</w:t>
            </w:r>
          </w:p>
        </w:tc>
        <w:tc>
          <w:tcPr>
            <w:tcW w:w="2480" w:type="dxa"/>
            <w:vAlign w:val="bottom"/>
          </w:tcPr>
          <w:p>
            <w:pPr>
              <w:jc w:val="right"/>
              <w:ind w:right="250"/>
              <w:spacing w:after="0"/>
              <w:rPr>
                <w:sz w:val="20"/>
                <w:szCs w:val="20"/>
                <w:color w:val="auto"/>
              </w:rPr>
            </w:pPr>
            <w:r>
              <w:rPr>
                <w:rFonts w:ascii="Arial" w:cs="Arial" w:eastAsia="Arial" w:hAnsi="Arial"/>
                <w:sz w:val="18"/>
                <w:szCs w:val="18"/>
                <w:color w:val="auto"/>
              </w:rPr>
              <w:t>6.1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420" w:type="dxa"/>
            <w:vAlign w:val="bottom"/>
          </w:tcPr>
          <w:p>
            <w:pPr>
              <w:spacing w:after="0"/>
              <w:rPr>
                <w:sz w:val="20"/>
                <w:szCs w:val="20"/>
                <w:color w:val="auto"/>
              </w:rPr>
            </w:pPr>
          </w:p>
        </w:tc>
        <w:tc>
          <w:tcPr>
            <w:tcW w:w="7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Income Before Non-Controlling Interest and Income Taxes</w:t>
            </w:r>
          </w:p>
        </w:tc>
        <w:tc>
          <w:tcPr>
            <w:tcW w:w="24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52.8</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w:t>
            </w:r>
          </w:p>
        </w:tc>
      </w:tr>
      <w:tr>
        <w:trPr>
          <w:trHeight w:val="27"/>
        </w:trPr>
        <w:tc>
          <w:tcPr>
            <w:tcW w:w="4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420" w:type="dxa"/>
            <w:vAlign w:val="bottom"/>
          </w:tcPr>
          <w:p>
            <w:pPr>
              <w:spacing w:after="0"/>
              <w:rPr>
                <w:sz w:val="23"/>
                <w:szCs w:val="23"/>
                <w:color w:val="auto"/>
              </w:rPr>
            </w:pPr>
          </w:p>
        </w:tc>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37"/>
        </w:trPr>
        <w:tc>
          <w:tcPr>
            <w:tcW w:w="420" w:type="dxa"/>
            <w:vAlign w:val="bottom"/>
          </w:tcPr>
          <w:p>
            <w:pPr>
              <w:spacing w:after="0"/>
              <w:rPr>
                <w:sz w:val="20"/>
                <w:szCs w:val="20"/>
                <w:color w:val="auto"/>
              </w:rPr>
            </w:pPr>
          </w:p>
        </w:tc>
        <w:tc>
          <w:tcPr>
            <w:tcW w:w="7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Income Attributable to ALLETE</w:t>
            </w:r>
          </w:p>
        </w:tc>
        <w:tc>
          <w:tcPr>
            <w:tcW w:w="2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$43.5</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w:t>
            </w:r>
          </w:p>
        </w:tc>
      </w:tr>
      <w:tr>
        <w:trPr>
          <w:trHeight w:val="27"/>
        </w:trPr>
        <w:tc>
          <w:tcPr>
            <w:tcW w:w="420" w:type="dxa"/>
            <w:vAlign w:val="bottom"/>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$29.3 million, or 12 percent, from 2016 primarily due to higher fuel adjustment clause recoveries, interim retail rates, kWh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conservation improvement program recoveries and transmission revenue.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Fuel adjustment clause recoveries increased $10.2 million due to higher fuel and purchased power costs attributable to retail and municipal customers. (See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Interim retail rates for Minnesota Power, subject to refund, were approved by the MPUC in a December 2016 order and became effective January 1, 2017, resulting in revenue of $8.8 million in the first quarter of 2017. (See Note 6. Regulatory Matters.)</w:t>
      </w:r>
    </w:p>
    <w:p>
      <w:pPr>
        <w:spacing w:after="0" w:line="170"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As a result of higher kWh sales, revenue increased $7.5 million from 2016 primarily due to higher sales to Industrial customers. Sales to Industrial customers increased 10.5 percent primarily due to increased taconite production and the commencement of a long-term PSA with Silver Bay Power in the second quarter of 2016. Sales to Residential and Municipal customers decreased 1.8 percent due to warmer temperatures in 2017. Heating degree days in Duluth, Minnesota, were approximately 3 percent lower in the first three months of 2017 compared to the same period in 2016. Sales to Commercial customers were consistent with 2016. Sales to Other Power Suppliers decreased 7.9 percent from 2016 as a result of increased sales to industrial customers. Sales to Other Power Suppliers are sold at market-based prices into the MISO market on a daily basis or through bilateral agreements of various durations.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5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323</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369</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368</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5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1,762</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1,594</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43"/>
        </w:trPr>
        <w:tc>
          <w:tcPr>
            <w:tcW w:w="504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215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219</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2,669</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2,510</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230"/>
              <w:spacing w:after="0"/>
              <w:rPr>
                <w:sz w:val="20"/>
                <w:szCs w:val="20"/>
                <w:color w:val="auto"/>
              </w:rPr>
            </w:pPr>
            <w:r>
              <w:rPr>
                <w:rFonts w:ascii="Arial" w:cs="Arial" w:eastAsia="Arial" w:hAnsi="Arial"/>
                <w:sz w:val="18"/>
                <w:szCs w:val="18"/>
                <w:color w:val="auto"/>
              </w:rPr>
              <w:t>1,041</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1,130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(89)</w:t>
            </w: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50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3,710</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3,640</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50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ectPr>
          <w:pgSz w:w="11900" w:h="16838" w:orient="portrait"/>
          <w:cols w:equalWidth="0" w:num="1">
            <w:col w:w="11420"/>
          </w:cols>
          <w:pgMar w:left="240" w:top="1040"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20"/>
          </w:cols>
          <w:pgMar w:left="240" w:top="1040"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COMPARISON OF THE THREE MONTHS ENDED MARCH 31, 2017 AND 2016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21 percent of consolidated operating revenue in 2017 (16 percent in 2016). Revenue from electric sales to paper, pulp and secondary wood product customers accounted for 5 percent of consolidated operating revenue in 2017 (7 percent in 2016). Revenue from electric sales to pipelines and other industrial customers accounted for 7 percent of consolidated operating revenue in 2017 (7 percent in 2016).</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Conservation improvement program recoveries increased $1.6 million from 2016 primarily due to an increase in related expenditures.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Transmission revenue increased $1.2 million primarily due to higher MISO-related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$23.3 million, or 12 percent, from 2016.</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w:t>
      </w:r>
      <w:r>
        <w:rPr>
          <w:rFonts w:ascii="Arial" w:cs="Arial" w:eastAsia="Arial" w:hAnsi="Arial"/>
          <w:sz w:val="18"/>
          <w:szCs w:val="18"/>
          <w:color w:val="auto"/>
        </w:rPr>
        <w:t>expense increased $16.1 million, or 21 percent, from 2016 primarily due to increased kWh sales as well as higher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power prices and fuel costs. Fuel and purchased power expense related to our retail and municipal customers is recovered through the fuel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$4.4 million, or 9 percent, from 2016 primarily due to a $3.6 million sales tax refund received in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$1.6 million increase in conservation improvement program expenses in 2017. Conservation improvement program expenses are recovered from certain retail customers. (See </w:t>
      </w:r>
      <w:r>
        <w:rPr>
          <w:rFonts w:ascii="Arial" w:cs="Arial" w:eastAsia="Arial" w:hAnsi="Arial"/>
          <w:sz w:val="18"/>
          <w:szCs w:val="18"/>
          <w:i w:val="1"/>
          <w:iCs w:val="1"/>
          <w:color w:val="auto"/>
        </w:rPr>
        <w:t>Operating Revenue.</w:t>
      </w:r>
      <w:r>
        <w:rPr>
          <w:rFonts w:ascii="Arial" w:cs="Arial" w:eastAsia="Arial" w:hAnsi="Arial"/>
          <w:sz w:val="18"/>
          <w:szCs w:val="18"/>
          <w:color w:val="auto"/>
        </w:rPr>
        <w:t>)</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$1.4 million, or 4 percent, from 2016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$1.0 million, or 8 percent, from 2016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w:t>
      </w:r>
    </w:p>
    <w:p>
      <w:pPr>
        <w:spacing w:after="0" w:line="170"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increased $0.9 million, or 7 percent, from 2016 primarily due to higher average interest rates. We record interest expense for Regulated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based on Minnesota Power’s rate base and authorized capital structure, and allocate the balance to Corporate and Other.</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in ATC </w:t>
      </w:r>
      <w:r>
        <w:rPr>
          <w:rFonts w:ascii="Arial" w:cs="Arial" w:eastAsia="Arial" w:hAnsi="Arial"/>
          <w:sz w:val="18"/>
          <w:szCs w:val="18"/>
          <w:color w:val="auto"/>
        </w:rPr>
        <w:t>increased $1.3 million, or 27 percent, from 2016 primarily due to additional investments in ATC and period over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ATC’s estimate of a refund liability related to MISO return on equity complaints. (See Note 7. Investment in ATC.)</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$4.6 million from 2016 due to higher pre-tax income. We expect our annual effective tax rate in 2017 to be higher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due to higher pre-tax income.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1039"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w w:val="98"/>
              </w:rPr>
              <w:t>COMPARISON OF THE THREE MONTHS ENDED MARCH 31, 2017 AND 2016 (Continued)</w:t>
            </w: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0" w:type="dxa"/>
            <w:vAlign w:val="bottom"/>
          </w:tcPr>
          <w:p>
            <w:pPr>
              <w:spacing w:after="0"/>
              <w:rPr>
                <w:sz w:val="24"/>
                <w:szCs w:val="24"/>
                <w:color w:val="auto"/>
              </w:rPr>
            </w:pPr>
          </w:p>
        </w:tc>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$23.7</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1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614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w w:val="91"/>
              </w:rPr>
              <w:t xml:space="preserve">Operating Revenue </w:t>
            </w:r>
            <w:r>
              <w:rPr>
                <w:rFonts w:ascii="Arial" w:cs="Arial" w:eastAsia="Arial" w:hAnsi="Arial"/>
                <w:sz w:val="18"/>
                <w:szCs w:val="18"/>
                <w:color w:val="auto"/>
                <w:w w:val="91"/>
              </w:rPr>
              <w:t>was similar in 2017 compared to the same period in 2016.</w:t>
            </w: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4"/>
              </w:rPr>
              <w:t>Three Months Ended March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88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2017</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5720" w:type="dxa"/>
            <w:vAlign w:val="bottom"/>
            <w:vMerge w:val="continue"/>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kWh</w:t>
            </w:r>
          </w:p>
        </w:tc>
        <w:tc>
          <w:tcPr>
            <w:tcW w:w="1540" w:type="dxa"/>
            <w:vAlign w:val="bottom"/>
          </w:tcPr>
          <w:p>
            <w:pPr>
              <w:jc w:val="right"/>
              <w:ind w:right="470"/>
              <w:spacing w:after="0"/>
              <w:rPr>
                <w:sz w:val="20"/>
                <w:szCs w:val="20"/>
                <w:color w:val="auto"/>
              </w:rPr>
            </w:pPr>
            <w:r>
              <w:rPr>
                <w:rFonts w:ascii="Arial" w:cs="Arial" w:eastAsia="Arial" w:hAnsi="Arial"/>
                <w:sz w:val="18"/>
                <w:szCs w:val="18"/>
                <w:b w:val="1"/>
                <w:bCs w:val="1"/>
                <w:color w:val="auto"/>
              </w:rPr>
              <w:t>Revenue</w:t>
            </w:r>
          </w:p>
        </w:tc>
        <w:tc>
          <w:tcPr>
            <w:tcW w:w="1340" w:type="dxa"/>
            <w:vAlign w:val="bottom"/>
          </w:tcPr>
          <w:p>
            <w:pPr>
              <w:jc w:val="right"/>
              <w:ind w:right="630"/>
              <w:spacing w:after="0"/>
              <w:rPr>
                <w:sz w:val="20"/>
                <w:szCs w:val="20"/>
                <w:color w:val="auto"/>
              </w:rPr>
            </w:pPr>
            <w:r>
              <w:rPr>
                <w:rFonts w:ascii="Arial" w:cs="Arial" w:eastAsia="Arial" w:hAnsi="Arial"/>
                <w:sz w:val="18"/>
                <w:szCs w:val="18"/>
                <w:b w:val="1"/>
                <w:bCs w:val="1"/>
                <w:color w:val="auto"/>
              </w:rPr>
              <w:t>kWh</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Wind Energy Facilities</w:t>
            </w:r>
          </w:p>
        </w:tc>
        <w:tc>
          <w:tcPr>
            <w:tcW w:w="1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Lake Benton</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75.8</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$3.5</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70.0</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II</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w:t>
            </w:r>
          </w:p>
        </w:tc>
        <w:tc>
          <w:tcPr>
            <w:tcW w:w="1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52.5</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Condon</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2.0</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28.5</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Storm Lake I</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1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64.0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Chanarambie/Viking</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3.9</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80.6</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20" w:type="dxa"/>
            <w:vAlign w:val="bottom"/>
          </w:tcPr>
          <w:p>
            <w:pPr>
              <w:spacing w:after="0"/>
              <w:rPr>
                <w:sz w:val="23"/>
                <w:szCs w:val="23"/>
                <w:color w:val="auto"/>
              </w:rPr>
            </w:pPr>
          </w:p>
        </w:tc>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Armenia Mountain</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w:t>
            </w:r>
          </w:p>
        </w:tc>
        <w:tc>
          <w:tcPr>
            <w:tcW w:w="1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8.0</w:t>
            </w:r>
          </w:p>
        </w:tc>
        <w:tc>
          <w:tcPr>
            <w:tcW w:w="13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92.0</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57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Total Production and Operating Revenue</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386.5</w:t>
            </w:r>
          </w:p>
        </w:tc>
        <w:tc>
          <w:tcPr>
            <w:tcW w:w="1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$23.7</w:t>
            </w:r>
          </w:p>
        </w:tc>
        <w:tc>
          <w:tcPr>
            <w:tcW w:w="13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387.6</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increased $0.6 million, or 10 percent, from 2016. Net income in 2016 included an allocation of earnings to a non-controlling interest in the limited liability company that owns the Condon wind energy facility which was subsequently acquired by ALLETE Clean Energy in April 2016. (See Note 3. Acquisitions.)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U.S. Water Services</w:t>
            </w:r>
          </w:p>
        </w:tc>
        <w:tc>
          <w:tcPr>
            <w:tcW w:w="4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59"/>
        </w:trPr>
        <w:tc>
          <w:tcPr>
            <w:tcW w:w="72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4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7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7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2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4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$32.1</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43"/>
        </w:trPr>
        <w:tc>
          <w:tcPr>
            <w:tcW w:w="720" w:type="dxa"/>
            <w:vAlign w:val="bottom"/>
          </w:tcPr>
          <w:p>
            <w:pPr>
              <w:spacing w:after="0"/>
              <w:rPr>
                <w:sz w:val="21"/>
                <w:szCs w:val="21"/>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Net Loss Attributable to ALLETE</w:t>
            </w:r>
          </w:p>
        </w:tc>
        <w:tc>
          <w:tcPr>
            <w:tcW w:w="410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7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decreased $0.3 million from 2016 primarily due to fewer equipment sales, partially offset by increased sales of chemicals and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Revenue from chemical sales and related services, which includes recurring revenue contracts for the delivery and service of chemicals, was $27.2 million in 2017 compared to $25.9 million in 2016. Revenue from equipment and related services, which includes sales of water treatment equipment, was $4.9 million for 2017 compared to $6.5 million in 2016; equipment sales can fluctuate from quarter to quarter.</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decreased $0.2 million from 2016. The net loss in 2017 includes an after-tax expense of $0.2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 of an EPA investigation, and lower operating expenses. (See Note 13. Commitments, Guarantees and Contingencies.) The net loss in 2016 included $0.3 million of after-tax expense recognized as cost of sales related to purchase accounting for inventories and sales backlog. U.S. Water Services sells certain products which are seasonal in nature, with higher demand typically realized in warmer months; generally, lower sales occur in the first quarter of each year.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104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COMPARISON OF THE THREE MONTHS ENDED MARCH 31, 2017 AND 2016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$2.7 million, or 11 percent, from 2016 primarily due to an increase in revenue at BNI Energy, which operates under cost-plus fixed fee contracts, as a result of higher expenses in 2017 compared to the same period in 2016.</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Net Loss Attributable to ALLETE </w:t>
      </w:r>
      <w:r>
        <w:rPr>
          <w:rFonts w:ascii="Arial" w:cs="Arial" w:eastAsia="Arial" w:hAnsi="Arial"/>
          <w:sz w:val="18"/>
          <w:szCs w:val="18"/>
          <w:color w:val="auto"/>
        </w:rPr>
        <w:t>decreased $1.2 million from 2016 primarily due to lower accretion expense resulting from the contingent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liability. Net income at BNI Energy was $1.8 million in 2017 compared to $2.0 million for the same period in 2016, and the net loss at ALLETE Properties was $1.2 million in 2017 compared to a net loss of $1.1 million for the same period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three months ended March 31, 2017, the effective tax rate was 21.1 percent (16.7 percent for the three months ended March 31, 2016). The increase from the three months ended March 31, 2016, was primarily due to higher pre-tax income. We expect our annual effective tax rate in 2017 to be higher than 2016 due to higher pre-tax income. The effective rate deviated from the combined statutory rate of approximately 41 percent primarily due to production tax credits. (See Note 9. Income Tax Expense.)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taxation and valuation of goodwill and intangible assets. These policies are reviewed with the Audit Committee of our Board of Directors on a regular basis and summarized in Part II, Item 7. Management’s Discussion and Analysis of Financial Condition and Results of Operations of our 2016 Form 10-K.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and 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Our 2016 annual testing of U.S. Water Services’ goodwill for impairment indicated the calculated fair value of equity for the reporting unit</w:t>
      </w:r>
      <w:r>
        <w:rPr>
          <w:rFonts w:ascii="Arial" w:cs="Arial" w:eastAsia="Arial" w:hAnsi="Arial"/>
          <w:sz w:val="18"/>
          <w:szCs w:val="18"/>
          <w:i w:val="1"/>
          <w:iCs w:val="1"/>
          <w:color w:val="auto"/>
        </w:rPr>
        <w:t xml:space="preserve"> </w:t>
      </w:r>
      <w:r>
        <w:rPr>
          <w:rFonts w:ascii="Arial" w:cs="Arial" w:eastAsia="Arial" w:hAnsi="Arial"/>
          <w:sz w:val="18"/>
          <w:szCs w:val="18"/>
          <w:color w:val="auto"/>
        </w:rPr>
        <w:t>exceeded carrying value by less than 10 percent. Significant assumptions utilized in the fair value calculation included a discount rate of 10.75 percent, cash flow forecasts through 2021, annual revenue growth rates ranging from 8 percent to 11 percent and a terminal growth rate of 5.0 percent. If U.S. Water Services fails to meet expected cash flow forecasts by a nominal margin or there is an increase in interest rates that has a negative impact on the discount rate used in the Company’s valuation under the income approach, the results of our future tests could result in an impairment of goodwill; our next annual impairment test will occur in the fourth quarter of 2017. Subsequent to our 2016 annual impairment test, there have been no triggering events or indicators of impairment of goodwill.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2016 Form 10-K.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long-term objectives of achieving average annual earnings per share growth of a minimum of five percent and providing a dividend payout competitive with our industry.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its Energy Infrastructure and Related Services businesses to complement its regulated businesses, balance exposure to the utility’s industrial customers and provide potential long-term earnings growth. ALLETE expects net income from its Regulated Operations segment to be approximately 85 percent to 90 percent of total consolidated net income in 2017. Over the next several years, the contribution of the Energy Infrastructure and Related Services businesses to net income is expected to increase as ALLETE grows these operations. ALLETE expects its businesses to provide regulated, contracted or recurring revenues, and to support sustained growth in net income and cash flow.</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104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Minnesota Power’s long-term strategy is to be the leading electric energy provider in northeastern Minnesota by providing safe,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w:t>
      </w:r>
      <w:r>
        <w:rPr>
          <w:rFonts w:ascii="Arial" w:cs="Arial" w:eastAsia="Arial" w:hAnsi="Arial"/>
          <w:sz w:val="18"/>
          <w:szCs w:val="18"/>
          <w:i w:val="1"/>
          <w:iCs w:val="1"/>
          <w:color w:val="auto"/>
        </w:rPr>
        <w:t>EnergyForward.</w:t>
      </w:r>
      <w:r>
        <w:rPr>
          <w:rFonts w:ascii="Arial" w:cs="Arial" w:eastAsia="Arial" w:hAnsi="Arial"/>
          <w:sz w:val="18"/>
          <w:szCs w:val="18"/>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2016 Minnesota General Rate Case. </w:t>
      </w:r>
      <w:r>
        <w:rPr>
          <w:rFonts w:ascii="Arial" w:cs="Arial" w:eastAsia="Arial" w:hAnsi="Arial"/>
          <w:sz w:val="17"/>
          <w:szCs w:val="17"/>
          <w:color w:val="auto"/>
        </w:rPr>
        <w:t>In November 2016, Minnesota Power filed a retail rate increase request with the MPUC seeking an average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 percent for retail customers. The rate filing seeks a return on equity of 10.25 percent and a 53.8 percent equity ratio. On an annualized basis, the requested final rate increase would have generated approximately $55 million in additional revenue. In December 2016, Minnesota Power filed a request to modify its original interim rate proposal reducing its requested interim rate increase to $34.7 million from the original request of approximately $49 million due to a change in its electric sales forecast. In December 2016 orders, the MPUC accepted the November 2016 filing as complete and authorized an annual interim rate increase of $34.7 million beginning January 1, 2017.</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23, 2017, Minnesota Power filed an additional request to further reduce its requested interim rate increase. In an order dated April 13, 2017, the MPUC approved Minnesota Power’s updated retail rate request resulting in a reduction in the annual interim rate increase to $32.2 million beginning May 1, 2017. On February 28, 2017, Minnesota Power filed an update to its rate increase request, reducing its requested final retail rate increase from approximately $55 million to approximately $39 million on an annualized basis. As of March 31, 2017, Minnesota Power has not received any indication that a refund of interim rates will be necessary. Management will continue to evaluate the need for a reserve for interim rates as the 2016 general rate case proceeds.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2016 Minnesota general rate request and through Minnesota Power’s 2017 remaining life depreciation petition filed on February 1, 2017, Minnesota Power is seeking an extension of the recovery period for Boswell to better reflect recent environmental investments at the facility and mitigate rate increases for our customers. If approved, annual depreciation expense will be reduced by approximately $25 million. If the requested recovery period extension is not approved, we would expect final rates to be increased by a similar amount, subject to regulatory approval. We cannot predict the level of final rates that may be authorized by the MPUC.</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2016 Wisconsin General Rate Case. </w:t>
      </w:r>
      <w:r>
        <w:rPr>
          <w:rFonts w:ascii="Arial" w:cs="Arial" w:eastAsia="Arial" w:hAnsi="Arial"/>
          <w:sz w:val="16"/>
          <w:szCs w:val="16"/>
          <w:color w:val="auto"/>
        </w:rPr>
        <w:t>SWL&amp;P’s current retail rates are based on a 2012 PSCW retail rate order that allows for a 10.9 percent return on</w:t>
      </w:r>
      <w:r>
        <w:rPr>
          <w:rFonts w:ascii="Arial" w:cs="Arial" w:eastAsia="Arial" w:hAnsi="Arial"/>
          <w:sz w:val="16"/>
          <w:szCs w:val="16"/>
          <w:i w:val="1"/>
          <w:iCs w:val="1"/>
          <w:color w:val="auto"/>
        </w:rPr>
        <w:t xml:space="preserve"> </w:t>
      </w:r>
      <w:r>
        <w:rPr>
          <w:rFonts w:ascii="Arial" w:cs="Arial" w:eastAsia="Arial" w:hAnsi="Arial"/>
          <w:sz w:val="16"/>
          <w:szCs w:val="16"/>
          <w:color w:val="auto"/>
        </w:rPr>
        <w:t>common equity. In June 2016, SWL&amp;P filed a rate increase request with the PSCW requesting an average increase of 3.1 percent for retail customers (3.5 percent increase in electric rates; 1.3 percent decrease in natural gas rates; and 7.8 percent increase in water rates). The filing seeks an overall return on equity of 10.9 percent and a 55 percent equity ratio. On an annualized basis, the requested rate increase would generate approximately $2.7 million in additional revenue. The Company anticipates new rates will take effect in mid-2017. We cannot predict the level of rates that may be approved by the PSCW.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secondary wood products,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industries. Approximately 47 percent of our regulated utility kWh sales in the three months ended March 31, 2017, were made to our industrial customers (44 percent in the three months ended March 31, 2016).</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Taconite and Iron Concentrate</w:t>
      </w:r>
      <w:r>
        <w:rPr>
          <w:rFonts w:ascii="Arial" w:cs="Arial" w:eastAsia="Arial" w:hAnsi="Arial"/>
          <w:sz w:val="17"/>
          <w:szCs w:val="17"/>
          <w:color w:val="auto"/>
        </w:rPr>
        <w:t xml:space="preserve">. Minnesota Power provides electric service to six taconite facilities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 Minnesota Power also provides electric service to three iron concentrate facilities capable of producing up to approximately 4 million tons of iron concentrate per year. Iron concentrate is used in the production of taconite pellets. These iron concentrate facilities are owned in whole, or in part, by ERP Iron Ore and are not currently operating. (See </w:t>
      </w:r>
      <w:r>
        <w:rPr>
          <w:rFonts w:ascii="Arial" w:cs="Arial" w:eastAsia="Arial" w:hAnsi="Arial"/>
          <w:sz w:val="17"/>
          <w:szCs w:val="17"/>
          <w:i w:val="1"/>
          <w:iCs w:val="1"/>
          <w:color w:val="auto"/>
        </w:rPr>
        <w:t>ERP Iron Ore / Magnetation</w:t>
      </w:r>
      <w:r>
        <w:rPr>
          <w:rFonts w:ascii="Arial" w:cs="Arial" w:eastAsia="Arial" w:hAnsi="Arial"/>
          <w:sz w:val="17"/>
          <w:szCs w:val="17"/>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104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73 percent of capacity during the first three months of 2017 compared to 70 percent in the first three months of 2016. The World Steel Association, an association of over 160 steel producers, national and regional steel industry associations, and steel research institutes representing approximately 85 percent of world steel production, projected U.S. steel consumption in 2017 will increase by approximately 3 percent compared to 2016.</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$0.03,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u w:val="single" w:color="auto"/>
          <w:color w:val="auto"/>
        </w:rPr>
        <w:t>USS Corporation</w:t>
      </w:r>
      <w:r>
        <w:rPr>
          <w:rFonts w:ascii="Arial" w:cs="Arial" w:eastAsia="Arial" w:hAnsi="Arial"/>
          <w:sz w:val="16"/>
          <w:szCs w:val="16"/>
          <w:color w:val="auto"/>
        </w:rPr>
        <w:t>. In the second quarter of 2015, USS Corporation temporarily idled its Minnesota Ore Operations - Keetac plant in Keewatin,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and a portion of its Minnesota Ore Operations - Minntac plant in Mountain Iron, Minnesota. These actions were due to high inventory levels and ongoing adjustment of its steel producing operations throughout North America. Global influences in the market, including a higher level of imports, unfairly traded products and reduced steel prices, were cited as having an impact. USS Corporation returned its Minntac plant to full production in the third quarter of 2015, and in the first quarter of 2017, USS Corporation restarted its Keetac plant. Both facilities are Large Power Customers of Minnesota Power. USS Corporation has the capability to produce approximately 5 million tons and 15 million tons of taconite annually at its Keetac and Minntac plants, respectively.</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ERP Iron Ore / Magnetation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2015, Magnetation announced that it had filed voluntary petitions for reorganization under Chapter 11 of the Bankruptcy</w:t>
      </w:r>
      <w:r>
        <w:rPr>
          <w:rFonts w:ascii="Arial" w:cs="Arial" w:eastAsia="Arial" w:hAnsi="Arial"/>
          <w:sz w:val="17"/>
          <w:szCs w:val="17"/>
          <w:i w:val="1"/>
          <w:iCs w:val="1"/>
          <w:color w:val="auto"/>
        </w:rPr>
        <w:t xml:space="preserve"> </w:t>
      </w:r>
      <w:r>
        <w:rPr>
          <w:rFonts w:ascii="Arial" w:cs="Arial" w:eastAsia="Arial" w:hAnsi="Arial"/>
          <w:sz w:val="17"/>
          <w:szCs w:val="17"/>
          <w:color w:val="auto"/>
        </w:rPr>
        <w:t>Code in the U.S. Bankruptcy Court for the District of Minnesota, citing the significant decrease in global iron ore prices and its existing capital structure. In January 2016, Magnetation idled its Plant 2 facility in Bovey, Minnesota. In October 2016, the bankruptcy court approved plans to idle Magnetation’s Plant 4 facility near Grand Rapids, Minnesota, and its pellet plant in Reynolds, Indiana, as well as terminate Magnetation’s pellet purchase agreement with AK Steel Corporation. The company subsequently idled the facilities and stated it was preserving the plants and their value for a potential buyer. On January 30, 2017, ERP Iron Ore purchased substantially all of Magnetation’s assets pursuant to an asset purchase agreement approved by the bankruptcy court. Although we cannot predict whether the facilities will be restarted, Minnesota Power would serve the Plant 2 and Plant 4 facilities through ERP Iron Ore’s assumption of the existing electric service agreement.</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Paper, Pulp and Secondary Wood Products</w:t>
      </w:r>
      <w:r>
        <w:rPr>
          <w:rFonts w:ascii="Arial" w:cs="Arial" w:eastAsia="Arial" w:hAnsi="Arial"/>
          <w:sz w:val="18"/>
          <w:szCs w:val="18"/>
          <w:color w:val="auto"/>
        </w:rPr>
        <w:t>. In addition to serving the taconite industry, Minnesota Power serves a number of customers in the paper, pulp and secondary wood products industry. The four major paper and pulp mills we serve reported operating at, or near, full capacity in 2016, and similar levels are expected in 2017.</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Nashwauk Public Utilities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Mesabi Metallics, which changed its name from Essar Steel Minnesota LLC in December 2016, is a retail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Nashwauk Public Utilities Commission, and Minnesota Power has a wholesale electric sales agreement with the Nashwauk Public Utilities Commission for electric service through at least June 2028. Mesabi Metallics filed for bankruptcy protection in July 2016, under Chapter 11 of the Bankruptcy Code in the United States Bankruptcy Court for the District of Delaware. The debtors initiated an auction process in Bankruptcy Court and at an April 26, 2017 hearing announced Chippewa Capital Partners (Chippewa) as the successful bidder. Chippewa now has the responsibility for finalizing a plan of reorganization, and upon approval by the debtors and the Bankruptcy Court could emerge from bankruptcy protection later this year.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20"/>
          </w:cols>
          <w:pgMar w:left="240" w:top="104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PolyMet</w:t>
      </w:r>
      <w:r>
        <w:rPr>
          <w:rFonts w:ascii="Arial" w:cs="Arial" w:eastAsia="Arial" w:hAnsi="Arial"/>
          <w:sz w:val="17"/>
          <w:szCs w:val="17"/>
          <w:color w:val="auto"/>
        </w:rPr>
        <w:t>. Minnesota Power has a long-term contract with PolyMet, which is planning to start a new copper-nickel and precious metal (non-ferrous) mining</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in northeastern Minnesota. In 2015, PolyMet announced the completion of the final EIS by state and federal agencies, which was subsequently published in the Federal Register and Minnesota Environmental Quality Board Monitor. The Minnesota Department of Natural Resources (DNR) issued its Record of Decision in March 2016, finding the final EIS adequate. The 30-day period allowed by law to challenge the Record of Decision passed without any legal challenges being filed. In July 2016, PolyMet submitted applications for water-related permits with the State of Minnesota, and in August 2016, an application for an air quality permit was submitted to the MPCA. In November 2016, PolyMet submitted a state permit to mine application to the DNR detailing its operational plans for the mine. The final EIS also requires Records of Decision by the federal agencies, which are expected in 2017, before final action can be taken on the required federal permits to construct and operate the mining operation. On January 9, 2017, the U.S. Forest Service signed the Final Record of Decision authorizing a land exchange with PolyMet, which upon completion of title transfer will result in PolyMet obtaining surface rights to land needed to develop its mining operation. Minnesota Power could supply between 45 MW and 50 MW of load under a ten-year power supply contract that would begin upon start-up of operations.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EnergyForward. </w:t>
      </w:r>
      <w:r>
        <w:rPr>
          <w:rFonts w:ascii="Arial" w:cs="Arial" w:eastAsia="Arial" w:hAnsi="Arial"/>
          <w:sz w:val="18"/>
          <w:szCs w:val="18"/>
          <w:color w:val="auto"/>
        </w:rPr>
        <w:t>In 2013, Minnesota Power announced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EnergyForward</w:t>
      </w:r>
      <w:r>
        <w:rPr>
          <w:rFonts w:ascii="Arial" w:cs="Arial" w:eastAsia="Arial" w:hAnsi="Arial"/>
          <w:sz w:val="18"/>
          <w:szCs w:val="18"/>
          <w:color w:val="auto"/>
        </w:rPr>
        <w:t>, a strategic plan for assuring reliability, protecting affordability and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improving environmental performance. The plan includes completed and planned investments in wind and hydroelectric power, the addition of natural gas as a generation fuel source, and the installation of emissions control technology.</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2015, Minnesota Power announced the next steps in its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plan, which will reduce carbon emissions, increase the use of renewable resources and add natural gas to meet customer electric service needs in a balanced, reliable and cost-effective way. Significant additional elements of the plan include:</w:t>
      </w:r>
    </w:p>
    <w:p>
      <w:pPr>
        <w:spacing w:after="0" w:line="12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Economic idling of Taconite Harbor Units 1 and 2 which occurred in September 2016 and the ceasing of coal-fired operations there in 2020.</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Adding between 200 MW and 300 MW of cleaner and flexible natural gas-fired generation to Minnesota Power’s portfolio within the next decade.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Building both large and small scale solar generation.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the potential for additional energy efficiency savings.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Integrated Resource Plan. </w:t>
      </w:r>
      <w:r>
        <w:rPr>
          <w:rFonts w:ascii="Arial" w:cs="Arial" w:eastAsia="Arial" w:hAnsi="Arial"/>
          <w:sz w:val="17"/>
          <w:szCs w:val="17"/>
          <w:color w:val="auto"/>
        </w:rPr>
        <w:t>In 2015, Minnesota Power filed its 2015 IRP with the MPUC which contained the next steps in its</w:t>
      </w:r>
      <w:r>
        <w:rPr>
          <w:rFonts w:ascii="Arial" w:cs="Arial" w:eastAsia="Arial" w:hAnsi="Arial"/>
          <w:sz w:val="17"/>
          <w:szCs w:val="17"/>
          <w:i w:val="1"/>
          <w:iCs w:val="1"/>
          <w:color w:val="auto"/>
        </w:rPr>
        <w:t xml:space="preserve"> EnergyForward </w:t>
      </w:r>
      <w:r>
        <w:rPr>
          <w:rFonts w:ascii="Arial" w:cs="Arial" w:eastAsia="Arial" w:hAnsi="Arial"/>
          <w:sz w:val="17"/>
          <w:szCs w:val="17"/>
          <w:color w:val="auto"/>
        </w:rPr>
        <w:t>strategic plan,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included an analysis of a variety of existing and future energy resource alternatives and a projection of customer cost impact by class. In a July 2016 order, the MPUC approved Minnesota Power’s 2015 IRP with modifications. The order accepts Minnesota Power’s plans for Taconite Harbor, directs Minnesota Power to retire Boswell Units 1 and 2 no later than 2022, requires an analysis of generation and demand response alternatives to be filed with a natural gas resource proposal, and requires Minnesota Power to conduct request for proposals for additional wind, solar and demand response resource additions subject to further MPUC approvals. In October 2016, Minnesota Power announced that Boswell Units 1 and 2 will be retired in 2018 as the latest step in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Minnesota Power’s next IRP must be filed by February 1, 2018.</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Power’s 2015 IRP includes an update on its plans and progress in meeting the Minnesota renewable energy milestones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2025. Minnesota Power continues to execute its renewable energy strategy through key renewable projects that will ensure it meets the identified state mandate at the lowest cost for customers. Minnesota Power has exceeded the interim milestone requirements to date and expects 29 percent of its applicable retail and municipal energy sales will be supplied by renewable energy sources in 2017.</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104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u w:val="single" w:color="auto"/>
          <w:color w:val="auto"/>
        </w:rPr>
        <w:t>Minnesota Solar Energy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In 2013, legislation was enacted by the state of Minnesota requiring at least 1.5 percent of total retail electric sales,</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sales to certain customers, to be generated by solar energy by the end of 2020. At least 10 percent of the 1.5 percent mandate must be met by solar energy generated by or procured from solar photovoltaic devices with a nameplate capacity of 20 kW or less. Minnesota Power has two completed solar projects and another solar project is under development. In 2015, Minnesota Power filed for MPUC approval of a 10 MW utility scale solar project at the Camp Ripley Minnesota Army National Guard base and training facility near Little Falls, Minnesota. In a February 2016 order, the MPUC approved Camp Ripley as eligible to meet the solar energy standard and for current cost recovery, which was subsequently finalized by the MPUC in a December 2016 order. Camp Ripley was completed in the fourth quarter of 2016. In 2015, Minnesota Power filed for MPUC approval of a community solar garden project in northeastern Minnesota, which is comprised of a 1 MW solar array to be owned and operated by a third party with the output purchased by Minnesota Power and a 40 kW solar array that is owned and operated by Minnesota Power. In a July 2016 order, the MPUC approved the community solar garden project and cost recovery, subject to certain compliance requirements. Minnesota Power believes these projects will meet approximately one-third of the overall mandate. Additionally, in an order dated February 10, 2017, the MPUC approved Minnesota Power’s proposal to increase the amount of solar rebates available for customer-sited solar installations and recover costs of the program through Minnesota Power’s renewable cost recovery rider. This proposal to incentivize customer-sited solar installations is expected to meet a portion of the required mandate related to solar photovoltaic devices with a nameplate capacity of 20 kW or less.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has approval for current cost recovery of investments and expenditures related to compliance with the Minnesota Solar Energy Standard.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is no approved customer billing rate for solar costs.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PPAs with an affiliate of NextEra Energy, Inc. to purchase the output from Oliver Wind I (50 MW) and Oliver Wind II (48 MW) located in North Dakota.</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increasing amounts of wind energy from North Dakota while gradually phasing out coal-based electricity delivered to its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Updated customer billing rates for the renewable cost recovery rider, which includes investments and expenditures related to Bison, were approved by the MPUC in a December 2016 order, which allows Minnesota Power to charge retail customers on a current basis for the costs of constructing certain renewable investments plus a return on the capital invested. The approval is on a provisional basis pending the outcome of Minnesota Power’s 2016 general rate case.</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November 2016 order, the MPUC directed Minnesota Power to attribute all North Dakota investment tax credits realized from Bison to Minnesota Power regulated retail customers. As a result of the adverse regulatory outcome, Minnesota Power recorded a regulatory liability and a reduction in operating revenue of $15.0 million in 2016. The North Dakota investment tax credits previously recognized as income tax credits in Corporate and Other were reversed in 2016 resulting in an $8.8 million charge to net income for the year ended December 31, 2016. In December 2016, Minnesota Power submitted a request for reconsideration with the MPUC. In an order dated February 14, 2017, the MPUC decided to reconsider its November 2016 order and requested comments by June 30, 2017.</w:t>
      </w:r>
    </w:p>
    <w:p>
      <w:pPr>
        <w:spacing w:after="0" w:line="19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Prior to the November 2016 MPUC order, Minnesota Power accounted for North Dakota investment tax credits based on the long</w:t>
      </w:r>
      <w:r>
        <w:rPr>
          <w:rFonts w:ascii="MS PGothic" w:cs="MS PGothic" w:eastAsia="MS PGothic" w:hAnsi="MS PGothic"/>
          <w:sz w:val="18"/>
          <w:szCs w:val="18"/>
          <w:color w:val="auto"/>
        </w:rPr>
        <w:t>‑</w:t>
      </w:r>
      <w:r>
        <w:rPr>
          <w:rFonts w:ascii="Arial" w:cs="Arial" w:eastAsia="Arial" w:hAnsi="Arial"/>
          <w:sz w:val="18"/>
          <w:szCs w:val="18"/>
          <w:color w:val="auto"/>
        </w:rPr>
        <w:t>standing regulatory precedents of stand-alone allocation methodology of accounting for income taxes. The stand-alone method provides that income taxes (and credits) are calculated as if Minnesota Power was the only entity included in ALLETE’s consolidated federal and unitary state income tax returns. Minnesota Power had recorded a regulatory liability for North Dakota investment tax credits generated by its jurisdictional activity and expected to be realized in the future. North Dakota investment tax credits attributable to ALLETE’s apportionment and income of ALLETE’s other subsidiaries were included in the ALLETE consolidated group.</w:t>
      </w:r>
    </w:p>
    <w:p>
      <w:pPr>
        <w:spacing w:after="0" w:line="20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Manitoba Hydro</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five long-term PPAs with Manitoba Hydro. The first PPA expires in May 2020. Under this agreement,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 is purchasing 50 MW of capacity and the energy associated with that capacity. Both the capacity price and the energy price are adjusted annually by the change in a governmental inflationary index. Under the second PPA, Minnesota Power is purchasing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1039"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2011, Minnesota Power and Manitoba Hydro signed a third PPA. This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(See </w:t>
      </w:r>
      <w:r>
        <w:rPr>
          <w:rFonts w:ascii="Arial" w:cs="Arial" w:eastAsia="Arial" w:hAnsi="Arial"/>
          <w:sz w:val="16"/>
          <w:szCs w:val="16"/>
          <w:i w:val="1"/>
          <w:iCs w:val="1"/>
          <w:color w:val="auto"/>
        </w:rPr>
        <w:t>Transmission – Great Northern Transmission Line</w:t>
      </w:r>
      <w:r>
        <w:rPr>
          <w:rFonts w:ascii="Arial" w:cs="Arial" w:eastAsia="Arial" w:hAnsi="Arial"/>
          <w:sz w:val="16"/>
          <w:szCs w:val="16"/>
          <w:color w:val="auto"/>
        </w:rPr>
        <w:t>.)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2014, Minnesota Power and Manitoba Hydro signed a fourth PPA that provides for Minnesota Power to purchase up to 133 MW of energy from Manitoba Hydro for 20 years beginning in 2020. The pricing under this PPA is based on forward market prices. The PPA is subject to the construction of the GNTL.</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2015, Minnesota Power and Manitoba Hydro signed a fifth PPA that provides for Minnesota Power to purchase 50 MW of capacity at fixed prices. The PPA begins in June 2017 and expires in May 2020.</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Transmission. </w:t>
      </w:r>
      <w:r>
        <w:rPr>
          <w:rFonts w:ascii="Arial" w:cs="Arial" w:eastAsia="Arial" w:hAnsi="Arial"/>
          <w:sz w:val="17"/>
          <w:szCs w:val="17"/>
          <w:color w:val="auto"/>
        </w:rPr>
        <w:t>We continue to make investments in transmission opportunities that strengthen or enhance the transmission grid or take advantage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w:t>
      </w:r>
      <w:r>
        <w:rPr>
          <w:rFonts w:ascii="Arial" w:cs="Arial" w:eastAsia="Arial" w:hAnsi="Arial"/>
          <w:sz w:val="18"/>
          <w:szCs w:val="18"/>
          <w:color w:val="auto"/>
        </w:rPr>
        <w:t>As a condition of the 250-MW long-term PPA entered into with Manitoba Hydro, construction of additional transmission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is required. As a result, Minnesota Power and Manitoba Hydro proposed construction of the GNTL, an approximately 220-mile 500-kV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2015, a certificate of need was approved by the MPUC. Based on this order, Minnesota Power’s portion of the investments and expenditures for the project are eligible for cost recovery under its existing transmission cost recovery rider and are anticipated to be included in future transmission cost recovery filings. (See Note 6. Regulatory Matters.) In 2015, the FERC approved our request to recover on construction work in progress related to the GNTL from Minnesota Power’s wholesale customers. In an April 2016 order, the MPUC approved the route permit for the GNTL which largely follows Minnesota Power’s preferred route, including the international border crossing, and in November 2016, the U.S. Department of Energy issued a presidential permit to cross the U.S.-Canadian border, which was the final major regulatory approval needed before construction in the U.S. could begin. Site clearing and pre-construction activities commenced in the first quarter of 2017 with construction expected to be completed in 2020. Total project cost in the U.S., including substation work, is estimated to be between $560 million and $710 million, of which Minnesota Power’s portion is expected to be between $300 million and $350 million; the difference will be recovered from a subsidiary of Manitoba Hydro as contributions in aid of construction. Total project costs of $56.8 million have been incurred through March 31, 2017, of which $29.6 million has been recovered from a subsidiary of Manitoba Hydro.</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Manitoba Hydro must obtain regulatory and governmental approvals related to a new transmission line in Canada. In 2015, Manitoba Hydro submitted the final preferred route and EIS for the transmission line in Canada to the Manitoba Conservation and Water Stewardship for regulatory approval. Construction of Manitoba Hydro’s hydroelectric generation facility commenced in 2014.</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Investment in ATC. </w:t>
      </w:r>
      <w:r>
        <w:rPr>
          <w:rFonts w:ascii="Arial" w:cs="Arial" w:eastAsia="Arial" w:hAnsi="Arial"/>
          <w:sz w:val="16"/>
          <w:szCs w:val="16"/>
          <w:color w:val="auto"/>
        </w:rPr>
        <w:t>Our wholly-owned subsidiary, ALLETE Transmission Holdings, owns approximately 8 percent of ATC, a Wisconsin-based utility that</w:t>
      </w:r>
      <w:r>
        <w:rPr>
          <w:rFonts w:ascii="Arial" w:cs="Arial" w:eastAsia="Arial" w:hAnsi="Arial"/>
          <w:sz w:val="16"/>
          <w:szCs w:val="16"/>
          <w:i w:val="1"/>
          <w:iCs w:val="1"/>
          <w:color w:val="auto"/>
        </w:rPr>
        <w:t xml:space="preserve"> </w:t>
      </w:r>
      <w:r>
        <w:rPr>
          <w:rFonts w:ascii="Arial" w:cs="Arial" w:eastAsia="Arial" w:hAnsi="Arial"/>
          <w:sz w:val="16"/>
          <w:szCs w:val="16"/>
          <w:color w:val="auto"/>
        </w:rPr>
        <w:t>owns and maintains electric transmission assets in parts of Wisconsin, Michigan, Minnesota and Illinois. As of March 31, 2017, our equity investment in ATC was $140.2 million ($135.6 million as of December 31, 2016). In the first three months of 2017, we invested $3.1 million in ATC, and on April 28, 2017, we invested an additional $1.9 million. We expect to make additional investments of approximately $5.9 million in 2017. (See Note 7. Investment in ATC.)</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2016, the FERC issued an order reducing ATC’s authorized return on equity to 10.32 percent, or 10.82 percent including an incentive adder for participation in a regional transmission organization. Prior to this order, ATC had been allowed a return on equity of 12.2 percent which had been impacted by reductions for estimated refunds related to complaints filed with the FERC by several customers located within the MISO service area.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104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a federal administrative law judge ruled on an additional complaint proposing a further reduction in the base return on equity to 9.70 percent, or 10.20 percent including an incentive adder for participation in a regional transmission organization, subject to approval or adjustment by the FERC. A final decision from the FERC on the administrative law judge’s recommendation is expected in 2017. (See Note 6. Regulatory Matters.) We own approximately 8 percent of ATC and estimate that for every 50 basis point reduction in ATC’s allowed return on equity our equity earnings in ATC would be impacted annually by approximately $0.5 million after-tax.</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2016 through 2025, identifies a need for between $3.6 billion and $4.4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Infrastructure and Related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Clean Energy focuses on developing, acquiring, and operating clean and renewable energy projects. ALLETE Clean Energy currently owns and operates, in four states, approximately 535 MW of nameplate capacity wind energy generation that is from PSAs of various durations. In addition, ALLETE Clean Energy constructed and sold a 107 MW wind energy facility in 2015. On January 3, 2017, ALLETE Clean Energy announced that it will develop another wind energy facility of up to 50 MW after securing a 25-year PSA with Montana-Dakota Utilities. The PSA includes an option for Montana-Dakota Utilities to purchase the facility upon completion; construction is expected to begin in 2018. On March 16, 2017, ALLETE Clean Energy announced it will build, own and operate a separate 100 MW wind energy facility pursuant to a 20-year PSA with Northern States Power; construction is expected to begin in late 2018 and is subject to regulatory approvals.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societal expectations and continual technology advances. State renewable portfolio standards, and state or federal regulations to limit GHG emissions are examples of environmental regulation or public policy that we believe will drive renewable energy development.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Clean Energy will pursue growth through acquisitions or project development for others. ALLETE Clean Energy is targeting acquisitions of existing facilities up to 200 MW each, which have long-term PSAs in place for the facilities’ output. At this time, ALLETE Clean Energy expects acquisitions will be primarily wind or solar facilities in North America. ALLETE Clean Energy is also targeting the development of new facilities up to 200 MW each, which will have long-term PSAs in place for the output or may be sold upon completion. Federal production tax credit qualification is important to development project economics, and ALLETE Clean Energy invested approximately $100 million in equipment in late 2016 to meet production tax credit safe harbor provisions.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104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ALLETE Clean Energy manages risk by having a diverse portfolio of assets, which includes PSA expiration and geographic diversity. The current mix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PSA expiration and geographic location for existing facilities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Wind Energy Facility</w:t>
            </w:r>
          </w:p>
        </w:tc>
        <w:tc>
          <w:tcPr>
            <w:tcW w:w="288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Location</w:t>
            </w:r>
          </w:p>
        </w:tc>
        <w:tc>
          <w:tcPr>
            <w:tcW w:w="1780" w:type="dxa"/>
            <w:vAlign w:val="bottom"/>
          </w:tcPr>
          <w:p>
            <w:pPr>
              <w:ind w:left="360"/>
              <w:spacing w:after="0"/>
              <w:rPr>
                <w:sz w:val="20"/>
                <w:szCs w:val="20"/>
                <w:color w:val="auto"/>
              </w:rPr>
            </w:pPr>
            <w:r>
              <w:rPr>
                <w:rFonts w:ascii="Arial" w:cs="Arial" w:eastAsia="Arial" w:hAnsi="Arial"/>
                <w:sz w:val="18"/>
                <w:szCs w:val="18"/>
                <w:b w:val="1"/>
                <w:bCs w:val="1"/>
                <w:color w:val="auto"/>
              </w:rPr>
              <w:t>Capacity MW</w:t>
            </w:r>
          </w:p>
        </w:tc>
        <w:tc>
          <w:tcPr>
            <w:tcW w:w="1640" w:type="dxa"/>
            <w:vAlign w:val="bottom"/>
          </w:tcPr>
          <w:p>
            <w:pPr>
              <w:ind w:left="340"/>
              <w:spacing w:after="0"/>
              <w:rPr>
                <w:sz w:val="20"/>
                <w:szCs w:val="20"/>
                <w:color w:val="auto"/>
              </w:rPr>
            </w:pPr>
            <w:r>
              <w:rPr>
                <w:rFonts w:ascii="Arial" w:cs="Arial" w:eastAsia="Arial" w:hAnsi="Arial"/>
                <w:sz w:val="18"/>
                <w:szCs w:val="18"/>
                <w:b w:val="1"/>
                <w:bCs w:val="1"/>
                <w:color w:val="auto"/>
              </w:rPr>
              <w:t>PSA MW %</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PSA Expiration</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Armenia Mountain</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89"/>
              </w:rPr>
              <w:t>Pennsylvania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100.5</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Chanarambie/Viking</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97.5</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Condon</w:t>
            </w:r>
          </w:p>
        </w:tc>
        <w:tc>
          <w:tcPr>
            <w:tcW w:w="288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Oregon</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Lake Benton</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1"/>
              </w:rPr>
              <w:t>Minnesota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w:t>
            </w: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2028</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Storm Lake I</w:t>
            </w:r>
          </w:p>
        </w:tc>
        <w:tc>
          <w:tcPr>
            <w:tcW w:w="2880" w:type="dxa"/>
            <w:vAlign w:val="bottom"/>
            <w:tcBorders>
              <w:bottom w:val="single" w:sz="8" w:color="CCEEFF"/>
            </w:tcBorders>
            <w:shd w:val="clear" w:color="auto" w:fill="CCEEFF"/>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37"/>
        </w:trPr>
        <w:tc>
          <w:tcPr>
            <w:tcW w:w="3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Storm Lake II</w:t>
            </w:r>
          </w:p>
        </w:tc>
        <w:tc>
          <w:tcPr>
            <w:tcW w:w="28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4"/>
              </w:rPr>
              <w:t>Iowa</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1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3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PSA 1</w:t>
            </w:r>
          </w:p>
        </w:tc>
        <w:tc>
          <w:tcPr>
            <w:tcW w:w="28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3260" w:type="dxa"/>
            <w:vAlign w:val="bottom"/>
          </w:tcPr>
          <w:p>
            <w:pPr>
              <w:ind w:left="280"/>
              <w:spacing w:after="0"/>
              <w:rPr>
                <w:sz w:val="20"/>
                <w:szCs w:val="20"/>
                <w:color w:val="auto"/>
              </w:rPr>
            </w:pPr>
            <w:r>
              <w:rPr>
                <w:rFonts w:ascii="Arial" w:cs="Arial" w:eastAsia="Arial" w:hAnsi="Arial"/>
                <w:sz w:val="18"/>
                <w:szCs w:val="18"/>
                <w:color w:val="auto"/>
              </w:rPr>
              <w:t>PSA 2</w:t>
            </w: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2032</w:t>
            </w:r>
          </w:p>
        </w:tc>
      </w:tr>
      <w:tr>
        <w:trPr>
          <w:trHeight w:val="27"/>
        </w:trPr>
        <w:tc>
          <w:tcPr>
            <w:tcW w:w="32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U.S. Water Services provides integrated water management for industry by combining chemical, equipment, engineering and service for customized solutions to reduce water and energy usage and improve efficiency. U.S. Water Services is located in 49 states and Canada, and has an established base of approximately 4,800 customers. U.S. Water Services differentiates itself from the competition by developing synergies between established solutions in engineering, equipment and chemical water treatment, and helping customers achieve efficient and sustainable use of their water and energy systems. U.S. Water Services is a leading provider to the biofuels industry, and also serves the food and beverage, industrial, power generation, and midstream oil and gas industries, among others. U.S. Water Services principally relies upon recurring revenues from a diverse mix of industrial customers. U.S. Water Services sells certain products which are seasonal in nature, with higher demand typically realized in warmer months; generally, lower sales occur in the first quarter of each year.</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is to grow U.S. Water Services’ presence in North America by adding customers, products and new geographies. We believe water scarcity and a growing emphasis on conservation will continue to drive significant growth in the industrial, commercial and governmental sectors leading to organic revenue growth for U.S. Water Services. U.S. Water Services also expects to pursue periodic strategic tuck-in acquisitions with a purchase price in the $10 million to $50 million range. Priority will be given to acquisitions which expand its geographic reach, add new technology, or deepen its capabilities to serve its expanding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ind w:right="20"/>
        <w:spacing w:after="0" w:line="221" w:lineRule="exact"/>
        <w:rPr>
          <w:sz w:val="20"/>
          <w:szCs w:val="20"/>
          <w:color w:val="auto"/>
        </w:rPr>
      </w:pPr>
      <w:r>
        <w:rPr>
          <w:rFonts w:ascii="Arial" w:cs="Arial" w:eastAsia="Arial" w:hAnsi="Arial"/>
          <w:sz w:val="18"/>
          <w:szCs w:val="18"/>
          <w:i w:val="1"/>
          <w:iCs w:val="1"/>
          <w:color w:val="auto"/>
        </w:rPr>
        <w:t xml:space="preserve">BNI Energy. </w:t>
      </w:r>
      <w:r>
        <w:rPr>
          <w:rFonts w:ascii="Arial" w:cs="Arial" w:eastAsia="Arial" w:hAnsi="Arial"/>
          <w:sz w:val="18"/>
          <w:szCs w:val="18"/>
          <w:color w:val="auto"/>
        </w:rPr>
        <w:t>BNI Energy anticipates selling 4.6 million tons of coal in 2017 (3.8 million tons were sold in 2016) and has sold 1.2 million tons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2017 (1.2 million tons were sold for the three months ended March 31, 2016). BNI Energy operates under cost</w:t>
      </w:r>
      <w:r>
        <w:rPr>
          <w:rFonts w:ascii="MS PGothic" w:cs="MS PGothic" w:eastAsia="MS PGothic" w:hAnsi="MS PGothic"/>
          <w:sz w:val="18"/>
          <w:szCs w:val="18"/>
          <w:color w:val="auto"/>
        </w:rPr>
        <w:t>‑</w:t>
      </w:r>
      <w:r>
        <w:rPr>
          <w:rFonts w:ascii="Arial" w:cs="Arial" w:eastAsia="Arial" w:hAnsi="Arial"/>
          <w:sz w:val="18"/>
          <w:szCs w:val="18"/>
          <w:color w:val="auto"/>
        </w:rPr>
        <w:t>plus fixed fee agreements extending through December 31, 2037.</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ALLETE Properties. </w:t>
      </w:r>
      <w:r>
        <w:rPr>
          <w:rFonts w:ascii="Arial" w:cs="Arial" w:eastAsia="Arial" w:hAnsi="Arial"/>
          <w:sz w:val="17"/>
          <w:szCs w:val="17"/>
          <w:color w:val="auto"/>
        </w:rPr>
        <w:t>ALLETE Properties represents our legacy Florida real estate investment. Market conditions can impact land sales and could result in our</w:t>
      </w:r>
      <w:r>
        <w:rPr>
          <w:rFonts w:ascii="Arial" w:cs="Arial" w:eastAsia="Arial" w:hAnsi="Arial"/>
          <w:sz w:val="17"/>
          <w:szCs w:val="17"/>
          <w:i w:val="1"/>
          <w:iCs w:val="1"/>
          <w:color w:val="auto"/>
        </w:rPr>
        <w:t xml:space="preserve"> </w:t>
      </w:r>
      <w:r>
        <w:rPr>
          <w:rFonts w:ascii="Arial" w:cs="Arial" w:eastAsia="Arial" w:hAnsi="Arial"/>
          <w:sz w:val="17"/>
          <w:szCs w:val="17"/>
          <w:color w:val="auto"/>
        </w:rPr>
        <w:t>inability to cover our cost basis, operating expenses or fixed carrying costs such as community development district assessments and property taxes. ALLETE Properties’ major projects in Florida are Town Center at Palm Coast and Palm Coast Park, with approximately 4,100 acres combined of land available-for-sale. In addition to these two projects, ALLETE Properties has approximately 1,100 acres of other land available-for-sale.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recent years, market conditions for real estate in Florida have required us to review our land inventories for impairment. In 2015, the Company reevaluated its strategy related to the real estate assets of ALLETE Properties in response to market conditions and transaction activity. The revised strategy incorporated the possibility of a bulk sale of its entire portfolio. Proceeds will be strategically deployed to support growth in our energy infrastructure and related services businesses. ALLETE Properties also continues to pursue sales of individual parcels over time. ALLETE Properties will continue to maintain key entitlements and infrastructure without making additional investments or acquisitions.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20"/>
          </w:cols>
          <w:pgMar w:left="240" w:top="104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ALLETE’s aggregate federal and multi-state statutory tax rate is approximately 41 percent for 2017. On an ongoing basis, ALLETE has tax credits and other tax adjustments that reduce the combined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before non-controlling interest and income taxes, state and federal tax law changes that become effective during the year, business combinations, tax planning initiatives and resolution of prior years’ tax matters. We expect our effective tax rate to be approximately 20 percent for 2017 primarily due to federal production tax credits as a result of wind energy generation. We also expect that our effective tax rate will be lower than the combined statutory rate over the next eight years due to production tax credits attributable to our wind energy generation.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March 31, 2017,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$81.8 million, $396.1 million in available consolidated lines of credit and a debt-to-capital ratio of 44 percent.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41"/>
        </w:trPr>
        <w:tc>
          <w:tcPr>
            <w:tcW w:w="5960" w:type="dxa"/>
            <w:vAlign w:val="bottom"/>
          </w:tcPr>
          <w:p>
            <w:pPr>
              <w:spacing w:after="0"/>
              <w:rPr>
                <w:sz w:val="24"/>
                <w:szCs w:val="24"/>
                <w:color w:val="auto"/>
              </w:rPr>
            </w:pPr>
          </w:p>
        </w:tc>
        <w:tc>
          <w:tcPr>
            <w:tcW w:w="220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660" w:type="dxa"/>
            <w:vAlign w:val="bottom"/>
          </w:tcPr>
          <w:p>
            <w:pPr>
              <w:spacing w:after="0"/>
              <w:rPr>
                <w:sz w:val="24"/>
                <w:szCs w:val="24"/>
                <w:color w:val="auto"/>
              </w:rPr>
            </w:pPr>
          </w:p>
        </w:tc>
      </w:tr>
      <w:tr>
        <w:trPr>
          <w:trHeight w:val="234"/>
        </w:trPr>
        <w:tc>
          <w:tcPr>
            <w:tcW w:w="5960" w:type="dxa"/>
            <w:vAlign w:val="bottom"/>
          </w:tcPr>
          <w:p>
            <w:pPr>
              <w:spacing w:after="0"/>
              <w:rPr>
                <w:sz w:val="20"/>
                <w:szCs w:val="20"/>
                <w:color w:val="auto"/>
              </w:rPr>
            </w:pPr>
          </w:p>
        </w:tc>
        <w:tc>
          <w:tcPr>
            <w:tcW w:w="22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9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$2,001.5</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$1,893.0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2200" w:type="dxa"/>
            <w:vAlign w:val="bottom"/>
          </w:tcPr>
          <w:p>
            <w:pPr>
              <w:jc w:val="right"/>
              <w:ind w:right="290"/>
              <w:spacing w:after="0"/>
              <w:rPr>
                <w:sz w:val="20"/>
                <w:szCs w:val="20"/>
                <w:color w:val="auto"/>
              </w:rPr>
            </w:pPr>
            <w:r>
              <w:rPr>
                <w:rFonts w:ascii="Arial" w:cs="Arial" w:eastAsia="Arial" w:hAnsi="Arial"/>
                <w:sz w:val="18"/>
                <w:szCs w:val="18"/>
                <w:color w:val="auto"/>
              </w:rPr>
              <w:t>1,543.4</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44</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1,569.1</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9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96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$3,546.2</w:t>
            </w: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100</w:t>
            </w:r>
          </w:p>
        </w:tc>
        <w:tc>
          <w:tcPr>
            <w:tcW w:w="16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$3,462.1</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9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the Consolidated Statement of Cash Flows is as follows:</w:t>
            </w:r>
          </w:p>
        </w:tc>
        <w:tc>
          <w:tcPr>
            <w:tcW w:w="2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w:t>
            </w:r>
          </w:p>
        </w:tc>
        <w:tc>
          <w:tcPr>
            <w:tcW w:w="2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7"/>
        </w:trPr>
        <w:tc>
          <w:tcPr>
            <w:tcW w:w="8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1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$27.5</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1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98.7</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180" w:type="dxa"/>
            <w:vAlign w:val="bottom"/>
          </w:tcPr>
          <w:p>
            <w:pPr>
              <w:jc w:val="right"/>
              <w:ind w:right="410"/>
              <w:spacing w:after="0"/>
              <w:rPr>
                <w:sz w:val="20"/>
                <w:szCs w:val="20"/>
                <w:color w:val="auto"/>
              </w:rPr>
            </w:pPr>
            <w:r>
              <w:rPr>
                <w:rFonts w:ascii="Arial" w:cs="Arial" w:eastAsia="Arial" w:hAnsi="Arial"/>
                <w:sz w:val="18"/>
                <w:szCs w:val="18"/>
                <w:color w:val="auto"/>
              </w:rPr>
              <w:t>(41.1)</w:t>
            </w:r>
          </w:p>
        </w:tc>
        <w:tc>
          <w:tcPr>
            <w:tcW w:w="102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7"/>
        </w:trPr>
        <w:tc>
          <w:tcPr>
            <w:tcW w:w="8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18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37"/>
        </w:trPr>
        <w:tc>
          <w:tcPr>
            <w:tcW w:w="82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21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54.3</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1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$81.8</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r>
      <w:tr>
        <w:trPr>
          <w:trHeight w:val="20"/>
        </w:trPr>
        <w:tc>
          <w:tcPr>
            <w:tcW w:w="82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from operating activities was higher in 2017 compared to 2016 primarily due to higher recoveries of our cost recovery riders,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and non-cash items (primarily depreciation expense and deferred income tax expense), partially offset by higher fuel inventories.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was lower in 2017 compared to 2016 primarily due to fewer capital expenditures in 2017,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additional investment in ATC.</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for financing activities was lower in 2017 compared to 2016 primarily due to higher proceeds from the issuance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partially offset by higher contingent consideration payments. (See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and Note 5. Fair Value.)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104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Working Capital. </w:t>
      </w:r>
      <w:r>
        <w:rPr>
          <w:rFonts w:ascii="Arial" w:cs="Arial" w:eastAsia="Arial" w:hAnsi="Arial"/>
          <w:sz w:val="16"/>
          <w:szCs w:val="16"/>
          <w:color w:val="auto"/>
        </w:rPr>
        <w:t>Additional working capital, if and when needed, generally is provided by consolidated bank lines of credit and the issuance of securities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commercial paper. As of March 31, 2017, we had consolidated bank lines of credit aggregating $409.0 million ($409.0 million as of December 31, 2016), the majority of which expire in November 2019. We had $11.6 million outstanding in standby letters of credit and $1.3 million outstanding in draws under our lines of credit as of March 31, 2017 ($11.1 million in standby letters of credit and no outstanding draws as of December 31, 2016). In addition, as of March 31, 2017, we had 3.3 million original issue shares of our common stock available for issuance through Invest Direct, our direct stock purchase and dividend reinvestment plan, and 2.9 million original issue shares of common stock available for issuance through a distribution agreement with Lampert Capital Markets, Inc. (See </w:t>
      </w:r>
      <w:r>
        <w:rPr>
          <w:rFonts w:ascii="Arial" w:cs="Arial" w:eastAsia="Arial" w:hAnsi="Arial"/>
          <w:sz w:val="16"/>
          <w:szCs w:val="16"/>
          <w:i w:val="1"/>
          <w:iCs w:val="1"/>
          <w:color w:val="auto"/>
        </w:rPr>
        <w:t>Securities.</w:t>
      </w:r>
      <w:r>
        <w:rPr>
          <w:rFonts w:ascii="Arial" w:cs="Arial" w:eastAsia="Arial" w:hAnsi="Arial"/>
          <w:sz w:val="16"/>
          <w:szCs w:val="16"/>
          <w:color w:val="auto"/>
        </w:rPr>
        <w:t>) The amount and timing of future sales of our securities will depend upon market conditions and our specific needs.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entered into a distribution agreement with Lampert Capital Markets, Inc., in 2008, as amended most recently in August 2016,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and sale of up to an aggregate of 13.6 million shares of our common stock, without par value, of which 2.9 million shares remain available for issuance. For the three months ended March 31, 2017, 1.0 million shares of common stock were issued under this agreement, resulting in net proceeds of $65.7 million (none for the three months ended March 31, 2016). The shares issued in 2017 were offered and sold pursuant to Registration Statement No. 333-212794, pursuant to which the remaining shares will continue to be offered for sale, from time to time.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2017, we issued 0.1 million shares of common stock through Invest Direct, the Employee Stock Purchase Plan, and the Retirement Savings and Stock Ownership Plan, resulting in net proceeds of $4.9 million (0.2 million shares were issued for the three months ended March 31, 2016, resulting in net proceeds of $9.0 million). These shares of common stock were registered under Registration Statement Nos. 333-211075, 333-188315, 333-183051 and 333-162890.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Pension and Other Postretirement Benefit Plans. </w:t>
      </w:r>
      <w:r>
        <w:rPr>
          <w:rFonts w:ascii="Arial" w:cs="Arial" w:eastAsia="Arial" w:hAnsi="Arial"/>
          <w:sz w:val="17"/>
          <w:szCs w:val="17"/>
          <w:color w:val="auto"/>
        </w:rPr>
        <w:t>Management considers various factors when making funding decisions, such as regulatory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actuarially determined minimum contribution requirements and contributions required to avoid benefit restrictions for the defined benefit pension plans. During the three months ended March 31, 2017, we contributed $1.7 million in cash and 0.2 million shares of ALLETE common stock, which had an aggregate value of $13.5 million when contributed, to the defined benefit pension plan. These shares of ALLETE common stock were contributed in reliance upon an exemption available pursuant to Section 4(a)(2) of the Securities Act of 1933, as amended. We do not expect to make additional contributions to our defined benefit pension plan in 2017, and we do not expect to make any contributions to our other postretirement benefit plan in 2017. (See Note 11. Earnings Per Share and Common Stock and Note 12. Pension and Other Postretirement Benefit Plans.)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Off-Balance Sheet Arrangements. </w:t>
      </w:r>
      <w:r>
        <w:rPr>
          <w:rFonts w:ascii="Arial" w:cs="Arial" w:eastAsia="Arial" w:hAnsi="Arial"/>
          <w:sz w:val="17"/>
          <w:szCs w:val="17"/>
          <w:color w:val="auto"/>
        </w:rPr>
        <w:t>Off-balance sheet arrangements are summarized in our 2016 Form 10-K, with additional disclosure in Note 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Commitments, Guarantees and Contingencies.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 Requirements. </w:t>
      </w:r>
      <w:r>
        <w:rPr>
          <w:rFonts w:ascii="Arial" w:cs="Arial" w:eastAsia="Arial" w:hAnsi="Arial"/>
          <w:sz w:val="18"/>
          <w:szCs w:val="18"/>
          <w:color w:val="auto"/>
        </w:rPr>
        <w:t>Our capital expenditures for 2017 are expected to be approximately $295 million. For the three months ended March 31, 2017,</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totaled $32.7 million ($18.4 million for the three months ended March 31, 2016). The expenditures were primarily made in the Regulated Operations segment.</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recently been promulgated by both the EPA and state authorities. Minnesota Power’s facilities are subject to additional regulation under many of these regulations. In response to these regulations, Minnesota Power is reshaping its generation portfolio over time to reduce its reliance on coal, has installed cost-effective emission control technology, and advocates for sound science and policy during rulemaking implementation. (See Note 13. Commitments, Guarantees and Contingencies.)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20"/>
          </w:cols>
          <w:pgMar w:left="240" w:top="104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OTHER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ALLETE had 1,975 employees, of which 1,930 were full-time.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and SWL&amp;P have an aggregate of 531 employees who are members of International Brotherhood of Electrical Workers (IBEW) Local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current labor agreements with IBEW Local 31 expire on January 31, 2018.</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Energy has 183 employees, of which 138 are members of IBEW Local 1593. The current labor agreement with IBEW Local 1593 expires on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March 31, 2017, our available-for-sale securities portfolio consisted primarily of securities held in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plans to fund employee benefits. (See Note 2.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March 31, 2017, an increase of 100 basis points in interest rates would impact the amount of pre-tax interest expense by $1.4 million. This amount was determined by considering the impact of a hypothetical 100 basis point increase to the average variable interest rate on the variable rate debt outstanding as of March 31, 2017.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104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2017,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4. Regulatory Matters and Note 11. Commitments, Guarantees and Contingencies to our Consolidated Financial Statements in our 2016 Form 10-K and Note 6. Regulatory Matters and Note 13.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I, Item 1A. Risk Factors of our 2016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20"/>
          </w:cols>
          <w:pgMar w:left="240" w:top="104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31(a)</w:t>
            </w:r>
          </w:p>
        </w:tc>
        <w:tc>
          <w:tcPr>
            <w:tcW w:w="2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Rule 13a-14(a)/15d-14(a)</w:t>
            </w:r>
          </w:p>
        </w:tc>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by the Chief Executive Officer Pursuant to Section 302 of the Sarbanes-Oxley Act of 2002.</w:t>
            </w:r>
          </w:p>
        </w:tc>
      </w:tr>
      <w:tr>
        <w:trPr>
          <w:trHeight w:val="243"/>
        </w:trPr>
        <w:tc>
          <w:tcPr>
            <w:tcW w:w="860" w:type="dxa"/>
            <w:vAlign w:val="bottom"/>
          </w:tcPr>
          <w:p>
            <w:pPr>
              <w:ind w:left="40"/>
              <w:spacing w:after="0"/>
              <w:rPr>
                <w:sz w:val="20"/>
                <w:szCs w:val="20"/>
                <w:color w:val="auto"/>
              </w:rPr>
            </w:pPr>
            <w:r>
              <w:rPr>
                <w:rFonts w:ascii="Arial" w:cs="Arial" w:eastAsia="Arial" w:hAnsi="Arial"/>
                <w:sz w:val="18"/>
                <w:szCs w:val="18"/>
                <w:color w:val="auto"/>
              </w:rPr>
              <w:t>31(b)</w:t>
            </w:r>
          </w:p>
        </w:tc>
        <w:tc>
          <w:tcPr>
            <w:tcW w:w="2300" w:type="dxa"/>
            <w:vAlign w:val="bottom"/>
          </w:tcPr>
          <w:p>
            <w:pPr>
              <w:ind w:left="440"/>
              <w:spacing w:after="0"/>
              <w:rPr>
                <w:sz w:val="20"/>
                <w:szCs w:val="20"/>
                <w:color w:val="auto"/>
              </w:rPr>
            </w:pPr>
            <w:r>
              <w:rPr>
                <w:rFonts w:ascii="Arial" w:cs="Arial" w:eastAsia="Arial" w:hAnsi="Arial"/>
                <w:sz w:val="18"/>
                <w:szCs w:val="18"/>
                <w:color w:val="auto"/>
                <w:w w:val="90"/>
              </w:rPr>
              <w:t>Rule 13a-14(a)/15d-14(a)</w:t>
            </w:r>
          </w:p>
        </w:tc>
        <w:tc>
          <w:tcPr>
            <w:tcW w:w="8260" w:type="dxa"/>
            <w:vAlign w:val="bottom"/>
          </w:tcPr>
          <w:p>
            <w:pPr>
              <w:ind w:left="20"/>
              <w:spacing w:after="0"/>
              <w:rPr>
                <w:sz w:val="20"/>
                <w:szCs w:val="20"/>
                <w:color w:val="auto"/>
              </w:rPr>
            </w:pPr>
            <w:r>
              <w:rPr>
                <w:rFonts w:ascii="Arial" w:cs="Arial" w:eastAsia="Arial" w:hAnsi="Arial"/>
                <w:sz w:val="18"/>
                <w:szCs w:val="18"/>
                <w:color w:val="auto"/>
              </w:rPr>
              <w:t>Certification by the Chief Financial Officer Pursuant to Section 302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p>
    <w:p>
      <w:pPr>
        <w:ind w:left="1300" w:right="20" w:hanging="126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55" w:lineRule="exact"/>
        <w:rPr>
          <w:sz w:val="20"/>
          <w:szCs w:val="20"/>
          <w:color w:val="auto"/>
        </w:rPr>
      </w:pPr>
    </w:p>
    <w:p>
      <w:pPr>
        <w:jc w:val="both"/>
        <w:ind w:left="1300" w:right="20" w:hanging="1265"/>
        <w:spacing w:after="0" w:line="307"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ALLETE News Release dated May 4, 2017, announcing 2017 first quarter earnings. </w:t>
      </w:r>
      <w:r>
        <w:rPr>
          <w:rFonts w:ascii="Arial" w:cs="Arial" w:eastAsia="Arial" w:hAnsi="Arial"/>
          <w:sz w:val="16"/>
          <w:szCs w:val="16"/>
          <w:b w:val="1"/>
          <w:bCs w:val="1"/>
          <w:color w:val="auto"/>
        </w:rPr>
        <w:t>(This exhibit has been furnished and shall not be</w:t>
      </w:r>
      <w:r>
        <w:rPr>
          <w:rFonts w:ascii="Arial" w:cs="Arial" w:eastAsia="Arial" w:hAnsi="Arial"/>
          <w:sz w:val="16"/>
          <w:szCs w:val="16"/>
          <w:color w:val="auto"/>
        </w:rPr>
        <w:t xml:space="preserve"> </w:t>
      </w:r>
      <w:r>
        <w:rPr>
          <w:rFonts w:ascii="Arial" w:cs="Arial" w:eastAsia="Arial" w:hAnsi="Arial"/>
          <w:sz w:val="16"/>
          <w:szCs w:val="16"/>
          <w:b w:val="1"/>
          <w:bCs w:val="1"/>
          <w:color w:val="auto"/>
        </w:rPr>
        <w:t>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230"/>
        </w:trPr>
        <w:tc>
          <w:tcPr>
            <w:tcW w:w="1000" w:type="dxa"/>
            <w:vAlign w:val="bottom"/>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Instance</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Schema</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Calculation</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XBRL Definition</w:t>
            </w:r>
          </w:p>
        </w:tc>
      </w:tr>
      <w:tr>
        <w:trPr>
          <w:trHeight w:val="243"/>
        </w:trPr>
        <w:tc>
          <w:tcPr>
            <w:tcW w:w="1000" w:type="dxa"/>
            <w:vAlign w:val="bottom"/>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Pr>
          <w:p>
            <w:pPr>
              <w:ind w:left="300"/>
              <w:spacing w:after="0"/>
              <w:rPr>
                <w:sz w:val="20"/>
                <w:szCs w:val="20"/>
                <w:color w:val="auto"/>
              </w:rPr>
            </w:pPr>
            <w:r>
              <w:rPr>
                <w:rFonts w:ascii="Arial" w:cs="Arial" w:eastAsia="Arial" w:hAnsi="Arial"/>
                <w:sz w:val="18"/>
                <w:szCs w:val="18"/>
                <w:color w:val="auto"/>
              </w:rPr>
              <w:t>XBRL Label</w:t>
            </w:r>
          </w:p>
        </w:tc>
      </w:tr>
      <w:tr>
        <w:trPr>
          <w:trHeight w:val="27"/>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43"/>
        </w:trPr>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Presentation</w:t>
            </w:r>
          </w:p>
        </w:tc>
      </w:tr>
      <w:tr>
        <w:trPr>
          <w:trHeight w:val="27"/>
        </w:trPr>
        <w:tc>
          <w:tcPr>
            <w:tcW w:w="1000" w:type="dxa"/>
            <w:vAlign w:val="bottom"/>
            <w:shd w:val="clear" w:color="auto" w:fill="CCEEFF"/>
          </w:tcPr>
          <w:p>
            <w:pPr>
              <w:spacing w:after="0"/>
              <w:rPr>
                <w:sz w:val="2"/>
                <w:szCs w:val="2"/>
                <w:color w:val="auto"/>
              </w:rPr>
            </w:pPr>
          </w:p>
        </w:tc>
        <w:tc>
          <w:tcPr>
            <w:tcW w:w="10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20"/>
          </w:cols>
          <w:pgMar w:left="240" w:top="1040"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May 4, 2017</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May 4, 2017</w:t>
      </w:r>
      <w:r>
        <w:rPr>
          <w:sz w:val="20"/>
          <w:szCs w:val="20"/>
          <w:color w:val="auto"/>
        </w:rPr>
        <w:tab/>
      </w:r>
      <w:r>
        <w:rPr>
          <w:rFonts w:ascii="Arial" w:cs="Arial" w:eastAsia="Arial" w:hAnsi="Arial"/>
          <w:sz w:val="16"/>
          <w:szCs w:val="16"/>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Steven W. Morris</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Vice President, Controller and Chief Accounting Officer</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2017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104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2017,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Robert J. Adams, of ALLETE, Inc. (ALLETE),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2017,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May 4, 2017</w:t>
      </w:r>
      <w:r>
        <w:rPr>
          <w:sz w:val="20"/>
          <w:szCs w:val="20"/>
          <w:color w:val="auto"/>
        </w:rPr>
        <w:tab/>
      </w:r>
      <w:r>
        <w:rPr>
          <w:rFonts w:ascii="Arial" w:cs="Arial" w:eastAsia="Arial" w:hAnsi="Arial"/>
          <w:sz w:val="16"/>
          <w:szCs w:val="16"/>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March 31, 2017,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4, 2017</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4, 2017</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Robert J.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Robert J. Adams</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57" w:name="page58"/>
    <w:bookmarkEnd w:id="57"/>
    <w:p>
      <w:pPr>
        <w:spacing w:after="0"/>
        <w:rPr>
          <w:sz w:val="20"/>
          <w:szCs w:val="20"/>
          <w:color w:val="auto"/>
        </w:rPr>
      </w:pPr>
      <w:r>
        <w:rPr>
          <w:rFonts w:ascii="Arial" w:cs="Arial" w:eastAsia="Arial" w:hAnsi="Arial"/>
          <w:sz w:val="29"/>
          <w:szCs w:val="29"/>
          <w:b w:val="1"/>
          <w:bCs w:val="1"/>
          <w:color w:val="EE2724"/>
        </w:rPr>
        <w:t>Draft 4/3/17</w:t>
      </w:r>
    </w:p>
    <w:p>
      <w:pPr>
        <w:spacing w:after="0" w:line="261" w:lineRule="exact"/>
        <w:rPr>
          <w:sz w:val="20"/>
          <w:szCs w:val="20"/>
          <w:color w:val="auto"/>
        </w:rPr>
      </w:pPr>
    </w:p>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$908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83"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For the three months ended March 31, 2017, BNI Energy, owner of Center Mine, received five citations under Section 104(a) of the Mine Safety Act , none of which were significant and substantial (S&amp;S) citations. The total penalties proposed to be assessed on BNI with respect to the five citations were $908. For the three months ended March 31, 2017, there were no citations, orders, violations or notices received under Sections 104(b), 104(d), 107(a), 104(e) or 110(b)</w:t>
      </w:r>
    </w:p>
    <w:p>
      <w:pPr>
        <w:spacing w:after="0"/>
        <w:rPr>
          <w:sz w:val="20"/>
          <w:szCs w:val="20"/>
          <w:color w:val="auto"/>
        </w:rPr>
      </w:pPr>
      <w:r>
        <w:rPr>
          <w:rFonts w:ascii="Arial" w:cs="Arial" w:eastAsia="Arial" w:hAnsi="Arial"/>
          <w:sz w:val="18"/>
          <w:szCs w:val="18"/>
          <w:color w:val="auto"/>
        </w:rPr>
        <w:t>(2) of the Mine Safety Act and there were no fatalities.</w:t>
      </w:r>
    </w:p>
    <w:p>
      <w:pPr>
        <w:sectPr>
          <w:pgSz w:w="11900" w:h="16838" w:orient="portrait"/>
          <w:cols w:equalWidth="0" w:num="1">
            <w:col w:w="11440"/>
          </w:cols>
          <w:pgMar w:left="240" w:top="108" w:right="219" w:bottom="1440" w:gutter="0" w:footer="0" w:header="0"/>
        </w:sectPr>
      </w:pPr>
    </w:p>
    <w:bookmarkStart w:id="58" w:name="page59"/>
    <w:bookmarkEnd w:id="58"/>
    <w:p>
      <w:pPr>
        <w:ind w:left="10600"/>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420"/>
          </w:cols>
          <w:pgMar w:left="240" w:top="845" w:right="239" w:bottom="1440" w:gutter="0" w:footer="0" w:header="0"/>
        </w:sectPr>
      </w:pPr>
    </w:p>
    <w:p>
      <w:pPr>
        <w:spacing w:after="0" w:line="8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-26670</wp:posOffset>
            </wp:positionV>
            <wp:extent cx="1655445" cy="754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55445" cy="754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May 4, 2017</w:t>
      </w:r>
    </w:p>
    <w:p>
      <w:pPr>
        <w:spacing w:after="0" w:line="96" w:lineRule="exact"/>
        <w:rPr>
          <w:sz w:val="20"/>
          <w:szCs w:val="20"/>
          <w:color w:val="auto"/>
        </w:rPr>
      </w:pPr>
    </w:p>
    <w:p>
      <w:pPr>
        <w:sectPr>
          <w:pgSz w:w="11900" w:h="16838" w:orient="portrait"/>
          <w:cols w:equalWidth="0" w:num="2">
            <w:col w:w="7940" w:space="720"/>
            <w:col w:w="2760"/>
          </w:cols>
          <w:pgMar w:left="240" w:top="845" w:right="239" w:bottom="1440" w:gutter="0" w:footer="0" w:header="0"/>
          <w:type w:val="continuous"/>
        </w:sectPr>
      </w:pPr>
    </w:p>
    <w:p>
      <w:pPr>
        <w:ind w:left="68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Vince Meyer</w:t>
      </w:r>
    </w:p>
    <w:p>
      <w:pPr>
        <w:spacing w:after="0" w:line="98" w:lineRule="exact"/>
        <w:rPr>
          <w:sz w:val="20"/>
          <w:szCs w:val="20"/>
          <w:color w:val="auto"/>
        </w:rPr>
      </w:pPr>
    </w:p>
    <w:p>
      <w:pPr>
        <w:sectPr>
          <w:pgSz w:w="11900" w:h="16838" w:orient="portrait"/>
          <w:cols w:equalWidth="0" w:num="2">
            <w:col w:w="8000" w:space="660"/>
            <w:col w:w="2760"/>
          </w:cols>
          <w:pgMar w:left="240" w:top="845" w:right="239" w:bottom="1440" w:gutter="0" w:footer="0" w:header="0"/>
          <w:type w:val="continuous"/>
        </w:sectPr>
      </w:pPr>
    </w:p>
    <w:p>
      <w:pPr>
        <w:ind w:left="8660"/>
        <w:spacing w:after="0"/>
        <w:rPr>
          <w:sz w:val="20"/>
          <w:szCs w:val="20"/>
          <w:color w:val="auto"/>
        </w:rPr>
      </w:pPr>
      <w:r>
        <w:rPr>
          <w:rFonts w:ascii="Arial" w:cs="Arial" w:eastAsia="Arial" w:hAnsi="Arial"/>
          <w:sz w:val="16"/>
          <w:szCs w:val="16"/>
          <w:color w:val="auto"/>
        </w:rPr>
        <w:t>218-723-3952</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vmeyer@allete.com</w:t>
      </w:r>
    </w:p>
    <w:p>
      <w:pPr>
        <w:sectPr>
          <w:pgSz w:w="11900" w:h="16838" w:orient="portrait"/>
          <w:cols w:equalWidth="0" w:num="1">
            <w:col w:w="11420"/>
          </w:cols>
          <w:pgMar w:left="240" w:top="84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rPr>
          <w:sz w:val="20"/>
          <w:szCs w:val="20"/>
          <w:color w:val="auto"/>
        </w:rPr>
      </w:pPr>
      <w:r>
        <w:rPr>
          <w:rFonts w:ascii="Arial" w:cs="Arial" w:eastAsia="Arial" w:hAnsi="Arial"/>
          <w:sz w:val="40"/>
          <w:szCs w:val="40"/>
          <w:b w:val="1"/>
          <w:bCs w:val="1"/>
          <w:i w:val="1"/>
          <w:iCs w:val="1"/>
          <w:color w:val="auto"/>
        </w:rPr>
        <w:t>NEWS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higher first quarter 2017 earnings</w:t>
      </w:r>
    </w:p>
    <w:p>
      <w:pPr>
        <w:spacing w:after="0" w:line="200" w:lineRule="exact"/>
        <w:rPr>
          <w:sz w:val="20"/>
          <w:szCs w:val="20"/>
          <w:color w:val="auto"/>
        </w:rPr>
      </w:pPr>
    </w:p>
    <w:p>
      <w:pPr>
        <w:spacing w:after="0" w:line="2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DULUTH, Minn. - ALLETE, Inc. (NYSE: ALE) today reported first quarter 2017 earnings of 97 cents per share on net income of $49.0 million and operating revenue of $365.6 million. Last year’s results were 93 cents per share on net income of $45.9 million and operating revenue of $333.8 million.</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“It has been a tremendous start to 2017 as ALLETE begins the year with solid financial results and significant progress with several key growth initiatives. As previously disclosed, ALLETE Clean Energy has made a strategic investment of approximately $100 million in federal tax credit qualified turbines. This investment further positions ALLETE Clean Energy with additional growth opportunities as evidenced by two recently announced wind projects; a project expansion of up to 50 megawatts for Montana-Dakota Utilities Co. and a new 100 megawatt wind energy facility to be built and operated to service a long term PPA with Xcel Energy Inc. We anticipate additional future investment opportunities as these turbines have added to an already strong deal flow pipeline for ALLETE Clean Energy. Minnesota Power and Superior Water, Light and Power continue to move forward with their respective rate reviews in support of earning a fair return on their investments to serve customers,” said ALLETE Chairman, President and CEO Al Hodnik. “These accomplishments and our positioning initiatives over the past several years will benefit our stakeholders this year and beyond.”</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ALLETE’s Regulated Operations segment, which includes Minnesota Power, Superior Water, Light and Power, and the Company’s investment in the American Transmission Co. (ATC), recorded net income of $43.5 million, an increase of $1.1 million over 2016 net income. Earnings increased primarily due to higher net income at Minnesota Power resulting from the implementation of interim retail rates on January 1, 2017, and kilowatt-hour sales primarily due to increased industrial sales. These increases were mostly offset by higher operating and maintenance, depreciation, property tax, and interest expenses. Our equity earnings in ATC increased $0.7 million after-tax, attributable to a larger investment balance and period over period changes in ATC’s estimate of a refund liability related to MISO return on equity complaints.</w:t>
      </w:r>
    </w:p>
    <w:p>
      <w:pPr>
        <w:spacing w:after="0" w:line="19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ALLETE’s Energy Infrastructure and Related Services businesses, which include ALLETE Clean Energy and U.S. Water Services, recorded net income of $6.7 million and a net loss of $0.3 million, respectively. Earnings at ALLETE Clean Energy increased $0.6 million primarily due the absence of a minority interest acquired in April 2016. U.S. Water’s results improved by $0.2 million primarily due to lower amortization expense related to purchase accounting adjustments from the 2015 acquisition, and lower operating expenses. Earnings at U.S. Water reflect results from selling certain products which are seasonal in nature, with higher demand typically realized in warmer months; generally, lower sales occur in the first quarter of each year.</w:t>
      </w:r>
    </w:p>
    <w:p>
      <w:pPr>
        <w:spacing w:after="0" w:line="15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Corporate and Other, which includes BNI Energy and ALLETE Properties, posted a net loss of $0.9 million for the quarter, compared to a net loss of $2.1 million in 2016. The net loss in 2017 decreased primarily due to lower accretion expense resulting from the contingent consideration liability.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quarter was diluted by 2 cents due to additional shares of common stock outstanding as of March 31, 2017.</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ALLETE will host a conference call and webcast at 10 a.m. Eastern Time this morning to discuss details of its financial performance. Interested parties may listen live by calling (877) 303-5852, or by accessing the webcast at www.allete.com. A replay of the call will be available through May 8, 2017 by calling (855) 859-2056, pass code 5208196. The webcast will be accessible for one year at </w:t>
      </w:r>
      <w:r>
        <w:rPr>
          <w:rFonts w:ascii="Arial" w:cs="Arial" w:eastAsia="Arial" w:hAnsi="Arial"/>
          <w:sz w:val="17"/>
          <w:szCs w:val="17"/>
          <w:u w:val="single" w:color="auto"/>
          <w:color w:val="130EFF"/>
        </w:rPr>
        <w:t>www.allete.com</w:t>
      </w:r>
      <w:r>
        <w:rPr>
          <w:rFonts w:ascii="Arial" w:cs="Arial" w:eastAsia="Arial" w:hAnsi="Arial"/>
          <w:sz w:val="17"/>
          <w:szCs w:val="17"/>
          <w:color w:val="auto"/>
        </w:rPr>
        <w:t>.</w:t>
      </w:r>
    </w:p>
    <w:p>
      <w:pPr>
        <w:sectPr>
          <w:pgSz w:w="11900" w:h="16838" w:orient="portrait"/>
          <w:cols w:equalWidth="0" w:num="1">
            <w:col w:w="11420"/>
          </w:cols>
          <w:pgMar w:left="240" w:top="845" w:right="239" w:bottom="1440" w:gutter="0" w:footer="0" w:header="0"/>
          <w:type w:val="continuous"/>
        </w:sectPr>
      </w:pPr>
    </w:p>
    <w:bookmarkStart w:id="59" w:name="page60"/>
    <w:bookmarkEnd w:id="59"/>
    <w:p>
      <w:pPr>
        <w:ind w:right="60"/>
        <w:spacing w:after="0" w:line="288" w:lineRule="auto"/>
        <w:rPr>
          <w:sz w:val="20"/>
          <w:szCs w:val="20"/>
          <w:color w:val="auto"/>
        </w:rPr>
      </w:pPr>
      <w:r>
        <w:rPr>
          <w:rFonts w:ascii="Arial" w:cs="Arial" w:eastAsia="Arial" w:hAnsi="Arial"/>
          <w:sz w:val="16"/>
          <w:szCs w:val="16"/>
          <w:color w:val="auto"/>
        </w:rPr>
        <w:t xml:space="preserve">ALLETE is an energy company headquartered in Duluth, Minn. In addition to its electric utilities, Minnesota Power and Superior Water, Light and Power of Wisconsin, ALLETE owns ALLETE Clean Energy, based in Duluth, U.S. Water Services headquartered in St. Michael, Minn., BNI Energy in Bismarck, N.D., and has an eight percent equity interest in the American Transmission Co. More information about ALLETE is available at </w:t>
      </w:r>
      <w:r>
        <w:rPr>
          <w:rFonts w:ascii="Arial" w:cs="Arial" w:eastAsia="Arial" w:hAnsi="Arial"/>
          <w:sz w:val="16"/>
          <w:szCs w:val="16"/>
          <w:u w:val="single" w:color="auto"/>
          <w:color w:val="0000FF"/>
        </w:rPr>
        <w:t>www.allete.com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i w:val="1"/>
          <w:iCs w:val="1"/>
          <w:color w:val="auto"/>
        </w:rPr>
        <w:t>ALE-CORP</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665" w:right="2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44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7000" w:type="dxa"/>
            <w:vAlign w:val="bottom"/>
          </w:tcPr>
          <w:p>
            <w:pPr>
              <w:spacing w:after="0"/>
              <w:rPr>
                <w:sz w:val="23"/>
                <w:szCs w:val="23"/>
                <w:color w:val="auto"/>
              </w:rPr>
            </w:pPr>
          </w:p>
        </w:tc>
        <w:tc>
          <w:tcPr>
            <w:tcW w:w="44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7000" w:type="dxa"/>
            <w:vAlign w:val="bottom"/>
          </w:tcPr>
          <w:p>
            <w:pPr>
              <w:spacing w:after="0"/>
              <w:rPr>
                <w:sz w:val="23"/>
                <w:szCs w:val="23"/>
                <w:color w:val="auto"/>
              </w:rPr>
            </w:pPr>
          </w:p>
        </w:tc>
        <w:tc>
          <w:tcPr>
            <w:tcW w:w="3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7"/>
        </w:trPr>
        <w:tc>
          <w:tcPr>
            <w:tcW w:w="7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5"/>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$365.6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93.0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3460" w:type="dxa"/>
            <w:vAlign w:val="bottom"/>
          </w:tcPr>
          <w:p>
            <w:pPr>
              <w:jc w:val="right"/>
              <w:ind w:right="190"/>
              <w:spacing w:after="0"/>
              <w:rPr>
                <w:sz w:val="20"/>
                <w:szCs w:val="20"/>
                <w:color w:val="auto"/>
              </w:rPr>
            </w:pPr>
            <w:r>
              <w:rPr>
                <w:rFonts w:ascii="Arial" w:cs="Arial" w:eastAsia="Arial" w:hAnsi="Arial"/>
                <w:sz w:val="18"/>
                <w:szCs w:val="18"/>
                <w:color w:val="auto"/>
              </w:rPr>
              <w:t>16.6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3460" w:type="dxa"/>
            <w:vAlign w:val="bottom"/>
          </w:tcPr>
          <w:p>
            <w:pPr>
              <w:jc w:val="right"/>
              <w:ind w:right="190"/>
              <w:spacing w:after="0"/>
              <w:rPr>
                <w:sz w:val="20"/>
                <w:szCs w:val="20"/>
                <w:color w:val="auto"/>
              </w:rPr>
            </w:pPr>
            <w:r>
              <w:rPr>
                <w:rFonts w:ascii="Arial" w:cs="Arial" w:eastAsia="Arial" w:hAnsi="Arial"/>
                <w:sz w:val="18"/>
                <w:szCs w:val="18"/>
                <w:color w:val="auto"/>
              </w:rPr>
              <w:t>83.3</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78.1</w:t>
            </w: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50.5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3460" w:type="dxa"/>
            <w:vAlign w:val="bottom"/>
          </w:tcPr>
          <w:p>
            <w:pPr>
              <w:jc w:val="right"/>
              <w:ind w:right="190"/>
              <w:spacing w:after="0"/>
              <w:rPr>
                <w:sz w:val="20"/>
                <w:szCs w:val="20"/>
                <w:color w:val="auto"/>
              </w:rPr>
            </w:pPr>
            <w:r>
              <w:rPr>
                <w:rFonts w:ascii="Arial" w:cs="Arial" w:eastAsia="Arial" w:hAnsi="Arial"/>
                <w:sz w:val="18"/>
                <w:szCs w:val="18"/>
                <w:color w:val="auto"/>
              </w:rPr>
              <w:t>14.4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460" w:type="dxa"/>
            <w:vAlign w:val="bottom"/>
          </w:tcPr>
          <w:p>
            <w:pPr>
              <w:jc w:val="right"/>
              <w:ind w:right="110"/>
              <w:spacing w:after="0"/>
              <w:rPr>
                <w:sz w:val="20"/>
                <w:szCs w:val="20"/>
                <w:color w:val="auto"/>
              </w:rPr>
            </w:pPr>
            <w:r>
              <w:rPr>
                <w:rFonts w:ascii="Arial" w:cs="Arial" w:eastAsia="Arial" w:hAnsi="Arial"/>
                <w:sz w:val="18"/>
                <w:szCs w:val="18"/>
                <w:color w:val="auto"/>
              </w:rPr>
              <w:t>72.6</w:t>
            </w:r>
          </w:p>
        </w:tc>
        <w:tc>
          <w:tcPr>
            <w:tcW w:w="96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460" w:type="dxa"/>
            <w:vAlign w:val="bottom"/>
          </w:tcPr>
          <w:p>
            <w:pPr>
              <w:jc w:val="right"/>
              <w:ind w:right="130"/>
              <w:spacing w:after="0"/>
              <w:rPr>
                <w:sz w:val="20"/>
                <w:szCs w:val="20"/>
                <w:color w:val="auto"/>
              </w:rPr>
            </w:pPr>
            <w:r>
              <w:rPr>
                <w:rFonts w:ascii="Arial" w:cs="Arial" w:eastAsia="Arial" w:hAnsi="Arial"/>
                <w:sz w:val="18"/>
                <w:szCs w:val="18"/>
                <w:color w:val="auto"/>
              </w:rPr>
              <w:t>(17.2)</w:t>
            </w: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Other</w:t>
            </w:r>
          </w:p>
        </w:tc>
        <w:tc>
          <w:tcPr>
            <w:tcW w:w="3460" w:type="dxa"/>
            <w:vAlign w:val="bottom"/>
          </w:tcPr>
          <w:p>
            <w:pPr>
              <w:jc w:val="right"/>
              <w:ind w:right="190"/>
              <w:spacing w:after="0"/>
              <w:rPr>
                <w:sz w:val="20"/>
                <w:szCs w:val="20"/>
                <w:color w:val="auto"/>
              </w:rPr>
            </w:pPr>
            <w:r>
              <w:rPr>
                <w:rFonts w:ascii="Arial" w:cs="Arial" w:eastAsia="Arial" w:hAnsi="Arial"/>
                <w:sz w:val="18"/>
                <w:szCs w:val="18"/>
                <w:color w:val="auto"/>
              </w:rPr>
              <w:t>0.6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3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3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62.1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49.0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3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$49.0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3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380"/>
              <w:spacing w:after="0"/>
              <w:rPr>
                <w:sz w:val="20"/>
                <w:szCs w:val="20"/>
                <w:color w:val="auto"/>
              </w:rPr>
            </w:pPr>
            <w:r>
              <w:rPr>
                <w:rFonts w:ascii="Arial" w:cs="Arial" w:eastAsia="Arial" w:hAnsi="Arial"/>
                <w:sz w:val="18"/>
                <w:szCs w:val="18"/>
                <w:color w:val="auto"/>
              </w:rPr>
              <w:t>Basic</w:t>
            </w:r>
          </w:p>
        </w:tc>
        <w:tc>
          <w:tcPr>
            <w:tcW w:w="3460" w:type="dxa"/>
            <w:vAlign w:val="bottom"/>
          </w:tcPr>
          <w:p>
            <w:pPr>
              <w:jc w:val="right"/>
              <w:ind w:right="190"/>
              <w:spacing w:after="0"/>
              <w:rPr>
                <w:sz w:val="20"/>
                <w:szCs w:val="20"/>
                <w:color w:val="auto"/>
              </w:rPr>
            </w:pPr>
            <w:r>
              <w:rPr>
                <w:rFonts w:ascii="Arial" w:cs="Arial" w:eastAsia="Arial" w:hAnsi="Arial"/>
                <w:sz w:val="18"/>
                <w:szCs w:val="18"/>
                <w:color w:val="auto"/>
              </w:rPr>
              <w:t>50.2</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49.2</w:t>
            </w: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50.4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37"/>
        </w:trPr>
        <w:tc>
          <w:tcPr>
            <w:tcW w:w="7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3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$0.97</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$0.93</w:t>
            </w:r>
          </w:p>
        </w:tc>
      </w:tr>
      <w:tr>
        <w:trPr>
          <w:trHeight w:val="27"/>
        </w:trPr>
        <w:tc>
          <w:tcPr>
            <w:tcW w:w="7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3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$0.97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3460" w:type="dxa"/>
            <w:vAlign w:val="bottom"/>
          </w:tcPr>
          <w:p>
            <w:pPr>
              <w:jc w:val="right"/>
              <w:ind w:right="110"/>
              <w:spacing w:after="0"/>
              <w:rPr>
                <w:sz w:val="20"/>
                <w:szCs w:val="20"/>
                <w:color w:val="auto"/>
              </w:rPr>
            </w:pPr>
            <w:r>
              <w:rPr>
                <w:rFonts w:ascii="Arial" w:cs="Arial" w:eastAsia="Arial" w:hAnsi="Arial"/>
                <w:sz w:val="18"/>
                <w:szCs w:val="18"/>
                <w:color w:val="auto"/>
              </w:rPr>
              <w:t>$0.535</w:t>
            </w:r>
          </w:p>
        </w:tc>
        <w:tc>
          <w:tcPr>
            <w:tcW w:w="96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7"/>
        </w:trPr>
        <w:tc>
          <w:tcPr>
            <w:tcW w:w="70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Mar. 31,</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2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Mar. 31,</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820" w:type="dxa"/>
            <w:vAlign w:val="bottom"/>
          </w:tcPr>
          <w:p>
            <w:pPr>
              <w:spacing w:after="0"/>
              <w:rPr>
                <w:sz w:val="23"/>
                <w:szCs w:val="23"/>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$81.8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382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$364.6</w:t>
            </w:r>
          </w:p>
        </w:tc>
        <w:tc>
          <w:tcPr>
            <w:tcW w:w="840" w:type="dxa"/>
            <w:vAlign w:val="bottom"/>
          </w:tcPr>
          <w:p>
            <w:pPr>
              <w:jc w:val="right"/>
              <w:spacing w:after="0"/>
              <w:rPr>
                <w:sz w:val="20"/>
                <w:szCs w:val="20"/>
                <w:color w:val="auto"/>
              </w:rPr>
            </w:pPr>
            <w:r>
              <w:rPr>
                <w:rFonts w:ascii="Arial" w:cs="Arial" w:eastAsia="Arial" w:hAnsi="Arial"/>
                <w:sz w:val="18"/>
                <w:szCs w:val="18"/>
                <w:color w:val="auto"/>
              </w:rPr>
              <w:t>$399.5</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1,370.4</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3,745.3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3,741.2</w:t>
            </w:r>
          </w:p>
        </w:tc>
        <w:tc>
          <w:tcPr>
            <w:tcW w:w="382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400" w:type="dxa"/>
            <w:vAlign w:val="bottom"/>
          </w:tcPr>
          <w:p>
            <w:pPr>
              <w:jc w:val="right"/>
              <w:spacing w:after="0"/>
              <w:rPr>
                <w:sz w:val="20"/>
                <w:szCs w:val="20"/>
                <w:color w:val="auto"/>
              </w:rPr>
            </w:pPr>
            <w:r>
              <w:rPr>
                <w:rFonts w:ascii="Arial" w:cs="Arial" w:eastAsia="Arial" w:hAnsi="Arial"/>
                <w:sz w:val="18"/>
                <w:szCs w:val="18"/>
                <w:color w:val="auto"/>
              </w:rPr>
              <w:t>568.6</w:t>
            </w:r>
          </w:p>
        </w:tc>
        <w:tc>
          <w:tcPr>
            <w:tcW w:w="840" w:type="dxa"/>
            <w:vAlign w:val="bottom"/>
          </w:tcPr>
          <w:p>
            <w:pPr>
              <w:jc w:val="right"/>
              <w:spacing w:after="0"/>
              <w:rPr>
                <w:sz w:val="20"/>
                <w:szCs w:val="20"/>
                <w:color w:val="auto"/>
              </w:rPr>
            </w:pPr>
            <w:r>
              <w:rPr>
                <w:rFonts w:ascii="Arial" w:cs="Arial" w:eastAsia="Arial" w:hAnsi="Arial"/>
                <w:sz w:val="18"/>
                <w:szCs w:val="18"/>
                <w:color w:val="auto"/>
              </w:rPr>
              <w:t>554.6</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330.1</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135.6</w:t>
            </w:r>
          </w:p>
        </w:tc>
        <w:tc>
          <w:tcPr>
            <w:tcW w:w="382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400" w:type="dxa"/>
            <w:vAlign w:val="bottom"/>
          </w:tcPr>
          <w:p>
            <w:pPr>
              <w:jc w:val="right"/>
              <w:spacing w:after="0"/>
              <w:rPr>
                <w:sz w:val="20"/>
                <w:szCs w:val="20"/>
                <w:color w:val="auto"/>
              </w:rPr>
            </w:pPr>
            <w:r>
              <w:rPr>
                <w:rFonts w:ascii="Arial" w:cs="Arial" w:eastAsia="Arial" w:hAnsi="Arial"/>
                <w:sz w:val="18"/>
                <w:szCs w:val="18"/>
                <w:color w:val="auto"/>
              </w:rPr>
              <w:t>195.1</w:t>
            </w:r>
          </w:p>
        </w:tc>
        <w:tc>
          <w:tcPr>
            <w:tcW w:w="840" w:type="dxa"/>
            <w:vAlign w:val="bottom"/>
          </w:tcPr>
          <w:p>
            <w:pPr>
              <w:jc w:val="right"/>
              <w:spacing w:after="0"/>
              <w:rPr>
                <w:sz w:val="20"/>
                <w:szCs w:val="20"/>
                <w:color w:val="auto"/>
              </w:rPr>
            </w:pPr>
            <w:r>
              <w:rPr>
                <w:rFonts w:ascii="Arial" w:cs="Arial" w:eastAsia="Arial" w:hAnsi="Arial"/>
                <w:sz w:val="18"/>
                <w:szCs w:val="18"/>
                <w:color w:val="auto"/>
              </w:rPr>
              <w:t>210.9</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212.0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213.4</w:t>
            </w:r>
          </w:p>
        </w:tc>
        <w:tc>
          <w:tcPr>
            <w:tcW w:w="382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400" w:type="dxa"/>
            <w:vAlign w:val="bottom"/>
          </w:tcPr>
          <w:p>
            <w:pPr>
              <w:jc w:val="right"/>
              <w:spacing w:after="0"/>
              <w:rPr>
                <w:sz w:val="20"/>
                <w:szCs w:val="20"/>
                <w:color w:val="auto"/>
              </w:rPr>
            </w:pPr>
            <w:r>
              <w:rPr>
                <w:rFonts w:ascii="Arial" w:cs="Arial" w:eastAsia="Arial" w:hAnsi="Arial"/>
                <w:sz w:val="18"/>
                <w:szCs w:val="18"/>
                <w:color w:val="auto"/>
              </w:rPr>
              <w:t>2,001.5</w:t>
            </w:r>
          </w:p>
        </w:tc>
        <w:tc>
          <w:tcPr>
            <w:tcW w:w="840" w:type="dxa"/>
            <w:vAlign w:val="bottom"/>
          </w:tcPr>
          <w:p>
            <w:pPr>
              <w:jc w:val="right"/>
              <w:spacing w:after="0"/>
              <w:rPr>
                <w:sz w:val="20"/>
                <w:szCs w:val="20"/>
                <w:color w:val="auto"/>
              </w:rPr>
            </w:pPr>
            <w:r>
              <w:rPr>
                <w:rFonts w:ascii="Arial" w:cs="Arial" w:eastAsia="Arial" w:hAnsi="Arial"/>
                <w:sz w:val="18"/>
                <w:szCs w:val="18"/>
                <w:color w:val="auto"/>
              </w:rPr>
              <w:t>1,893.0</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38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$4,941.9</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$4,876.9</w:t>
            </w:r>
          </w:p>
        </w:tc>
        <w:tc>
          <w:tcPr>
            <w:tcW w:w="38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$4,941.9</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$4,876.9</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64"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36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14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220" w:type="dxa"/>
            <w:vAlign w:val="bottom"/>
          </w:tcPr>
          <w:p>
            <w:pPr>
              <w:spacing w:after="0"/>
              <w:rPr>
                <w:sz w:val="23"/>
                <w:szCs w:val="23"/>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414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Millions</w:t>
            </w:r>
          </w:p>
        </w:tc>
        <w:tc>
          <w:tcPr>
            <w:tcW w:w="4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41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$43.5</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$42.4</w:t>
            </w:r>
          </w:p>
        </w:tc>
      </w:tr>
      <w:tr>
        <w:trPr>
          <w:trHeight w:val="216"/>
        </w:trPr>
        <w:tc>
          <w:tcPr>
            <w:tcW w:w="6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Energy Infrastructure and Related Services</w:t>
            </w:r>
          </w:p>
        </w:tc>
        <w:tc>
          <w:tcPr>
            <w:tcW w:w="4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ALLETE Clean Energy</w:t>
            </w:r>
          </w:p>
        </w:tc>
        <w:tc>
          <w:tcPr>
            <w:tcW w:w="4140" w:type="dxa"/>
            <w:vAlign w:val="bottom"/>
          </w:tcPr>
          <w:p>
            <w:pPr>
              <w:jc w:val="right"/>
              <w:ind w:right="810"/>
              <w:spacing w:after="0"/>
              <w:rPr>
                <w:sz w:val="20"/>
                <w:szCs w:val="20"/>
                <w:color w:val="auto"/>
              </w:rPr>
            </w:pPr>
            <w:r>
              <w:rPr>
                <w:rFonts w:ascii="Arial" w:cs="Arial" w:eastAsia="Arial" w:hAnsi="Arial"/>
                <w:sz w:val="18"/>
                <w:szCs w:val="18"/>
                <w:color w:val="auto"/>
              </w:rPr>
              <w:t>6.7</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6.1</w:t>
            </w: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Water Services</w:t>
            </w:r>
          </w:p>
        </w:tc>
        <w:tc>
          <w:tcPr>
            <w:tcW w:w="41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(0.3)</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r>
      <w:tr>
        <w:trPr>
          <w:trHeight w:val="216"/>
        </w:trPr>
        <w:tc>
          <w:tcPr>
            <w:tcW w:w="60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and Other</w:t>
            </w:r>
          </w:p>
        </w:tc>
        <w:tc>
          <w:tcPr>
            <w:tcW w:w="41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(0.9)</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r>
      <w:tr>
        <w:trPr>
          <w:trHeight w:val="237"/>
        </w:trPr>
        <w:tc>
          <w:tcPr>
            <w:tcW w:w="60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Income Attributable to ALLETE</w:t>
            </w:r>
          </w:p>
        </w:tc>
        <w:tc>
          <w:tcPr>
            <w:tcW w:w="41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$49.0</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$45.9</w:t>
            </w: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41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$0.97</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$0.93</w:t>
            </w:r>
          </w:p>
        </w:tc>
      </w:tr>
      <w:tr>
        <w:trPr>
          <w:trHeight w:val="588"/>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Statistical Data</w:t>
            </w:r>
          </w:p>
        </w:tc>
        <w:tc>
          <w:tcPr>
            <w:tcW w:w="4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4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4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High</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$68.38</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$58.34</w:t>
            </w: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$61.64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$48.26</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Close</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$67.71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$56.07</w:t>
            </w: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$39.34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$37.55</w:t>
            </w:r>
          </w:p>
        </w:tc>
      </w:tr>
      <w:tr>
        <w:trPr>
          <w:trHeight w:val="594"/>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4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Millions</w:t>
            </w:r>
          </w:p>
        </w:tc>
        <w:tc>
          <w:tcPr>
            <w:tcW w:w="4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4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4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323</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329</w:t>
            </w:r>
          </w:p>
        </w:tc>
      </w:tr>
      <w:tr>
        <w:trPr>
          <w:trHeight w:val="243"/>
        </w:trPr>
        <w:tc>
          <w:tcPr>
            <w:tcW w:w="60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369</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368</w:t>
            </w: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215</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219</w:t>
            </w:r>
          </w:p>
        </w:tc>
      </w:tr>
      <w:tr>
        <w:trPr>
          <w:trHeight w:val="243"/>
        </w:trPr>
        <w:tc>
          <w:tcPr>
            <w:tcW w:w="60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1,762</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1,594</w:t>
            </w: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2,669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2,510</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1,041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1,130</w:t>
            </w: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 Kilowatt-hours Sold</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3,710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3,640</w:t>
            </w:r>
          </w:p>
        </w:tc>
      </w:tr>
      <w:tr>
        <w:trPr>
          <w:trHeight w:val="588"/>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4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Millions</w:t>
            </w:r>
          </w:p>
        </w:tc>
        <w:tc>
          <w:tcPr>
            <w:tcW w:w="4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4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Retail and Municipal</w:t>
            </w:r>
          </w:p>
        </w:tc>
        <w:tc>
          <w:tcPr>
            <w:tcW w:w="4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$34.7</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$32.9</w:t>
            </w:r>
          </w:p>
        </w:tc>
      </w:tr>
      <w:tr>
        <w:trPr>
          <w:trHeight w:val="243"/>
        </w:trPr>
        <w:tc>
          <w:tcPr>
            <w:tcW w:w="60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36.0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32.5</w:t>
            </w: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18.2</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15.9</w:t>
            </w:r>
          </w:p>
        </w:tc>
      </w:tr>
      <w:tr>
        <w:trPr>
          <w:trHeight w:val="243"/>
        </w:trPr>
        <w:tc>
          <w:tcPr>
            <w:tcW w:w="60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120.5</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99.9</w:t>
            </w: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209.4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181.2</w:t>
            </w:r>
          </w:p>
        </w:tc>
      </w:tr>
      <w:tr>
        <w:trPr>
          <w:trHeight w:val="243"/>
        </w:trPr>
        <w:tc>
          <w:tcPr>
            <w:tcW w:w="60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41.2</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42.2</w:t>
            </w:r>
          </w:p>
        </w:tc>
      </w:tr>
      <w:tr>
        <w:trPr>
          <w:trHeight w:val="27"/>
        </w:trPr>
        <w:tc>
          <w:tcPr>
            <w:tcW w:w="60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41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31.0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28.9</w:t>
            </w:r>
          </w:p>
        </w:tc>
      </w:tr>
      <w:tr>
        <w:trPr>
          <w:trHeight w:val="237"/>
        </w:trPr>
        <w:tc>
          <w:tcPr>
            <w:tcW w:w="6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41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$281.6</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$252.3</w:t>
            </w:r>
          </w:p>
        </w:tc>
      </w:tr>
      <w:tr>
        <w:trPr>
          <w:trHeight w:val="27"/>
        </w:trPr>
        <w:tc>
          <w:tcPr>
            <w:tcW w:w="60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92" w:lineRule="exact"/>
        <w:rPr>
          <w:sz w:val="20"/>
          <w:szCs w:val="20"/>
          <w:color w:val="auto"/>
        </w:rPr>
      </w:pPr>
    </w:p>
    <w:p>
      <w:pPr>
        <w:ind w:right="320"/>
        <w:spacing w:after="0" w:line="351" w:lineRule="auto"/>
        <w:rPr>
          <w:sz w:val="20"/>
          <w:szCs w:val="20"/>
          <w:color w:val="auto"/>
        </w:rPr>
      </w:pPr>
      <w:r>
        <w:rPr>
          <w:rFonts w:ascii="Arial" w:cs="Arial" w:eastAsia="Arial" w:hAnsi="Arial"/>
          <w:sz w:val="15"/>
          <w:szCs w:val="15"/>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32"/>
    </w:lvl>
  </w:abstractNum>
  <w:abstractNum w:abstractNumId="12">
    <w:nsid w:val="7FDCC233"/>
    <w:multiLevelType w:val="hybridMultilevel"/>
    <w:lvl w:ilvl="0">
      <w:lvlJc w:val="left"/>
      <w:lvlText w:val="%1"/>
      <w:numFmt w:val="decimal"/>
      <w:start w:val="99"/>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2019-12-29T06:17:43Z</dcterms:created>
  <dcterms:modified xsi:type="dcterms:W3CDTF">2019-12-29T06:17:43Z</dcterms:modified>
</cp:coreProperties>
</file>