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ectPr>
          <w:pgSz w:w="11900" w:h="16838" w:orient="portrait"/>
          <w:cols w:equalWidth="0" w:num="1">
            <w:col w:w="10239"/>
          </w:cols>
          <w:pgMar w:left="220" w:top="561" w:right="1440" w:bottom="1440" w:gutter="0" w:footer="0" w:header="0"/>
        </w:sectPr>
      </w:pPr>
    </w:p>
    <w:p>
      <w:pPr>
        <w:spacing w:after="0" w:line="7" w:lineRule="exact"/>
        <w:rPr>
          <w:sz w:val="24"/>
          <w:szCs w:val="24"/>
          <w:color w:val="auto"/>
        </w:rPr>
      </w:pPr>
    </w:p>
    <w:p>
      <w:pPr>
        <w:jc w:val="center"/>
        <w:ind w:left="44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tabs>
          <w:tab w:leader="none" w:pos="1280" w:val="left"/>
          <w:tab w:leader="none" w:pos="2140" w:val="left"/>
          <w:tab w:leader="none" w:pos="2480" w:val="left"/>
          <w:tab w:leader="none" w:pos="3520" w:val="left"/>
        </w:tabs>
        <w:rPr>
          <w:sz w:val="20"/>
          <w:szCs w:val="20"/>
          <w:color w:val="auto"/>
        </w:rPr>
      </w:pPr>
      <w:r>
        <w:rPr>
          <w:rFonts w:ascii="Courier New" w:cs="Courier New" w:eastAsia="Courier New" w:hAnsi="Courier New"/>
          <w:sz w:val="14"/>
          <w:szCs w:val="14"/>
          <w:color w:val="auto"/>
        </w:rPr>
        <w:t>Annual Report</w:t>
        <w:tab/>
        <w:t>Pursuant</w:t>
        <w:tab/>
        <w:t>to</w:t>
        <w:tab/>
        <w:t>Section 13</w:t>
        <w:tab/>
        <w:t>or 15(d) of the 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Exchange Act of 1934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DECEMBER 31, 2006</w:t>
      </w:r>
    </w:p>
    <w:p>
      <w:pPr>
        <w:spacing w:after="0" w:line="173" w:lineRule="exact"/>
        <w:rPr>
          <w:sz w:val="24"/>
          <w:szCs w:val="24"/>
          <w:color w:val="auto"/>
        </w:rPr>
      </w:pPr>
    </w:p>
    <w:p>
      <w:pPr>
        <w:sectPr>
          <w:pgSz w:w="11900" w:h="16838" w:orient="portrait"/>
          <w:cols w:equalWidth="0" w:num="2">
            <w:col w:w="700" w:space="420"/>
            <w:col w:w="9119"/>
          </w:cols>
          <w:pgMar w:left="220" w:top="561" w:right="1440" w:bottom="1440" w:gutter="0" w:footer="0" w:header="0"/>
          <w:type w:val="continuous"/>
        </w:sectPr>
      </w:pPr>
    </w:p>
    <w:p>
      <w:pPr>
        <w:ind w:left="1120" w:right="3339" w:hanging="681"/>
        <w:spacing w:after="0" w:line="250" w:lineRule="auto"/>
        <w:tabs>
          <w:tab w:leader="none" w:pos="60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 to ______________</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Commission File No. 1-3548</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100" w:space="520"/>
            <w:col w:w="6619"/>
          </w:cols>
          <w:pgMar w:left="220" w:top="561" w:right="1440" w:bottom="1440" w:gutter="0" w:footer="0" w:header="0"/>
          <w:type w:val="continuous"/>
        </w:sectPr>
      </w:pPr>
    </w:p>
    <w:p>
      <w:pPr>
        <w:ind w:left="860" w:right="4199" w:firstLine="345"/>
        <w:spacing w:after="0" w:line="255" w:lineRule="auto"/>
        <w:rPr>
          <w:sz w:val="20"/>
          <w:szCs w:val="20"/>
          <w:color w:val="auto"/>
        </w:rPr>
      </w:pPr>
      <w:r>
        <w:rPr>
          <w:rFonts w:ascii="Courier New" w:cs="Courier New" w:eastAsia="Courier New" w:hAnsi="Courier New"/>
          <w:sz w:val="14"/>
          <w:szCs w:val="14"/>
          <w:color w:val="auto"/>
        </w:rPr>
        <w:t>30 WEST SUPERIOR STREET, DULUTH, MINNESOTA 55802-2093 (Address of principal executive offices, including zip code)</w:t>
      </w:r>
    </w:p>
    <w:p>
      <w:pPr>
        <w:spacing w:after="0" w:line="16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1" w:right="1440" w:bottom="1440" w:gutter="0" w:footer="0" w:header="0"/>
          <w:type w:val="continuous"/>
        </w:sectPr>
      </w:pPr>
    </w:p>
    <w:p>
      <w:pPr>
        <w:spacing w:after="0" w:line="338" w:lineRule="exact"/>
        <w:rPr>
          <w:sz w:val="24"/>
          <w:szCs w:val="24"/>
          <w:color w:val="auto"/>
        </w:rPr>
      </w:pPr>
    </w:p>
    <w:p>
      <w:pPr>
        <w:jc w:val="center"/>
        <w:ind w:left="700" w:right="60"/>
        <w:spacing w:after="0" w:line="252" w:lineRule="auto"/>
        <w:rPr>
          <w:sz w:val="20"/>
          <w:szCs w:val="20"/>
          <w:color w:val="auto"/>
        </w:rPr>
      </w:pPr>
      <w:r>
        <w:rPr>
          <w:rFonts w:ascii="Courier New" w:cs="Courier New" w:eastAsia="Courier New" w:hAnsi="Courier New"/>
          <w:sz w:val="14"/>
          <w:szCs w:val="14"/>
          <w:color w:val="auto"/>
        </w:rPr>
        <w:t>Title of Each Class ------------------- Common Stock, without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Name of Each Stock Exchange</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on Which Registered</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New York Stock Exchange</w:t>
      </w:r>
    </w:p>
    <w:p>
      <w:pPr>
        <w:spacing w:after="0" w:line="172" w:lineRule="exact"/>
        <w:rPr>
          <w:sz w:val="24"/>
          <w:szCs w:val="24"/>
          <w:color w:val="auto"/>
        </w:rPr>
      </w:pPr>
    </w:p>
    <w:p>
      <w:pPr>
        <w:sectPr>
          <w:pgSz w:w="11900" w:h="16838" w:orient="portrait"/>
          <w:cols w:equalWidth="0" w:num="2">
            <w:col w:w="3420" w:space="720"/>
            <w:col w:w="6099"/>
          </w:cols>
          <w:pgMar w:left="220" w:top="561"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right="3419"/>
        <w:spacing w:after="0" w:line="257" w:lineRule="auto"/>
        <w:rPr>
          <w:sz w:val="20"/>
          <w:szCs w:val="20"/>
          <w:color w:val="auto"/>
        </w:rPr>
      </w:pPr>
      <w:r>
        <w:rPr>
          <w:rFonts w:ascii="Courier New" w:cs="Courier New" w:eastAsia="Courier New" w:hAnsi="Courier New"/>
          <w:sz w:val="14"/>
          <w:szCs w:val="14"/>
          <w:color w:val="auto"/>
        </w:rPr>
        <w:t>Indicate by check mark if the registrant is a well-known seasoned issuer, as defined in Rule 405 of the Securities Act. Yes /X/ No / /</w:t>
      </w:r>
    </w:p>
    <w:p>
      <w:pPr>
        <w:spacing w:after="0" w:line="323" w:lineRule="exact"/>
        <w:rPr>
          <w:sz w:val="24"/>
          <w:szCs w:val="24"/>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Indicate by check mark if the registrant is not required to file reports pursuant to Section 13 or Section 15(d) of the Act. Yes / / No /X/</w:t>
      </w:r>
    </w:p>
    <w:p>
      <w:pPr>
        <w:spacing w:after="0" w:line="32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tabs>
          <w:tab w:leader="none" w:pos="420" w:val="left"/>
          <w:tab w:leader="none" w:pos="3340" w:val="left"/>
          <w:tab w:leader="none" w:pos="4120" w:val="left"/>
          <w:tab w:leader="none" w:pos="5580" w:val="left"/>
          <w:tab w:leader="none" w:pos="6620" w:val="left"/>
        </w:tabs>
        <w:rPr>
          <w:sz w:val="20"/>
          <w:szCs w:val="20"/>
          <w:color w:val="auto"/>
        </w:rPr>
      </w:pPr>
      <w:r>
        <w:rPr>
          <w:rFonts w:ascii="Courier New" w:cs="Courier New" w:eastAsia="Courier New" w:hAnsi="Courier New"/>
          <w:sz w:val="14"/>
          <w:szCs w:val="14"/>
          <w:color w:val="auto"/>
        </w:rPr>
        <w:t>the</w:t>
        <w:tab/>
        <w:t>preceding 12 months (or for such</w:t>
        <w:tab/>
        <w:t>shorter</w:t>
        <w:tab/>
        <w:t>period that the</w:t>
        <w:tab/>
        <w:t>registrant</w:t>
        <w:tab/>
        <w:t>was</w:t>
      </w:r>
    </w:p>
    <w:p>
      <w:pPr>
        <w:spacing w:after="0" w:line="7" w:lineRule="exact"/>
        <w:rPr>
          <w:sz w:val="24"/>
          <w:szCs w:val="24"/>
          <w:color w:val="auto"/>
        </w:rPr>
      </w:pPr>
    </w:p>
    <w:p>
      <w:pPr>
        <w:spacing w:after="0"/>
        <w:tabs>
          <w:tab w:leader="none" w:pos="840" w:val="left"/>
          <w:tab w:leader="none" w:pos="1620" w:val="left"/>
          <w:tab w:leader="none" w:pos="2140" w:val="left"/>
          <w:tab w:leader="none" w:pos="3080" w:val="left"/>
          <w:tab w:leader="none" w:pos="3520" w:val="left"/>
          <w:tab w:leader="none" w:pos="4300" w:val="left"/>
          <w:tab w:leader="none" w:pos="4820" w:val="left"/>
          <w:tab w:leader="none" w:pos="5580" w:val="left"/>
          <w:tab w:leader="none" w:pos="6360" w:val="left"/>
        </w:tabs>
        <w:rPr>
          <w:sz w:val="20"/>
          <w:szCs w:val="20"/>
          <w:color w:val="auto"/>
        </w:rPr>
      </w:pPr>
      <w:r>
        <w:rPr>
          <w:rFonts w:ascii="Courier New" w:cs="Courier New" w:eastAsia="Courier New" w:hAnsi="Courier New"/>
          <w:sz w:val="14"/>
          <w:szCs w:val="14"/>
          <w:color w:val="auto"/>
        </w:rPr>
        <w:t>required</w:t>
        <w:tab/>
        <w:t>to file</w:t>
        <w:tab/>
        <w:t>such</w:t>
        <w:tab/>
        <w:t>reports),</w:t>
        <w:tab/>
        <w:t>and</w:t>
        <w:tab/>
        <w:t>(2) has</w:t>
        <w:tab/>
        <w:t>been</w:t>
        <w:tab/>
        <w:t>subject</w:t>
        <w:tab/>
        <w:t>to such</w:t>
        <w:tab/>
        <w:t>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Yes /X/</w:t>
        <w:tab/>
        <w:t>No / /</w:t>
      </w:r>
    </w:p>
    <w:p>
      <w:pPr>
        <w:spacing w:after="0" w:line="173"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(as defined in Rule 12b-2 of the Act).</w:t>
      </w:r>
    </w:p>
    <w:p>
      <w:pPr>
        <w:spacing w:after="0" w:line="1" w:lineRule="exact"/>
        <w:rPr>
          <w:sz w:val="24"/>
          <w:szCs w:val="24"/>
          <w:color w:val="auto"/>
        </w:rPr>
      </w:pPr>
    </w:p>
    <w:p>
      <w:pPr>
        <w:spacing w:after="0"/>
        <w:tabs>
          <w:tab w:leader="none" w:pos="2580" w:val="left"/>
          <w:tab w:leader="none" w:pos="4720" w:val="left"/>
        </w:tabs>
        <w:rPr>
          <w:sz w:val="20"/>
          <w:szCs w:val="20"/>
          <w:color w:val="auto"/>
        </w:rPr>
      </w:pPr>
      <w:r>
        <w:rPr>
          <w:rFonts w:ascii="Courier New" w:cs="Courier New" w:eastAsia="Courier New" w:hAnsi="Courier New"/>
          <w:sz w:val="14"/>
          <w:szCs w:val="14"/>
          <w:color w:val="auto"/>
        </w:rPr>
        <w:t>Large Accelerated Filer /X/</w:t>
      </w:r>
      <w:r>
        <w:rPr>
          <w:sz w:val="20"/>
          <w:szCs w:val="20"/>
          <w:color w:val="auto"/>
        </w:rPr>
        <w:tab/>
      </w:r>
      <w:r>
        <w:rPr>
          <w:rFonts w:ascii="Courier New" w:cs="Courier New" w:eastAsia="Courier New" w:hAnsi="Courier New"/>
          <w:sz w:val="14"/>
          <w:szCs w:val="14"/>
          <w:color w:val="auto"/>
        </w:rPr>
        <w:t>Accelerated Filer / /</w:t>
      </w:r>
      <w:r>
        <w:rPr>
          <w:sz w:val="20"/>
          <w:szCs w:val="20"/>
          <w:color w:val="auto"/>
        </w:rPr>
        <w:tab/>
      </w:r>
      <w:r>
        <w:rPr>
          <w:rFonts w:ascii="Courier New" w:cs="Courier New" w:eastAsia="Courier New" w:hAnsi="Courier New"/>
          <w:sz w:val="14"/>
          <w:szCs w:val="14"/>
          <w:color w:val="auto"/>
        </w:rPr>
        <w:t>Non-Accelerated Filer / /</w:t>
      </w:r>
    </w:p>
    <w:p>
      <w:pPr>
        <w:spacing w:after="0" w:line="173" w:lineRule="exact"/>
        <w:rPr>
          <w:sz w:val="24"/>
          <w:szCs w:val="24"/>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Indicate by check mark whether the registrant is a</w:t>
        <w:tab/>
        <w:t>shell company (as defined in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Rule 12b-2 of the Act).</w:t>
      </w:r>
    </w:p>
    <w:p>
      <w:pPr>
        <w:spacing w:after="0" w:line="7"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Yes / /</w:t>
        <w:tab/>
        <w:t>No /X/</w:t>
      </w:r>
    </w:p>
    <w:p>
      <w:pPr>
        <w:spacing w:after="0" w:line="173"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aggregate market value of voting stock held by nonaffiliates on June 30, 2006, was $1,427,346,731.</w:t>
      </w:r>
    </w:p>
    <w:p>
      <w:pPr>
        <w:spacing w:after="0" w:line="160"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As of February 1, 2007, there were 30,446,854 shares of ALLETE Common Stock, without par value, outstanding.</w:t>
      </w:r>
    </w:p>
    <w:p>
      <w:pPr>
        <w:spacing w:after="0" w:line="16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Portions of the Proxy Statement for the 2007 Annual Meeting of Shareholders are incorporated by reference in Part III.</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4"/>
          <w:szCs w:val="14"/>
          <w:color w:val="auto"/>
        </w:rPr>
        <w:t>INDEX</w:t>
      </w:r>
    </w:p>
    <w:p>
      <w:pPr>
        <w:spacing w:after="0" w:line="173"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w:t>
      </w:r>
    </w:p>
    <w:p>
      <w:pPr>
        <w:spacing w:after="0" w:line="7"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4"/>
          <w:szCs w:val="14"/>
          <w:color w:val="auto"/>
        </w:rPr>
        <w:t>OF 1995</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spacing w:after="0"/>
        <w:tabs>
          <w:tab w:leader="none" w:pos="1200" w:val="left"/>
          <w:tab w:leader="dot" w:pos="680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Energy - Regulated Utility</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Electric Sales</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Purchased Power</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Fuel</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Regulatory Issues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Franchises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Energy - Nonregulated Energy Operations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Energy - Investment in ATC</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Real Estate</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Regulation</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Executive Officers of the Registrant</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1A.</w:t>
      </w:r>
      <w:r>
        <w:rPr>
          <w:sz w:val="20"/>
          <w:szCs w:val="20"/>
          <w:color w:val="auto"/>
        </w:rPr>
        <w:tab/>
      </w: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1B.</w:t>
      </w:r>
      <w:r>
        <w:rPr>
          <w:sz w:val="20"/>
          <w:szCs w:val="20"/>
          <w:color w:val="auto"/>
        </w:rPr>
        <w:tab/>
      </w:r>
      <w:r>
        <w:rPr>
          <w:rFonts w:ascii="Courier New" w:cs="Courier New" w:eastAsia="Courier New" w:hAnsi="Courier New"/>
          <w:sz w:val="14"/>
          <w:szCs w:val="14"/>
          <w:color w:val="auto"/>
        </w:rPr>
        <w:t>Unresolved Staff Comments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Related Stockholder</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Matters and Issuer Purchases of Equity Securities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and Results of Operations</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Executive Summary</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2006 Compared to 2005</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2005 Compared to 2004</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Non-GAAP Financial Measures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Critical Accounting Estimates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Outlook</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Liquidity and Capital Resources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Capital Requirements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Environmental and Other Matters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Market Risk</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New Accounting Standards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and Financial Disclosure</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9A.</w:t>
      </w:r>
      <w:r>
        <w:rPr>
          <w:sz w:val="20"/>
          <w:szCs w:val="20"/>
          <w:color w:val="auto"/>
        </w:rPr>
        <w:tab/>
      </w:r>
      <w:r>
        <w:rPr>
          <w:rFonts w:ascii="Courier New" w:cs="Courier New" w:eastAsia="Courier New" w:hAnsi="Courier New"/>
          <w:sz w:val="14"/>
          <w:szCs w:val="14"/>
          <w:color w:val="auto"/>
        </w:rPr>
        <w:t>Controls and Procedures</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9B.</w:t>
      </w:r>
      <w:r>
        <w:rPr>
          <w:sz w:val="20"/>
          <w:szCs w:val="20"/>
          <w:color w:val="auto"/>
        </w:rPr>
        <w:tab/>
      </w:r>
      <w:r>
        <w:rPr>
          <w:rFonts w:ascii="Courier New" w:cs="Courier New" w:eastAsia="Courier New" w:hAnsi="Courier New"/>
          <w:sz w:val="14"/>
          <w:szCs w:val="14"/>
          <w:color w:val="auto"/>
        </w:rPr>
        <w:t>Other Information</w:t>
      </w:r>
      <w:r>
        <w:rPr>
          <w:sz w:val="20"/>
          <w:szCs w:val="20"/>
          <w:color w:val="auto"/>
        </w:rPr>
        <w:tab/>
      </w:r>
      <w:r>
        <w:rPr>
          <w:rFonts w:ascii="Courier New" w:cs="Courier New" w:eastAsia="Courier New" w:hAnsi="Courier New"/>
          <w:sz w:val="14"/>
          <w:szCs w:val="14"/>
          <w:color w:val="auto"/>
        </w:rPr>
        <w:t>52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Executive Officers and Corporate Governance</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Management and Related Stockholder Matters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 and</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Director Independence</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Principal Accountant Fees and Services</w:t>
      </w:r>
      <w:r>
        <w:rPr>
          <w:sz w:val="20"/>
          <w:szCs w:val="20"/>
          <w:color w:val="auto"/>
        </w:rPr>
        <w:tab/>
      </w:r>
      <w:r>
        <w:rPr>
          <w:rFonts w:ascii="Courier New" w:cs="Courier New" w:eastAsia="Courier New" w:hAnsi="Courier New"/>
          <w:sz w:val="14"/>
          <w:szCs w:val="14"/>
          <w:color w:val="auto"/>
        </w:rPr>
        <w:t>53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spacing w:after="0"/>
        <w:tabs>
          <w:tab w:leader="none" w:pos="1200" w:val="left"/>
          <w:tab w:leader="dot" w:pos="670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Exhibits and Financial Statement Schedules</w:t>
      </w:r>
      <w:r>
        <w:rPr>
          <w:sz w:val="20"/>
          <w:szCs w:val="20"/>
          <w:color w:val="auto"/>
        </w:rPr>
        <w:tab/>
      </w:r>
      <w:r>
        <w:rPr>
          <w:rFonts w:ascii="Courier New" w:cs="Courier New" w:eastAsia="Courier New" w:hAnsi="Courier New"/>
          <w:sz w:val="14"/>
          <w:szCs w:val="14"/>
          <w:color w:val="auto"/>
        </w:rPr>
        <w:t>54</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58</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CONSOLIDATED FINANCIAL STATEMENTS</w:t>
      </w:r>
      <w:r>
        <w:rPr>
          <w:sz w:val="20"/>
          <w:szCs w:val="20"/>
          <w:color w:val="auto"/>
        </w:rPr>
        <w:tab/>
      </w:r>
      <w:r>
        <w:rPr>
          <w:rFonts w:ascii="Courier New" w:cs="Courier New" w:eastAsia="Courier New" w:hAnsi="Courier New"/>
          <w:sz w:val="14"/>
          <w:szCs w:val="14"/>
          <w:color w:val="auto"/>
        </w:rPr>
        <w:t>59</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782"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329"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ADESA</w:t>
      </w:r>
      <w:r>
        <w:rPr>
          <w:sz w:val="20"/>
          <w:szCs w:val="20"/>
          <w:color w:val="auto"/>
        </w:rPr>
        <w:tab/>
      </w:r>
      <w:r>
        <w:rPr>
          <w:rFonts w:ascii="Courier New" w:cs="Courier New" w:eastAsia="Courier New" w:hAnsi="Courier New"/>
          <w:sz w:val="14"/>
          <w:szCs w:val="14"/>
          <w:color w:val="auto"/>
        </w:rPr>
        <w:t>ADESA,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AICPA</w:t>
      </w:r>
      <w:r>
        <w:rPr>
          <w:sz w:val="20"/>
          <w:szCs w:val="20"/>
          <w:color w:val="auto"/>
        </w:rPr>
        <w:tab/>
      </w:r>
      <w:r>
        <w:rPr>
          <w:rFonts w:ascii="Courier New" w:cs="Courier New" w:eastAsia="Courier New" w:hAnsi="Courier New"/>
          <w:sz w:val="14"/>
          <w:szCs w:val="14"/>
          <w:color w:val="auto"/>
        </w:rPr>
        <w:t>American Institute of Certified Public</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Accountants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AREA</w:t>
      </w:r>
      <w:r>
        <w:rPr>
          <w:sz w:val="20"/>
          <w:szCs w:val="20"/>
          <w:color w:val="auto"/>
        </w:rPr>
        <w:tab/>
      </w:r>
      <w:r>
        <w:rPr>
          <w:rFonts w:ascii="Courier New" w:cs="Courier New" w:eastAsia="Courier New" w:hAnsi="Courier New"/>
          <w:sz w:val="14"/>
          <w:szCs w:val="14"/>
          <w:color w:val="auto"/>
        </w:rPr>
        <w:t>Arrowhead Regional Emission Abatement</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DOC</w:t>
      </w:r>
      <w:r>
        <w:rPr>
          <w:sz w:val="20"/>
          <w:szCs w:val="20"/>
          <w:color w:val="auto"/>
        </w:rPr>
        <w:tab/>
      </w:r>
      <w:r>
        <w:rPr>
          <w:rFonts w:ascii="Courier New" w:cs="Courier New" w:eastAsia="Courier New" w:hAnsi="Courier New"/>
          <w:sz w:val="14"/>
          <w:szCs w:val="14"/>
          <w:color w:val="auto"/>
        </w:rPr>
        <w:t>Minnesota Department of Commerce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DRI</w:t>
      </w:r>
      <w:r>
        <w:rPr>
          <w:sz w:val="20"/>
          <w:szCs w:val="20"/>
          <w:color w:val="auto"/>
        </w:rPr>
        <w:tab/>
      </w:r>
      <w:r>
        <w:rPr>
          <w:rFonts w:ascii="Courier New" w:cs="Courier New" w:eastAsia="Courier New" w:hAnsi="Courier New"/>
          <w:sz w:val="14"/>
          <w:szCs w:val="14"/>
          <w:color w:val="auto"/>
        </w:rPr>
        <w:t>Development of Regional Impact</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Florida Landmark</w:t>
      </w:r>
      <w:r>
        <w:rPr>
          <w:sz w:val="20"/>
          <w:szCs w:val="20"/>
          <w:color w:val="auto"/>
        </w:rPr>
        <w:tab/>
      </w:r>
      <w:r>
        <w:rPr>
          <w:rFonts w:ascii="Courier New" w:cs="Courier New" w:eastAsia="Courier New" w:hAnsi="Courier New"/>
          <w:sz w:val="14"/>
          <w:szCs w:val="14"/>
          <w:color w:val="auto"/>
        </w:rPr>
        <w:t>Florida Landmark Communities,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8-K</w:t>
      </w:r>
      <w:r>
        <w:rPr>
          <w:sz w:val="20"/>
          <w:szCs w:val="20"/>
          <w:color w:val="auto"/>
        </w:rPr>
        <w:tab/>
      </w:r>
      <w:r>
        <w:rPr>
          <w:rFonts w:ascii="Courier New" w:cs="Courier New" w:eastAsia="Courier New" w:hAnsi="Courier New"/>
          <w:sz w:val="14"/>
          <w:szCs w:val="14"/>
          <w:color w:val="auto"/>
        </w:rPr>
        <w:t>ALLETE Current Report on Form 8-K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10-K</w:t>
      </w:r>
      <w:r>
        <w:rPr>
          <w:sz w:val="20"/>
          <w:szCs w:val="20"/>
          <w:color w:val="auto"/>
        </w:rPr>
        <w:tab/>
      </w:r>
      <w:r>
        <w:rPr>
          <w:rFonts w:ascii="Courier New" w:cs="Courier New" w:eastAsia="Courier New" w:hAnsi="Courier New"/>
          <w:sz w:val="14"/>
          <w:szCs w:val="14"/>
          <w:color w:val="auto"/>
        </w:rPr>
        <w:t>ALLETE Annual Report on Form 10-K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10-Q</w:t>
      </w:r>
      <w:r>
        <w:rPr>
          <w:sz w:val="20"/>
          <w:szCs w:val="20"/>
          <w:color w:val="auto"/>
        </w:rPr>
        <w:tab/>
      </w:r>
      <w:r>
        <w:rPr>
          <w:rFonts w:ascii="Courier New" w:cs="Courier New" w:eastAsia="Courier New" w:hAnsi="Courier New"/>
          <w:sz w:val="14"/>
          <w:szCs w:val="14"/>
          <w:color w:val="auto"/>
        </w:rPr>
        <w:t>ALLETE Quarterly Report on Form 10-Q</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FPL Energy</w:t>
      </w:r>
      <w:r>
        <w:rPr>
          <w:sz w:val="20"/>
          <w:szCs w:val="20"/>
          <w:color w:val="auto"/>
        </w:rPr>
        <w:tab/>
      </w:r>
      <w:r>
        <w:rPr>
          <w:rFonts w:ascii="Courier New" w:cs="Courier New" w:eastAsia="Courier New" w:hAnsi="Courier New"/>
          <w:sz w:val="14"/>
          <w:szCs w:val="14"/>
          <w:color w:val="auto"/>
        </w:rPr>
        <w:t>FPL Energy,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FPSC</w:t>
      </w:r>
      <w:r>
        <w:rPr>
          <w:sz w:val="20"/>
          <w:szCs w:val="20"/>
          <w:color w:val="auto"/>
        </w:rPr>
        <w:tab/>
      </w:r>
      <w:r>
        <w:rPr>
          <w:rFonts w:ascii="Courier New" w:cs="Courier New" w:eastAsia="Courier New" w:hAnsi="Courier New"/>
          <w:sz w:val="14"/>
          <w:szCs w:val="14"/>
          <w:color w:val="auto"/>
        </w:rPr>
        <w:t>Florida Public Service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 Staff</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Position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 Accepted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 the United States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Invest Direct</w:t>
      </w:r>
      <w:r>
        <w:rPr>
          <w:sz w:val="20"/>
          <w:szCs w:val="20"/>
          <w:color w:val="auto"/>
        </w:rPr>
        <w:tab/>
      </w:r>
      <w:r>
        <w:rPr>
          <w:rFonts w:ascii="Courier New" w:cs="Courier New" w:eastAsia="Courier New" w:hAnsi="Courier New"/>
          <w:sz w:val="14"/>
          <w:szCs w:val="14"/>
          <w:color w:val="auto"/>
        </w:rPr>
        <w:t>ALLETE's Direct Stock Purchase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Dividend Reinvestment Plan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IPO</w:t>
      </w:r>
      <w:r>
        <w:rPr>
          <w:sz w:val="20"/>
          <w:szCs w:val="20"/>
          <w:color w:val="auto"/>
        </w:rPr>
        <w:tab/>
      </w:r>
      <w:r>
        <w:rPr>
          <w:rFonts w:ascii="Courier New" w:cs="Courier New" w:eastAsia="Courier New" w:hAnsi="Courier New"/>
          <w:sz w:val="14"/>
          <w:szCs w:val="14"/>
          <w:color w:val="auto"/>
        </w:rPr>
        <w:t>Initial Public Offering</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kV</w:t>
      </w:r>
      <w:r>
        <w:rPr>
          <w:sz w:val="20"/>
          <w:szCs w:val="20"/>
          <w:color w:val="auto"/>
        </w:rPr>
        <w:tab/>
      </w:r>
      <w:r>
        <w:rPr>
          <w:rFonts w:ascii="Courier New" w:cs="Courier New" w:eastAsia="Courier New" w:hAnsi="Courier New"/>
          <w:sz w:val="14"/>
          <w:szCs w:val="14"/>
          <w:color w:val="auto"/>
        </w:rPr>
        <w:t>Kilovolt(s)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MBtu</w:t>
      </w:r>
      <w:r>
        <w:rPr>
          <w:sz w:val="20"/>
          <w:szCs w:val="20"/>
          <w:color w:val="auto"/>
        </w:rPr>
        <w:tab/>
      </w:r>
      <w:r>
        <w:rPr>
          <w:rFonts w:ascii="Courier New" w:cs="Courier New" w:eastAsia="Courier New" w:hAnsi="Courier New"/>
          <w:sz w:val="14"/>
          <w:szCs w:val="14"/>
          <w:color w:val="auto"/>
        </w:rPr>
        <w:t>Million British thermal units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MPCA</w:t>
      </w:r>
      <w:r>
        <w:rPr>
          <w:sz w:val="20"/>
          <w:szCs w:val="20"/>
          <w:color w:val="auto"/>
        </w:rPr>
        <w:tab/>
      </w:r>
      <w:r>
        <w:rPr>
          <w:rFonts w:ascii="Courier New" w:cs="Courier New" w:eastAsia="Courier New" w:hAnsi="Courier New"/>
          <w:sz w:val="14"/>
          <w:szCs w:val="14"/>
          <w:color w:val="auto"/>
        </w:rPr>
        <w:t>Minnesota Pollution Control Agency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MW / MWh</w:t>
      </w:r>
      <w:r>
        <w:rPr>
          <w:sz w:val="20"/>
          <w:szCs w:val="20"/>
          <w:color w:val="auto"/>
        </w:rPr>
        <w:tab/>
      </w:r>
      <w:r>
        <w:rPr>
          <w:rFonts w:ascii="Courier New" w:cs="Courier New" w:eastAsia="Courier New" w:hAnsi="Courier New"/>
          <w:sz w:val="14"/>
          <w:szCs w:val="14"/>
          <w:color w:val="auto"/>
        </w:rPr>
        <w:t>Megawatt(s) / Megawatthour(s)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2">
            <w:col w:w="6100" w:space="720"/>
            <w:col w:w="3419"/>
          </w:cols>
          <w:pgMar w:left="220" w:top="616" w:right="1440" w:bottom="1440" w:gutter="0" w:footer="0" w:header="0"/>
          <w:type w:val="continuous"/>
        </w:sectPr>
      </w:pPr>
    </w:p>
    <w:bookmarkStart w:id="3" w:name="page4"/>
    <w:bookmarkEnd w:id="3"/>
    <w:p>
      <w:pPr>
        <w:ind w:left="2500"/>
        <w:spacing w:after="0"/>
        <w:rPr>
          <w:sz w:val="20"/>
          <w:szCs w:val="20"/>
          <w:color w:val="auto"/>
        </w:rPr>
      </w:pPr>
      <w:r>
        <w:rPr>
          <w:rFonts w:ascii="Courier New" w:cs="Courier New" w:eastAsia="Courier New" w:hAnsi="Courier New"/>
          <w:sz w:val="14"/>
          <w:szCs w:val="14"/>
          <w:color w:val="auto"/>
        </w:rPr>
        <w:t>DEFINITIONS (CONTINUED)</w:t>
      </w:r>
    </w:p>
    <w:p>
      <w:pPr>
        <w:spacing w:after="0" w:line="173"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Northwest Airlines</w:t>
      </w:r>
      <w:r>
        <w:rPr>
          <w:sz w:val="20"/>
          <w:szCs w:val="20"/>
          <w:color w:val="auto"/>
        </w:rPr>
        <w:tab/>
      </w:r>
      <w:r>
        <w:rPr>
          <w:rFonts w:ascii="Courier New" w:cs="Courier New" w:eastAsia="Courier New" w:hAnsi="Courier New"/>
          <w:sz w:val="14"/>
          <w:szCs w:val="14"/>
          <w:color w:val="auto"/>
        </w:rPr>
        <w:t>Northwest Airlines,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statements in this Form 10-K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NPDES</w:t>
      </w:r>
      <w:r>
        <w:rPr>
          <w:sz w:val="20"/>
          <w:szCs w:val="20"/>
          <w:color w:val="auto"/>
        </w:rPr>
        <w:tab/>
      </w:r>
      <w:r>
        <w:rPr>
          <w:rFonts w:ascii="Courier New" w:cs="Courier New" w:eastAsia="Courier New" w:hAnsi="Courier New"/>
          <w:sz w:val="14"/>
          <w:szCs w:val="14"/>
          <w:color w:val="auto"/>
        </w:rPr>
        <w:t>National Pollutant Discharge Elimination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System</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NYSE</w:t>
      </w:r>
      <w:r>
        <w:rPr>
          <w:sz w:val="20"/>
          <w:szCs w:val="20"/>
          <w:color w:val="auto"/>
        </w:rPr>
        <w:tab/>
      </w: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OAG</w:t>
      </w:r>
      <w:r>
        <w:rPr>
          <w:sz w:val="20"/>
          <w:szCs w:val="20"/>
          <w:color w:val="auto"/>
        </w:rPr>
        <w:tab/>
      </w:r>
      <w:r>
        <w:rPr>
          <w:rFonts w:ascii="Courier New" w:cs="Courier New" w:eastAsia="Courier New" w:hAnsi="Courier New"/>
          <w:sz w:val="14"/>
          <w:szCs w:val="14"/>
          <w:color w:val="auto"/>
        </w:rPr>
        <w:t>Office of the Attorney General</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Oliver Wind I</w:t>
      </w:r>
      <w:r>
        <w:rPr>
          <w:sz w:val="20"/>
          <w:szCs w:val="20"/>
          <w:color w:val="auto"/>
        </w:rPr>
        <w:tab/>
      </w:r>
      <w:r>
        <w:rPr>
          <w:rFonts w:ascii="Courier New" w:cs="Courier New" w:eastAsia="Courier New" w:hAnsi="Courier New"/>
          <w:sz w:val="14"/>
          <w:szCs w:val="14"/>
          <w:color w:val="auto"/>
        </w:rPr>
        <w:t>Oliver Wind I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Oliver Wind II</w:t>
      </w:r>
      <w:r>
        <w:rPr>
          <w:sz w:val="20"/>
          <w:szCs w:val="20"/>
          <w:color w:val="auto"/>
        </w:rPr>
        <w:tab/>
      </w:r>
      <w:r>
        <w:rPr>
          <w:rFonts w:ascii="Courier New" w:cs="Courier New" w:eastAsia="Courier New" w:hAnsi="Courier New"/>
          <w:sz w:val="14"/>
          <w:szCs w:val="14"/>
          <w:color w:val="auto"/>
        </w:rPr>
        <w:t>Oliver Wind II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Palm Coast Park</w:t>
      </w:r>
      <w:r>
        <w:rPr>
          <w:sz w:val="20"/>
          <w:szCs w:val="20"/>
          <w:color w:val="auto"/>
        </w:rPr>
        <w:tab/>
      </w:r>
      <w:r>
        <w:rPr>
          <w:rFonts w:ascii="Courier New" w:cs="Courier New" w:eastAsia="Courier New" w:hAnsi="Courier New"/>
          <w:sz w:val="14"/>
          <w:szCs w:val="14"/>
          <w:color w:val="auto"/>
        </w:rPr>
        <w:t>Palm Coast Park development project in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Florida</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Palm Coast Park District</w:t>
      </w:r>
      <w:r>
        <w:rPr>
          <w:sz w:val="20"/>
          <w:szCs w:val="20"/>
          <w:color w:val="auto"/>
        </w:rPr>
        <w:tab/>
      </w:r>
      <w:r>
        <w:rPr>
          <w:rFonts w:ascii="Courier New" w:cs="Courier New" w:eastAsia="Courier New" w:hAnsi="Courier New"/>
          <w:sz w:val="14"/>
          <w:szCs w:val="14"/>
          <w:color w:val="auto"/>
        </w:rPr>
        <w:t>Palm Coast Park Community Development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District</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PolyMet Mining</w:t>
      </w:r>
      <w:r>
        <w:rPr>
          <w:sz w:val="20"/>
          <w:szCs w:val="20"/>
          <w:color w:val="auto"/>
        </w:rPr>
        <w:tab/>
      </w:r>
      <w:r>
        <w:rPr>
          <w:rFonts w:ascii="Courier New" w:cs="Courier New" w:eastAsia="Courier New" w:hAnsi="Courier New"/>
          <w:sz w:val="14"/>
          <w:szCs w:val="14"/>
          <w:color w:val="auto"/>
        </w:rPr>
        <w:t>PolyMet Mining,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PUHCA 1935</w:t>
      </w:r>
      <w:r>
        <w:rPr>
          <w:sz w:val="20"/>
          <w:szCs w:val="20"/>
          <w:color w:val="auto"/>
        </w:rPr>
        <w:tab/>
      </w:r>
      <w:r>
        <w:rPr>
          <w:rFonts w:ascii="Courier New" w:cs="Courier New" w:eastAsia="Courier New" w:hAnsi="Courier New"/>
          <w:sz w:val="14"/>
          <w:szCs w:val="14"/>
          <w:color w:val="auto"/>
        </w:rPr>
        <w:t>Public Utility Holding Company Act of 1935</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PUHCA 2005</w:t>
      </w:r>
      <w:r>
        <w:rPr>
          <w:sz w:val="20"/>
          <w:szCs w:val="20"/>
          <w:color w:val="auto"/>
        </w:rPr>
        <w:tab/>
      </w:r>
      <w:r>
        <w:rPr>
          <w:rFonts w:ascii="Courier New" w:cs="Courier New" w:eastAsia="Courier New" w:hAnsi="Courier New"/>
          <w:sz w:val="14"/>
          <w:szCs w:val="14"/>
          <w:color w:val="auto"/>
        </w:rPr>
        <w:t>Public Utility Holding Company Act of 2005</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Split Rock Energy</w:t>
      </w:r>
      <w:r>
        <w:rPr>
          <w:sz w:val="20"/>
          <w:szCs w:val="20"/>
          <w:color w:val="auto"/>
        </w:rPr>
        <w:tab/>
      </w:r>
      <w:r>
        <w:rPr>
          <w:rFonts w:ascii="Courier New" w:cs="Courier New" w:eastAsia="Courier New" w:hAnsi="Courier New"/>
          <w:sz w:val="14"/>
          <w:szCs w:val="14"/>
          <w:color w:val="auto"/>
        </w:rPr>
        <w:t>Split Rock Energy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Standard &amp; Poor's</w:t>
      </w:r>
      <w:r>
        <w:rPr>
          <w:sz w:val="20"/>
          <w:szCs w:val="20"/>
          <w:color w:val="auto"/>
        </w:rPr>
        <w:tab/>
      </w:r>
      <w:r>
        <w:rPr>
          <w:rFonts w:ascii="Courier New" w:cs="Courier New" w:eastAsia="Courier New" w:hAnsi="Courier New"/>
          <w:sz w:val="14"/>
          <w:szCs w:val="14"/>
          <w:color w:val="auto"/>
        </w:rPr>
        <w:t>Standard &amp; Poor's Ratings Services, a</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division of The McGraw-Hill Companies,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project in Florida</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Town Center District</w:t>
      </w:r>
      <w:r>
        <w:rPr>
          <w:sz w:val="20"/>
          <w:szCs w:val="20"/>
          <w:color w:val="auto"/>
        </w:rPr>
        <w:tab/>
      </w:r>
      <w:r>
        <w:rPr>
          <w:rFonts w:ascii="Courier New" w:cs="Courier New" w:eastAsia="Courier New" w:hAnsi="Courier New"/>
          <w:sz w:val="14"/>
          <w:szCs w:val="14"/>
          <w:color w:val="auto"/>
        </w:rPr>
        <w:t>Town Center at Palm Coast Community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Development District</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 Resources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ectPr>
          <w:pgSz w:w="11900" w:h="16838" w:orient="portrait"/>
          <w:cols w:equalWidth="0" w:num="2">
            <w:col w:w="4380" w:space="720"/>
            <w:col w:w="5139"/>
          </w:cols>
          <w:pgMar w:left="220" w:top="616" w:right="1440" w:bottom="1440" w:gutter="0" w:footer="0" w:header="0"/>
          <w:type w:val="continuous"/>
        </w:sectPr>
      </w:pPr>
    </w:p>
    <w:bookmarkStart w:id="4" w:name="page5"/>
    <w:bookmarkEnd w:id="4"/>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the Annual Report on Form 10-K,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164" w:lineRule="exact"/>
        <w:rPr>
          <w:sz w:val="20"/>
          <w:szCs w:val="20"/>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w:t>
      </w:r>
    </w:p>
    <w:p>
      <w:pPr>
        <w:spacing w:after="0" w:line="7" w:lineRule="exact"/>
        <w:rPr>
          <w:rFonts w:ascii="Courier New" w:cs="Courier New" w:eastAsia="Courier New" w:hAnsi="Courier New"/>
          <w:sz w:val="14"/>
          <w:szCs w:val="14"/>
          <w:color w:val="auto"/>
        </w:rPr>
      </w:pPr>
    </w:p>
    <w:p>
      <w:pPr>
        <w:jc w:val="both"/>
        <w:ind w:left="780" w:right="3339" w:hanging="599"/>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4"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780" w:right="3339" w:hanging="599"/>
        <w:spacing w:after="0" w:line="247"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168"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laws and policies;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and pandemic diseases;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780" w:right="3339" w:hanging="599"/>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competition, including competition for retail and wholesale customers;</w:t>
      </w: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real estate market;</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780" w:right="3339" w:hanging="599"/>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construction materials and skilled construction labor for capital projects;</w:t>
      </w: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 and bank financing;</w:t>
      </w:r>
    </w:p>
    <w:p>
      <w:pPr>
        <w:spacing w:after="0" w:line="7"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780" w:right="3339" w:hanging="599"/>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replace a mature workforce, and retain qualified, skilled and experienced personnel; and</w:t>
      </w:r>
    </w:p>
    <w:p>
      <w:pPr>
        <w:jc w:val="both"/>
        <w:ind w:left="780" w:right="3339" w:hanging="599"/>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in Item 1A under the heading "Risk Factors" beginning on page 24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advise interested parties of the factors that may affect our business.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616" w:right="1440" w:bottom="1440" w:gutter="0" w:footer="0" w:header="0"/>
        </w:sectPr>
      </w:pPr>
    </w:p>
    <w:bookmarkStart w:id="5" w:name="page6"/>
    <w:bookmarkEnd w:id="5"/>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ALLETE has been incorporated under the laws of Minnesota since 1906. ALLETE's corporate headquarters are in Duluth, Minnesota. As of December 31, 2006, we had approximately 1,500 employees, 100 of which were part-time. Statistical information is presented as of December 31, 2006, unless otherwise indicated. All subsidiaries are wholly owned unless otherwise specifically indicated. References in this report to "we," "us" and "our" are to ALLETE and its subsidiaries, collectively.</w:t>
      </w:r>
    </w:p>
    <w:p>
      <w:pPr>
        <w:spacing w:after="0" w:line="164"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ALLETE makes its SEC filings, including its annual report on Form 10-K, quarterly reports on Form 10-Q, current reports on Form 8-K and any amendments to those reports, available free of charge on ALLETE's Website www.allete.com, as soon as reasonably practicable after they are electronically filed with or furnished to the SEC.</w:t>
      </w:r>
    </w:p>
    <w:p>
      <w:pPr>
        <w:spacing w:after="0" w:line="165"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ALLETE is a diversified company providing fundamental products and services. This includes our two core businesses--ENERGY and REAL ESTATE, as well as former operations in the water, paper, telecommunication and automotive industries.</w:t>
      </w:r>
    </w:p>
    <w:p>
      <w:pPr>
        <w:spacing w:after="0" w:line="16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Investment in ATC.</w:t>
      </w:r>
    </w:p>
    <w:p>
      <w:pPr>
        <w:spacing w:after="0" w:line="160" w:lineRule="exact"/>
        <w:rPr>
          <w:sz w:val="20"/>
          <w:szCs w:val="20"/>
          <w:color w:val="auto"/>
        </w:rPr>
      </w:pPr>
    </w:p>
    <w:p>
      <w:pPr>
        <w:jc w:val="both"/>
        <w:ind w:left="780" w:right="4640" w:hanging="599"/>
        <w:spacing w:after="0" w:line="252"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natural gas and water services in northeastern Minnesota and northwestern Wisconsin under the jurisdiction of state and federal regulatory authorities.</w:t>
      </w:r>
    </w:p>
    <w:p>
      <w:pPr>
        <w:spacing w:after="0" w:line="162" w:lineRule="exact"/>
        <w:rPr>
          <w:rFonts w:ascii="Courier New" w:cs="Courier New" w:eastAsia="Courier New" w:hAnsi="Courier New"/>
          <w:sz w:val="14"/>
          <w:szCs w:val="14"/>
          <w:color w:val="auto"/>
        </w:rPr>
      </w:pPr>
    </w:p>
    <w:p>
      <w:pPr>
        <w:jc w:val="both"/>
        <w:ind w:left="780" w:right="4640" w:hanging="599"/>
        <w:spacing w:after="0" w:line="252"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approximately 50 MW of nonregulated generation and Minnesota land sales.</w:t>
      </w:r>
    </w:p>
    <w:p>
      <w:pPr>
        <w:spacing w:after="0" w:line="162" w:lineRule="exact"/>
        <w:rPr>
          <w:rFonts w:ascii="Courier New" w:cs="Courier New" w:eastAsia="Courier New" w:hAnsi="Courier New"/>
          <w:sz w:val="14"/>
          <w:szCs w:val="14"/>
          <w:color w:val="auto"/>
        </w:rPr>
      </w:pPr>
    </w:p>
    <w:p>
      <w:pPr>
        <w:jc w:val="both"/>
        <w:ind w:left="780" w:right="464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2004 and 2005, Nonregulated Energy Operations also included nonregulated generation from our Taconite Harbor facility in northern Minnesota, and generation secured through the Kendall County power purchase agreement. Effective January 1, 2006, Taconite Harbor was integrated into our Regulated Utility business to help meet forecasted base load energy requirements. In April 2005, the Kendall County power purchase agreement was assigned to Constellation Energy Commodities.</w:t>
      </w:r>
    </w:p>
    <w:p>
      <w:pPr>
        <w:spacing w:after="0" w:line="164" w:lineRule="exact"/>
        <w:rPr>
          <w:rFonts w:ascii="Courier New" w:cs="Courier New" w:eastAsia="Courier New" w:hAnsi="Courier New"/>
          <w:sz w:val="14"/>
          <w:szCs w:val="14"/>
          <w:color w:val="auto"/>
        </w:rPr>
      </w:pPr>
    </w:p>
    <w:p>
      <w:pPr>
        <w:ind w:left="780" w:hanging="599"/>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includes our equity ownership interest in ATC.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and short-term investments.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Consolidated Operating Revenue - Millions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$767.1</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$737.4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$704.1</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of Consolidated Operating Revenue</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3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600" w:type="dxa"/>
            <w:vAlign w:val="bottom"/>
          </w:tcPr>
          <w:p>
            <w:pPr>
              <w:ind w:left="340"/>
              <w:spacing w:after="0"/>
              <w:rPr>
                <w:sz w:val="20"/>
                <w:szCs w:val="20"/>
                <w:color w:val="auto"/>
              </w:rPr>
            </w:pPr>
            <w:r>
              <w:rPr>
                <w:rFonts w:ascii="Courier New" w:cs="Courier New" w:eastAsia="Courier New" w:hAnsi="Courier New"/>
                <w:sz w:val="14"/>
                <w:szCs w:val="14"/>
                <w:color w:val="auto"/>
              </w:rPr>
              <w:t>Industrial</w:t>
            </w:r>
          </w:p>
        </w:tc>
        <w:tc>
          <w:tcPr>
            <w:tcW w:w="3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Taconite Producers</w:t>
            </w:r>
          </w:p>
        </w:tc>
        <w:tc>
          <w:tcPr>
            <w:tcW w:w="22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24%</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600" w:type="dxa"/>
            <w:vAlign w:val="bottom"/>
          </w:tcPr>
          <w:p>
            <w:pPr>
              <w:ind w:left="780"/>
              <w:spacing w:after="0"/>
              <w:rPr>
                <w:sz w:val="20"/>
                <w:szCs w:val="20"/>
                <w:color w:val="auto"/>
              </w:rPr>
            </w:pPr>
            <w:r>
              <w:rPr>
                <w:rFonts w:ascii="Courier New" w:cs="Courier New" w:eastAsia="Courier New" w:hAnsi="Courier New"/>
                <w:sz w:val="14"/>
                <w:szCs w:val="14"/>
                <w:color w:val="auto"/>
              </w:rPr>
              <w:t>Paper and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Wood Products</w:t>
            </w:r>
          </w:p>
        </w:tc>
        <w:tc>
          <w:tcPr>
            <w:tcW w:w="22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1600" w:type="dxa"/>
            <w:vAlign w:val="bottom"/>
          </w:tcPr>
          <w:p>
            <w:pPr>
              <w:ind w:left="780"/>
              <w:spacing w:after="0"/>
              <w:rPr>
                <w:sz w:val="20"/>
                <w:szCs w:val="20"/>
                <w:color w:val="auto"/>
              </w:rPr>
            </w:pPr>
            <w:r>
              <w:rPr>
                <w:rFonts w:ascii="Courier New" w:cs="Courier New" w:eastAsia="Courier New" w:hAnsi="Courier New"/>
                <w:sz w:val="14"/>
                <w:szCs w:val="14"/>
                <w:color w:val="auto"/>
              </w:rPr>
              <w:t>Pipelines</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and Other Industries</w:t>
            </w:r>
          </w:p>
        </w:tc>
        <w:tc>
          <w:tcPr>
            <w:tcW w:w="22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920" w:type="dxa"/>
            <w:vAlign w:val="bottom"/>
          </w:tcPr>
          <w:p>
            <w:pPr>
              <w:ind w:left="780"/>
              <w:spacing w:after="0"/>
              <w:rPr>
                <w:sz w:val="20"/>
                <w:szCs w:val="20"/>
                <w:color w:val="auto"/>
              </w:rPr>
            </w:pPr>
            <w:r>
              <w:rPr>
                <w:rFonts w:ascii="Courier New" w:cs="Courier New" w:eastAsia="Courier New" w:hAnsi="Courier New"/>
                <w:sz w:val="14"/>
                <w:szCs w:val="14"/>
                <w:color w:val="auto"/>
              </w:rPr>
              <w:t>Total Industrial</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39</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Municipals</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60" w:type="dxa"/>
            <w:vAlign w:val="bottom"/>
          </w:tcPr>
          <w:p>
            <w:pPr>
              <w:ind w:left="1120"/>
              <w:spacing w:after="0"/>
              <w:rPr>
                <w:sz w:val="20"/>
                <w:szCs w:val="20"/>
                <w:color w:val="auto"/>
              </w:rPr>
            </w:pPr>
            <w:r>
              <w:rPr>
                <w:rFonts w:ascii="Courier New" w:cs="Courier New" w:eastAsia="Courier New" w:hAnsi="Courier New"/>
                <w:sz w:val="14"/>
                <w:szCs w:val="14"/>
                <w:color w:val="auto"/>
              </w:rPr>
              <w:t>Total Regulated Utility</w:t>
            </w: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83</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331"/>
        </w:trPr>
        <w:tc>
          <w:tcPr>
            <w:tcW w:w="456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5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920" w:val="left"/>
          <w:tab w:leader="none" w:pos="9380" w:val="left"/>
        </w:tabs>
        <w:rPr>
          <w:sz w:val="20"/>
          <w:szCs w:val="20"/>
          <w:color w:val="auto"/>
        </w:rPr>
      </w:pP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For a detailed  discussion  of  results of</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operations</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trends,  see Item 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Financial</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Condition</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and Results of</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Operations. For business segment information, see Notes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 and 2.</w:t>
            </w:r>
          </w:p>
        </w:tc>
        <w:tc>
          <w:tcPr>
            <w:tcW w:w="124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10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ALLETE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2006 Form 10-K</w:t>
            </w:r>
          </w:p>
        </w:tc>
      </w:tr>
    </w:tbl>
    <w:p>
      <w:pPr>
        <w:sectPr>
          <w:pgSz w:w="11900" w:h="16838" w:orient="portrait"/>
          <w:cols w:equalWidth="0" w:num="1">
            <w:col w:w="11540"/>
          </w:cols>
          <w:pgMar w:left="220" w:top="616" w:right="139" w:bottom="754" w:gutter="0" w:footer="0" w:header="0"/>
        </w:sectPr>
      </w:pPr>
    </w:p>
    <w:bookmarkStart w:id="6" w:name="page7"/>
    <w:bookmarkEnd w:id="6"/>
    <w:p>
      <w:pPr>
        <w:jc w:val="both"/>
        <w:ind w:right="4640"/>
        <w:spacing w:after="0" w:line="255" w:lineRule="auto"/>
        <w:rPr>
          <w:sz w:val="20"/>
          <w:szCs w:val="20"/>
          <w:color w:val="auto"/>
        </w:rPr>
      </w:pPr>
      <w:r>
        <w:rPr>
          <w:rFonts w:ascii="Courier New" w:cs="Courier New" w:eastAsia="Courier New" w:hAnsi="Courier New"/>
          <w:sz w:val="14"/>
          <w:szCs w:val="14"/>
          <w:color w:val="auto"/>
        </w:rPr>
        <w:t>DISCONTINUED OPERATIONS. In the past five years, we also had business operations in the automotive, water and telecommunications industries.</w:t>
      </w:r>
    </w:p>
    <w:p>
      <w:pPr>
        <w:spacing w:after="0" w:line="160"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SPIN-OFF OF AUTOMOTIVE SERVICES. Through a June 2004 IPO, our Automotive Services business, doing business as ADESA, Inc. (NYSE: KAR), issued 6.3 million shares of common stock, representing 6.6% of ADESA's common stock outstanding. In September 2004, we spun off the business by distributing to ALLETE shareholders all of ALLETE's remaining 93.4% of ADESA common stock.</w:t>
      </w:r>
    </w:p>
    <w:p>
      <w:pPr>
        <w:spacing w:after="0" w:line="165"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SALE OF WATER SERVICES BUSINESSES. In early 2005, we completed the exit from our Water Services businesses with the sale of our wastewater assets in Georgia. In mid-2004, we sold our North Carolina water and wastewater assets, and our remaining 72 water and wastewater systems in Florida. Substantially all of our water assets in Florida were sold in 2003, under condemnation or imminent threat of condemnation. The net cash proceeds from the sale of all water and wastewater assets, after transaction costs, retirement of most Florida Water debt and payment of income taxes, were approximately $300 million.</w:t>
      </w:r>
    </w:p>
    <w:p>
      <w:pPr>
        <w:spacing w:after="0" w:line="164"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SALE OF ENVENTIS TELECOM. On December 30, 2005, we sold all the stock of our telecommunications subsidiary, Enventis Telecom for $35.5 million. The transaction resulted in an after-tax loss of $3.6 million, which was included in our 2005 loss from discontinued operations. Net cash proceeds realized from the sale were approximately $29 million after transaction costs, repayment of debt and payment of income taxes.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REGULATED UTILITY</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MINNESOTA POWER, an operating division of ALLETE, provides regulated utility electric service in a 26,000 square-mile service territory in northeastern Minnesota to 140,000 retail customers and wholesale electric service to 16 municipalities. SWL&amp;P provides regulated utility electric, natural gas and water service in northwestern Wisconsin to 14,000 electric customers, 12,000 natural gas customers and 10,000 water customers.</w:t>
      </w:r>
    </w:p>
    <w:p>
      <w:pPr>
        <w:sectPr>
          <w:pgSz w:w="11900" w:h="16838" w:orient="portrait"/>
          <w:cols w:equalWidth="0" w:num="1">
            <w:col w:w="11540"/>
          </w:cols>
          <w:pgMar w:left="220" w:top="616" w:right="139" w:bottom="0" w:gutter="0" w:footer="0" w:header="0"/>
        </w:sectPr>
      </w:pP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Minnesota</w:t>
        <w:tab/>
        <w:t>Power had an annual net peak load of 1,586 MW on July 28,</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2006.</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w:t>
      </w:r>
    </w:p>
    <w:p>
      <w:pPr>
        <w:spacing w:after="0" w:line="7" w:lineRule="exact"/>
        <w:rPr>
          <w:sz w:val="20"/>
          <w:szCs w:val="20"/>
          <w:color w:val="auto"/>
        </w:rPr>
      </w:pPr>
    </w:p>
    <w:p>
      <w:pPr>
        <w:sectPr>
          <w:pgSz w:w="11900" w:h="16838" w:orient="portrait"/>
          <w:cols w:equalWidth="0" w:num="3">
            <w:col w:w="5860" w:space="180"/>
            <w:col w:w="420" w:space="180"/>
            <w:col w:w="4900"/>
          </w:cols>
          <w:pgMar w:left="220" w:top="616"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regulated power supply sources are listed below.</w:t>
      </w:r>
    </w:p>
    <w:p>
      <w:pPr>
        <w:spacing w:after="0" w:line="200" w:lineRule="exact"/>
        <w:rPr>
          <w:sz w:val="20"/>
          <w:szCs w:val="20"/>
          <w:color w:val="auto"/>
        </w:rPr>
      </w:pPr>
    </w:p>
    <w:p>
      <w:pPr>
        <w:spacing w:after="0" w:line="304" w:lineRule="exact"/>
        <w:rPr>
          <w:sz w:val="20"/>
          <w:szCs w:val="20"/>
          <w:color w:val="auto"/>
        </w:rPr>
      </w:pPr>
    </w:p>
    <w:p>
      <w:pPr>
        <w:ind w:left="8360"/>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spacing w:after="0"/>
        <w:tabs>
          <w:tab w:leader="none" w:pos="4560" w:val="left"/>
          <w:tab w:leader="none" w:pos="5500" w:val="left"/>
          <w:tab w:leader="none" w:pos="6620" w:val="left"/>
          <w:tab w:leader="none" w:pos="8420" w:val="left"/>
        </w:tabs>
        <w:rPr>
          <w:sz w:val="20"/>
          <w:szCs w:val="20"/>
          <w:color w:val="auto"/>
        </w:rPr>
      </w:pPr>
      <w:r>
        <w:rPr>
          <w:rFonts w:ascii="Courier New" w:cs="Courier New" w:eastAsia="Courier New" w:hAnsi="Courier New"/>
          <w:sz w:val="14"/>
          <w:szCs w:val="14"/>
          <w:color w:val="auto"/>
        </w:rPr>
        <w:t>REGULATED UTILITY</w:t>
      </w:r>
      <w:r>
        <w:rPr>
          <w:sz w:val="20"/>
          <w:szCs w:val="20"/>
          <w:color w:val="auto"/>
        </w:rPr>
        <w:tab/>
      </w:r>
      <w:r>
        <w:rPr>
          <w:rFonts w:ascii="Courier New" w:cs="Courier New" w:eastAsia="Courier New" w:hAnsi="Courier New"/>
          <w:sz w:val="14"/>
          <w:szCs w:val="14"/>
          <w:color w:val="auto"/>
        </w:rPr>
        <w:t>UNIT</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NET WINTER</w:t>
      </w:r>
      <w:r>
        <w:rPr>
          <w:sz w:val="20"/>
          <w:szCs w:val="20"/>
          <w:color w:val="auto"/>
        </w:rPr>
        <w:tab/>
      </w:r>
      <w:r>
        <w:rPr>
          <w:rFonts w:ascii="Courier New" w:cs="Courier New" w:eastAsia="Courier New" w:hAnsi="Courier New"/>
          <w:sz w:val="14"/>
          <w:szCs w:val="14"/>
          <w:color w:val="auto"/>
        </w:rPr>
        <w:t>DECEMBER 31, 2006</w:t>
      </w:r>
    </w:p>
    <w:p>
      <w:pPr>
        <w:spacing w:after="0" w:line="7" w:lineRule="exact"/>
        <w:rPr>
          <w:sz w:val="20"/>
          <w:szCs w:val="20"/>
          <w:color w:val="auto"/>
        </w:rPr>
      </w:pPr>
    </w:p>
    <w:p>
      <w:pPr>
        <w:spacing w:after="0"/>
        <w:tabs>
          <w:tab w:leader="none" w:pos="4640" w:val="left"/>
          <w:tab w:leader="none" w:pos="5320" w:val="left"/>
          <w:tab w:leader="none" w:pos="6620" w:val="left"/>
          <w:tab w:leader="none" w:pos="8260" w:val="left"/>
        </w:tabs>
        <w:rPr>
          <w:sz w:val="20"/>
          <w:szCs w:val="20"/>
          <w:color w:val="auto"/>
        </w:rPr>
      </w:pPr>
      <w:r>
        <w:rPr>
          <w:rFonts w:ascii="Courier New" w:cs="Courier New" w:eastAsia="Courier New" w:hAnsi="Courier New"/>
          <w:sz w:val="14"/>
          <w:szCs w:val="14"/>
          <w:color w:val="auto"/>
        </w:rPr>
        <w:t>POWER SUPPLY</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INSTALLED</w:t>
      </w:r>
      <w:r>
        <w:rPr>
          <w:sz w:val="20"/>
          <w:szCs w:val="20"/>
          <w:color w:val="auto"/>
        </w:rPr>
        <w:tab/>
      </w:r>
      <w:r>
        <w:rPr>
          <w:rFonts w:ascii="Courier New" w:cs="Courier New" w:eastAsia="Courier New" w:hAnsi="Courier New"/>
          <w:sz w:val="14"/>
          <w:szCs w:val="14"/>
          <w:color w:val="auto"/>
        </w:rPr>
        <w:t>CAPABILITY</w:t>
      </w:r>
      <w:r>
        <w:rPr>
          <w:sz w:val="20"/>
          <w:szCs w:val="20"/>
          <w:color w:val="auto"/>
        </w:rPr>
        <w:tab/>
      </w:r>
      <w:r>
        <w:rPr>
          <w:rFonts w:ascii="Courier New" w:cs="Courier New" w:eastAsia="Courier New" w:hAnsi="Courier New"/>
          <w:sz w:val="14"/>
          <w:szCs w:val="14"/>
          <w:color w:val="auto"/>
        </w:rPr>
        <w:t>ELECTRIC REQUIREMENTS</w:t>
      </w:r>
    </w:p>
    <w:p>
      <w:pPr>
        <w:sectPr>
          <w:pgSz w:w="11900" w:h="16838" w:orient="portrait"/>
          <w:cols w:equalWidth="0" w:num="1">
            <w:col w:w="11540"/>
          </w:cols>
          <w:pgMar w:left="220" w:top="616" w:right="1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MW</w:t>
            </w:r>
          </w:p>
        </w:tc>
        <w:tc>
          <w:tcPr>
            <w:tcW w:w="1480" w:type="dxa"/>
            <w:vAlign w:val="bottom"/>
          </w:tcPr>
          <w:p>
            <w:pPr>
              <w:ind w:left="600"/>
              <w:spacing w:after="0"/>
              <w:rPr>
                <w:sz w:val="20"/>
                <w:szCs w:val="20"/>
                <w:color w:val="auto"/>
              </w:rPr>
            </w:pPr>
            <w:r>
              <w:rPr>
                <w:rFonts w:ascii="Courier New" w:cs="Courier New" w:eastAsia="Courier New" w:hAnsi="Courier New"/>
                <w:sz w:val="14"/>
                <w:szCs w:val="14"/>
                <w:color w:val="auto"/>
              </w:rPr>
              <w:t>MWh</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Coal-Fired</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Boswell Energy Center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in Cohasset, MN</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351</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428</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8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917</w:t>
      </w:r>
      <w:r>
        <w:rPr>
          <w:sz w:val="20"/>
          <w:szCs w:val="20"/>
          <w:color w:val="auto"/>
        </w:rPr>
        <w:tab/>
      </w:r>
      <w:r>
        <w:rPr>
          <w:rFonts w:ascii="Courier New" w:cs="Courier New" w:eastAsia="Courier New" w:hAnsi="Courier New"/>
          <w:sz w:val="14"/>
          <w:szCs w:val="14"/>
          <w:color w:val="auto"/>
        </w:rPr>
        <w:t>6,380,647</w:t>
      </w:r>
      <w:r>
        <w:rPr>
          <w:sz w:val="20"/>
          <w:szCs w:val="20"/>
          <w:color w:val="auto"/>
        </w:rPr>
        <w:tab/>
      </w:r>
      <w:r>
        <w:rPr>
          <w:rFonts w:ascii="Courier New" w:cs="Courier New" w:eastAsia="Courier New" w:hAnsi="Courier New"/>
          <w:sz w:val="14"/>
          <w:szCs w:val="14"/>
          <w:color w:val="auto"/>
        </w:rPr>
        <w:t>48.9%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Laskin Energy Center</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 Hoyt Lakes, MN</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80"/>
        <w:spacing w:after="0"/>
        <w:tabs>
          <w:tab w:leader="none" w:pos="8340" w:val="left"/>
          <w:tab w:leader="none" w:pos="9800" w:val="left"/>
        </w:tabs>
        <w:rPr>
          <w:sz w:val="20"/>
          <w:szCs w:val="20"/>
          <w:color w:val="auto"/>
        </w:rPr>
      </w:pPr>
      <w:r>
        <w:rPr>
          <w:rFonts w:ascii="Courier New" w:cs="Courier New" w:eastAsia="Courier New" w:hAnsi="Courier New"/>
          <w:sz w:val="14"/>
          <w:szCs w:val="14"/>
          <w:color w:val="auto"/>
        </w:rPr>
        <w:t>110</w:t>
      </w:r>
      <w:r>
        <w:rPr>
          <w:sz w:val="20"/>
          <w:szCs w:val="20"/>
          <w:color w:val="auto"/>
        </w:rPr>
        <w:tab/>
      </w:r>
      <w:r>
        <w:rPr>
          <w:rFonts w:ascii="Courier New" w:cs="Courier New" w:eastAsia="Courier New" w:hAnsi="Courier New"/>
          <w:sz w:val="14"/>
          <w:szCs w:val="14"/>
          <w:color w:val="auto"/>
        </w:rPr>
        <w:t>623,975</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Taconite Harbor Energy Center</w:t>
            </w:r>
          </w:p>
        </w:tc>
        <w:tc>
          <w:tcPr>
            <w:tcW w:w="2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 2 &amp; 3  1957, 1957</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Taconite Harbor, MN</w:t>
            </w:r>
          </w:p>
        </w:tc>
        <w:tc>
          <w:tcPr>
            <w:tcW w:w="2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1967</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220</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1,466,803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Purchased Steam</w:t>
            </w:r>
          </w:p>
        </w:tc>
        <w:tc>
          <w:tcPr>
            <w:tcW w:w="2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80" w:type="dxa"/>
            <w:vAlign w:val="bottom"/>
          </w:tcPr>
          <w:p>
            <w:pPr>
              <w:ind w:left="340"/>
              <w:spacing w:after="0"/>
              <w:rPr>
                <w:sz w:val="20"/>
                <w:szCs w:val="20"/>
                <w:color w:val="auto"/>
              </w:rPr>
            </w:pPr>
            <w:r>
              <w:rPr>
                <w:rFonts w:ascii="Courier New" w:cs="Courier New" w:eastAsia="Courier New" w:hAnsi="Courier New"/>
                <w:sz w:val="14"/>
                <w:szCs w:val="14"/>
                <w:color w:val="auto"/>
              </w:rPr>
              <w:t>Hibbard Energy Center in Duluth, MN</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 &amp; 4   1949, 1951</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79,731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Steam</w:t>
            </w:r>
          </w:p>
        </w:tc>
        <w:tc>
          <w:tcPr>
            <w:tcW w:w="3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1,297</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8,551,156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Hydro</w:t>
            </w:r>
          </w:p>
        </w:tc>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Group consisting of ten stations in MN</w:t>
            </w: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Various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343,729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Company Generation</w:t>
            </w:r>
          </w:p>
        </w:tc>
        <w:tc>
          <w:tcPr>
            <w:tcW w:w="2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1,412</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8,894,885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Purchased Power</w:t>
            </w:r>
          </w:p>
        </w:tc>
        <w:tc>
          <w:tcPr>
            <w:tcW w:w="2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Square</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Butte burns lignite coal near Center, ND</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299</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2,069,700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6"/>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Oliver</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Wind I Energy Center near Center, ND</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All Other - Net</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2,071,481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740" w:type="dxa"/>
            <w:vAlign w:val="bottom"/>
          </w:tcPr>
          <w:p>
            <w:pPr>
              <w:ind w:left="980"/>
              <w:spacing w:after="0"/>
              <w:rPr>
                <w:sz w:val="20"/>
                <w:szCs w:val="20"/>
                <w:color w:val="auto"/>
              </w:rPr>
            </w:pPr>
            <w:r>
              <w:rPr>
                <w:rFonts w:ascii="Courier New" w:cs="Courier New" w:eastAsia="Courier New" w:hAnsi="Courier New"/>
                <w:sz w:val="14"/>
                <w:szCs w:val="14"/>
                <w:color w:val="auto"/>
              </w:rPr>
              <w:t>Total Purchased Power</w:t>
            </w:r>
          </w:p>
        </w:tc>
        <w:tc>
          <w:tcPr>
            <w:tcW w:w="2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349</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4,153,877</w:t>
            </w:r>
          </w:p>
        </w:tc>
        <w:tc>
          <w:tcPr>
            <w:tcW w:w="22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31.9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740" w:type="dxa"/>
            <w:vAlign w:val="bottom"/>
          </w:tcPr>
          <w:p>
            <w:pPr>
              <w:ind w:left="980"/>
              <w:spacing w:after="0"/>
              <w:rPr>
                <w:sz w:val="20"/>
                <w:szCs w:val="20"/>
                <w:color w:val="auto"/>
              </w:rPr>
            </w:pPr>
            <w:r>
              <w:rPr>
                <w:rFonts w:ascii="Courier New" w:cs="Courier New" w:eastAsia="Courier New" w:hAnsi="Courier New"/>
                <w:sz w:val="14"/>
                <w:szCs w:val="14"/>
                <w:color w:val="auto"/>
              </w:rPr>
              <w:t>Total</w:t>
            </w:r>
          </w:p>
        </w:tc>
        <w:tc>
          <w:tcPr>
            <w:tcW w:w="28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1,761</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13,048,762</w:t>
            </w:r>
          </w:p>
        </w:tc>
        <w:tc>
          <w:tcPr>
            <w:tcW w:w="222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ALLETE 2006 Form 10-K</w:t>
            </w:r>
          </w:p>
        </w:tc>
        <w:tc>
          <w:tcPr>
            <w:tcW w:w="2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w:t>
            </w:r>
          </w:p>
        </w:tc>
        <w:tc>
          <w:tcPr>
            <w:tcW w:w="16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540"/>
          </w:cols>
          <w:pgMar w:left="220" w:top="616" w:right="139" w:bottom="0" w:gutter="0" w:footer="0" w:header="0"/>
          <w:type w:val="continuous"/>
        </w:sectPr>
      </w:pPr>
    </w:p>
    <w:bookmarkStart w:id="7" w:name="page8"/>
    <w:bookmarkEnd w:id="7"/>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We have electric transmission and distribution lines of 500 kV (8 miles), 230 kV (605 miles), 161 kV (43 miles), 138 kV (126 miles), 115 kV (1,209 miles) and less than 115 kV (6,875 miles). We own and operate 169 substations with a total capacity of 9,525 megavoltamperes. Some of our transmission and distribution lines interconnect with other utilities.</w:t>
      </w:r>
    </w:p>
    <w:p>
      <w:pPr>
        <w:spacing w:after="0" w:line="165"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We own offices and service buildings, an energy control center and repair shops, and lease offices and storerooms in various localities. Substantially all of our electric plant is subject to mortgages, which collateralize the outstanding first mortgage bonds of Minnesota Power and of SWL&amp;P. Generally, we hold fee interest in our real properties subject only to the lien of the mortgages. Most of our electric lines are located on land not owned in fee, but are covered by appropriate easement rights or by necessary permits from governmental authorities. Wisconsin Public Power, Inc. (WPPI) owns 20% of Boswell Unit 4. WPPI has the right to use our transmission line facilities to transport its share of Boswell generation. (See Note 4.)</w:t>
      </w:r>
    </w:p>
    <w:p>
      <w:pPr>
        <w:spacing w:after="0" w:line="163" w:lineRule="exact"/>
        <w:rPr>
          <w:sz w:val="20"/>
          <w:szCs w:val="20"/>
          <w:color w:val="auto"/>
        </w:rPr>
      </w:pPr>
    </w:p>
    <w:p>
      <w:pPr>
        <w:jc w:val="both"/>
        <w:ind w:right="3620"/>
        <w:spacing w:after="0" w:line="252" w:lineRule="auto"/>
        <w:rPr>
          <w:sz w:val="20"/>
          <w:szCs w:val="20"/>
          <w:color w:val="auto"/>
        </w:rPr>
      </w:pPr>
      <w:r>
        <w:rPr>
          <w:rFonts w:ascii="Courier New" w:cs="Courier New" w:eastAsia="Courier New" w:hAnsi="Courier New"/>
          <w:sz w:val="14"/>
          <w:szCs w:val="14"/>
          <w:color w:val="auto"/>
        </w:rPr>
        <w:t>SPLIT ROCK ENERGY was a joint venture between Minnesota Power and Great River Energy. In March 2004, we terminated our ownership interest upon receipt of FERC approval.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ELECTRIC SALES</w:t>
      </w:r>
    </w:p>
    <w:p>
      <w:pPr>
        <w:spacing w:after="0" w:line="173" w:lineRule="exact"/>
        <w:rPr>
          <w:sz w:val="20"/>
          <w:szCs w:val="20"/>
          <w:color w:val="auto"/>
        </w:rPr>
      </w:pPr>
    </w:p>
    <w:p>
      <w:pPr>
        <w:jc w:val="both"/>
        <w:ind w:right="3620"/>
        <w:spacing w:after="0" w:line="257" w:lineRule="auto"/>
        <w:rPr>
          <w:sz w:val="20"/>
          <w:szCs w:val="20"/>
          <w:color w:val="auto"/>
        </w:rPr>
      </w:pPr>
      <w:r>
        <w:rPr>
          <w:rFonts w:ascii="Courier New" w:cs="Courier New" w:eastAsia="Courier New" w:hAnsi="Courier New"/>
          <w:sz w:val="14"/>
          <w:szCs w:val="14"/>
          <w:color w:val="auto"/>
        </w:rPr>
        <w:t>Our regulated utility operations include retail and wholesale activities under the jurisdiction of state and federal regulatory authorities. (See Regulatory Issues.)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REGULATED UTILITY ELECTRIC SALES</w:t>
            </w:r>
          </w:p>
        </w:tc>
        <w:tc>
          <w:tcPr>
            <w:tcW w:w="2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2006</w:t>
            </w:r>
          </w:p>
        </w:tc>
        <w:tc>
          <w:tcPr>
            <w:tcW w:w="23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KILOWATTHOURS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and Municipals</w:t>
            </w:r>
          </w:p>
        </w:tc>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Residential</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1,100</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1,102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1,053</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Commercial</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1,335</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1,327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1,282</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Industrial</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7,206</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7,130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7,071</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Municipals and Other</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990</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956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10,631</w:t>
            </w:r>
          </w:p>
        </w:tc>
        <w:tc>
          <w:tcPr>
            <w:tcW w:w="23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10,515</w:t>
            </w:r>
          </w:p>
        </w:tc>
        <w:tc>
          <w:tcPr>
            <w:tcW w:w="24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10,308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Other Power Suppliers</w:t>
            </w:r>
          </w:p>
        </w:tc>
        <w:tc>
          <w:tcPr>
            <w:tcW w:w="2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2,153</w:t>
            </w:r>
          </w:p>
        </w:tc>
        <w:tc>
          <w:tcPr>
            <w:tcW w:w="23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1,142</w:t>
            </w:r>
          </w:p>
        </w:tc>
        <w:tc>
          <w:tcPr>
            <w:tcW w:w="24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918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12,784</w:t>
            </w:r>
          </w:p>
        </w:tc>
        <w:tc>
          <w:tcPr>
            <w:tcW w:w="23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11,657</w:t>
            </w:r>
          </w:p>
        </w:tc>
        <w:tc>
          <w:tcPr>
            <w:tcW w:w="24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11,226</w:t>
            </w:r>
          </w:p>
        </w:tc>
      </w:tr>
    </w:tbl>
    <w:p>
      <w:pPr>
        <w:spacing w:after="0" w:line="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2006, Taconite Harbor was redirected from Nonregulated Energy Operations to Regulated Utility.</w:t>
      </w:r>
    </w:p>
    <w:p>
      <w:pPr>
        <w:spacing w:after="0" w:line="200" w:lineRule="exact"/>
        <w:rPr>
          <w:sz w:val="20"/>
          <w:szCs w:val="20"/>
          <w:color w:val="auto"/>
        </w:rPr>
      </w:pPr>
    </w:p>
    <w:p>
      <w:pPr>
        <w:spacing w:after="0" w:line="30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Approximately 60% of the ore consumed by integrated steel facilities in the United States originates from six taconite customers of Minnesota Power. Taconite, an iron-bearing rock of relatively low iron content that is abundantly available in Minnesota, is an important domestic source of raw material for the steel industry. Taconite processing plants use large quantities of electric power to grind the ore-bearing rock, and agglomerate and pelletize the iron particles into taconite pellets. Strong worldwide steel demand, driven largely by extensive infrastructure development in China, has resulted in very robust world iron ore demand and steel pricing. This globalization of demand has positively impacted Minnesota taconite producers, which all produced near their rated capacities in both 2006 and 2005. Annual taconite production in Minnesota was 40 million tons in 2006 (41 million tons in both 2005 and 2004) and is estimated to be 40 million tons in 2007. Recent consolidation activities, combined with the strong steel market, have placed the Minnesota taconite producers in a strong competitive position.</w:t>
      </w:r>
    </w:p>
    <w:p>
      <w:pPr>
        <w:spacing w:after="0" w:line="328"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In addition to serving the taconite industry, Minnesota Power also serves a number of customers in the paper and pulp, and wood products industry. In total, we serve four major paper and pulp mills directly and one paper mill indirectly by providing wholesale service to the retail provider of the mill. Minnesota Power also serves four wood products manufacturers. In 2006, approximately 90% of our revenue from this industry sector came from the paper and pulp producers, and 10% came from the wood products customers.</w:t>
      </w:r>
    </w:p>
    <w:p>
      <w:pPr>
        <w:spacing w:after="0" w:line="16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Minnesota Power's paper and pulp customers ran at or very near full capacity in 2006 despite the fact that the industry continued to face high fiber, chemical and energy costs as well as competition from exports in certain grades. Minnesota Power's customers benefited from the temporary or permanent idling of capacity in North America at mills other than those served by Minnesota Power and from the strength of the Euro. Wood products customers ran at reduced capacity levels or were temporarily idled in the last third of 2006 because of high wood prices and a decreasing number of new housing starts.</w:t>
      </w:r>
    </w:p>
    <w:p>
      <w:pPr>
        <w:spacing w:after="0" w:line="16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The pipeline and refining industry is the third key industrial segment served by Minnesota Power with services provided to two crude oil pipelines and one refinery. These customers have a common reliance on the importation of Canadian crude oil. After years of near capacity operation in 2005 and 2006, both pipeline operators are executing expansion plans to transport newly developed Western Canadian crude oil reserves (Alberta Oil Sands) to United States markets. Access to traditional Midwest markets is being expanded to Southern markets as the Canadian supply is displacing domestic production and deliveries</w:t>
      </w:r>
    </w:p>
    <w:p>
      <w:pPr>
        <w:sectPr>
          <w:pgSz w:w="11900" w:h="16886" w:orient="portrait"/>
          <w:cols w:equalWidth="0" w:num="1">
            <w:col w:w="10520"/>
          </w:cols>
          <w:pgMar w:left="220" w:top="616" w:right="1159" w:bottom="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imported from the Gulf Coast.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ectPr>
          <w:pgSz w:w="11900" w:h="16838" w:orient="portrait"/>
          <w:cols w:equalWidth="0" w:num="2">
            <w:col w:w="4380" w:space="720"/>
            <w:col w:w="5139"/>
          </w:cols>
          <w:pgMar w:left="220" w:top="14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LARGE POWER CUSTOMER CONTRACTS. Minnesota Power has large power customer contracts with 12 customers (Large Power Customers), 11 of which require 10 MW or more of generating capacity and one that requires at least 8 MW of generating capacity. In 2006, a contract for approximately 70 MW was successfully negotiated with PolyMet Mining, a new customer planning to start a copper, nickel and precious metals (non-ferrous) mining operation by late 2008. If PolyMet's environmental permits are received and start-up is achieved, the contract with PolyMet Mining will run through at least 2018. The PolyMet Mining contract requires MPUC approval.</w:t>
      </w:r>
    </w:p>
    <w:p>
      <w:pPr>
        <w:spacing w:after="0" w:line="329" w:lineRule="exact"/>
        <w:rPr>
          <w:sz w:val="20"/>
          <w:szCs w:val="20"/>
          <w:color w:val="auto"/>
        </w:rPr>
      </w:pPr>
    </w:p>
    <w:p>
      <w:pPr>
        <w:jc w:val="both"/>
        <w:ind w:right="4640"/>
        <w:spacing w:after="0" w:line="250" w:lineRule="auto"/>
        <w:rPr>
          <w:sz w:val="20"/>
          <w:szCs w:val="20"/>
          <w:color w:val="auto"/>
        </w:rPr>
      </w:pPr>
      <w:r>
        <w:rPr>
          <w:rFonts w:ascii="Courier New" w:cs="Courier New" w:eastAsia="Courier New" w:hAnsi="Courier New"/>
          <w:sz w:val="14"/>
          <w:szCs w:val="14"/>
          <w:color w:val="auto"/>
        </w:rPr>
        <w:t>Large Power Customer contracts require Minnesota Power to have a certain amount of generating capacity available. (See Minimum Revenue and Demand Under Contract table below.)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biannual (power pool season) or four-month basis and require that a portion of their megawatt needs be committed on a take-or-pay basis for at least a portion of the agreement. In addition to the demand charge, each Large Power Customer is billed an energy charge for each kilowatthour used that recovers the variable costs incurred in generating electricity. Six of the Large Power Customers have interruptible service for a portion of their needs, which provides a discounted demand rate and energy priced at Minnesota Power's incremental cost after serving all firm power obligations. Minnesota Power also provides incremental production service for customer demand levels above the contract take-or-pay levels. There is no demand charge for this service and energy is priced at an increment above Minnesota Power's cost. Incremental production service is interruptible.</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All contracts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Regulatory Issues - Electric Rates.)</w:t>
      </w:r>
    </w:p>
    <w:p>
      <w:pPr>
        <w:spacing w:after="0" w:line="16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Minnesota Power, as permitted by the MPUC, requires its taconite-producing Large Power Customers to pay weekly for electric usage based on monthly energy usage estimates. The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 Taconite-producing Large Power Customers subject to weekly billings receive interest on the money paid to Minnesota Power within the billing cycle.</w:t>
      </w:r>
    </w:p>
    <w:p>
      <w:pPr>
        <w:spacing w:after="0" w:line="200" w:lineRule="exact"/>
        <w:rPr>
          <w:sz w:val="20"/>
          <w:szCs w:val="20"/>
          <w:color w:val="auto"/>
        </w:rPr>
      </w:pPr>
    </w:p>
    <w:p>
      <w:pPr>
        <w:spacing w:after="0" w:line="295" w:lineRule="exact"/>
        <w:rPr>
          <w:sz w:val="20"/>
          <w:szCs w:val="20"/>
          <w:color w:val="auto"/>
        </w:rPr>
      </w:pPr>
    </w:p>
    <w:p>
      <w:pPr>
        <w:ind w:right="1720"/>
        <w:spacing w:after="0" w:line="247" w:lineRule="auto"/>
        <w:rPr>
          <w:sz w:val="20"/>
          <w:szCs w:val="20"/>
          <w:color w:val="auto"/>
        </w:rPr>
      </w:pPr>
      <w:r>
        <w:rPr>
          <w:rFonts w:ascii="Courier New" w:cs="Courier New" w:eastAsia="Courier New" w:hAnsi="Courier New"/>
          <w:sz w:val="14"/>
          <w:szCs w:val="14"/>
          <w:color w:val="auto"/>
        </w:rPr>
        <w:t>MINIMUM REVENUE AND DEMAND UNDER CONTRACT MINIMUM ANNUAL MONTHLY AS OF FEBRUARY 1, 2007 DEMAND REVENUE MEGAWATTS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2007</w:t>
            </w:r>
          </w:p>
        </w:tc>
        <w:tc>
          <w:tcPr>
            <w:tcW w:w="4860" w:type="dxa"/>
            <w:vAlign w:val="bottom"/>
            <w:gridSpan w:val="2"/>
          </w:tcPr>
          <w:p>
            <w:pPr>
              <w:ind w:left="2720"/>
              <w:spacing w:after="0"/>
              <w:rPr>
                <w:sz w:val="20"/>
                <w:szCs w:val="20"/>
                <w:color w:val="auto"/>
              </w:rPr>
            </w:pPr>
            <w:r>
              <w:rPr>
                <w:rFonts w:ascii="Courier New" w:cs="Courier New" w:eastAsia="Courier New" w:hAnsi="Courier New"/>
                <w:sz w:val="14"/>
                <w:szCs w:val="14"/>
                <w:color w:val="auto"/>
              </w:rPr>
              <w:t>$62.5 million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2008</w:t>
            </w:r>
          </w:p>
        </w:tc>
        <w:tc>
          <w:tcPr>
            <w:tcW w:w="3180" w:type="dxa"/>
            <w:vAlign w:val="bottom"/>
          </w:tcPr>
          <w:p>
            <w:pPr>
              <w:ind w:left="2720"/>
              <w:spacing w:after="0"/>
              <w:rPr>
                <w:sz w:val="20"/>
                <w:szCs w:val="20"/>
                <w:color w:val="auto"/>
              </w:rPr>
            </w:pPr>
            <w:r>
              <w:rPr>
                <w:rFonts w:ascii="Courier New" w:cs="Courier New" w:eastAsia="Courier New" w:hAnsi="Courier New"/>
                <w:sz w:val="14"/>
                <w:szCs w:val="14"/>
                <w:color w:val="auto"/>
              </w:rPr>
              <w:t>$29.3</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2009</w:t>
            </w:r>
          </w:p>
        </w:tc>
        <w:tc>
          <w:tcPr>
            <w:tcW w:w="3180" w:type="dxa"/>
            <w:vAlign w:val="bottom"/>
          </w:tcPr>
          <w:p>
            <w:pPr>
              <w:ind w:left="2720"/>
              <w:spacing w:after="0"/>
              <w:rPr>
                <w:sz w:val="20"/>
                <w:szCs w:val="20"/>
                <w:color w:val="auto"/>
              </w:rPr>
            </w:pPr>
            <w:r>
              <w:rPr>
                <w:rFonts w:ascii="Courier New" w:cs="Courier New" w:eastAsia="Courier New" w:hAnsi="Courier New"/>
                <w:sz w:val="14"/>
                <w:szCs w:val="14"/>
                <w:color w:val="auto"/>
              </w:rPr>
              <w:t>$25.9</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2010</w:t>
            </w:r>
          </w:p>
        </w:tc>
        <w:tc>
          <w:tcPr>
            <w:tcW w:w="3180" w:type="dxa"/>
            <w:vAlign w:val="bottom"/>
          </w:tcPr>
          <w:p>
            <w:pPr>
              <w:ind w:left="2720"/>
              <w:spacing w:after="0"/>
              <w:rPr>
                <w:sz w:val="20"/>
                <w:szCs w:val="20"/>
                <w:color w:val="auto"/>
              </w:rPr>
            </w:pPr>
            <w:r>
              <w:rPr>
                <w:rFonts w:ascii="Courier New" w:cs="Courier New" w:eastAsia="Courier New" w:hAnsi="Courier New"/>
                <w:sz w:val="14"/>
                <w:szCs w:val="14"/>
                <w:color w:val="auto"/>
              </w:rPr>
              <w:t>$25.8</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06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5"/>
              </w:rPr>
              <w:t>2011</w:t>
            </w:r>
          </w:p>
        </w:tc>
        <w:tc>
          <w:tcPr>
            <w:tcW w:w="3180" w:type="dxa"/>
            <w:vAlign w:val="bottom"/>
          </w:tcPr>
          <w:p>
            <w:pPr>
              <w:ind w:left="2720"/>
              <w:spacing w:after="0"/>
              <w:rPr>
                <w:sz w:val="20"/>
                <w:szCs w:val="20"/>
                <w:color w:val="auto"/>
              </w:rPr>
            </w:pPr>
            <w:r>
              <w:rPr>
                <w:rFonts w:ascii="Courier New" w:cs="Courier New" w:eastAsia="Courier New" w:hAnsi="Courier New"/>
                <w:sz w:val="14"/>
                <w:szCs w:val="14"/>
                <w:color w:val="auto"/>
              </w:rPr>
              <w:t>$16.1</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16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past experience, we believe revenue from our Large Power Customers will be substantially in excess of the minimum contract amounts. For example, in our 2005 Form 10-K we stated 2006 minimum annual revenue from these Large Power Customers would be $61.3 million. Actual 2006 demand revenue from these Large Power Customers was $116.9 million.</w:t>
      </w:r>
    </w:p>
    <w:p>
      <w:pPr>
        <w:spacing w:after="0" w:line="1" w:lineRule="exact"/>
        <w:rPr>
          <w:rFonts w:ascii="Courier New" w:cs="Courier New" w:eastAsia="Courier New" w:hAnsi="Courier New"/>
          <w:sz w:val="14"/>
          <w:szCs w:val="14"/>
          <w:color w:val="auto"/>
        </w:rPr>
      </w:pPr>
    </w:p>
    <w:p>
      <w:pPr>
        <w:ind w:left="520" w:right="160" w:hanging="34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several contracts have a feature that allows demand to go to zero after a two-year advance notice of a permanent closure, this minimum revenue summary does not reflect this occurrence happening in the forecasted period because we believe it is unlikely.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1540"/>
          </w:cols>
          <w:pgMar w:left="220" w:top="616"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STATUS FOR MINNESOTA POWER LARGE POWER CUSTOMERS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FEBRUARY 1, 2007</w:t>
      </w:r>
    </w:p>
    <w:p>
      <w:pPr>
        <w:spacing w:after="0" w:line="173"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EARLIEST</w:t>
      </w:r>
    </w:p>
    <w:p>
      <w:pPr>
        <w:spacing w:after="0" w:line="7" w:lineRule="exact"/>
        <w:rPr>
          <w:sz w:val="20"/>
          <w:szCs w:val="20"/>
          <w:color w:val="auto"/>
        </w:rPr>
      </w:pPr>
    </w:p>
    <w:p>
      <w:pPr>
        <w:spacing w:after="0"/>
        <w:tabs>
          <w:tab w:leader="none" w:pos="2840" w:val="left"/>
          <w:tab w:leader="none" w:pos="4380" w:val="left"/>
          <w:tab w:leader="none" w:pos="6620" w:val="left"/>
          <w:tab w:leader="none" w:pos="9200" w:val="left"/>
        </w:tabs>
        <w:rPr>
          <w:sz w:val="20"/>
          <w:szCs w:val="20"/>
          <w:color w:val="auto"/>
        </w:rPr>
      </w:pPr>
      <w:r>
        <w:rPr>
          <w:rFonts w:ascii="Courier New" w:cs="Courier New" w:eastAsia="Courier New" w:hAnsi="Courier New"/>
          <w:sz w:val="14"/>
          <w:szCs w:val="14"/>
          <w:color w:val="auto"/>
        </w:rPr>
        <w:t>CUSTOMER</w:t>
      </w:r>
      <w:r>
        <w:rPr>
          <w:sz w:val="20"/>
          <w:szCs w:val="20"/>
          <w:color w:val="auto"/>
        </w:rPr>
        <w:tab/>
      </w:r>
      <w:r>
        <w:rPr>
          <w:rFonts w:ascii="Courier New" w:cs="Courier New" w:eastAsia="Courier New" w:hAnsi="Courier New"/>
          <w:sz w:val="14"/>
          <w:szCs w:val="14"/>
          <w:color w:val="auto"/>
        </w:rPr>
        <w:t>INDUSTRY</w:t>
      </w:r>
      <w:r>
        <w:rPr>
          <w:sz w:val="20"/>
          <w:szCs w:val="20"/>
          <w:color w:val="auto"/>
        </w:rPr>
        <w:tab/>
      </w: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TERMINATION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Hibbing Taconite Co.</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Taconite</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Hibbing, MN</w:t>
            </w:r>
          </w:p>
        </w:tc>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62.3% Mittal Steel USA Inc.</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2011</w:t>
            </w:r>
          </w:p>
        </w:tc>
      </w:tr>
      <w:tr>
        <w:trPr>
          <w:trHeight w:val="166"/>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23% Cleveland-Cliffs Inc</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14.7% Stelco Inc.</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Mittal Steel USA - Minorca Mine</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Taconite</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Virginia, MN</w:t>
            </w:r>
          </w:p>
        </w:tc>
        <w:tc>
          <w:tcPr>
            <w:tcW w:w="56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Mittal Steel USA Inc.</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31, 2012</w:t>
            </w: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Steel Corporation</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Taconite</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Mt. Iron, MN</w:t>
            </w:r>
          </w:p>
        </w:tc>
        <w:tc>
          <w:tcPr>
            <w:tcW w:w="56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USS</w:t>
            </w:r>
          </w:p>
        </w:tc>
        <w:tc>
          <w:tcPr>
            <w:tcW w:w="18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October 31, 2013</w:t>
            </w: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(USS) Minntac</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USS Keewatin Taconite</w:t>
            </w:r>
          </w:p>
        </w:tc>
        <w:tc>
          <w:tcPr>
            <w:tcW w:w="26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Taconite</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Keewatin, MN</w:t>
            </w:r>
          </w:p>
        </w:tc>
        <w:tc>
          <w:tcPr>
            <w:tcW w:w="56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USS</w:t>
            </w:r>
          </w:p>
        </w:tc>
        <w:tc>
          <w:tcPr>
            <w:tcW w:w="18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October 31, 2013</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United Taconite LLC</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Taconite</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Eveleth, MN</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Cleveland-Cliffs Inc</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2011</w:t>
            </w:r>
          </w:p>
        </w:tc>
      </w:tr>
      <w:tr>
        <w:trPr>
          <w:trHeight w:val="166"/>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30% Laiwu Steel Group</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UPM, Blandin Paper Mill</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Paper</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Grand Rapids, MN</w:t>
            </w:r>
          </w:p>
        </w:tc>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UPM-Kymmene Corporation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2011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Boise White Paper, LLC</w:t>
            </w:r>
          </w:p>
        </w:tc>
        <w:tc>
          <w:tcPr>
            <w:tcW w:w="26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Paper</w:t>
            </w:r>
          </w:p>
        </w:tc>
        <w:tc>
          <w:tcPr>
            <w:tcW w:w="2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International Falls, MN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Madison Dearborn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31, 2008</w:t>
            </w:r>
          </w:p>
        </w:tc>
      </w:tr>
      <w:tr>
        <w:trPr>
          <w:trHeight w:val="166"/>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Partnership</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Sappi Cloquet LLC</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Paper</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Cloquet, MN</w:t>
            </w:r>
          </w:p>
        </w:tc>
        <w:tc>
          <w:tcPr>
            <w:tcW w:w="2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Sappi Limited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2011</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Stora Enso North America,</w:t>
            </w:r>
          </w:p>
        </w:tc>
        <w:tc>
          <w:tcPr>
            <w:tcW w:w="26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Paper and Pulp</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Duluth, MN</w:t>
            </w:r>
          </w:p>
        </w:tc>
        <w:tc>
          <w:tcPr>
            <w:tcW w:w="56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Stora Enso Oyj</w:t>
            </w:r>
          </w:p>
        </w:tc>
        <w:tc>
          <w:tcPr>
            <w:tcW w:w="18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August 31, 2013</w:t>
            </w: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Duluth Paper Mill and</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Duluth Recycled Pulp Mill</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USG Interiors, Inc.</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Manufacturer</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Cloquet, MN</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USG</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2008</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Enbridge Energy Company,</w:t>
            </w:r>
          </w:p>
        </w:tc>
        <w:tc>
          <w:tcPr>
            <w:tcW w:w="26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Pipeline</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Deer River, MN</w:t>
            </w:r>
          </w:p>
        </w:tc>
        <w:tc>
          <w:tcPr>
            <w:tcW w:w="56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Enbridge Energy Company,</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28, 2008</w:t>
            </w:r>
          </w:p>
        </w:tc>
      </w:tr>
      <w:tr>
        <w:trPr>
          <w:trHeight w:val="166"/>
        </w:trPr>
        <w:tc>
          <w:tcPr>
            <w:tcW w:w="2500" w:type="dxa"/>
            <w:vAlign w:val="bottom"/>
          </w:tcPr>
          <w:p>
            <w:pPr>
              <w:ind w:left="360"/>
              <w:spacing w:after="0"/>
              <w:rPr>
                <w:sz w:val="20"/>
                <w:szCs w:val="20"/>
                <w:color w:val="auto"/>
              </w:rPr>
            </w:pPr>
            <w:r>
              <w:rPr>
                <w:rFonts w:ascii="Courier New" w:cs="Courier New" w:eastAsia="Courier New" w:hAnsi="Courier New"/>
                <w:sz w:val="14"/>
                <w:szCs w:val="14"/>
                <w:color w:val="auto"/>
              </w:rPr>
              <w:t>Limited Partnership</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Floodwood, MN</w:t>
            </w:r>
          </w:p>
        </w:tc>
        <w:tc>
          <w:tcPr>
            <w:tcW w:w="560" w:type="dxa"/>
            <w:vAlign w:val="bottom"/>
          </w:tcPr>
          <w:p>
            <w:pPr>
              <w:spacing w:after="0"/>
              <w:rPr>
                <w:sz w:val="14"/>
                <w:szCs w:val="14"/>
                <w:color w:val="auto"/>
              </w:rPr>
            </w:pPr>
          </w:p>
        </w:tc>
        <w:tc>
          <w:tcPr>
            <w:tcW w:w="2200" w:type="dxa"/>
            <w:vAlign w:val="bottom"/>
          </w:tcPr>
          <w:p>
            <w:pPr>
              <w:ind w:left="120"/>
              <w:spacing w:after="0"/>
              <w:rPr>
                <w:sz w:val="20"/>
                <w:szCs w:val="20"/>
                <w:color w:val="auto"/>
              </w:rPr>
            </w:pPr>
            <w:r>
              <w:rPr>
                <w:rFonts w:ascii="Courier New" w:cs="Courier New" w:eastAsia="Courier New" w:hAnsi="Courier New"/>
                <w:sz w:val="14"/>
                <w:szCs w:val="14"/>
                <w:color w:val="auto"/>
              </w:rPr>
              <w:t>Limited Partnership</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Minnesota Pipeline Company</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Pipeline</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Staples, MN</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Koch Pipeline Co. L.P.</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Little Falls, MN</w:t>
            </w:r>
          </w:p>
        </w:tc>
        <w:tc>
          <w:tcPr>
            <w:tcW w:w="56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40% Marathon Ashland</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Park Rapids, MN</w:t>
            </w:r>
          </w:p>
        </w:tc>
        <w:tc>
          <w:tcPr>
            <w:tcW w:w="560" w:type="dxa"/>
            <w:vAlign w:val="bottom"/>
          </w:tcPr>
          <w:p>
            <w:pPr>
              <w:spacing w:after="0"/>
              <w:rPr>
                <w:sz w:val="14"/>
                <w:szCs w:val="14"/>
                <w:color w:val="auto"/>
              </w:rPr>
            </w:pPr>
          </w:p>
        </w:tc>
        <w:tc>
          <w:tcPr>
            <w:tcW w:w="2200" w:type="dxa"/>
            <w:vAlign w:val="bottom"/>
          </w:tcPr>
          <w:p>
            <w:pPr>
              <w:ind w:left="480"/>
              <w:spacing w:after="0"/>
              <w:rPr>
                <w:sz w:val="20"/>
                <w:szCs w:val="20"/>
                <w:color w:val="auto"/>
              </w:rPr>
            </w:pPr>
            <w:r>
              <w:rPr>
                <w:rFonts w:ascii="Courier New" w:cs="Courier New" w:eastAsia="Courier New" w:hAnsi="Courier New"/>
                <w:sz w:val="14"/>
                <w:szCs w:val="14"/>
                <w:color w:val="auto"/>
              </w:rPr>
              <w:t>Petroleum LLC</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00" w:hanging="339"/>
        <w:spacing w:after="0" w:line="250" w:lineRule="auto"/>
        <w:tabs>
          <w:tab w:leader="none" w:pos="420" w:val="left"/>
        </w:tabs>
        <w:rPr>
          <w:sz w:val="20"/>
          <w:szCs w:val="20"/>
          <w:color w:val="auto"/>
        </w:rPr>
      </w:pPr>
      <w:r>
        <w:rPr>
          <w:rFonts w:ascii="Courier New" w:cs="Courier New" w:eastAsia="Courier New" w:hAnsi="Courier New"/>
          <w:sz w:val="14"/>
          <w:szCs w:val="14"/>
          <w:color w:val="auto"/>
        </w:rPr>
        <w:t>The</w:t>
        <w:tab/>
        <w:t>contract will terminate four years from the date of written notice from either Minnesota Power or the customer. No notice of contract cancellation has been given by either party. Thus, the earliest date of cancellation is February 28, 2011.</w:t>
      </w:r>
    </w:p>
    <w:p>
      <w:pPr>
        <w:spacing w:after="0" w:line="1" w:lineRule="exact"/>
        <w:rPr>
          <w:sz w:val="20"/>
          <w:szCs w:val="20"/>
          <w:color w:val="auto"/>
        </w:rPr>
      </w:pPr>
    </w:p>
    <w:p>
      <w:pPr>
        <w:ind w:left="440" w:right="500" w:hanging="339"/>
        <w:spacing w:after="0" w:line="255" w:lineRule="auto"/>
        <w:tabs>
          <w:tab w:leader="none" w:pos="420" w:val="left"/>
        </w:tabs>
        <w:rPr>
          <w:sz w:val="20"/>
          <w:szCs w:val="20"/>
          <w:color w:val="auto"/>
        </w:rPr>
      </w:pPr>
      <w:r>
        <w:rPr>
          <w:rFonts w:ascii="Courier New" w:cs="Courier New" w:eastAsia="Courier New" w:hAnsi="Courier New"/>
          <w:sz w:val="14"/>
          <w:szCs w:val="14"/>
          <w:color w:val="auto"/>
        </w:rPr>
        <w:t>The</w:t>
        <w:tab/>
        <w:t>contract will terminate one year from the date of written notice from either Minnesota Power or the customer. No notice of contract cancellation has been given by either party. Thus, the earliest date of cancellation is February 28, 2008.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POWER</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Minnesota Power has contracts to purchase capacity and energy from various entities, the largest is with Square Butte. Under an agreement with Square Butte expiring at the end of 2026, Minnesota Power is currently entitled to approximately 60% (55% beginning in 2008; 50% in 2009 and thereafter) of the output of a 455-MW coal-fired generating unit located near Center, North Dakota. (See Note 8.)</w:t>
      </w:r>
    </w:p>
    <w:p>
      <w:pPr>
        <w:spacing w:after="0" w:line="164"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In May 2005, Minnesota Power entered into a 25-year agreement with an affiliate of FPL Energy to purchase all of the renewable energy from Oliver Wind I, an approximately 50-MW (nameplate) wind facility in North Dakota. Oliver Wind I commenced commercial operation in late December 2006 and is comprised of 22 new 2.3-MW wind turbines. In addition, in December 2006, Minnesota Power and an affiliate of FPL Energy reached an agreement for Minnesota Power to purchase an additional 48 MW of wind energy from an expansion of Oliver Wind I. If regulatory approvals and permits are received, FPL Energy expects the expansion, Oliver Wind II, to be operational by late 2007. Minnesota Power is also continuing to pursue additional agreements for wind energy from new facilities being planned within Minnesota Power's service territory. The projects, expected to be operational in late 2007 or 2008, would be smaller in size than the North Dakota projects and would be subject to negotiation and execution of power purchase agreements, as well as regulatory approvals.</w:t>
      </w:r>
    </w:p>
    <w:p>
      <w:pPr>
        <w:spacing w:after="0" w:line="162"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1540"/>
          </w:cols>
          <w:pgMar w:left="220" w:top="782" w:right="13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FUEL</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Minnesota Power purchases low-sulfur, sub-bituminous coal from the Powder River Basin coal region located in Montana and Wyoming. Coal consumption in 2006 for electric generation at Minnesota Power's coal-fired generating stations was about 5 million tons. As of December 31, 2006, Minnesota Power had a coal inventory of about 800,000 tons. Minnesota Power has two coal supply agreements with expiration dates extending through 2009 and one contract with an initial term expiring in 2008. Under these agreements, Minnesota Power has the tonnage flexibility to procure 70% to 100% of its total coal requirements. In 2007, Minnesota Power will obtain coal under these coal supply agreements and in the spot market. This diversity in coal supply options allows Minnesota Power to manage market price and supply risk and to take advantage of favorable spot market prices. Minnesota Power is exploring future coal supply options. We believe that adequate supplies of low-sulfur, sub-bituminous coal will continue to be available.</w:t>
      </w:r>
    </w:p>
    <w:p>
      <w:pPr>
        <w:spacing w:after="0" w:line="32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2001, Minnesota Power and Burlington Northern and Santa Fe Railway Company (Burlington Northern) entered into a long-term agreement under which Burlington Northern transports all of Minnesota Power's coal by unit train from the Powder River Basin directly to Minnesota Power's generating facilities or to a designated interconnection point. Minnesota Power also has agreements with the Canadian National Railway and Midwest Energy Resources Company to transport coal from the Burlington Northern interconnection point to certain Minnesota Power facilities.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COAL</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DELIVERED TO MINNESOTA POWER</w:t>
            </w: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0"/>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w:t>
            </w:r>
          </w:p>
        </w:tc>
        <w:tc>
          <w:tcPr>
            <w:tcW w:w="2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200" w:val="left"/>
          <w:tab w:leader="none" w:pos="7740" w:val="left"/>
          <w:tab w:leader="none" w:pos="9300" w:val="left"/>
        </w:tabs>
        <w:rPr>
          <w:sz w:val="20"/>
          <w:szCs w:val="20"/>
          <w:color w:val="auto"/>
        </w:rPr>
      </w:pPr>
      <w:r>
        <w:rPr>
          <w:rFonts w:ascii="Courier New" w:cs="Courier New" w:eastAsia="Courier New" w:hAnsi="Courier New"/>
          <w:sz w:val="14"/>
          <w:szCs w:val="14"/>
          <w:color w:val="auto"/>
        </w:rPr>
        <w:t>Average Price per Ton</w:t>
      </w:r>
      <w:r>
        <w:rPr>
          <w:sz w:val="20"/>
          <w:szCs w:val="20"/>
          <w:color w:val="auto"/>
        </w:rPr>
        <w:tab/>
      </w:r>
      <w:r>
        <w:rPr>
          <w:rFonts w:ascii="Courier New" w:cs="Courier New" w:eastAsia="Courier New" w:hAnsi="Courier New"/>
          <w:sz w:val="14"/>
          <w:szCs w:val="14"/>
          <w:color w:val="auto"/>
        </w:rPr>
        <w:t>$20.19</w:t>
      </w:r>
      <w:r>
        <w:rPr>
          <w:sz w:val="20"/>
          <w:szCs w:val="20"/>
          <w:color w:val="auto"/>
        </w:rPr>
        <w:tab/>
      </w:r>
      <w:r>
        <w:rPr>
          <w:rFonts w:ascii="Courier New" w:cs="Courier New" w:eastAsia="Courier New" w:hAnsi="Courier New"/>
          <w:sz w:val="14"/>
          <w:szCs w:val="14"/>
          <w:color w:val="auto"/>
        </w:rPr>
        <w:t>$19.76</w:t>
      </w:r>
      <w:r>
        <w:rPr>
          <w:sz w:val="20"/>
          <w:szCs w:val="20"/>
          <w:color w:val="auto"/>
        </w:rPr>
        <w:tab/>
      </w:r>
      <w:r>
        <w:rPr>
          <w:rFonts w:ascii="Courier New" w:cs="Courier New" w:eastAsia="Courier New" w:hAnsi="Courier New"/>
          <w:sz w:val="13"/>
          <w:szCs w:val="13"/>
          <w:color w:val="auto"/>
        </w:rPr>
        <w:t>$19.01</w:t>
      </w:r>
    </w:p>
    <w:p>
      <w:pPr>
        <w:spacing w:after="0" w:line="7" w:lineRule="exact"/>
        <w:rPr>
          <w:sz w:val="20"/>
          <w:szCs w:val="20"/>
          <w:color w:val="auto"/>
        </w:rPr>
      </w:pPr>
    </w:p>
    <w:p>
      <w:pPr>
        <w:spacing w:after="0"/>
        <w:tabs>
          <w:tab w:leader="none" w:pos="6280" w:val="left"/>
          <w:tab w:leader="none" w:pos="7820" w:val="left"/>
          <w:tab w:leader="none" w:pos="9380" w:val="left"/>
        </w:tabs>
        <w:rPr>
          <w:sz w:val="20"/>
          <w:szCs w:val="20"/>
          <w:color w:val="auto"/>
        </w:rPr>
      </w:pPr>
      <w:r>
        <w:rPr>
          <w:rFonts w:ascii="Courier New" w:cs="Courier New" w:eastAsia="Courier New" w:hAnsi="Courier New"/>
          <w:sz w:val="14"/>
          <w:szCs w:val="14"/>
          <w:color w:val="auto"/>
        </w:rPr>
        <w:t>Average Price per MBtu</w:t>
      </w:r>
      <w:r>
        <w:rPr>
          <w:sz w:val="20"/>
          <w:szCs w:val="20"/>
          <w:color w:val="auto"/>
        </w:rPr>
        <w:tab/>
      </w:r>
      <w:r>
        <w:rPr>
          <w:rFonts w:ascii="Courier New" w:cs="Courier New" w:eastAsia="Courier New" w:hAnsi="Courier New"/>
          <w:sz w:val="14"/>
          <w:szCs w:val="14"/>
          <w:color w:val="auto"/>
        </w:rPr>
        <w:t>$1.10</w:t>
      </w:r>
      <w:r>
        <w:rPr>
          <w:sz w:val="20"/>
          <w:szCs w:val="20"/>
          <w:color w:val="auto"/>
        </w:rPr>
        <w:tab/>
      </w: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The Square Butte generating unit operated by Minnkota Power burns North Dakota lignite coal supplied by BNI Coal, in accordance with the terms of a contract expiring in 2027. Square Butte's cost of lignite burned in 2006 was approximately 85 cents per MBtu. The lignite acreage that has been dedicated to Square Butte by BNI Coal is located on lands essentially all of which are under private control and presently leased by BNI Coal. This lignite supply is sufficient to provide fuel for the anticipated useful life of the generating unit.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ISSUES</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We are subject to the jurisdiction of various regulatory authorities. The MPUC has regulatory authority over Minnesota Power's service area in Minnesota, retail rates, retail services, issuance of securities and other matters. The FERC has jurisdiction over the licensing of hydroelectric projects, the establishment of rates and charges for the sale of electricity for resale and transmission of electricity in interstate commerce, and certain accounting and record-keeping practices. The PSCW has regulatory authority over the retail sales of electricity, natural gas and water by SWL&amp;P. The MPUC, FERC and PSCW had regulatory authority over 56%, 8% and 8%, respectively, of our 2006 consolidated operating revenue.</w:t>
      </w:r>
    </w:p>
    <w:p>
      <w:pPr>
        <w:spacing w:after="0" w:line="329"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ELECTRIC RATES. Minnesota Power has historically designed its electric service rates based on cost of service studies under which allocations are made to the various classes of customers. Nearly all retail sales include billing adjustment clauses, which adjust electric service rates for changes in the cost of fuel and purchased energy, recovery of current and deferred conservation improvement program expenditures, and recovery of certain environmental expenditures.</w:t>
      </w:r>
    </w:p>
    <w:p>
      <w:pPr>
        <w:spacing w:after="0" w:line="164"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addition to Large Power Customer contracts, Minnesota Power also has contracts with large industrial and commercial customers with monthly demands of more than 2 MW but less than 10 MW of capacity. The terms of these contracts vary depending upon the customer's demand for power and the cost of extending Minnesota Power's facilities to provide electric service.</w:t>
      </w:r>
    </w:p>
    <w:p>
      <w:pPr>
        <w:spacing w:after="0" w:line="165"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Minnesota Power requires that all large industrial and commercial customers under contract specify the date when power is first required. Thereafter, the customer is generally billed monthly for at least the minimum power for which they contracted. These conditions are part of all contracts covering power to be supplied to new large industrial and commercial customers and to current customers as their contracts expire or are amended. All rates and other contract terms are subject to approval by appropriate regulatory authorities.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ectPr>
          <w:pgSz w:w="11900" w:h="16838" w:orient="portrait"/>
          <w:cols w:equalWidth="0" w:num="1">
            <w:col w:w="10780"/>
          </w:cols>
          <w:pgMar w:left="220" w:top="616" w:right="89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FEDERAL ENERGY REGULATORY COMMISSION. The FERC has jurisdiction over our wholesale electric service and operations. Minnesota Power's hydroelectric facilities, which are located in Minnesota, are licensed by the FERC.</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August 2005, President Bush signed into law the Energy Policy Act of 2005 (EPAct 2005), which repealed PUHCA 1935 and enacted PUHCA 2005. PUHCA 2005 gives FERC certain authority over books and records of public utility holding companies and their affiliates. It also addresses FERC review and authorization of the allocation of costs for non-power goods, or administrative or management services when requested by a holding company system or state commission. In addition, EPAct 2005 directs the FERC to issue certain rules addressing electricity reliability, investment in energy infrastructure, fuel diversity for electric generation, and promotion of energy efficiency and wise energy use. The FERC is currently in the process of implementing EPAct 2005. These include (among others):</w:t>
      </w:r>
    </w:p>
    <w:p>
      <w:pPr>
        <w:spacing w:after="0" w:line="329" w:lineRule="exact"/>
        <w:rPr>
          <w:sz w:val="20"/>
          <w:szCs w:val="20"/>
          <w:color w:val="auto"/>
        </w:rPr>
      </w:pPr>
    </w:p>
    <w:p>
      <w:pPr>
        <w:ind w:left="780" w:hanging="427"/>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rulemaking for implementing long-term transmission rights;</w:t>
      </w:r>
    </w:p>
    <w:p>
      <w:pPr>
        <w:spacing w:after="0" w:line="7" w:lineRule="exact"/>
        <w:rPr>
          <w:rFonts w:ascii="Courier New" w:cs="Courier New" w:eastAsia="Courier New" w:hAnsi="Courier New"/>
          <w:sz w:val="14"/>
          <w:szCs w:val="14"/>
          <w:color w:val="auto"/>
        </w:rPr>
      </w:pPr>
    </w:p>
    <w:p>
      <w:pPr>
        <w:jc w:val="both"/>
        <w:ind w:left="780" w:right="3339" w:hanging="427"/>
        <w:spacing w:after="0" w:line="250"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dockets pertaining to the development and certification of electric reliability organizations, including delegated authority to regional entities for proposing and enforcing reliability standards;</w:t>
      </w:r>
    </w:p>
    <w:p>
      <w:pPr>
        <w:spacing w:after="0" w:line="1" w:lineRule="exact"/>
        <w:rPr>
          <w:rFonts w:ascii="Courier New" w:cs="Courier New" w:eastAsia="Courier New" w:hAnsi="Courier New"/>
          <w:sz w:val="14"/>
          <w:szCs w:val="14"/>
          <w:color w:val="auto"/>
        </w:rPr>
      </w:pPr>
    </w:p>
    <w:p>
      <w:pPr>
        <w:jc w:val="both"/>
        <w:ind w:left="780" w:right="3339" w:hanging="427"/>
        <w:spacing w:after="0" w:line="250"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specifying the form of applications for federal construction permits to be issued in the exercise of federal backstop siting authority for transmission projects;</w:t>
      </w:r>
    </w:p>
    <w:p>
      <w:pPr>
        <w:spacing w:after="0" w:line="1" w:lineRule="exact"/>
        <w:rPr>
          <w:rFonts w:ascii="Courier New" w:cs="Courier New" w:eastAsia="Courier New" w:hAnsi="Courier New"/>
          <w:sz w:val="14"/>
          <w:szCs w:val="14"/>
          <w:color w:val="auto"/>
        </w:rPr>
      </w:pPr>
    </w:p>
    <w:p>
      <w:pPr>
        <w:ind w:left="780" w:right="3339" w:hanging="427"/>
        <w:spacing w:after="0" w:line="250"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rulemaking requiring unregulated transmitting utilities to provide open access to their transmission systems;</w:t>
      </w:r>
    </w:p>
    <w:p>
      <w:pPr>
        <w:ind w:left="780" w:right="3339" w:hanging="427"/>
        <w:spacing w:after="0" w:line="250"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various rulemakings regarding the consideration of merger applications under the revised Federal Power Act Section 203;</w:t>
      </w:r>
    </w:p>
    <w:p>
      <w:pPr>
        <w:jc w:val="both"/>
        <w:ind w:left="780" w:right="3339" w:hanging="427"/>
        <w:spacing w:after="0" w:line="250"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Department of Energy study/report on the benefits of economic dispatch and a report on recommendations of regional joint boards that considered economic dispatch;</w:t>
      </w:r>
    </w:p>
    <w:p>
      <w:pPr>
        <w:spacing w:after="0" w:line="1"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rulemaking to facilitate transmission market transparency; and</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energy market manipulation rulemaking.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continue to monitor FERC activity in these and other proceedings.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MUNICIPAL AND WHOLESALE CUSTOMERS. Minnesota Power has contracts with 16 Minnesota municipalities receiving wholesale electric service. One contract expires April 2008 (31,000 MWh purchased in 2006), while the other 15 are for service through at least January 2011. In 2006, these municipal customers purchased 813,000 MWh from Minnesota Power. Minnesota Power also has a contract for wholesale service with Dahlberg Light &amp; Power Company (Dahlberg) in Wisconsin. Dahlberg purchased 111,000 MWh in 2006.</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MIDWEST INDEPENDENT TRANSMISSION SYSTEM OPERATOR, INC. (MISO). Minnesota Power and SWL&amp;P are members of MISO. MISO was the first regional transmission organization (RTO) approved by the FERC as meeting its Order No. 2000 criteria. Minnesota Power and SWL&amp;P retain ownership of their respective transmission assets and control area functions, but their transmission network is under the regional operational control of MISO, and they take and provide transmission service under MISO open access transmission tariff. MISO continues its efforts to standardize rates, terms and conditions of transmission service over its broad region, which encompasses all or parts of 15 states and one Canadian province, and over 100,000 MW of generating capacity.</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MID-CONTINENT AREA POWER POOL (MAPP). Minnesota Power also participates in MAPP, a power pool operating in parts of eight states in the Upper Midwest and in two provinces in Canada. MAPP functions include a regional transmission committee and a generation reserve-sharing pool. Minnesota Power is also a member of the Midwest Reliability Organization that was established as a regional reliability council within the North American Electric Reliability Council on January 1, 2005.</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PUBLIC UTILITIES COMMISSION. Minnesota Power's retail rates are based on a 1994 MPUC retail rate order that allows for an 11.6% return on common equity dedicated to utility plant. Minnesota Power does not expect to file a request to increase rates for its retail utility operations during 2007. We will, however, continue to monitor the costs of serving our retail customers and evaluate the need for a rate filing in the future. Retail rates will be adjusted without a rate proceeding to reflect recovery of costs related to the Arrowhead Regional Emission Abatement plan (see AREA Plan).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CONTRACTS. In 2006, the MPUC approved Minnesota Power's new electric service agreement through August 2013 with Stora Enso's Duluth mills and a new electric service agreement through February 2011 with Blandin Paper's Grand Rapids facilities. Also in 2006, Minnesota Power reached an agreement with PolyMet Mining to provide all of its electric service needs through at least 2018. PolyMet Mining plans to begin commercial operations by late 2008, pending completion of financing arrangements and receipt of regulatory approvals. Once fully operational, it is anticipated that PolyMet will require approximately 70 MW. The PolyMet Mining electric service agreement requires MPUC approval.</w:t>
      </w:r>
    </w:p>
    <w:p>
      <w:pPr>
        <w:spacing w:after="0" w:line="16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RESOURCE PLAN. In September 2004, Minnesota Power filed its Integrated Resource Plan (Resource Plan) with the MPUC. A November 2006 update to our Advance Forecast contained a revised projection showing our winter peak demand by customers in our service territory is expected to increase at an average annual growth rate of 1.5% through 2011. We project an additional capacity need of approximately 150 MW by 2010, with another 200 MW of capacity need anticipated by 2015. These forecasted capacity needs are a combination of increased customer demand and decreases in our existing capacity supply. Increased demand is anticipated from residential and smaller commercial growth as well as from a positive outlook for our Large Power Customers in northeastern Minnesota. Minnesota Power will also realize a reduction in generating resource supply over the next two years under the terms of a long-term energy supply contract with Square Butte. The combination of increased demand and reduced supply means Minnesota Power will need to secure additional capacity and energy to serve our customers in future years. In the Resource Plan, we provided several options designed to replace the Square Butte reductions and meet the predicted growing demand in the region.</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2006, the MPUC approved our Resource Plan. One of the key components of the Resource Plan was the redirection of our Taconite Harbor generating facility from Nonregulated Energy Operations to Regulated Utility operations effective January 1, 2006. We have also entered into a 50-MW long-term power purchase agreement with Manitoba Hydro, which will be effective from May 2009 to April 2015. This agreement was executed in June 2006 and filed for approval with the MPUC in January 2007. The MPUC also approved expansion of our renewable generating assets to meet Minnesota's Renewable Energy Objective which seeks a 10% supply of qualified renewable energy resources for each Minnesota utility by 2015. In 2006, Oliver Wind I, a 50-MW wind facility in North Dakota, was constructed and placed in service. We began purchasing Oliver Wind I output under a 25-year power purchase agreement with an affiliate of FPL Energy in late December 2006.</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has executed a power purchase agreement for an additional 48 MW of wind energy from an expansion of Oliver Wind I. The expansion, Oliver Wind II, is expected to be completed and operational by late 2007. Minnesota Power is also pursuing additional agreements for wind energy from new facilities being planned within Minnesota Power's service territory and is considering 10 MW of additional hydro generation through an expansion of the Fond du Lac hydroelectric station.</w:t>
      </w:r>
    </w:p>
    <w:p>
      <w:pPr>
        <w:spacing w:after="0" w:line="33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Company is required to file its next Resource Plan with the MPUC by November 1, 2007.</w:t>
      </w:r>
    </w:p>
    <w:p>
      <w:pPr>
        <w:spacing w:after="0" w:line="1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are exploring various construction and purchase options for our anticipated resource needs in 2015. These options include:</w:t>
      </w:r>
    </w:p>
    <w:p>
      <w:pPr>
        <w:spacing w:after="0" w:line="160" w:lineRule="exact"/>
        <w:rPr>
          <w:sz w:val="20"/>
          <w:szCs w:val="20"/>
          <w:color w:val="auto"/>
        </w:rPr>
      </w:pPr>
    </w:p>
    <w:p>
      <w:pPr>
        <w:jc w:val="both"/>
        <w:ind w:left="780" w:right="3339" w:hanging="427"/>
        <w:spacing w:after="0" w:line="251"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DAKOTA GENERATION STUDY. In December 2005, Minnesota Power, Basin Electric Power Cooperative, Minnkota Power and Montana-Dakota Utilities Company announced a project development agreement to evaluate the feasibility of a joint lignite-fueled generating resource in the vicinity of the existing Milton R. Young generating station (which includes Square Butte) near Center, North Dakota. The feasibility study is currently underway and any final resource decision by Minnesota Power is subject to MPUC and other approvals.</w:t>
      </w:r>
    </w:p>
    <w:p>
      <w:pPr>
        <w:spacing w:after="0" w:line="163" w:lineRule="exact"/>
        <w:rPr>
          <w:rFonts w:ascii="Courier New" w:cs="Courier New" w:eastAsia="Courier New" w:hAnsi="Courier New"/>
          <w:sz w:val="14"/>
          <w:szCs w:val="14"/>
          <w:color w:val="auto"/>
        </w:rPr>
      </w:pPr>
    </w:p>
    <w:p>
      <w:pPr>
        <w:jc w:val="both"/>
        <w:ind w:left="780" w:right="3339" w:hanging="427"/>
        <w:spacing w:after="0" w:line="250"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MESABA ENERGY PROJECT. Excelsior Energy Inc. (Excelsior) is a Minnesota-based independent energy development company. Excelsior has proposed to construct two 600-MW (net) coal-gasification generation units in northern Minnesota. This project is in the early development stages but may be an option for our long-term forecasted energy and capacity needs. Excelsior says the facility could be operational in 2011, but it needs to obtain necessary permits and financing. In 2003, the Minnesota legislature enacted several provisions that provide Excelsior with special considerations, including requiring utilities within the state to "consider" Excelsior before pursuing new fossil-fuel-fired resource additions. This was done as part of Xcel Energy Inc.'s (Xcel) Prairie Island nuclear waste storage reauthorization. Excelsior is "entitled" to enter into a 450-MW power sales agreement with Xcel, subject to MPUC approval. In December 2005, Excelsior filed with the MPUC a petition for approval of terms and conditions for the sale of power to Xcel under these statutory provisions. Other utilities in the state, including Minnesota Power, "must consider" Excelsior before pursuing new fossil-fuel-fired resource additions. In January 2006, Minnesota Power filed comments with the MPUC in Excelsior's proposed power purchase agreement proceeding. Our comments focused on the importance to the state of maintaining a range of base load energy options including multiple fuel types and generating technologies. In April 2006, the MPUC referred Excelsior's petition to an administrative law proceeding to further develop the record in the case for subsequent MPUC deliberations. Minnesota Power continues to be a participant in these proceedings, focusing its comments on energy policy and infrastructure impacts.</w:t>
      </w:r>
    </w:p>
    <w:p>
      <w:pPr>
        <w:spacing w:after="0" w:line="342" w:lineRule="exact"/>
        <w:rPr>
          <w:rFonts w:ascii="Courier New" w:cs="Courier New" w:eastAsia="Courier New" w:hAnsi="Courier New"/>
          <w:sz w:val="14"/>
          <w:szCs w:val="14"/>
          <w:color w:val="auto"/>
        </w:rPr>
      </w:pPr>
    </w:p>
    <w:p>
      <w:pPr>
        <w:jc w:val="both"/>
        <w:ind w:left="780" w:right="3339" w:hanging="427"/>
        <w:spacing w:after="0" w:line="252"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GAS COMBINED CYCLE GENERATION. Minnesota Power is also continuing to study the feasibility of the construction of a natural gas-fired electric generating facility which could be located in northwestern Wisconsin or northeastern Minnesota.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38" w:orient="portrait"/>
          <w:cols w:equalWidth="0" w:num="1">
            <w:col w:w="10239"/>
          </w:cols>
          <w:pgMar w:left="220" w:top="616" w:right="1440" w:bottom="588"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ARROWHEAD REGIONAL EMISSION ABATEMENT PLAN (AREA PLAN). In May 2006, the MPUC approved Minnesota Power's $60 million environmental initiative. The AREA Plan approval allows Minnesota Power to recover Minnesota jurisdictional costs for SO2, NOX and mercury emission reductions made at its Taconite Harbor and Laskin facilities without a rate proceeding. The Minnesota cost recovery includes return on investment, depreciation, and incremental operations and maintenance expenses. The AREA Plan is expected to significantly reduce emissions from Taconite Harbor and Laskin, while maintaining a reliable and reasonably-priced energy supply to meet the needs of our customers. We believe that control and abatement technologies applicable to these plants have matured to the point where further significant air emission reductions can be attained in a relatively cost-effective manner.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Taconite Harbor will employ an innovative multi-emission reduction technology, while Laskin will receive a retrofit focused on lowering NOX emissions. The Company estimates an emission reduction of over 60% for NOX at both facilities and a 65% reduction in SO2 emissions at Taconite Harbor. Laskin already has relatively low emission levels of SO2 due to existing emission reduction technology. Additionally, with the emerging technology being applied at Taconite Harbor, there is the potential for a 90% reduction in mercury emissions.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completed installation of new equipment at the first of two Laskin units in November 2006, with the first of three Taconite Harbor unit installations anticipated to be completed by mid-2007. Work on all units at Taconite Harbor and Laskin is anticipated to be completed by the end of 2008. Cost recovery filings are required to be made 90 days prior to the anticipated in-service date for the equipment at each unit, with rate recovery beginning the month following the in-service date. We began cost recovery of AREA plan costs in December 2006 with the placement in service of Laskin Unit 2. We filed with the MPUC for cost recovery on Laskin Unit 1 in January 2007 and expect to begin cost recovery in May 2007. We anticipate beginning cost recovery on Taconite Harbor Unit 2 in mid-2007 and Taconite Harbor Units 1 and 3 in 2008. AREA plan expenditures as of December 31, 2006, were $11.4 million.</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BOSWELL UNIT 3 EMISSION REDUCTION PLAN. In May 2006, we announced plans to make emission reduction investments at our Boswell Unit 3 generating unit. Plans include reductions of particulate, SO2, NOX and mercury emissions to meet pending federal and state requirements. The estimated capital cost for these reductions is approximately $200 million, of which $14 million was spent in 2006 for design engineering and related costs. The balance is expected to be spent from 2007 through 2009. In October 2006, we submitted a filing to the MPCA for approval of the Boswell Unit 3 emission reduction plan. A filing with the MPUC for approval of Minnesota jurisdictional related expenditures on Boswell Unit 3 was made in January 2007 to allow cost recovery on these investments without a rate proceeding. MPUC approval would authorize a cash return on construction work in progress during the construction phase and allow recovery for a return on investment, depreciation, and incremental operations and maintenance expenses once the unit is placed into service in late 2009. We expect to begin cost recovery on construction work in progress in 2008. In 2007, we will be filing with the MPUC a request to extend the asset life for depreciation purposes on Boswell Unit 3 from 8 years to 29 years. We anticipate approval of this filing in 2007.</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CONSERVATION IMPROVEMENT PROGRAMS (CIP). Minnesota requires investor-owned electric utilities to spend a minimum of 1.5% of gross annual retail electric revenue on CIP each year. These investments are recovered from retail customers through a billing adjustment and amounts included in retail base rates. The MPUC allows utilities to accumulate, in a deferred account for future recovery, all CIP expenditures, as well as a carrying charge on the deferred account balance. Minnesota Power's CIP investment goal was $3.2 million for 2006 ($3.2 million for 2005; $3.1 million for 2004), with actual spending of $3.8 million in 2006 ($3.6 million in 2005; $3.1 million in 2004).</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PUBLIC SERVICE COMMISSION OF WISCONSIN. SWL&amp;P's current retail rates are based on a December 2006 PSCW retail rate order that became effective January 1, 2007, and allows for an 11.1% return on common equity. New rates reflect a 2.8% average increase in retail utility rates for SWL&amp;P customers (a 2.8% increase in electric rates, a 1.4% increase in natural gas rates and an 8.6% increase in water rates). SWL&amp;P originally requested an average increase in retail utility rates of 5.2% in its 2006 application. The approved rates were lower than originally requested due to the subsequent removal of costs for a new water tower and electric substation from the original request. Both of these projects are now estimated to be in service in late 2008 because of delays in obtaining all the necessary construction approvals. SWL&amp;P plans to file for another rate increase request in 2008. Previously, SWL&amp;P's retail rates were based on a 2005 PSCW retail order that allowed for an 11.7% return on common equity.</w:t>
      </w:r>
    </w:p>
    <w:p>
      <w:pPr>
        <w:spacing w:after="0" w:line="16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We believe the overall impact of the EPAct 2005 on the electric utility industry has been positive and are continuing to evaluate the effects on our business as this legislation is being implemented. This federal legislation is designed to bring more certainty to energy markets in which ALLETE participates, as well as to provide investment incentives for energy efficiency, energy infrastructure (such as electric transmission lines) and energy production. The FERC has the responsibility of implementing numerous new standards as a result of the promulgation of EPAct 2005. So far the FERC's regulatory efforts appear to be generally positive for the utility industry.</w:t>
      </w:r>
    </w:p>
    <w:p>
      <w:pPr>
        <w:spacing w:after="0" w:line="164"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EPAct 2005's repeal of the PUHCA 1935 should result in more capital flowing into the industry, while providing additional operational flexibility. The PUHCA 1935 repeal may also allow an acceleration of merger activity, as well as spawn moves by state regulators to adopt PUHCA-like regulations, although both events are speculative and difficult to predict.</w:t>
      </w:r>
    </w:p>
    <w:p>
      <w:pPr>
        <w:spacing w:after="0" w:line="165" w:lineRule="exact"/>
        <w:rPr>
          <w:sz w:val="20"/>
          <w:szCs w:val="20"/>
          <w:color w:val="auto"/>
        </w:rPr>
      </w:pPr>
    </w:p>
    <w:p>
      <w:pPr>
        <w:jc w:val="both"/>
        <w:ind w:right="4640"/>
        <w:spacing w:after="0" w:line="247" w:lineRule="auto"/>
        <w:rPr>
          <w:sz w:val="20"/>
          <w:szCs w:val="20"/>
          <w:color w:val="auto"/>
        </w:rPr>
      </w:pPr>
      <w:r>
        <w:rPr>
          <w:rFonts w:ascii="Courier New" w:cs="Courier New" w:eastAsia="Courier New" w:hAnsi="Courier New"/>
          <w:sz w:val="14"/>
          <w:szCs w:val="14"/>
          <w:color w:val="auto"/>
        </w:rPr>
        <w:t>We cannot predict the timing or substance of any future legislation or regulation.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FRANCHISES</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Minnesota Power holds franchises to construct and maintain an electric distribution and transmission system in 90 cities and towns located within its electric service territory. SWL&amp;P holds similar franchises for electric, natural gas and/or water systems in 15 cities and towns within its service territory. The remaining cities and towns served do not require a franchise to operate within their boundaries. Our exclusive service territories are established by state regulatory agencies.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NONREGULATED ENERGY OPERATIONS</w:t>
      </w:r>
    </w:p>
    <w:p>
      <w:pPr>
        <w:spacing w:after="0" w:line="173" w:lineRule="exact"/>
        <w:rPr>
          <w:sz w:val="20"/>
          <w:szCs w:val="20"/>
          <w:color w:val="auto"/>
        </w:rPr>
      </w:pPr>
    </w:p>
    <w:p>
      <w:pPr>
        <w:jc w:val="both"/>
        <w:ind w:right="4640"/>
        <w:spacing w:after="0" w:line="250" w:lineRule="auto"/>
        <w:rPr>
          <w:sz w:val="20"/>
          <w:szCs w:val="20"/>
          <w:color w:val="auto"/>
        </w:rPr>
      </w:pPr>
      <w:r>
        <w:rPr>
          <w:rFonts w:ascii="Courier New" w:cs="Courier New" w:eastAsia="Courier New" w:hAnsi="Courier New"/>
          <w:sz w:val="14"/>
          <w:szCs w:val="14"/>
          <w:color w:val="auto"/>
        </w:rPr>
        <w:t>BNI COAL owns and operates a lignite mine in North Dakota. BNI Coal is a low-cost supplier of lignite in North Dakota, producing about 4 million tons annually. Two electric generating cooperatives, Minnkota Power and Square Butte, presently consume virtually all of BNI Coal's production of lignite under cost plus a fixed fee coal supply agreements expiring in 2027. (See Fuel and Note 8.) The mining process disturbs and reclaims approximately 210 acres per year. Laws require that the reclaimed land be at least as productive as it was prior to mining. The average cost to reclaim one acre of land is about $15,000, however, could be as high as $30,000. Reclamation costs are included in the cost of coal passed through to customers. In September 2004, BNI Coal entered into a master lease agreement with Farm Credit Leasing Services Corporation (Farm Credit). Under this agreement, BNI Coal leases a dragline that went into operation September 30, 2004. BNI Coal is obligated to make lease payments totaling $2.8 million annually for the 23-year lease term, which expires in 2027. BNI Coal will have the option at the end of the lease term to renew the lease at a fair market rental, to purchase the dragline at fair market value, or to surrender the dragline to Farm Credit and pay a $3.0 million termination fee. With lignite reserves of an estimated 600 million tons and new dragline equipment, BNI Coal has ample capacity to expand production.</w:t>
      </w:r>
    </w:p>
    <w:p>
      <w:pPr>
        <w:spacing w:after="0" w:line="339"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NONREGULATED GENERATION consists of approximately 50 MW of generation, the majority of which is dedicated to the needs of one customer. In 2006, we sold 0.2 million MWh of nonregulated generation (1.5 million in 2005; 1.5 million in 2004). Effective January 1, 2006, Taconite Harbor was redirected from our Nonregulated Energy Operations segment to our Regulated Utility segment in accordance with the Company's Resource Plan, as approved by the MPUC.</w:t>
      </w:r>
    </w:p>
    <w:p>
      <w:pPr>
        <w:spacing w:after="0" w:line="200" w:lineRule="exact"/>
        <w:rPr>
          <w:sz w:val="20"/>
          <w:szCs w:val="20"/>
          <w:color w:val="auto"/>
        </w:rPr>
      </w:pPr>
    </w:p>
    <w:p>
      <w:pPr>
        <w:spacing w:after="0" w:line="296" w:lineRule="exact"/>
        <w:rPr>
          <w:sz w:val="20"/>
          <w:szCs w:val="20"/>
          <w:color w:val="auto"/>
        </w:rPr>
      </w:pPr>
    </w:p>
    <w:p>
      <w:pPr>
        <w:ind w:left="4400"/>
        <w:spacing w:after="0"/>
        <w:tabs>
          <w:tab w:leader="none" w:pos="6280" w:val="left"/>
          <w:tab w:leader="none" w:pos="8000" w:val="left"/>
          <w:tab w:leader="none" w:pos="9540" w:val="left"/>
        </w:tabs>
        <w:rPr>
          <w:sz w:val="20"/>
          <w:szCs w:val="20"/>
          <w:color w:val="auto"/>
        </w:rPr>
      </w:pPr>
      <w:r>
        <w:rPr>
          <w:rFonts w:ascii="Courier New" w:cs="Courier New" w:eastAsia="Courier New" w:hAnsi="Courier New"/>
          <w:sz w:val="14"/>
          <w:szCs w:val="14"/>
          <w:color w:val="auto"/>
        </w:rPr>
        <w:t>UNIT</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spacing w:after="0"/>
        <w:tabs>
          <w:tab w:leader="none" w:pos="4460" w:val="left"/>
          <w:tab w:leader="none" w:pos="6100" w:val="left"/>
          <w:tab w:leader="none" w:pos="7820" w:val="left"/>
          <w:tab w:leader="none" w:pos="9200" w:val="left"/>
        </w:tabs>
        <w:rPr>
          <w:sz w:val="20"/>
          <w:szCs w:val="20"/>
          <w:color w:val="auto"/>
        </w:rPr>
      </w:pPr>
      <w:r>
        <w:rPr>
          <w:rFonts w:ascii="Courier New" w:cs="Courier New" w:eastAsia="Courier New" w:hAnsi="Courier New"/>
          <w:sz w:val="14"/>
          <w:szCs w:val="14"/>
          <w:color w:val="auto"/>
        </w:rPr>
        <w:t>NONREGULATED POWER SUPPLY</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INSTALLED</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CAPABILITY</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1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Wood-Fired</w:t>
            </w:r>
          </w:p>
        </w:tc>
        <w:tc>
          <w:tcPr>
            <w:tcW w:w="1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Cloquet Energy Center</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in Cloquet, MN</w:t>
            </w:r>
          </w:p>
        </w:tc>
        <w:tc>
          <w:tcPr>
            <w:tcW w:w="1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3320" w:type="dxa"/>
            <w:vAlign w:val="bottom"/>
          </w:tcPr>
          <w:p>
            <w:pPr>
              <w:ind w:left="780"/>
              <w:spacing w:after="0"/>
              <w:rPr>
                <w:sz w:val="20"/>
                <w:szCs w:val="20"/>
                <w:color w:val="auto"/>
              </w:rPr>
            </w:pPr>
            <w:r>
              <w:rPr>
                <w:rFonts w:ascii="Courier New" w:cs="Courier New" w:eastAsia="Courier New" w:hAnsi="Courier New"/>
                <w:sz w:val="14"/>
                <w:szCs w:val="14"/>
                <w:color w:val="auto"/>
              </w:rPr>
              <w:t>Rapids Energy Center</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 &amp; 7</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1969, 1980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 Grand Rapids, MN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9"/>
              </w:rPr>
              <w:t>Hydro</w:t>
            </w: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Conventional</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Run-of-River</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Rapids Energy Center</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 &amp; 5</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1917</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 Grand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Rapids, MN</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Supplemented by coal.</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net generation is primarily dedicated to the needs of one customer.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1540"/>
          </w:cols>
          <w:pgMar w:left="220" w:top="616" w:right="139" w:bottom="588"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ENERGY - NONREGULATED ENERGY OPERATIONS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TACONITE HARBOR. In 2002, we commenced operation of the Taconite Harbor generating facilities, which we purchased in 2001. The generation output was primarily sold in the wholesale market and was sold in limited circumstances to Minnesota Power's retail utility customers. Under the terms of our Resource Plan, we have operated the Taconite Harbor facility as a rate-based asset within the Minnesota retail jurisdiction since January 1, 2006. Prior to January 1, 2006, we operated our Taconite Harbor facility as nonregulated generation. (See Energy - Regulated Utility - Minnesota Public Utilities Commission.)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RAINY RIVER ENERGY has been engaged in the acquisition and development of nonregulated generation and wholesale power marketing. On April 1, 2005, Rainy River Energy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which is in effect through mid-September 2017. In addition, consent, advisory and closing costs of $4.9 million were incurred to complete the transaction. As a result of this transaction, ALLETE incurred a $77.9 million ($50.4 million after tax, or $1.84 per diluted share) charge in 2005.</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RAINY RIVER ENERGY CORPORATION - WISCONSIN continues to study the feasibility of the construction of a natural gas-fired electric generating facility in northwestern Wisconsin. In accordance with the PSCW's final order approving the project, Rainy River Energy Corporation - Wisconsin undertook preliminary site preparation work in late 2003.</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MINNESOTA LAND. We have about 15,000 acres of land in northern Minnesota, which is available for sale. We acquired this land in 2001 at the time we purchased Taconite Harbor from LTV Steel Mining Co. The cost basis of this land was $4.3 million at December 31, 2006.</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INVESTMENT IN ATC</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December 2005, we entered into an agreement with Wisconsin Public Service Corporation and WPS Investments, LLC that provides for our Wisconsin subsidiary, Rainy River Energy Corporation - Wisconsin, to invest $60 million in ATC. ATC is a Wisconsin-based public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In May 2006, the PSCW reviewed and approved the request that allows us to invest in ATC. During 2006, we invested $51.4 million in ATC. We plan to invest an additional $8.6 million in ATC in early 2007 to reach our $60 million investment commitment and estimated 8% ownership interest. As of December 31, 2006, our equity investment balance in ATC was $53.7 million, representing approximately a 7% ownership interest. (See Note 6.) We will have the opportunity to make additional investments in ATC through general capital calls based upon our pro-rata investment level in ATC.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ALLETE Properties is our real estate business that has operated in Florida since 1991. ALLETE Properties acquires real estate portfolios and large land tracts at bulk prices, adds value through entitlements and/or infrastructure improvements, and resells the property over time to developers, end-users and investors. ALLETE Properties is focused on acquiring vacant land in Florida and other parts of the southeast United States. Management at ALLETE Properties uses their business relationships, understanding of real estate markets and expertise in the land development and sales processes to provide revenue and earnings growth opportunities to ALLETE.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Properties is headquartered in Fort Myers, Florida, the location of its southwest Florida regional office. We also have a regional office in Palm Coast, Florida, which oversees northeast Florida operations.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Southwest Florida operations consist of land sales and a third-party brokerage business, with limited land development activities. Inventory includes commercial and residential land located in Lehigh Acres and Cape Coral. The inventory represents the remaining properties acquired in 1991 from the Resolution Trust Corporation and in 1999 from Avatar Properties, Inc. The operation also generates rental income from a 186,000 square foot retail shopping center located in Winter Haven, Florida. The center is anchored by Macy's and Belk's department stores, along with Staples.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Northeast Florida operations focus on land sales and development activities. Development activities involve mainly zoning, permitting, platting and master infrastructure construction. Development costs are financed through a combination of community development district bonds, bank loans and internally-generated funds. Our three major development projects include Town Center at Palm Coast, Palm Coast Park and Ormond Crossings.</w:t>
      </w:r>
    </w:p>
    <w:p>
      <w:pPr>
        <w:spacing w:after="0" w:line="16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088"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REAL ESTATE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TOWN CENTER. Town Center, which is located in the city of Palm Coast, is a mixed-use development with a neo-traditional downtown core area. Surrounded by major arterial roads, including Interstate 95, Town Center is adjacent to the Florida Hospital-Flagler, the Flagler County Airport and the Flagler Palm Coast High School. Sites have also been set aside for a new city hall, an arts and entertainment center, and other public uses. At build-out, Town Center is expected to include over 2,900 residential units, including lodging facilities, and 3.7 million square feet of various types of commercial space, including a movie theater. Future market conditions will determine how quickly Town Center is built out.</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Construction of the major infrastructure improvements commenced in March 2005 and was substantially complete at the end of 2006. Infrastructure improvements include 3.6 miles of roads, a master storm water management system, underground utilities, street lights, sidewalks and bike paths, and extensive landscaping.</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2005, the Town Center at Palm Coast Community Development District (Town Center District) issued $26.4 million of tax exempt, 6% Capital Improvement Revenue Bonds, Series 2005, which are payable over 31 years (by May 1, 2036). The bond proceeds (less capitalized interest, a debt service reserve fund and cost of issuance) were used to pay for the construction of a portion of the major infrastructure improvements at Town Center. The bonds are being repaid by special assessments on all buildable land within Town Center. The special assessments were billed to Town Center landowners beginning in November 2006. To the extent that we still own land at the time of the assessment, we recognize the cost of our portion of these assessments based upon our ownership of benefited property. At December 31, 2006, we owned approximately 73% of the assessable land in the Town Center District. As we sell property, the obligation to pay special assessments will pass to the new landowners.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Additional Town Center development costs not funded through the Town Center District bond financing, estimated at $30 million (up to $11 million can be offset through traffic impact fee credits received over the life of the project), are being partially funded through an $8.5 million revolving development loan. The borrower is Florida Landmark. The development loan is guaranteed by Lehigh Acquisition Corporation. Florida Landmark is a wholly-owned subsidiary of Lehigh Acquisition Corporation which is an 80% owned subsidiary of ALLETE.</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Pending land sales under contract for properties at Town Center were $40.1 million at December 31, 2006. We have the opportunity to receive participation revenue as part of one of these sales contracts. Among the pending Town Center sales contracts is a contract with Developers Realty Corporation (DRC) to develop projects in the downtown core area and a large retail shopping center on a 50-acre tract. DRC has entered into an agreement to form a joint venture with Weingarten Realty Investors (Weingarten). DRC/Weingarten has a commitment from a major national retail anchor for the retail shopping center.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Throughout 2005 and 2006, we focused on platting phases 1 and 2, which include the major roads and lots for a variety of uses, and developing the major infrastructure at Town Center. During that period, our marketing program targeted a blend of office, retail, commercial, residential and mixed-use project developers. In December 2006, a Publix grocery store anchored retail center opened and construction started on an 84,000 square foot medical center. Twenty other projects are in the permitting stage, 11 of which are expected to break ground in 2007. Future marketing efforts will focus on attracting the following additional land uses to Town Center: residential apartments, assisted living facilities, business park uses, and restaurants.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PALM COAST PARK. Palm Coast Park, which is located in the city of Palm Coast, is a 4,700-acre mixed-use development bisected by a 6-mile segment of U.S. Highway 1 about one mile from an existing Interstate 95 interchange and bounded on the west by a Florida East Coast Railroad rail line. At build-out, the project will include approximately 3.2 million square feet of commercial space and about 3,900 residential units ranging from affordable condominium units and apartments to estate golf course homes. Future market conditions will determine how quickly Palm Coast Park is built out.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May 2006, the Palm Coast Park Community Development District (Palm Coast Park District) issued $31.8 million of tax exempt, 5.7% Special Assessment Bonds, Series 2006, which are payable over 31 years (by May 1, 2037). The bond proceeds (less capitalized interest, a debt service reserve fund and cost of issuance) are being used to pay for the construction of the major infrastructure improvements at Palm Coast Park and to mitigate traffic and environmental impacts. The bonds will be repaid by special assessments on all buildable land within Palm Coast Park. The special assessments will be billed to Palm Coast Park landowners beginning in November 2007. To the extent that we still own land at the time of the assessment, we will recognize the cost of our portion of these assessments based upon our ownership of benefited property. At December 31, 2006, we owned approximately 97% of the assessable land in the Palm Coast Park District. As we sell property, the obligation to pay special assessments will pass to the new landowners.</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funding certain platting and permitting costs; however, the majority of ongoing and future development costs will be funded by Palm Coast Park District bond proceeds. We anticipate that the Palm Coast Park District will need to issue additional bonds to pay for the development of retail commercial, office and industrial lots.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Major infrastructure construction began in December 2006 and is expected to be completed in 2007. Commercial and industrial lots will be offered for sale in 2007, with closings anticipated to begin in 2008.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239"/>
          </w:cols>
          <w:pgMar w:left="220" w:top="616"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REAL ESTATE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Pending land sales under contract for properties at Palm Coast Park were $62.8 million at December 31, 2006. We have the opportunity to receive participation revenue as part of these sales contracts. One of the pending sales contracts is for the sale of five residential tracts and one commercial tract for $52.5 million. That sales contract provides for closings in 2007, 2008 and 2009. The project, which is named Sawmill Creek, will include up to 1,469 residential housing units, a championship golf course and neighborhood retail office space, along with a community park and elementary school. Other contracts include a residential tract for an affordable condominium project and a 600-unit single-family residential project that will be connected to the existing Matanzas Woods golf course neighborhood.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ORMOND CROSSINGS. Ormond Crossings is a 6,000-acre mixed-use development that is located in both the city of Ormond Beach in Volusia County and unincorporated Flagler County. The site is bisected by Interstate 95 and a Florida East Coast Railroad rail line and is adjacent to the city of Ormond Beach airport. Ormond Crossings has three miles of frontage on the east and west sides of Interstate 95 and will have two main entrances each within a mile from an existing U.S. Highway 1 and Interstate 95 interchange.</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Development of Regional Impact (DRI) development order for Ormond Crossings was approved by the city of Ormond Beach in December 2006, and provides for 5 million square feet of various types of commercial land uses and up to 3,700 residential units to be built in four phases. The Flagler County DRI development order is under review by the Flagler County Commission and, if approved, we will receive entitlements for up to 700 additional residential units. Actual build-out, however, will consider market demand as well as infrastructure and mitigation costs. Most of the developable part of Ormond Crossings is located in the city of Ormond Beach, so the project is not dependent upon receiving any further land use approvals from Flagler County. The Flagler County portion of the project will be mainly permitted for a wetland mitigation bank. Applications to permit the wetland mitigation bank were submitted in 2006 to St. Johns River Water Management District and the U.S. Army Corps of Engineers. Wetland mitigation credits will be used in connection with the permitting of development at Ormond Crossings and can also be sold to other developers.</w:t>
      </w:r>
    </w:p>
    <w:p>
      <w:pPr>
        <w:spacing w:after="0" w:line="17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After an agreement is finalized with the Florida Department of Transportation concerning traffic mitigation costs, we will determine the best economic build-out of the project. The agreement and economic analysis are expected to be completed in 2007.</w:t>
      </w:r>
    </w:p>
    <w:p>
      <w:pPr>
        <w:spacing w:after="0" w:line="162" w:lineRule="exact"/>
        <w:rPr>
          <w:sz w:val="20"/>
          <w:szCs w:val="20"/>
          <w:color w:val="auto"/>
        </w:rPr>
      </w:pPr>
    </w:p>
    <w:p>
      <w:pPr>
        <w:spacing w:after="0"/>
        <w:tabs>
          <w:tab w:leader="none" w:pos="1100" w:val="left"/>
          <w:tab w:leader="none" w:pos="3080" w:val="left"/>
        </w:tabs>
        <w:rPr>
          <w:sz w:val="20"/>
          <w:szCs w:val="20"/>
          <w:color w:val="auto"/>
        </w:rPr>
      </w:pPr>
      <w:r>
        <w:rPr>
          <w:rFonts w:ascii="Courier New" w:cs="Courier New" w:eastAsia="Courier New" w:hAnsi="Courier New"/>
          <w:sz w:val="14"/>
          <w:szCs w:val="14"/>
          <w:color w:val="auto"/>
        </w:rPr>
        <w:t>Engineering</w:t>
        <w:tab/>
        <w:t>design and permitting</w:t>
        <w:tab/>
        <w:t>will be ongoing as the project is developed.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anticipate Ormond Crossings land sales closings starting in 2009.</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OTHER LAND. In addition to the major development projects, land inventories in Florida include 3,300 acres of other property. Several smaller development projects are under way to plat these properties, add infrastructure, and modify and enhance existing entitlements.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Property sale prices may vary depending on location; physical characteristics; parcel size; whether parcels are sold as raw land, partially developed land or individually developed lots; degree and status of entitlement; and whether the land is ultimately purchased for residential, commercial or other form of development. In addition to minimum base price contracts, certain contracts allow us to receive participation revenue from land sales to third parties if various formula-based criteria are achieved.</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Properties occasionally provides seller financing. At December 31, 2006, outstanding finance receivables were $18.3 million, with maturities ranging up to ten years. These finance receivables accrue interest at market-based rates and are collateralized by the financed properties.</w:t>
      </w:r>
    </w:p>
    <w:p>
      <w:pPr>
        <w:spacing w:after="0" w:line="162"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19" w:name="page20"/>
    <w:bookmarkEnd w:id="19"/>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(CONTINUED)</w:t>
      </w:r>
    </w:p>
    <w:p>
      <w:pPr>
        <w:sectPr>
          <w:pgSz w:w="11900" w:h="16887" w:orient="portrait"/>
          <w:cols w:equalWidth="0" w:num="1">
            <w:col w:w="11040"/>
          </w:cols>
          <w:pgMar w:left="220" w:top="616" w:right="639"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DEVELOPMENT PROJECTS</w:t>
      </w:r>
    </w:p>
    <w:p>
      <w:pPr>
        <w:spacing w:after="0" w:line="7" w:lineRule="exact"/>
        <w:rPr>
          <w:sz w:val="20"/>
          <w:szCs w:val="20"/>
          <w:color w:val="auto"/>
        </w:rPr>
      </w:pPr>
    </w:p>
    <w:p>
      <w:pPr>
        <w:spacing w:after="0"/>
        <w:tabs>
          <w:tab w:leader="none" w:pos="5240" w:val="left"/>
          <w:tab w:leader="none" w:pos="6880" w:val="left"/>
        </w:tabs>
        <w:rPr>
          <w:sz w:val="20"/>
          <w:szCs w:val="20"/>
          <w:color w:val="auto"/>
        </w:rPr>
      </w:pPr>
      <w:r>
        <w:rPr>
          <w:rFonts w:ascii="Courier New" w:cs="Courier New" w:eastAsia="Courier New" w:hAnsi="Courier New"/>
          <w:sz w:val="14"/>
          <w:szCs w:val="14"/>
          <w:color w:val="auto"/>
        </w:rPr>
        <w:t>FOR THE YEAR ENDED</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RESIDENTIAL</w:t>
      </w:r>
    </w:p>
    <w:p>
      <w:pPr>
        <w:spacing w:after="0" w:line="7" w:lineRule="exact"/>
        <w:rPr>
          <w:sz w:val="20"/>
          <w:szCs w:val="20"/>
          <w:color w:val="auto"/>
        </w:rPr>
      </w:pPr>
    </w:p>
    <w:p>
      <w:pPr>
        <w:spacing w:after="0"/>
        <w:tabs>
          <w:tab w:leader="none" w:pos="3520" w:val="left"/>
          <w:tab w:leader="none" w:pos="5240" w:val="left"/>
          <w:tab w:leader="none" w:pos="6620" w:val="left"/>
          <w:tab w:leader="none" w:pos="8000" w:val="left"/>
        </w:tabs>
        <w:rPr>
          <w:sz w:val="20"/>
          <w:szCs w:val="20"/>
          <w:color w:val="auto"/>
        </w:rPr>
      </w:pPr>
      <w:r>
        <w:rPr>
          <w:rFonts w:ascii="Courier New" w:cs="Courier New" w:eastAsia="Courier New" w:hAnsi="Courier New"/>
          <w:sz w:val="14"/>
          <w:szCs w:val="14"/>
          <w:color w:val="auto"/>
        </w:rPr>
        <w:t>DECEMBER 31, 2006</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SQ. 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w:t>
      </w:r>
    </w:p>
    <w:p>
      <w:pPr>
        <w:spacing w:after="0" w:line="172" w:lineRule="exact"/>
        <w:rPr>
          <w:sz w:val="20"/>
          <w:szCs w:val="20"/>
          <w:color w:val="auto"/>
        </w:rPr>
      </w:pPr>
    </w:p>
    <w:p>
      <w:pPr>
        <w:sectPr>
          <w:pgSz w:w="11900" w:h="16887" w:orient="portrait"/>
          <w:cols w:equalWidth="0" w:num="2">
            <w:col w:w="8620" w:space="80"/>
            <w:col w:w="2340"/>
          </w:cols>
          <w:pgMar w:left="220" w:top="616" w:right="6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336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80%</w:t>
            </w: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3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1,480</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2,833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2,927,700</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3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(401,971)</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33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162</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179,581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1,356</w:t>
      </w:r>
      <w:r>
        <w:rPr>
          <w:sz w:val="20"/>
          <w:szCs w:val="20"/>
          <w:color w:val="auto"/>
        </w:rPr>
        <w:tab/>
      </w:r>
      <w:r>
        <w:rPr>
          <w:rFonts w:ascii="Courier New" w:cs="Courier New" w:eastAsia="Courier New" w:hAnsi="Courier New"/>
          <w:sz w:val="14"/>
          <w:szCs w:val="14"/>
          <w:color w:val="auto"/>
        </w:rPr>
        <w:t>2,222</w:t>
      </w:r>
      <w:r>
        <w:rPr>
          <w:sz w:val="20"/>
          <w:szCs w:val="20"/>
          <w:color w:val="auto"/>
        </w:rPr>
        <w:tab/>
      </w:r>
      <w:r>
        <w:rPr>
          <w:rFonts w:ascii="Courier New" w:cs="Courier New" w:eastAsia="Courier New" w:hAnsi="Courier New"/>
          <w:sz w:val="14"/>
          <w:szCs w:val="14"/>
          <w:color w:val="auto"/>
        </w:rPr>
        <w:t>2,705,310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34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100%</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34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4,705</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34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(368)</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34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360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4,337</w:t>
      </w:r>
      <w:r>
        <w:rPr>
          <w:sz w:val="20"/>
          <w:szCs w:val="20"/>
          <w:color w:val="auto"/>
        </w:rPr>
        <w:tab/>
      </w:r>
      <w:r>
        <w:rPr>
          <w:rFonts w:ascii="Courier New" w:cs="Courier New" w:eastAsia="Courier New" w:hAnsi="Courier New"/>
          <w:sz w:val="14"/>
          <w:szCs w:val="14"/>
          <w:color w:val="auto"/>
        </w:rPr>
        <w:t>3,760</w:t>
      </w:r>
      <w:r>
        <w:rPr>
          <w:sz w:val="20"/>
          <w:szCs w:val="20"/>
          <w:color w:val="auto"/>
        </w:rPr>
        <w:tab/>
      </w:r>
      <w:r>
        <w:rPr>
          <w:rFonts w:ascii="Courier New" w:cs="Courier New" w:eastAsia="Courier New" w:hAnsi="Courier New"/>
          <w:sz w:val="14"/>
          <w:szCs w:val="14"/>
          <w:color w:val="auto"/>
        </w:rPr>
        <w:t>3,156,800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Ormond Crossings</w:t>
            </w:r>
          </w:p>
        </w:tc>
        <w:tc>
          <w:tcPr>
            <w:tcW w:w="152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31, 2005</w:t>
            </w:r>
          </w:p>
        </w:tc>
        <w:tc>
          <w:tcPr>
            <w:tcW w:w="2760" w:type="dxa"/>
            <w:vAlign w:val="bottom"/>
          </w:tcPr>
          <w:p>
            <w:pPr>
              <w:ind w:left="2320"/>
              <w:spacing w:after="0"/>
              <w:rPr>
                <w:sz w:val="20"/>
                <w:szCs w:val="20"/>
                <w:color w:val="auto"/>
              </w:rPr>
            </w:pPr>
            <w:r>
              <w:rPr>
                <w:rFonts w:ascii="Courier New" w:cs="Courier New" w:eastAsia="Courier New" w:hAnsi="Courier New"/>
                <w:sz w:val="14"/>
                <w:szCs w:val="14"/>
                <w:color w:val="auto"/>
                <w:w w:val="99"/>
              </w:rPr>
              <w:t>5,960</w:t>
            </w:r>
          </w:p>
        </w:tc>
      </w:tr>
      <w:tr>
        <w:trPr>
          <w:trHeight w:val="166"/>
        </w:trPr>
        <w:tc>
          <w:tcPr>
            <w:tcW w:w="29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Change in Estimate</w:t>
            </w:r>
          </w:p>
        </w:tc>
        <w:tc>
          <w:tcPr>
            <w:tcW w:w="2760" w:type="dxa"/>
            <w:vAlign w:val="bottom"/>
          </w:tcPr>
          <w:p>
            <w:pPr>
              <w:ind w:left="232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5,960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11,653</w:t>
      </w:r>
      <w:r>
        <w:rPr>
          <w:sz w:val="20"/>
          <w:szCs w:val="20"/>
          <w:color w:val="auto"/>
        </w:rPr>
        <w:tab/>
      </w:r>
      <w:r>
        <w:rPr>
          <w:rFonts w:ascii="Courier New" w:cs="Courier New" w:eastAsia="Courier New" w:hAnsi="Courier New"/>
          <w:sz w:val="14"/>
          <w:szCs w:val="14"/>
          <w:color w:val="auto"/>
        </w:rPr>
        <w:t>5,982</w:t>
      </w:r>
      <w:r>
        <w:rPr>
          <w:sz w:val="20"/>
          <w:szCs w:val="20"/>
          <w:color w:val="auto"/>
        </w:rPr>
        <w:tab/>
      </w:r>
      <w:r>
        <w:rPr>
          <w:rFonts w:ascii="Courier New" w:cs="Courier New" w:eastAsia="Courier New" w:hAnsi="Courier New"/>
          <w:sz w:val="14"/>
          <w:szCs w:val="14"/>
          <w:color w:val="auto"/>
        </w:rPr>
        <w:t>5,862,110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80" w:hanging="344"/>
        <w:spacing w:after="0" w:line="257" w:lineRule="auto"/>
        <w:rPr>
          <w:sz w:val="20"/>
          <w:szCs w:val="20"/>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w:t>
      </w:r>
    </w:p>
    <w:p>
      <w:pPr>
        <w:spacing w:after="0" w:line="157" w:lineRule="exact"/>
        <w:rPr>
          <w:sz w:val="20"/>
          <w:szCs w:val="20"/>
          <w:color w:val="auto"/>
        </w:rPr>
      </w:pPr>
    </w:p>
    <w:p>
      <w:pPr>
        <w:ind w:left="440" w:right="520" w:hanging="344"/>
        <w:spacing w:after="0" w:line="247" w:lineRule="auto"/>
        <w:rPr>
          <w:sz w:val="20"/>
          <w:szCs w:val="20"/>
          <w:color w:val="auto"/>
        </w:rPr>
      </w:pPr>
      <w:r>
        <w:rPr>
          <w:rFonts w:ascii="Courier New" w:cs="Courier New" w:eastAsia="Courier New" w:hAnsi="Courier New"/>
          <w:sz w:val="14"/>
          <w:szCs w:val="14"/>
          <w:color w:val="auto"/>
        </w:rPr>
        <w:t>Estimated and</w:t>
      </w:r>
      <w:r>
        <w:rPr>
          <w:sz w:val="20"/>
          <w:szCs w:val="20"/>
          <w:color w:val="auto"/>
        </w:rPr>
        <w:t xml:space="preserve"> </w:t>
      </w:r>
      <w:r>
        <w:rPr>
          <w:rFonts w:ascii="Courier New" w:cs="Courier New" w:eastAsia="Courier New" w:hAnsi="Courier New"/>
          <w:sz w:val="14"/>
          <w:szCs w:val="14"/>
          <w:color w:val="auto"/>
        </w:rPr>
        <w:t>includes minority interest. The actual property breakdown at full build-out may be different than these estimates.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Includes industrial, office and retail square footage.</w:t>
      </w:r>
    </w:p>
    <w:p>
      <w:pPr>
        <w:spacing w:after="0" w:line="7" w:lineRule="exact"/>
        <w:rPr>
          <w:sz w:val="20"/>
          <w:szCs w:val="20"/>
          <w:color w:val="auto"/>
        </w:rPr>
      </w:pPr>
    </w:p>
    <w:p>
      <w:pPr>
        <w:ind w:left="440" w:right="180" w:hanging="344"/>
        <w:spacing w:after="0" w:line="252" w:lineRule="auto"/>
        <w:rPr>
          <w:sz w:val="20"/>
          <w:szCs w:val="20"/>
          <w:color w:val="auto"/>
        </w:rPr>
      </w:pPr>
      <w:r>
        <w:rPr>
          <w:rFonts w:ascii="Courier New" w:cs="Courier New" w:eastAsia="Courier New" w:hAnsi="Courier New"/>
          <w:sz w:val="14"/>
          <w:szCs w:val="14"/>
          <w:color w:val="auto"/>
        </w:rPr>
        <w:t>A development order approval from the city of Ormond Crossings was received in December 2006, for up to 3,700 residential units and 5 million commercial square feet. A development order from Flagler County is currently under review, and if approved, Ormond Crossings will receive entitlements for up to 700 additional residential units. Actual build-out, however, will consider market demand as well as infrastructure and mitigation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spacing w:after="0"/>
        <w:tabs>
          <w:tab w:leader="none" w:pos="3260" w:val="left"/>
          <w:tab w:leader="none" w:pos="4460" w:val="left"/>
          <w:tab w:leader="none" w:pos="5320" w:val="left"/>
          <w:tab w:leader="none" w:pos="6440" w:val="left"/>
          <w:tab w:leader="none" w:pos="7660" w:val="left"/>
          <w:tab w:leader="none" w:pos="8780" w:val="left"/>
        </w:tabs>
        <w:rPr>
          <w:sz w:val="20"/>
          <w:szCs w:val="20"/>
          <w:color w:val="auto"/>
        </w:rPr>
      </w:pPr>
      <w:r>
        <w:rPr>
          <w:rFonts w:ascii="Courier New" w:cs="Courier New" w:eastAsia="Courier New" w:hAnsi="Courier New"/>
          <w:sz w:val="14"/>
          <w:szCs w:val="14"/>
          <w:color w:val="auto"/>
        </w:rPr>
        <w:t>DECEMBER 31, 2006</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Palm Coast Holdings</w:t>
            </w:r>
          </w:p>
        </w:tc>
        <w:tc>
          <w:tcPr>
            <w:tcW w:w="24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80%</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At December</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31, 2005</w:t>
            </w:r>
          </w:p>
        </w:tc>
        <w:tc>
          <w:tcPr>
            <w:tcW w:w="2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2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Contributed</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Land</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200" w:val="left"/>
        </w:tabs>
        <w:rPr>
          <w:sz w:val="20"/>
          <w:szCs w:val="20"/>
          <w:color w:val="auto"/>
        </w:rPr>
      </w:pPr>
      <w:r>
        <w:rPr>
          <w:rFonts w:ascii="Courier New" w:cs="Courier New" w:eastAsia="Courier New" w:hAnsi="Courier New"/>
          <w:sz w:val="14"/>
          <w:szCs w:val="14"/>
          <w:color w:val="auto"/>
        </w:rPr>
        <w:t>2,136</w:t>
      </w:r>
      <w:r>
        <w:rPr>
          <w:sz w:val="20"/>
          <w:szCs w:val="20"/>
          <w:color w:val="auto"/>
        </w:rPr>
        <w:tab/>
      </w:r>
      <w:r>
        <w:rPr>
          <w:rFonts w:ascii="Courier New" w:cs="Courier New" w:eastAsia="Courier New" w:hAnsi="Courier New"/>
          <w:sz w:val="14"/>
          <w:szCs w:val="14"/>
          <w:color w:val="auto"/>
        </w:rPr>
        <w:t>1,404</w:t>
      </w:r>
      <w:r>
        <w:rPr>
          <w:sz w:val="20"/>
          <w:szCs w:val="20"/>
          <w:color w:val="auto"/>
        </w:rPr>
        <w:tab/>
      </w:r>
      <w:r>
        <w:rPr>
          <w:rFonts w:ascii="Courier New" w:cs="Courier New" w:eastAsia="Courier New" w:hAnsi="Courier New"/>
          <w:sz w:val="14"/>
          <w:szCs w:val="14"/>
          <w:color w:val="auto"/>
        </w:rPr>
        <w:t>346</w:t>
      </w:r>
      <w:r>
        <w:rPr>
          <w:sz w:val="20"/>
          <w:szCs w:val="20"/>
          <w:color w:val="auto"/>
        </w:rPr>
        <w:tab/>
      </w:r>
      <w:r>
        <w:rPr>
          <w:rFonts w:ascii="Courier New" w:cs="Courier New" w:eastAsia="Courier New" w:hAnsi="Courier New"/>
          <w:sz w:val="14"/>
          <w:szCs w:val="14"/>
          <w:color w:val="auto"/>
        </w:rPr>
        <w:t>247</w:t>
      </w:r>
      <w:r>
        <w:rPr>
          <w:sz w:val="20"/>
          <w:szCs w:val="20"/>
          <w:color w:val="auto"/>
        </w:rPr>
        <w:tab/>
      </w:r>
      <w:r>
        <w:rPr>
          <w:rFonts w:ascii="Courier New" w:cs="Courier New" w:eastAsia="Courier New" w:hAnsi="Courier New"/>
          <w:sz w:val="14"/>
          <w:szCs w:val="14"/>
          <w:color w:val="auto"/>
        </w:rPr>
        <w:t>139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5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5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613</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6880" w:val="left"/>
          <w:tab w:leader="none" w:pos="8180" w:val="left"/>
          <w:tab w:leader="none" w:pos="93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7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840"/>
        <w:spacing w:after="0"/>
        <w:tabs>
          <w:tab w:leader="none" w:pos="5940" w:val="left"/>
          <w:tab w:leader="none" w:pos="7060" w:val="left"/>
          <w:tab w:leader="none" w:pos="8180" w:val="left"/>
          <w:tab w:leader="none" w:pos="938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2005</w:t>
            </w:r>
          </w:p>
        </w:tc>
        <w:tc>
          <w:tcPr>
            <w:tcW w:w="2880" w:type="dxa"/>
            <w:vAlign w:val="bottom"/>
          </w:tcPr>
          <w:p>
            <w:pPr>
              <w:ind w:left="2100"/>
              <w:spacing w:after="0"/>
              <w:rPr>
                <w:sz w:val="20"/>
                <w:szCs w:val="20"/>
                <w:color w:val="auto"/>
              </w:rPr>
            </w:pPr>
            <w:r>
              <w:rPr>
                <w:rFonts w:ascii="Courier New" w:cs="Courier New" w:eastAsia="Courier New" w:hAnsi="Courier New"/>
                <w:sz w:val="14"/>
                <w:szCs w:val="14"/>
                <w:color w:val="auto"/>
              </w:rPr>
              <w:t>944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420"/>
              <w:spacing w:after="0"/>
              <w:rPr>
                <w:sz w:val="20"/>
                <w:szCs w:val="20"/>
                <w:color w:val="auto"/>
              </w:rPr>
            </w:pPr>
            <w:r>
              <w:rPr>
                <w:rFonts w:ascii="Courier New" w:cs="Courier New" w:eastAsia="Courier New" w:hAnsi="Courier New"/>
                <w:sz w:val="14"/>
                <w:szCs w:val="14"/>
                <w:color w:val="auto"/>
              </w:rPr>
              <w:t>944</w:t>
            </w: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880" w:type="dxa"/>
            <w:vAlign w:val="bottom"/>
          </w:tcPr>
          <w:p>
            <w:pPr>
              <w:ind w:left="2100"/>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420"/>
              <w:spacing w:after="0"/>
              <w:rPr>
                <w:sz w:val="20"/>
                <w:szCs w:val="20"/>
                <w:color w:val="auto"/>
              </w:rPr>
            </w:pPr>
            <w:r>
              <w:rPr>
                <w:rFonts w:ascii="Courier New" w:cs="Courier New" w:eastAsia="Courier New" w:hAnsi="Courier New"/>
                <w:sz w:val="14"/>
                <w:szCs w:val="14"/>
                <w:color w:val="auto"/>
                <w:w w:val="95"/>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7060" w:val="left"/>
          <w:tab w:leader="none" w:pos="8260" w:val="left"/>
          <w:tab w:leader="none" w:pos="9200" w:val="left"/>
        </w:tabs>
        <w:rPr>
          <w:sz w:val="20"/>
          <w:szCs w:val="20"/>
          <w:color w:val="auto"/>
        </w:rPr>
      </w:pPr>
      <w:r>
        <w:rPr>
          <w:rFonts w:ascii="Courier New" w:cs="Courier New" w:eastAsia="Courier New" w:hAnsi="Courier New"/>
          <w:sz w:val="14"/>
          <w:szCs w:val="14"/>
          <w:color w:val="auto"/>
        </w:rPr>
        <w:t>934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040" w:val="left"/>
        </w:tabs>
        <w:rPr>
          <w:sz w:val="20"/>
          <w:szCs w:val="20"/>
          <w:color w:val="auto"/>
        </w:rPr>
      </w:pPr>
      <w:r>
        <w:rPr>
          <w:rFonts w:ascii="Courier New" w:cs="Courier New" w:eastAsia="Courier New" w:hAnsi="Courier New"/>
          <w:sz w:val="14"/>
          <w:szCs w:val="14"/>
          <w:color w:val="auto"/>
        </w:rPr>
        <w:t>3,323</w:t>
      </w:r>
      <w:r>
        <w:rPr>
          <w:sz w:val="20"/>
          <w:szCs w:val="20"/>
          <w:color w:val="auto"/>
        </w:rPr>
        <w:tab/>
      </w:r>
      <w:r>
        <w:rPr>
          <w:rFonts w:ascii="Courier New" w:cs="Courier New" w:eastAsia="Courier New" w:hAnsi="Courier New"/>
          <w:sz w:val="14"/>
          <w:szCs w:val="14"/>
          <w:color w:val="auto"/>
        </w:rPr>
        <w:t>1,404</w:t>
      </w:r>
      <w:r>
        <w:rPr>
          <w:sz w:val="20"/>
          <w:szCs w:val="20"/>
          <w:color w:val="auto"/>
        </w:rPr>
        <w:tab/>
      </w:r>
      <w:r>
        <w:rPr>
          <w:rFonts w:ascii="Courier New" w:cs="Courier New" w:eastAsia="Courier New" w:hAnsi="Courier New"/>
          <w:sz w:val="14"/>
          <w:szCs w:val="14"/>
          <w:color w:val="auto"/>
        </w:rPr>
        <w:t>487</w:t>
      </w:r>
      <w:r>
        <w:rPr>
          <w:sz w:val="20"/>
          <w:szCs w:val="20"/>
          <w:color w:val="auto"/>
        </w:rPr>
        <w:tab/>
      </w:r>
      <w:r>
        <w:rPr>
          <w:rFonts w:ascii="Courier New" w:cs="Courier New" w:eastAsia="Courier New" w:hAnsi="Courier New"/>
          <w:sz w:val="14"/>
          <w:szCs w:val="14"/>
          <w:color w:val="auto"/>
        </w:rPr>
        <w:t>350</w:t>
      </w:r>
      <w:r>
        <w:rPr>
          <w:sz w:val="20"/>
          <w:szCs w:val="20"/>
          <w:color w:val="auto"/>
        </w:rPr>
        <w:tab/>
      </w:r>
      <w:r>
        <w:rPr>
          <w:rFonts w:ascii="Courier New" w:cs="Courier New" w:eastAsia="Courier New" w:hAnsi="Courier New"/>
          <w:sz w:val="14"/>
          <w:szCs w:val="14"/>
          <w:color w:val="auto"/>
        </w:rPr>
        <w:t>1,082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80" w:hanging="344"/>
        <w:spacing w:after="0" w:line="252" w:lineRule="auto"/>
        <w:rPr>
          <w:sz w:val="20"/>
          <w:szCs w:val="20"/>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 The actual property breakdown at full build-out may be different than these estimates.</w:t>
      </w:r>
    </w:p>
    <w:p>
      <w:pPr>
        <w:sectPr>
          <w:pgSz w:w="11900" w:h="16887" w:orient="portrait"/>
          <w:cols w:equalWidth="0" w:num="1">
            <w:col w:w="11040"/>
          </w:cols>
          <w:pgMar w:left="220" w:top="616" w:right="639" w:bottom="0" w:gutter="0" w:footer="0" w:header="0"/>
          <w:type w:val="continuous"/>
        </w:sectPr>
      </w:pPr>
    </w:p>
    <w:bookmarkStart w:id="20" w:name="page21"/>
    <w:bookmarkEnd w:id="20"/>
    <w:p>
      <w:pPr>
        <w:ind w:left="440" w:hanging="344"/>
        <w:spacing w:after="0" w:line="255" w:lineRule="auto"/>
        <w:rPr>
          <w:sz w:val="20"/>
          <w:szCs w:val="20"/>
          <w:color w:val="auto"/>
        </w:rPr>
      </w:pPr>
      <w:r>
        <w:rPr>
          <w:rFonts w:ascii="Courier New" w:cs="Courier New" w:eastAsia="Courier New" w:hAnsi="Courier New"/>
          <w:sz w:val="14"/>
          <w:szCs w:val="14"/>
          <w:color w:val="auto"/>
        </w:rPr>
        <w:t>Includes land located in Ormond Beach, Florida, and other land located in Palm Coast, Florida not included in development projects.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ectPr>
          <w:pgSz w:w="11900" w:h="16838" w:orient="portrait"/>
          <w:cols w:equalWidth="0" w:num="1">
            <w:col w:w="10520"/>
          </w:cols>
          <w:pgMar w:left="220" w:top="141" w:right="115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REAL ESTATE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3" w:lineRule="exact"/>
        <w:rPr>
          <w:sz w:val="20"/>
          <w:szCs w:val="20"/>
          <w:color w:val="auto"/>
        </w:rPr>
      </w:pPr>
    </w:p>
    <w:p>
      <w:pPr>
        <w:jc w:val="both"/>
        <w:ind w:right="3339" w:firstLine="8"/>
        <w:spacing w:after="0" w:line="251" w:lineRule="auto"/>
        <w:tabs>
          <w:tab w:leader="none" w:pos="25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 portion of our development properties in Florida is subject to federal, state and local regulations, and restrictions that may 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which requires counties and cities to adopt comprehensive plans guiding and controlling future real property development in their respective jurisdictions. In addition, development projects that exceed certain specified regulatory thresholds require approval of a comprehensive DRI application. The DRI review process includes an evaluation of a project's impact on the environment, infrastructure and government services, and requires the involvement of numerous state and local environmental, zoning and community development agencies. Compliance with the Growth Management Act and the DRI process is usually lengthy and costly.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real estate industry is very competitive. Our properties are located in Florida. We are focused on acquiring additional vacant land in Florida and other parts of the southeast United States. This region continues to attract competitive real estate operations at many different levels in the land development pipeline. Competitors include local and out-of-state institutional investors, real estate investment trusts and real estate operators, among others. These competitors, both public and private, compete with us in seeking real estate for acquisition, resources for development and sales to prospective buyers. Consequently, competitive market conditions may influence the timing and profitability of our real estate transactions.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Other segment consists of investments in emerging technologies related to the electric utility industry, and earnings on cash and short-term investments.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Since 1985, we have invested in start-up companies, which are developing technologies that may be utilized by the electric utility industry. We are committed to invest an additional $2.5 million in 2007 and do not have plans to make any additional investments. The investments were first made through emerging technology funds (Funds) initiated by other electric utilities and us. We have also made investments directly in privately-held companies.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Companies in the Funds' portfolios may complete IPOs, and the Funds may, in some instances, distribute publicly tradable shares to us. Some restrictions on sales may apply, including, but not limited to, underwriter lock-up periods that typically extend for 180 days following an IPO.</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account for our investment in venture capital funds under the equity method (see Note 15) and account for our direct investments in privately-held companies under the cost method because of our ownership percentage. The total carrying value of our emerging technology portfolio was $9.2 million at December 31, 2006, and December 31, 2005.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December 31, 2006, and December 31, 2005. In 2005, we recorded $5.1 million ($3.3 million after tax) of impairments related to our direct investments in certain privately-held, start-up companies whose future business prospects had significantly diminished. Developments at these companies indicated that future commercial viability was unlikely, as was new financing necessary to continue development. In 2004, we recorded $6.5 million ($4.1 million after tax) of impairments.</w:t>
      </w:r>
    </w:p>
    <w:p>
      <w:pPr>
        <w:spacing w:after="0" w:line="172"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Our businesses are subject to regulation of environmental matters by various federal, state and local authorities. We consider our businesses to be in substantial compliance with those environmental regulations currently applicable to their operations and believe all necessary permits to conduct such operations have been obtained. Due to future stricter environmental requirements through legislation and/or rulemaking, we anticipate that potential expenditures for environmental matters will be material and will require significant capital investments. (See Item 7 - Capital Requirements.)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AIR. CLEAN AIR ACT. Minnesota Power's generating facilities mainly burn low-sulfur western sub-bituminous coal. Square Butte, located in North Dakota, burns lignite coal. All of these facilities are equipped with pollution control equipment such as scrubbers, bag houses or electrostatic precipitators. Permitted emission requirements are currently being met. The federal Clean Air Act Amendments of 1990 (Clean Air Act) created emission allowances for SO2. Each allowance is an authorization to emit one ton of SO2, and each utility must have sufficient allowances to cover its annual emissions. Most Minnesota Power facilities have surplus SO2 emission allowances, which were sufficient to cover the transfer of Taconite Harbor's generating assets to our Regulated Utility effective January 1, 2006, as approved by the MPUC. Square Butte is meeting its SO2 emission allowance requirements through increased use of its existing scrubber.</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accordance with the Clean Air Act, the EPA has established NOX limitations for electric generating units. To meet NOX limitations, Minnesota Power installed advanced low-emission burner technology and associated control equipment to operate the Boswell and Laskin facilities at or below the compliance emission limits. NOX limitations at Taconite Harbor and Square Butte are currently being met by combustion tuning.</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CLEAN AIR INTERSTATE RULE AND CLEAN AIR MERCURY RULE. In March 2005, the EPA announced the final Clean Air Interstate Rule (CAIR) that reduces and permanently caps emissions of SO2 and NOX in the eastern United States. The CAIR includes Minnesota as one of the 28 states it considers an "eastern" state. The EPA also announced the final Clean Air Mercury Rule (CAMR) that reduces and permanently caps electric utility mercury emissions nationwide. The CAIR and the CAMR regulations have been challenged in the court system, which may delay implementation or modify provisions. Minnesota Power is participating in a legal challenge to the CAIR, but is not participating in the challenge of the CAMR. However, if the CAMR and the CAIR do go into effect, Minnesota Power expects to be required to (1) make emissions reductions, (2) purchase mercury, SO2 and NOX allowances through the EPA's cap-and-trade system, or (3) use a combination of both.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CAIR contains flaws in its methodology and application, which will cause Minnesota Power to incur significantly higher compliance costs. Minnesota Power petitioned that the EPA review its CAIR determinations that affected Minnesota. In July 2005, Minnesota Power also filed a Petition for Review with the U.S. Court of Appeals for the District of Columbia Circuit. The Company also filed a Petition for Reconsideration with the EPA. In November 2005, the EPA agreed to reconsider certain aspects of its CAIR, including the Minnesota Power petition addressing modeling used to determine Minnesota's inclusion in the CAIR region and claims about inequities in the SO2 allowance methodology. In March 2006, the EPA announced that it would not make any changes to the CAIR as a result of the Petitions for Reconsideration. Petitions for Review, including Minnesota Power's, remain pending at the Court of Appeals. If the Petition for Review is successful, the Company expects to incur lower compliance costs, consistent with the rules applicable to those states considered "western" states under the CAIR. Resolution of the CAIR Petition for Review with the Court of Appeals is anticipated in 2008.</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MERCURY EMISSIONS. The Minnesota mercury emissions budget under the first phase of the CAMR, requiring roughly a 20% reduction in nationwide utility mercury emissions beginning in 2010, is similar to current Minnesota statewide emissions requirements. The second phase allocation, requiring approximately a 70% reduction in nationwide utility mercury emissions effective in 2018, will require that Minnesota generation sources provide for substantial mercury emission reductions or procure mercury emission credits from other sources that have a surplus of allowances. However, mercury emission reductions expected as a result of implementing AREA at Taconite Harbor, and implementation of the 2006 Minnesota Mercury Emission Reduction Law which applies to Boswell Units 3 and 4, are anticipated to meet Minnesota Power's 2018 emission reduction requirements of the second phase of CAMR. (See Minnesota Mercury Emission Law.) Minnesota Power is continuing to review the new mercury rule and considers the outcome of legal challenges as being critical before specific compliance measures can be established or assessed.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239"/>
          </w:cols>
          <w:pgMar w:left="220" w:top="616" w:right="1440" w:bottom="588"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ENVIRONMENTAL MATTERS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MINNESOTA MERCURY EMISSION LAW. This legislation requires Minnesota Power to file mercury emission reduction plans for its Boswell Units 3 and 4. The Boswell Unit 3 emission reduction plan was filed with the MPCA in October 2006. Minnesota Power is required to install mercury emission reduction technology and equipment by December 31, 2010. The next step will be to file a mercury emissions reduction plan for Boswell Unit 4 by July 1, 2011, with implementation no later than December 31, 2014. One plan must attain the mercury reduction goal of 90%. Alternate mercury plans, with the percentage of reduction elected by the utility, are also required to be filed. Minnesota Power may apply mercury emissions achieved under its Arrowhead Regional Emission Abatement plan at Taconite Harbor toward the reduction goal required under approved plans for Boswell Units 3 and 4. Filed plans must be reviewed and approved by the MPCA and the MPUC under criteria that include, among other things, technical feasibility, environmental benefit, cost effectiveness and rate impact. The new law encourages multi-emission reduction plans and also extends a statutory provision for current cost recovery outside of a rate case for approved emission reduction expenditures, including mercury and other types of emissions, from 2006 through 2013. The legislation generally comports with Minnesota Power's plans for its Boswell Units 3 and 4 mercury and other emission reduction retrofits. Total pollution control capital costs planned for Boswell Unit 3 are estimated at approximately $200 million, of which $14 million was spent in 2006 for design engineering and related costs. The balance is expected to be spent from 2007 through 2009. The Boswell Unit 3 emission reduction plan provides significant cost-effective emission reductions through the use of integrated control technologies appropriate for the size, location and use of Boswell Unit 3. Minnesota Power anticipates that costs for these expenditures will be recovered from retail customers on a current basis, subject to approval by the MPUC. (See Regulatory Issues - Minnesota Public Utilities Commission - Boswell Unit 3 Emission Reduction Plan.)</w:t>
      </w:r>
    </w:p>
    <w:p>
      <w:pPr>
        <w:spacing w:after="0" w:line="34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NEW SOURCE REVIEW RULES. In December 2002, the EPA issued changes to the existing New Source Review rules, which modified the procedures for MPCA review of projects at our electric generating facilities. These changes have been incorporated in Minnesota and have not had a material impact on our operations. In October 2003, the EPA announced additional changes clarifying the application of certain sections of the New Source Review rules. In December 2003, the U.S. Court of Appeals for the District of Columbia Circuit (Court) stayed the implementation of the October 2003 rule pending further review. In March 2006, the Court vacated most of the EPA's 2003 rule. These changes are not expected to have a material impact on Minnesota Power.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WATER. The Federal Water Pollution Control Act requires National Pollutant Discharge Elimination System (NPDES) permits to be obtained from the EPA (or, when delegated, from individual state pollution control agencies) for any wastewater discharged into navigable waters. We have obtained all necessary NPDES permits, including NPDES storm water permits for applicable facilities, to conduct our operations.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FERC LICENSES. Minnesota Power holds FERC licenses authorizing the ownership and operation of seven hydroelectric generating projects with a total generating capacity of about 115 MW.</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LASKIN NPDES PERMIT MODIFICATION. In June 2006, Minnesota Power filed an application with the MPCA for a variance from a wastewater discharge standard for mercury included in its NPDES permit for Laskin. The variance requested an extension for Laskin to meet mercury discharge requirements which will become effective March 23, 2007, as set forth in Laskin's NPDES permit issued by the MPCA in May 2005. In view of the EPA's proposed changes relating to the implementation of mercury water policy and recent developments in mercury treatment technologies, the MPCA believes it is more appropriate at this time to forego the processing of mercury variances. Instead, a permit modification will be used which will contain a compliance schedule that specifies interim actions and limits that lead to compliance with the final limits by March 31, 2010. This approach will allow Minnesota Power to further investigate treatment alternatives. In October 2006, Minnesota Power submitted a letter withdrawing its variance request. However, we are continuing discussions on interim limits with the MPCA. The MPCA placed a draft permit modification on 30-day public notice on December 20, 2006. The comment period for the draft permit modification closes March 7, 2007.</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SOLID AND HAZARDOUS WASTE. The Resource Conservation and Recovery Act of 1976 regulates the management and disposal of solid wastes and hazardous wastes. As a result of this legislation, the EPA has promulgated various hazardous waste rules. We are required to notify the EPA of hazardous waste activity and, consequently, routinely submit the necessary reports to the EPA. State environmental agencies are responsible for administering solid and hazardous waste rules on the local level with oversight by the EPA. We are in material compliance with these rules.</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PCB INVENTORIES. In response to the EPA Region V's request for utilities to participate in the Great Lakes Initiative by voluntarily removing remaining polychlorinated biphenyl (PCB) inventories, Minnesota Power replaced its remaining PCB capacitor banks in 2005. PCB-contaminated oil in substation equipment was largely replaced by the end of 2006.</w:t>
      </w:r>
    </w:p>
    <w:p>
      <w:pPr>
        <w:spacing w:after="0" w:line="16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088"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ENVIRONMENTAL MATTERS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In February 2003, SWL&amp;P submitted a Phase II environmental site investigation report to the WDNR. This report identified some MGP-like chemicals that were found in the soil near the former plant site. The investigation continued through the fall of 2006. It is anticipated that the final report for this portion of the investigation will be completed during the first quarter of 2007. Although it is not possible to quantify the total potential clean-up costs until the investigation is completed, a $0.5 million liability was recorded in December 2003 based on initial studies to address the known areas of contamination. The Company has recorded a corresponding amount as a regulatory asset.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at the time SWL&amp;P filed its 2006 rate request. In December 2006, the PSCW approved the recovery of an additional $186,000 of site investigation costs that were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At December 31, 2006, ALLETE had approximately 1,500 employees, of which 1,400 were full-time.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Minnesota   Power  and</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SWL&amp;P  have</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612</w:t>
            </w: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employees  who  are  members  of  the</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Brotherhood</w:t>
            </w:r>
          </w:p>
        </w:tc>
        <w:tc>
          <w:tcPr>
            <w:tcW w:w="1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of Electrical</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Workers  (IBEW),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Local 31. The labor</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agreement with Local 31</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expires on</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31, 2009.</w:t>
            </w:r>
          </w:p>
        </w:tc>
        <w:tc>
          <w:tcPr>
            <w:tcW w:w="1680" w:type="dxa"/>
            <w:vAlign w:val="bottom"/>
          </w:tcPr>
          <w:p>
            <w:pPr>
              <w:spacing w:after="0"/>
              <w:rPr>
                <w:sz w:val="14"/>
                <w:szCs w:val="14"/>
                <w:color w:val="auto"/>
              </w:rPr>
            </w:pPr>
          </w:p>
        </w:tc>
      </w:tr>
      <w:tr>
        <w:trPr>
          <w:trHeight w:val="331"/>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BNI Coal has 94 employees</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who are</w:t>
            </w:r>
          </w:p>
        </w:tc>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members of the IBEW Local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1593.  BNI Coal and</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Local 1593 have a labor</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agreement,</w:t>
            </w:r>
          </w:p>
        </w:tc>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which expires on March 31, 2008.</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8340" w:val="left"/>
        </w:tabs>
        <w:rPr>
          <w:sz w:val="20"/>
          <w:szCs w:val="20"/>
          <w:color w:val="auto"/>
        </w:rPr>
      </w:pPr>
      <w:r>
        <w:rPr>
          <w:rFonts w:ascii="Courier New" w:cs="Courier New" w:eastAsia="Courier New" w:hAnsi="Courier New"/>
          <w:sz w:val="14"/>
          <w:szCs w:val="14"/>
          <w:color w:val="auto"/>
        </w:rPr>
        <w:t>EXECUTIVE OFFICERS</w:t>
      </w:r>
      <w:r>
        <w:rPr>
          <w:sz w:val="20"/>
          <w:szCs w:val="20"/>
          <w:color w:val="auto"/>
        </w:rPr>
        <w:tab/>
      </w:r>
      <w:r>
        <w:rPr>
          <w:rFonts w:ascii="Courier New" w:cs="Courier New" w:eastAsia="Courier New" w:hAnsi="Courier New"/>
          <w:sz w:val="14"/>
          <w:szCs w:val="14"/>
          <w:color w:val="auto"/>
        </w:rPr>
        <w:t>INITIAL EFFECTIVE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 Age 57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Chairman, President and Chief Executive Officer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Executive Vice President - ALLETE and President - Minnesota Power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President and Chief Operating Officer - Minnesota Power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2002</w:t>
      </w:r>
    </w:p>
    <w:p>
      <w:pPr>
        <w:spacing w:after="0" w:line="173"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DEBORAH A. AMBERG, Age 41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General Counsel and Secretary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General Counsel and Secretary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2004</w:t>
      </w:r>
    </w:p>
    <w:p>
      <w:pPr>
        <w:spacing w:after="0" w:line="173"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STEVEN Q. DEVINCK, Age 47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Controller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12, 2006</w:t>
      </w:r>
    </w:p>
    <w:p>
      <w:pPr>
        <w:spacing w:after="0" w:line="173"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LAURA A. HOLQUIST, Age 45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President - ALLETE Properties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6, 2001</w:t>
      </w:r>
    </w:p>
    <w:p>
      <w:pPr>
        <w:spacing w:after="0" w:line="173"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MARK A. SCHOBER, Age 51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and Controller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18, 2001</w:t>
      </w:r>
    </w:p>
    <w:p>
      <w:pPr>
        <w:spacing w:after="0" w:line="173"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W. STELLMAKER, Age 49</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Treasurer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24, 2004</w:t>
      </w:r>
    </w:p>
    <w:p>
      <w:pPr>
        <w:spacing w:after="0" w:line="173"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TIMOTHY J. THORP, Age 52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 Investor Relations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 Investor Relations and Corporate Communications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16, 2001</w:t>
      </w:r>
    </w:p>
    <w:p>
      <w:pPr>
        <w:spacing w:after="0" w:line="173"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CLAUDIA SCOTT WELTY, Age 54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Chief Administrative Officer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2004</w:t>
      </w:r>
    </w:p>
    <w:p>
      <w:pPr>
        <w:spacing w:after="0" w:line="200" w:lineRule="exact"/>
        <w:rPr>
          <w:sz w:val="20"/>
          <w:szCs w:val="20"/>
          <w:color w:val="auto"/>
        </w:rPr>
      </w:pPr>
    </w:p>
    <w:p>
      <w:pPr>
        <w:sectPr>
          <w:pgSz w:w="11900" w:h="16838" w:orient="portrait"/>
          <w:cols w:equalWidth="0" w:num="2">
            <w:col w:w="7640" w:space="720"/>
            <w:col w:w="3180"/>
          </w:cols>
          <w:pgMar w:left="220" w:top="616" w:right="139" w:bottom="1440" w:gutter="0" w:footer="0" w:header="0"/>
          <w:type w:val="continuous"/>
        </w:sectPr>
      </w:pPr>
    </w:p>
    <w:p>
      <w:pPr>
        <w:spacing w:after="0" w:line="138"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All of the executive officers have been employed by us for more than five years in executive or management positions. Prior to election to the positions shown above, the following executives held other positions with the Company during the past five years.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MS. AMBERG was a Senior Attorney.</w:t>
      </w:r>
    </w:p>
    <w:p>
      <w:pPr>
        <w:spacing w:after="0" w:line="7" w:lineRule="exact"/>
        <w:rPr>
          <w:sz w:val="20"/>
          <w:szCs w:val="20"/>
          <w:color w:val="auto"/>
        </w:rPr>
      </w:pPr>
    </w:p>
    <w:p>
      <w:pPr>
        <w:ind w:left="440"/>
        <w:spacing w:after="0"/>
        <w:tabs>
          <w:tab w:leader="none" w:pos="6100" w:val="left"/>
        </w:tabs>
        <w:rPr>
          <w:sz w:val="20"/>
          <w:szCs w:val="20"/>
          <w:color w:val="auto"/>
        </w:rPr>
      </w:pPr>
      <w:r>
        <w:rPr>
          <w:rFonts w:ascii="Courier New" w:cs="Courier New" w:eastAsia="Courier New" w:hAnsi="Courier New"/>
          <w:sz w:val="14"/>
          <w:szCs w:val="14"/>
          <w:color w:val="auto"/>
        </w:rPr>
        <w:t>MR. DEVINCK was Director of Nonutility Business Development, and</w:t>
        <w:tab/>
        <w:t>Assistant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Controller.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STELLMAKER was Director of Financial Planning.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MS. WELTY was Vice President Strategy and Technology Development.</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There are no family relationships between any of the executive officers. All officers and directors are elected or appointed annually.</w:t>
      </w:r>
    </w:p>
    <w:p>
      <w:pPr>
        <w:spacing w:after="0" w:line="160"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The present term of office of the executive officers listed above extends to the first meeting of our Board of Directors after the next annual meeting of shareholders. Both meetings are scheduled for May 8, 2007.</w:t>
      </w:r>
    </w:p>
    <w:p>
      <w:pPr>
        <w:spacing w:after="0" w:line="16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1540"/>
          </w:cols>
          <w:pgMar w:left="220" w:top="616" w:right="139" w:bottom="1440" w:gutter="0" w:footer="0" w:header="0"/>
          <w:type w:val="continuous"/>
        </w:sectPr>
      </w:pPr>
    </w:p>
    <w:bookmarkStart w:id="26" w:name="page27"/>
    <w:bookmarkEnd w:id="26"/>
    <w:p>
      <w:pPr>
        <w:spacing w:after="0"/>
        <w:tabs>
          <w:tab w:leader="none" w:pos="940" w:val="left"/>
        </w:tabs>
        <w:rPr>
          <w:sz w:val="20"/>
          <w:szCs w:val="20"/>
          <w:color w:val="auto"/>
        </w:rPr>
      </w:pPr>
      <w:r>
        <w:rPr>
          <w:rFonts w:ascii="Courier New" w:cs="Courier New" w:eastAsia="Courier New" w:hAnsi="Courier New"/>
          <w:sz w:val="14"/>
          <w:szCs w:val="14"/>
          <w:color w:val="auto"/>
        </w:rPr>
        <w:t>ITEM 1A.</w:t>
      </w:r>
      <w:r>
        <w:rPr>
          <w:sz w:val="20"/>
          <w:szCs w:val="20"/>
          <w:color w:val="auto"/>
        </w:rPr>
        <w:tab/>
      </w: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Readers are cautioned that forward-looking statements, including those contained in this Form 10-K, should be read in conjunction with our disclosures under the heading: "Safe Harbor Statement Under the Private Securities Litigation Reform Act of 1995" located on page 4 of this Form 10-K and the factors described below.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REGULATED UTILITY RESULTS OF OPERATIONS COULD BE NEGATIVELY IMPACTED IF OUR LARGE POWER CUSTOMERS EXPERIENCE AN ECONOMIC DOWN CYCLE OR FAIL TO COMPETE EFFECTIVELY IN THE GLOBAL ECONOMY.</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12 Large Power Customers account for approximately 33% of our 2006 consolidated operating revenue (one of these customers accounted for 12%). These customers are involved in cyclical industries that by their nature are adversely impacted by economic downturns and are subject to strong competition in the global marketplace. An economic downturn or failure to compete effectively in the global economy could have a material adverse effect on their operations and, consequently, could negatively impact our results of operations and the communities that we serve.</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REGULATED UTILITY IS SUBJECT TO EXTENSIVE GOVERNMENTAL REGULATIONS THAT MAY HAVE A NEGATIVE IMPACT ON OUR BUSINESS AND RESULTS OF OPERATIONS.</w:t>
      </w:r>
    </w:p>
    <w:p>
      <w:pPr>
        <w:spacing w:after="0" w:line="1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are subject to prevailing governmental policies and regulatory actions, including those of the United States Congress, state legislatures, the FERC, the MPUC and the PSCW. These governmental regulations relate to allowed rates of return, financings, industry and rate structure, acquisition and disposal of assets and facilities, operation and construction of plant facilities, recovery of purchased power and capital investments, and present or prospective wholesale and retail competition (including but not limited to transmission costs).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REGULATED UTILITY AND NONREGULATED ENERGY OPERATIONS COULD BE SIGNIFICANTLY IMPACTED BY INITIATIVES DESIGNED TO REDUCE THE IMPACT OF GREENHOUSE GAS EMISSIONS SUCH AS CARBON DIOXIDE FROM OUR GENERATING FACILITIES.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Proposals for voluntary initiatives and mandatory controls are being discussed both in the United States and worldwide to reduce greenhouse gases such as carbon dioxide, a by-product of burning fossil fuels. We currently use coal as the primary fuel in 96% of the energy produced by our generating facilities.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implemented greenhouse gas emission reduction or offset measures at our Regulated Utility and Nonregulated Energy Operations generating facilities. These efforts currently result in over one million tons of carbon dioxide reductions or offsets annually. We are participating in research and study initiatives to mitigate the potential impact to our business. There is no assurance that our current reduction efforts will mitigate the impact of any new regulations.</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cannot be certain whether new laws or regulations will be adopted to reduce greenhouse gases and what effect any such laws or regulations would have on us. If any new laws or regulations are implemented, they could have a material effect on our results of operations, particularly if those costs are not fully recoverable from customers.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REGULATED UTILITY AND NONREGULATED ENERGY OPERATIONS POSE CERTAIN ENVIRONMENTAL RISKS WHICH COULD ADVERSELY AFFECT OUR RESULTS OF OPERATIONS AND FINANCIAL CONDITION.</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subject to extensive environmental laws and regulations affecting many aspects of our present and future operations, including air quality, water quality, waste management, reclamation and other environmental considerations. These laws and regulations can result in increased capital, operating and other costs, as a result of compliance, remediation, containment and monitoring obligations, particularly with regard to laws relating to power plant emissions. 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RISK FACTORS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OPERATION AND MAINTENANCE OF OUR GENERATING FACILITIES IN OUR REGULATED UTILITY AND NONREGULATED ENERGY OPERATIONS INVOLVE RISKS THAT COULD SIGNIFICANTLY INCREASE THE COST OF DOING BUSINESS.</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operation of generating facilities involves many risks, including start-up risks, breakdown or failure of facilities, the dependence on a specific fuel source, or the impact of unusual or adverse weather conditions or other natural events, as well as the risk of performance below expected levels of output or efficiency, the occurrence of any of which could result in lost revenue, increased expenses or both. A significant portion of Minnesota Power's facilities was constructed many years ago. In particular, older generating equipment, even if maintained in accordance with good engineering practices, may require significant capital expenditures to keep operating at peak efficiency. This equipment is also likely to require periodic upgrading and improvements due to changing environmental standards and technological advances. (See Item I - Environmental Matters.)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34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OUR REGULATED UTILITY AND NONREGULATED ENERGY OPERATIONS MUST HAVE ADEQUATE AND RELIABLE TRANSMISSION AND DISTRIBUTION FACILITIES TO DELIVER ELECTRICITY TO ITS CUSTOMERS.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depends on transmission and distribution facilities owned by other utilities, and transmission facilities primarily operated by MISO, as well as its own such facilities, to deliver the electricity it produces and sells to its customers, and to other energy suppliers. If transmission capacity is inadequate, our ability to sell and deliver electricity may be hindered, we may have to forego sales or we may have to buy more expensive wholesale electricity that is available in the capacity-constrained area. The cost to acquire or provide service may exceed the cost to serve other customers, resulting in lower gross margins. In addition, any infrastructure failure that interrupts or impairs delivery of electricity to our customers could negatively impact the satisfaction of our customers with our service.</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 OUR REGULATED UTILITY AND NONREGULATED ENERGY OPERATIONS THE PRICE OF ELECTRICITY AND FUEL MAY BE VOLATILE.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Volatility in market prices for electricity and fuel may result from:</w:t>
      </w:r>
    </w:p>
    <w:p>
      <w:pPr>
        <w:spacing w:after="0" w:line="173" w:lineRule="exact"/>
        <w:rPr>
          <w:sz w:val="20"/>
          <w:szCs w:val="20"/>
          <w:color w:val="auto"/>
        </w:rPr>
      </w:pPr>
    </w:p>
    <w:p>
      <w:pPr>
        <w:ind w:left="780" w:hanging="427"/>
        <w:spacing w:after="0"/>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severe or unexpected weather conditions;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seasonality;</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electricity usage;</w:t>
      </w:r>
    </w:p>
    <w:p>
      <w:pPr>
        <w:spacing w:after="0" w:line="7" w:lineRule="exact"/>
        <w:rPr>
          <w:rFonts w:ascii="Courier New" w:cs="Courier New" w:eastAsia="Courier New" w:hAnsi="Courier New"/>
          <w:sz w:val="14"/>
          <w:szCs w:val="14"/>
          <w:color w:val="auto"/>
        </w:rPr>
      </w:pPr>
    </w:p>
    <w:p>
      <w:pPr>
        <w:ind w:left="780" w:right="3339" w:hanging="427"/>
        <w:spacing w:after="0" w:line="250"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transmission or transportation constraints, inoperability or inefficiencies;</w:t>
      </w:r>
    </w:p>
    <w:p>
      <w:pPr>
        <w:ind w:left="780" w:hanging="427"/>
        <w:spacing w:after="0"/>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competitively priced alternative energy sources;</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supply and demand for energy;</w:t>
      </w:r>
    </w:p>
    <w:p>
      <w:pPr>
        <w:spacing w:after="0" w:line="7"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power production capacity;</w:t>
      </w:r>
    </w:p>
    <w:p>
      <w:pPr>
        <w:spacing w:after="0" w:line="7" w:lineRule="exact"/>
        <w:rPr>
          <w:rFonts w:ascii="Courier New" w:cs="Courier New" w:eastAsia="Courier New" w:hAnsi="Courier New"/>
          <w:sz w:val="14"/>
          <w:szCs w:val="14"/>
          <w:color w:val="auto"/>
        </w:rPr>
      </w:pPr>
    </w:p>
    <w:p>
      <w:pPr>
        <w:ind w:left="780" w:right="3339" w:hanging="427"/>
        <w:spacing w:after="0" w:line="250"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outages at Minnesota Power's generating facilities or those of our competitors;</w:t>
      </w:r>
    </w:p>
    <w:p>
      <w:pPr>
        <w:ind w:left="780" w:right="3339" w:hanging="427"/>
        <w:spacing w:after="0" w:line="250"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production and storage levels of natural gas, lignite, coal, or crude oil and refined products;</w:t>
      </w:r>
    </w:p>
    <w:p>
      <w:pPr>
        <w:ind w:left="780" w:right="3339" w:hanging="427"/>
        <w:spacing w:after="0" w:line="250"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wars, sabotage, terrorist acts or other catastrophic events; and</w:t>
      </w:r>
    </w:p>
    <w:p>
      <w:pPr>
        <w:ind w:left="780" w:right="3339" w:hanging="427"/>
        <w:spacing w:after="0" w:line="255"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state, local and foreign energy, environmental, or other regulation and legislation.</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Since fluctuations in fuel expense related to our regulated utility operations are passed on to customers through our fuel clause, risk of volatility in market prices for fuel and electricity mainly impacts our nonregulated operations at this time.</w:t>
      </w:r>
    </w:p>
    <w:p>
      <w:pPr>
        <w:spacing w:after="0" w:line="162"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RISK FACTORS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DEPENDENT ON GOOD LABOR RELATIONS.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our relations to be good with our approximately 1,500 employees. Failure to successfully renegotiate labor agreements could adversely affect the services we provide and our results of operations. Approximately 700 of these employees are members of either the International Brotherhood of Electrical Workers Local 31 or Local 1593. The labor agreement with Local 31 at Minnesota Power and SWL&amp;P expires on January 31, 2009, and the labor agreement with Local 1593 at BNI Coal expires on March 31, 2008.</w:t>
      </w:r>
    </w:p>
    <w:p>
      <w:pPr>
        <w:spacing w:after="0" w:line="164"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4"/>
          <w:szCs w:val="14"/>
          <w:color w:val="auto"/>
        </w:rPr>
        <w:t>A DOWNTURN IN ECONOMIC CONDITIONS COULD ADVERSELY AFFECT OUR REAL ESTATE BUSINESS.</w:t>
      </w:r>
    </w:p>
    <w:p>
      <w:pPr>
        <w:spacing w:after="0" w:line="33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ability of our real estate business to generate revenue is directly related to the Florida real estate market, the national and local economy in general, and changes in interest rates. While conditions in the Florida real estate market may fluctuate over time, continued demand for land is dependent on long-term prospects for strong, in-migration population expansion.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EXPOSED TO RISKS ASSOCIATED WITH REAL ESTATE DEVELOPMENT.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real estate development activities entail risks that include construction delays or cost overruns, which may increase project development costs. In addition, the effects of the rebuilding efforts due to destructive weather, including hurricanes, could cause increased prices for construction materials and create labor shortages which could increase our development costs.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real estate development activities require significant capital expenditures. We obtain funds for our capital expenditures through cash flow from operations and financings, including the financings of the community development districts in which our development projects are located. We cannot be certain that the funds available from these sources will be sufficient to fund our required or desired capital expenditures for development. If we are unable to obtain sufficient funds, we may have to defer or otherwise limit our development activities.</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OUR REAL ESTATE BUSINESS IS SUBJECT TO EXTENSIVE REGULATION THROUGH FLORIDA LAWS REGULATING PLANNING AND LAND DEVELOPMENT WHICH MAKES IT DIFFICULT AND EXPENSIVE FOR US TO CONDUCT OUR OPERATIONS.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In addition, development projects that exceed certain specified regulatory thresholds require approval of a comprehensive DRI application.</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Growth Management Act requires counties and cities to adopt comprehensive plans guiding and controlling future real property development in their respective jurisdictions. After a local government adopts its comprehensive plan, all development orders and development permits must be consistent with the plan. Each plan must address such topics as future land use, capital improvements, traffic circulation, sanitation, sewage, potable water, drainage and solid waste disposal. The local governments' comprehensive plans must also establish "levels of service" with respect to certain specified public facilities and services to residents. Local governments are prohibited from issuing development orders or permits if facilities and services are not operating at established levels of service, or if the projects for which permits are requested will reduce the level of service for public facilities below the level of service established in the local government's comprehensive plan. If the proposed development would reduce the established level of services below the level set by the plan, the development order will require that, at the outset of the project, the developer either sufficiently improve the services to meet the required level or provide financial assurances that the additional services will be provided as the project progresses.</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Growth Management Act, in some instances, can significantly affect the ability of developers to obtain local government approval in Florida. In many areas, infrastructure funding has not kept pace with growth. As a result, substandard facilities and services can delay or prevent the issuance of permits. Consequently, the Growth Management Act could adversely affect our ability to develop future real estate projects.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DRI review process includes an evaluation of a project's impact on the environment, infrastructure and government services, and requires the involvement of numerous state and local environmental, zoning and community development agencies. Local government approval of any DRI is subject to appeal to Florida's Governor and Cabinet by the Florida Department of Community Affairs, and adverse decisions by the Governor and Cabinet are subject to judicial appeal. The DRI approval process is usually lengthy and costly, and conditions, standards or requirements may be imposed on a developer with respect to a particular project, which may materially increase the cost of the project.</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Changes in the Growth Management Act or DRI review process or the enactment of new laws regarding the development of real property could adversely affect our ability to develop future real estate projects.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10239"/>
          </w:cols>
          <w:pgMar w:left="220" w:top="616" w:right="1440" w:bottom="754"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RISK FACTORS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 FOR LAND COULD ADVERSELY AFFECT OUR REAL ESTATE BUSINESS.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Over the past few years, we have experienced an increase in competition for suitable land in the southeast United States real estate market. The availability of undeveloped land for purchase that meets our internal criteria depends on a number of factors outside our control, including land availability in general, competition with other developers and land buyers for desirable property, inflation in land prices, zoning, allowable development density and other regulatory requirements. Our long-term ability to acquire land suitable for development at reasonable prices in locations where we feel there is a viable market is crucial in maintaining our business success.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WE ARE NOT ABLE TO RETAIN OUR EXECUTIVE OFFICERS AND KEY EMPLOYEES, WE MAY NOT BE ABLE TO IMPLEMENT OUR BUSINESS STRATEGY AND OUR BUSINESS COULD SUFFER.</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success of our business heavily depends on the leadership of our executive officers, all of whom are employees-at-will and none of whom are subject to any agreements not to compete. If we lose the service of one or more of our executive officers or key employees, or if one or more of them decides to join a competitor or otherwise compete directly or indirectly with us, we may not be able to successfully manage our business or achieve our business objectives. We may have difficulty in retaining and attracting customers, developing new services, negotiating favorable agreements with customers and providing acceptable levels of customer service.</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1B.</w:t>
      </w:r>
      <w:r>
        <w:rPr>
          <w:sz w:val="20"/>
          <w:szCs w:val="20"/>
          <w:color w:val="auto"/>
        </w:rPr>
        <w:tab/>
      </w:r>
      <w:r>
        <w:rPr>
          <w:rFonts w:ascii="Courier New" w:cs="Courier New" w:eastAsia="Courier New" w:hAnsi="Courier New"/>
          <w:sz w:val="14"/>
          <w:szCs w:val="14"/>
          <w:color w:val="auto"/>
        </w:rPr>
        <w:t>UNRESOLVED STAFF COMMENTS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Properties are included in the discussion of our business in Item 1 and are incorporated by reference herein.</w:t>
      </w:r>
    </w:p>
    <w:p>
      <w:pPr>
        <w:spacing w:after="0" w:line="200" w:lineRule="exact"/>
        <w:rPr>
          <w:sz w:val="20"/>
          <w:szCs w:val="20"/>
          <w:color w:val="auto"/>
        </w:rPr>
      </w:pPr>
    </w:p>
    <w:p>
      <w:pPr>
        <w:spacing w:after="0" w:line="2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our business in Item 1 and are incorporated by reference herein.</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We do not expect the outcome of these matters to have a material effect on our financial position or results of operations.</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tabs>
          <w:tab w:leader="none" w:pos="340" w:val="left"/>
          <w:tab w:leader="none" w:pos="1100" w:val="left"/>
        </w:tabs>
        <w:rPr>
          <w:sz w:val="20"/>
          <w:szCs w:val="20"/>
          <w:color w:val="auto"/>
        </w:rPr>
      </w:pPr>
      <w:r>
        <w:rPr>
          <w:rFonts w:ascii="Courier New" w:cs="Courier New" w:eastAsia="Courier New" w:hAnsi="Courier New"/>
          <w:sz w:val="14"/>
          <w:szCs w:val="14"/>
          <w:color w:val="auto"/>
        </w:rPr>
        <w:t>No</w:t>
        <w:tab/>
        <w:t>matters</w:t>
        <w:tab/>
        <w:t>were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submitted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to a vote 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security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holders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fourth</w:t>
      </w:r>
    </w:p>
    <w:p>
      <w:pPr>
        <w:spacing w:after="0" w:line="7" w:lineRule="exact"/>
        <w:rPr>
          <w:sz w:val="20"/>
          <w:szCs w:val="20"/>
          <w:color w:val="auto"/>
        </w:rPr>
      </w:pPr>
    </w:p>
    <w:p>
      <w:pPr>
        <w:sectPr>
          <w:pgSz w:w="11900" w:h="16838" w:orient="portrait"/>
          <w:cols w:equalWidth="0" w:num="6">
            <w:col w:w="1480" w:space="160"/>
            <w:col w:w="780" w:space="180"/>
            <w:col w:w="1020" w:space="180"/>
            <w:col w:w="680" w:space="180"/>
            <w:col w:w="600" w:space="180"/>
            <w:col w:w="47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quarter of 2006.</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ectPr>
          <w:pgSz w:w="11900" w:h="16838" w:orient="portrait"/>
          <w:cols w:equalWidth="0" w:num="2">
            <w:col w:w="4380" w:space="720"/>
            <w:col w:w="5139"/>
          </w:cols>
          <w:pgMar w:left="220" w:top="616" w:right="1440" w:bottom="1440" w:gutter="0" w:footer="0" w:header="0"/>
          <w:type w:val="continuous"/>
        </w:sectPr>
      </w:pPr>
    </w:p>
    <w:bookmarkStart w:id="30" w:name="page31"/>
    <w:bookmarkEnd w:id="30"/>
    <w:p>
      <w:pPr>
        <w:jc w:val="center"/>
        <w:ind w:right="362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940" w:val="left"/>
          <w:tab w:leader="none" w:pos="3080" w:val="left"/>
          <w:tab w:leader="none" w:pos="5160" w:val="left"/>
          <w:tab w:leader="none" w:pos="628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w:t>
        <w:tab/>
        <w:t>COMMON EQUITY, RELATED</w:t>
        <w:tab/>
        <w:t>STOCKHOLDER</w:t>
        <w:tab/>
        <w:t>MATTERS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AND ISSUER PURCHASES OF EQUITY SECURITIES</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We have paid dividends without interruption on our common stock since 1948. A quarterly dividend of $0.41 per share on our common stock will be paid on March 1, 2007, to the holders of record on February 15, 2007. Our common stock is listed on the New York Stock Exchange under the symbol ALE and our CUSIP number is 018522300. Dividends paid per share, and the high and low prices for our common stock for the periods indicated as reported by the New York Stock Exchange on its NYSEnet website, are in the accompanying chart.</w:t>
      </w:r>
    </w:p>
    <w:p>
      <w:pPr>
        <w:spacing w:after="0" w:line="164"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The amount and timing of dividends payable on our common stock are within the sole discretion of our Board of Directors. In 2006, we paid out 53% of our per share earnings in dividends.</w:t>
      </w:r>
    </w:p>
    <w:p>
      <w:pPr>
        <w:spacing w:after="0" w:line="16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Our Articles of Incorporation, and Mortgage and Deed of Trust contain provisions, which under certain circumstances would restrict the payment of common stock dividends. As of December 31, 2006, no retained earnings were restricted as a result of these provisions. At February 1, 2007, there were approximately 31,000 common stock shareholders of record.</w:t>
      </w:r>
    </w:p>
    <w:p>
      <w:pPr>
        <w:spacing w:after="0" w:line="330" w:lineRule="exact"/>
        <w:rPr>
          <w:sz w:val="20"/>
          <w:szCs w:val="20"/>
          <w:color w:val="auto"/>
        </w:rPr>
      </w:pPr>
    </w:p>
    <w:p>
      <w:pPr>
        <w:ind w:left="4220"/>
        <w:spacing w:after="0"/>
        <w:tabs>
          <w:tab w:leader="none" w:pos="834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520" w:firstLine="2929"/>
        <w:spacing w:after="0" w:line="247" w:lineRule="auto"/>
        <w:rPr>
          <w:sz w:val="20"/>
          <w:szCs w:val="20"/>
          <w:color w:val="auto"/>
        </w:rPr>
      </w:pPr>
      <w:r>
        <w:rPr>
          <w:rFonts w:ascii="Courier New" w:cs="Courier New" w:eastAsia="Courier New" w:hAnsi="Courier New"/>
          <w:sz w:val="14"/>
          <w:szCs w:val="14"/>
          <w:color w:val="auto"/>
        </w:rPr>
        <w:t>PRICE RANGE DIVIDENDS PRICE RANGE DIVIDENDS QUARTER HIGH LOW PAID HIGH LOW PAID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$42.99</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$0.3625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$0.3000</w:t>
            </w:r>
          </w:p>
        </w:tc>
      </w:tr>
      <w:tr>
        <w:trPr>
          <w:trHeight w:val="166"/>
        </w:trPr>
        <w:tc>
          <w:tcPr>
            <w:tcW w:w="154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48.55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44.34</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0.3625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0.3150</w:t>
            </w:r>
          </w:p>
        </w:tc>
      </w:tr>
      <w:tr>
        <w:trPr>
          <w:trHeight w:val="166"/>
        </w:trPr>
        <w:tc>
          <w:tcPr>
            <w:tcW w:w="154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43.26</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0.3625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0.3150</w:t>
            </w:r>
          </w:p>
        </w:tc>
      </w:tr>
      <w:tr>
        <w:trPr>
          <w:trHeight w:val="166"/>
        </w:trPr>
        <w:tc>
          <w:tcPr>
            <w:tcW w:w="154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42.55</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0.3625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0.3150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Annual Total</w:t>
            </w:r>
          </w:p>
        </w:tc>
        <w:tc>
          <w:tcPr>
            <w:tcW w:w="426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$1.4500</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$1.2450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00"/>
          </w:cols>
          <w:pgMar w:left="220" w:top="782" w:right="1079" w:bottom="1440" w:gutter="0" w:footer="0" w:header="0"/>
        </w:sectPr>
      </w:pP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COMMON STOCK</w:t>
        <w:tab/>
        <w:t>REPURCHASES.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fourth quarter of 2006.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did not repurchase any ALLETE common stock during</w:t>
      </w:r>
    </w:p>
    <w:p>
      <w:pPr>
        <w:spacing w:after="0" w:line="338" w:lineRule="exact"/>
        <w:rPr>
          <w:sz w:val="20"/>
          <w:szCs w:val="20"/>
          <w:color w:val="auto"/>
        </w:rPr>
      </w:pPr>
    </w:p>
    <w:p>
      <w:pPr>
        <w:sectPr>
          <w:pgSz w:w="11900" w:h="16838" w:orient="portrait"/>
          <w:cols w:equalWidth="0" w:num="2">
            <w:col w:w="2340" w:space="80"/>
            <w:col w:w="8180"/>
          </w:cols>
          <w:pgMar w:left="220" w:top="782" w:right="10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ALLETE 2006 Form 10-K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2">
            <w:col w:w="6000" w:space="720"/>
            <w:col w:w="3880"/>
          </w:cols>
          <w:pgMar w:left="220" w:top="782" w:right="1079" w:bottom="1440" w:gutter="0" w:footer="0" w:header="0"/>
          <w:type w:val="continuous"/>
        </w:sectPr>
      </w:pPr>
    </w:p>
    <w:bookmarkStart w:id="31" w:name="page32"/>
    <w:bookmarkEnd w:id="31"/>
    <w:p>
      <w:pPr>
        <w:spacing w:after="0" w:line="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jc w:val="both"/>
        <w:ind w:right="3960"/>
        <w:spacing w:after="0" w:line="251" w:lineRule="auto"/>
        <w:rPr>
          <w:sz w:val="20"/>
          <w:szCs w:val="20"/>
          <w:color w:val="auto"/>
        </w:rPr>
      </w:pPr>
      <w:r>
        <w:rPr>
          <w:rFonts w:ascii="Courier New" w:cs="Courier New" w:eastAsia="Courier New" w:hAnsi="Courier New"/>
          <w:sz w:val="14"/>
          <w:szCs w:val="14"/>
          <w:color w:val="auto"/>
        </w:rPr>
        <w:t>Financial results by segment for the periods presented were impacted by the integration of our Taconite Harbor facility into the Regulated Utility segment effective January 1, 2006. The redirection of Taconite Harbor from our Nonregulated Energy Operations segment to our Regulated Utility segment was in accordance with the Company's Resource Plan, as approved by the MPUC. Under the terms of our Resource Plan, we have operated the Taconite Harbor facility as a rate-based asset within the Minnesota retail jurisdiction since January 1, 2006. Prior to January 1, 2006, we operated our Taconite Harbor facility as nonregulated generation (non-rate base generation sold at market-based rates primarily to the wholesale market). Historical financial results of Taconite Harbor for periods prior to the 2006 redirection are included in our Nonregulated Energy Operations segment.</w:t>
      </w:r>
    </w:p>
    <w:p>
      <w:pPr>
        <w:spacing w:after="0" w:line="163" w:lineRule="exact"/>
        <w:rPr>
          <w:sz w:val="20"/>
          <w:szCs w:val="20"/>
          <w:color w:val="auto"/>
        </w:rPr>
      </w:pPr>
    </w:p>
    <w:p>
      <w:pPr>
        <w:jc w:val="both"/>
        <w:ind w:right="3960"/>
        <w:spacing w:after="0" w:line="251" w:lineRule="auto"/>
        <w:rPr>
          <w:sz w:val="20"/>
          <w:szCs w:val="20"/>
          <w:color w:val="auto"/>
        </w:rPr>
      </w:pPr>
      <w:r>
        <w:rPr>
          <w:rFonts w:ascii="Courier New" w:cs="Courier New" w:eastAsia="Courier New" w:hAnsi="Courier New"/>
          <w:sz w:val="14"/>
          <w:szCs w:val="14"/>
          <w:color w:val="auto"/>
        </w:rPr>
        <w:t>Operating results of our Water Services businesses, our Automotive Services business and our telecommunications business are included in discontinued operations, and accordingly, amounts have been restated for all periods presented. (See Note 13.) Common share and per share amounts have also been adjusted for all periods to reflect our September 20, 2004, one-for-three common stock reverse split.</w:t>
      </w:r>
    </w:p>
    <w:p>
      <w:pPr>
        <w:spacing w:after="0" w:line="200" w:lineRule="exact"/>
        <w:rPr>
          <w:sz w:val="20"/>
          <w:szCs w:val="20"/>
          <w:color w:val="auto"/>
        </w:rPr>
      </w:pPr>
    </w:p>
    <w:p>
      <w:pPr>
        <w:spacing w:after="0" w:line="296" w:lineRule="exact"/>
        <w:rPr>
          <w:sz w:val="20"/>
          <w:szCs w:val="20"/>
          <w:color w:val="auto"/>
        </w:rPr>
      </w:pPr>
    </w:p>
    <w:p>
      <w:pPr>
        <w:ind w:left="5180"/>
        <w:spacing w:after="0"/>
        <w:tabs>
          <w:tab w:leader="none" w:pos="6280" w:val="left"/>
          <w:tab w:leader="none" w:pos="7400" w:val="left"/>
          <w:tab w:leader="none" w:pos="8600" w:val="left"/>
          <w:tab w:leader="none" w:pos="990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Current Assets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287.7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373.5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355.0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216.1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184.8</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 - Current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477.3</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Property, Plant and Equipment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849.6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852.0</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170.9</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44.6</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52.8</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61.9</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 - Other</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920"/>
        <w:spacing w:after="0"/>
        <w:tabs>
          <w:tab w:leader="none" w:pos="6020" w:val="left"/>
          <w:tab w:leader="none" w:pos="7140" w:val="left"/>
          <w:tab w:leader="none" w:pos="8340" w:val="left"/>
          <w:tab w:leader="none" w:pos="9720" w:val="left"/>
        </w:tabs>
        <w:rPr>
          <w:sz w:val="20"/>
          <w:szCs w:val="20"/>
          <w:color w:val="auto"/>
        </w:rPr>
      </w:pPr>
      <w:r>
        <w:rPr>
          <w:rFonts w:ascii="Courier New" w:cs="Courier New" w:eastAsia="Courier New" w:hAnsi="Courier New"/>
          <w:sz w:val="14"/>
          <w:szCs w:val="14"/>
          <w:color w:val="auto"/>
        </w:rPr>
        <w:t>$1,533.4</w:t>
      </w:r>
      <w:r>
        <w:rPr>
          <w:sz w:val="20"/>
          <w:szCs w:val="20"/>
          <w:color w:val="auto"/>
        </w:rPr>
        <w:tab/>
      </w:r>
      <w:r>
        <w:rPr>
          <w:rFonts w:ascii="Courier New" w:cs="Courier New" w:eastAsia="Courier New" w:hAnsi="Courier New"/>
          <w:sz w:val="14"/>
          <w:szCs w:val="14"/>
          <w:color w:val="auto"/>
        </w:rPr>
        <w:t>$1,398.8</w:t>
      </w:r>
      <w:r>
        <w:rPr>
          <w:sz w:val="20"/>
          <w:szCs w:val="20"/>
          <w:color w:val="auto"/>
        </w:rPr>
        <w:tab/>
      </w:r>
      <w:r>
        <w:rPr>
          <w:rFonts w:ascii="Courier New" w:cs="Courier New" w:eastAsia="Courier New" w:hAnsi="Courier New"/>
          <w:sz w:val="14"/>
          <w:szCs w:val="14"/>
          <w:color w:val="auto"/>
        </w:rPr>
        <w:t>$1,431.4</w:t>
      </w:r>
      <w:r>
        <w:rPr>
          <w:sz w:val="20"/>
          <w:szCs w:val="20"/>
          <w:color w:val="auto"/>
        </w:rPr>
        <w:tab/>
      </w:r>
      <w:r>
        <w:rPr>
          <w:rFonts w:ascii="Courier New" w:cs="Courier New" w:eastAsia="Courier New" w:hAnsi="Courier New"/>
          <w:sz w:val="14"/>
          <w:szCs w:val="14"/>
          <w:color w:val="auto"/>
        </w:rPr>
        <w:t>$3,101.3</w:t>
      </w:r>
      <w:r>
        <w:rPr>
          <w:sz w:val="20"/>
          <w:szCs w:val="20"/>
          <w:color w:val="auto"/>
        </w:rPr>
        <w:tab/>
      </w:r>
      <w:r>
        <w:rPr>
          <w:rFonts w:ascii="Courier New" w:cs="Courier New" w:eastAsia="Courier New" w:hAnsi="Courier New"/>
          <w:sz w:val="14"/>
          <w:szCs w:val="14"/>
          <w:color w:val="auto"/>
        </w:rPr>
        <w:t>$3,147.2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143.5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106.7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91.7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436.2</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 - Current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302.0</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Long-Term Debt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566.9</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Mandatorily Redeemable Preferred Securities</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364.3</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288.5</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295.3</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300.1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292.2</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242.5</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Shareholders' Equity</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665.8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1,232.4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920"/>
        <w:spacing w:after="0"/>
        <w:tabs>
          <w:tab w:leader="none" w:pos="6020" w:val="left"/>
          <w:tab w:leader="none" w:pos="7140" w:val="left"/>
          <w:tab w:leader="none" w:pos="8340" w:val="left"/>
          <w:tab w:leader="none" w:pos="9720" w:val="left"/>
        </w:tabs>
        <w:rPr>
          <w:sz w:val="20"/>
          <w:szCs w:val="20"/>
          <w:color w:val="auto"/>
        </w:rPr>
      </w:pPr>
      <w:r>
        <w:rPr>
          <w:rFonts w:ascii="Courier New" w:cs="Courier New" w:eastAsia="Courier New" w:hAnsi="Courier New"/>
          <w:sz w:val="14"/>
          <w:szCs w:val="14"/>
          <w:color w:val="auto"/>
        </w:rPr>
        <w:t>$1,533.4</w:t>
      </w:r>
      <w:r>
        <w:rPr>
          <w:sz w:val="20"/>
          <w:szCs w:val="20"/>
          <w:color w:val="auto"/>
        </w:rPr>
        <w:tab/>
      </w:r>
      <w:r>
        <w:rPr>
          <w:rFonts w:ascii="Courier New" w:cs="Courier New" w:eastAsia="Courier New" w:hAnsi="Courier New"/>
          <w:sz w:val="14"/>
          <w:szCs w:val="14"/>
          <w:color w:val="auto"/>
        </w:rPr>
        <w:t>$1,398.8</w:t>
      </w:r>
      <w:r>
        <w:rPr>
          <w:sz w:val="20"/>
          <w:szCs w:val="20"/>
          <w:color w:val="auto"/>
        </w:rPr>
        <w:tab/>
      </w:r>
      <w:r>
        <w:rPr>
          <w:rFonts w:ascii="Courier New" w:cs="Courier New" w:eastAsia="Courier New" w:hAnsi="Courier New"/>
          <w:sz w:val="14"/>
          <w:szCs w:val="14"/>
          <w:color w:val="auto"/>
        </w:rPr>
        <w:t>$1,431.4</w:t>
      </w:r>
      <w:r>
        <w:rPr>
          <w:sz w:val="20"/>
          <w:szCs w:val="20"/>
          <w:color w:val="auto"/>
        </w:rPr>
        <w:tab/>
      </w:r>
      <w:r>
        <w:rPr>
          <w:rFonts w:ascii="Courier New" w:cs="Courier New" w:eastAsia="Courier New" w:hAnsi="Courier New"/>
          <w:sz w:val="14"/>
          <w:szCs w:val="14"/>
          <w:color w:val="auto"/>
        </w:rPr>
        <w:t>$3,101.3</w:t>
      </w:r>
      <w:r>
        <w:rPr>
          <w:sz w:val="20"/>
          <w:szCs w:val="20"/>
          <w:color w:val="auto"/>
        </w:rPr>
        <w:tab/>
      </w:r>
      <w:r>
        <w:rPr>
          <w:rFonts w:ascii="Courier New" w:cs="Courier New" w:eastAsia="Courier New" w:hAnsi="Courier New"/>
          <w:sz w:val="14"/>
          <w:szCs w:val="14"/>
          <w:color w:val="auto"/>
        </w:rPr>
        <w:t>$3,147.2</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$555.0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$497.9</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84.7</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Operating Revenue</w:t>
            </w:r>
          </w:p>
        </w:tc>
        <w:tc>
          <w:tcPr>
            <w:tcW w:w="19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767.1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737.4</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704.1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659.6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616.5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281.7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273.1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286.2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252.5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234.8</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296.0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293.5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254.4</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47.8</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626.4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692.3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603.2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561.9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536.2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45.1</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100.9</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97.7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 and Income Taxes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128.2</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0"/>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160" w:val="left"/>
          <w:tab w:leader="none" w:pos="6360" w:val="left"/>
          <w:tab w:leader="none" w:pos="7480" w:val="left"/>
          <w:tab w:leader="none" w:pos="8680" w:val="left"/>
          <w:tab w:leader="none" w:pos="10060" w:val="left"/>
        </w:tabs>
        <w:rPr>
          <w:sz w:val="20"/>
          <w:szCs w:val="20"/>
          <w:color w:val="auto"/>
        </w:rPr>
      </w:pPr>
      <w:r>
        <w:rPr>
          <w:rFonts w:ascii="Courier New" w:cs="Courier New" w:eastAsia="Courier New" w:hAnsi="Courier New"/>
          <w:sz w:val="14"/>
          <w:szCs w:val="14"/>
          <w:color w:val="auto"/>
        </w:rPr>
        <w:t>Income from Continuing Operations Before Income Taxes</w:t>
      </w:r>
      <w:r>
        <w:rPr>
          <w:sz w:val="20"/>
          <w:szCs w:val="20"/>
          <w:color w:val="auto"/>
        </w:rPr>
        <w:tab/>
      </w:r>
      <w:r>
        <w:rPr>
          <w:rFonts w:ascii="Courier New" w:cs="Courier New" w:eastAsia="Courier New" w:hAnsi="Courier New"/>
          <w:sz w:val="14"/>
          <w:szCs w:val="14"/>
          <w:color w:val="auto"/>
        </w:rPr>
        <w:t>123.6</w:t>
      </w:r>
      <w:r>
        <w:rPr>
          <w:sz w:val="20"/>
          <w:szCs w:val="20"/>
          <w:color w:val="auto"/>
        </w:rPr>
        <w:tab/>
      </w:r>
      <w:r>
        <w:rPr>
          <w:rFonts w:ascii="Courier New" w:cs="Courier New" w:eastAsia="Courier New" w:hAnsi="Courier New"/>
          <w:sz w:val="14"/>
          <w:szCs w:val="14"/>
          <w:color w:val="auto"/>
        </w:rPr>
        <w:t>17.1</w:t>
      </w:r>
      <w:r>
        <w:rPr>
          <w:sz w:val="20"/>
          <w:szCs w:val="20"/>
          <w:color w:val="auto"/>
        </w:rPr>
        <w:tab/>
      </w:r>
      <w:r>
        <w:rPr>
          <w:rFonts w:ascii="Courier New" w:cs="Courier New" w:eastAsia="Courier New" w:hAnsi="Courier New"/>
          <w:sz w:val="14"/>
          <w:szCs w:val="14"/>
          <w:color w:val="auto"/>
        </w:rPr>
        <w:t>54.9</w:t>
      </w:r>
      <w:r>
        <w:rPr>
          <w:sz w:val="20"/>
          <w:szCs w:val="20"/>
          <w:color w:val="auto"/>
        </w:rPr>
        <w:tab/>
      </w:r>
      <w:r>
        <w:rPr>
          <w:rFonts w:ascii="Courier New" w:cs="Courier New" w:eastAsia="Courier New" w:hAnsi="Courier New"/>
          <w:sz w:val="14"/>
          <w:szCs w:val="14"/>
          <w:color w:val="auto"/>
        </w:rPr>
        <w:t>46.9</w:t>
      </w:r>
      <w:r>
        <w:rPr>
          <w:sz w:val="20"/>
          <w:szCs w:val="20"/>
          <w:color w:val="auto"/>
        </w:rPr>
        <w:tab/>
      </w:r>
      <w:r>
        <w:rPr>
          <w:rFonts w:ascii="Courier New" w:cs="Courier New" w:eastAsia="Courier New" w:hAnsi="Courier New"/>
          <w:sz w:val="14"/>
          <w:szCs w:val="14"/>
          <w:color w:val="auto"/>
        </w:rPr>
        <w:t>36.9</w:t>
      </w:r>
    </w:p>
    <w:p>
      <w:pPr>
        <w:spacing w:after="0" w:line="7" w:lineRule="exact"/>
        <w:rPr>
          <w:sz w:val="20"/>
          <w:szCs w:val="20"/>
          <w:color w:val="auto"/>
        </w:rPr>
      </w:pPr>
    </w:p>
    <w:p>
      <w:pPr>
        <w:spacing w:after="0"/>
        <w:tabs>
          <w:tab w:leader="none" w:pos="5240" w:val="left"/>
          <w:tab w:leader="none" w:pos="6360" w:val="left"/>
          <w:tab w:leader="none" w:pos="7480" w:val="left"/>
          <w:tab w:leader="none" w:pos="8680" w:val="left"/>
          <w:tab w:leader="none" w:pos="10060" w:val="left"/>
        </w:tabs>
        <w:rPr>
          <w:sz w:val="20"/>
          <w:szCs w:val="20"/>
          <w:color w:val="auto"/>
        </w:rPr>
      </w:pPr>
      <w:r>
        <w:rPr>
          <w:rFonts w:ascii="Courier New" w:cs="Courier New" w:eastAsia="Courier New" w:hAnsi="Courier New"/>
          <w:sz w:val="14"/>
          <w:szCs w:val="14"/>
          <w:color w:val="auto"/>
        </w:rPr>
        <w:t>Income Tax Expense (Benefit)</w:t>
      </w:r>
      <w:r>
        <w:rPr>
          <w:sz w:val="20"/>
          <w:szCs w:val="20"/>
          <w:color w:val="auto"/>
        </w:rPr>
        <w:tab/>
      </w:r>
      <w:r>
        <w:rPr>
          <w:rFonts w:ascii="Courier New" w:cs="Courier New" w:eastAsia="Courier New" w:hAnsi="Courier New"/>
          <w:sz w:val="14"/>
          <w:szCs w:val="14"/>
          <w:color w:val="auto"/>
        </w:rPr>
        <w:t>46.3</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16.4</w:t>
      </w:r>
      <w:r>
        <w:rPr>
          <w:sz w:val="20"/>
          <w:szCs w:val="20"/>
          <w:color w:val="auto"/>
        </w:rPr>
        <w:tab/>
      </w:r>
      <w:r>
        <w:rPr>
          <w:rFonts w:ascii="Courier New" w:cs="Courier New" w:eastAsia="Courier New" w:hAnsi="Courier New"/>
          <w:sz w:val="14"/>
          <w:szCs w:val="14"/>
          <w:color w:val="auto"/>
        </w:rPr>
        <w:t>17.7</w:t>
      </w:r>
      <w:r>
        <w:rPr>
          <w:sz w:val="20"/>
          <w:szCs w:val="20"/>
          <w:color w:val="auto"/>
        </w:rPr>
        <w:tab/>
      </w:r>
      <w:r>
        <w:rPr>
          <w:rFonts w:ascii="Courier New" w:cs="Courier New" w:eastAsia="Courier New" w:hAnsi="Courier New"/>
          <w:sz w:val="14"/>
          <w:szCs w:val="14"/>
          <w:color w:val="auto"/>
        </w:rPr>
        <w:t>12.3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860"/>
          </w:cols>
          <w:pgMar w:left="220" w:top="616" w:right="81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 Before</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Change</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in Accounting Principle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38.5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Discontinued Operations - Net of Tax</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73.7</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207.2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112.6</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 - Net of Tax</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(7.8)</w:t>
            </w:r>
          </w:p>
        </w:tc>
        <w:tc>
          <w:tcPr>
            <w:tcW w:w="1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104.4</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236.4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137.2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 Dividends</w:t>
            </w:r>
          </w:p>
        </w:tc>
        <w:tc>
          <w:tcPr>
            <w:tcW w:w="2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34.4</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79.7</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93.2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Earnings Retained in (Distributed from) Business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$ 24.7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spacing w:after="0"/>
        <w:tabs>
          <w:tab w:leader="none" w:pos="3440" w:val="left"/>
          <w:tab w:leader="none" w:pos="4120" w:val="left"/>
          <w:tab w:leader="none" w:pos="4900" w:val="left"/>
          <w:tab w:leader="none" w:pos="8600" w:val="left"/>
        </w:tabs>
        <w:rPr>
          <w:sz w:val="20"/>
          <w:szCs w:val="20"/>
          <w:color w:val="auto"/>
        </w:rPr>
      </w:pPr>
      <w:r>
        <w:rPr>
          <w:rFonts w:ascii="Courier New" w:cs="Courier New" w:eastAsia="Courier New" w:hAnsi="Courier New"/>
          <w:sz w:val="14"/>
          <w:szCs w:val="14"/>
          <w:color w:val="auto"/>
        </w:rPr>
        <w:t>Included $86.1 million of assets and</w:t>
        <w:tab/>
        <w:t>$107.6</w:t>
        <w:tab/>
        <w:t>million</w:t>
        <w:tab/>
        <w:t>of liabilities reflecting the adoption of</w:t>
        <w:tab/>
        <w:t>SFAS 158 "Employers'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Accounting for Defined Benefit Pension and Other Postretirement Plans." (See Notes 2 and 16.)</w:t>
      </w:r>
    </w:p>
    <w:p>
      <w:pPr>
        <w:spacing w:after="0" w:line="7" w:lineRule="exact"/>
        <w:rPr>
          <w:sz w:val="20"/>
          <w:szCs w:val="20"/>
          <w:color w:val="auto"/>
        </w:rPr>
      </w:pPr>
    </w:p>
    <w:p>
      <w:pPr>
        <w:ind w:left="180"/>
        <w:spacing w:after="0"/>
        <w:tabs>
          <w:tab w:leader="none" w:pos="6200" w:val="left"/>
          <w:tab w:leader="none" w:pos="7300" w:val="left"/>
          <w:tab w:leader="none" w:pos="7740" w:val="left"/>
          <w:tab w:leader="none" w:pos="8420" w:val="left"/>
          <w:tab w:leader="none" w:pos="9120" w:val="left"/>
          <w:tab w:leader="none" w:pos="9460" w:val="left"/>
        </w:tabs>
        <w:rPr>
          <w:sz w:val="20"/>
          <w:szCs w:val="20"/>
          <w:color w:val="auto"/>
        </w:rPr>
      </w:pPr>
      <w:r>
        <w:rPr>
          <w:rFonts w:ascii="Courier New" w:cs="Courier New" w:eastAsia="Courier New" w:hAnsi="Courier New"/>
          <w:sz w:val="14"/>
          <w:szCs w:val="14"/>
          <w:color w:val="auto"/>
        </w:rPr>
        <w:t>Reflected the cumulative effect on prior years (to December 2003) of</w:t>
        <w:tab/>
        <w:t>changing to</w:t>
        <w:tab/>
        <w:t>the</w:t>
        <w:tab/>
        <w:t>equity</w:t>
        <w:tab/>
        <w:t>method</w:t>
        <w:tab/>
        <w:t>of</w:t>
        <w:tab/>
        <w:t>accounting</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investments in limited liability companies included in our emerging technology portfolio. (See Note 15.)</w:t>
      </w:r>
    </w:p>
    <w:p>
      <w:pPr>
        <w:sectPr>
          <w:pgSz w:w="11900" w:h="16838" w:orient="portrait"/>
          <w:cols w:equalWidth="0" w:num="1">
            <w:col w:w="10860"/>
          </w:cols>
          <w:pgMar w:left="220" w:top="307" w:right="8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ectPr>
          <w:pgSz w:w="11900" w:h="16838" w:orient="portrait"/>
          <w:cols w:equalWidth="0" w:num="2">
            <w:col w:w="4380" w:space="720"/>
            <w:col w:w="5760"/>
          </w:cols>
          <w:pgMar w:left="220" w:top="307" w:right="819" w:bottom="1440" w:gutter="0" w:footer="0" w:header="0"/>
          <w:type w:val="continuous"/>
        </w:sectPr>
      </w:pPr>
    </w:p>
    <w:bookmarkStart w:id="33" w:name="page34"/>
    <w:bookmarkEnd w:id="33"/>
    <w:p>
      <w:pPr>
        <w:spacing w:after="0" w:line="41" w:lineRule="exact"/>
        <w:rPr>
          <w:sz w:val="20"/>
          <w:szCs w:val="20"/>
          <w:color w:val="auto"/>
        </w:rPr>
      </w:pPr>
    </w:p>
    <w:p>
      <w:pPr>
        <w:ind w:left="5100"/>
        <w:spacing w:after="0"/>
        <w:tabs>
          <w:tab w:leader="none" w:pos="6200" w:val="left"/>
          <w:tab w:leader="none" w:pos="7660" w:val="left"/>
          <w:tab w:leader="none" w:pos="8860" w:val="left"/>
          <w:tab w:leader="none" w:pos="100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Shares Outstanding - Millions</w:t>
            </w: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Year-End</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w:t>
            </w:r>
          </w:p>
        </w:tc>
        <w:tc>
          <w:tcPr>
            <w:tcW w:w="6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Average (a)</w:t>
            </w: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w:t>
            </w:r>
          </w:p>
        </w:tc>
        <w:tc>
          <w:tcPr>
            <w:tcW w:w="6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w:t>
            </w:r>
          </w:p>
        </w:tc>
        <w:tc>
          <w:tcPr>
            <w:tcW w:w="6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$0.64</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$0.91</w:t>
            </w:r>
          </w:p>
        </w:tc>
        <w:tc>
          <w:tcPr>
            <w:tcW w:w="86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(0.16)</w:t>
            </w:r>
          </w:p>
        </w:tc>
        <w:tc>
          <w:tcPr>
            <w:tcW w:w="6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7.47</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4.13</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00"/>
        <w:spacing w:after="0"/>
        <w:tabs>
          <w:tab w:leader="none" w:pos="6200" w:val="left"/>
          <w:tab w:leader="none" w:pos="7560" w:val="left"/>
          <w:tab w:leader="none" w:pos="8780" w:val="left"/>
          <w:tab w:leader="none" w:pos="9980" w:val="left"/>
        </w:tabs>
        <w:rPr>
          <w:sz w:val="20"/>
          <w:szCs w:val="20"/>
          <w:color w:val="auto"/>
        </w:rPr>
      </w:pPr>
      <w:r>
        <w:rPr>
          <w:rFonts w:ascii="Courier New" w:cs="Courier New" w:eastAsia="Courier New" w:hAnsi="Courier New"/>
          <w:sz w:val="14"/>
          <w:szCs w:val="14"/>
          <w:color w:val="auto"/>
        </w:rPr>
        <w:t>$2.74</w:t>
      </w:r>
      <w:r>
        <w:rPr>
          <w:sz w:val="20"/>
          <w:szCs w:val="20"/>
          <w:color w:val="auto"/>
        </w:rPr>
        <w:tab/>
      </w: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$3.67</w:t>
      </w:r>
      <w:r>
        <w:rPr>
          <w:sz w:val="20"/>
          <w:szCs w:val="20"/>
          <w:color w:val="auto"/>
        </w:rPr>
        <w:tab/>
      </w:r>
      <w:r>
        <w:rPr>
          <w:rFonts w:ascii="Courier New" w:cs="Courier New" w:eastAsia="Courier New" w:hAnsi="Courier New"/>
          <w:sz w:val="14"/>
          <w:szCs w:val="14"/>
          <w:color w:val="auto"/>
        </w:rPr>
        <w:t>$8.52</w:t>
      </w:r>
      <w:r>
        <w:rPr>
          <w:sz w:val="20"/>
          <w:szCs w:val="20"/>
          <w:color w:val="auto"/>
        </w:rPr>
        <w:tab/>
      </w:r>
      <w:r>
        <w:rPr>
          <w:rFonts w:ascii="Courier New" w:cs="Courier New" w:eastAsia="Courier New" w:hAnsi="Courier New"/>
          <w:sz w:val="14"/>
          <w:szCs w:val="14"/>
          <w:color w:val="auto"/>
        </w:rPr>
        <w:t>$5.04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Return on Common Equity</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8.3%</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17.7%</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11.4%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Common Equity Ratio</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61.7%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64.4%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51.7%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Dividends Paid Per Share</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$1.4500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$1.2450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$2.8425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$3.3900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$3.3000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Dividend Payout Ratio</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77%</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40%</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Book Value Per Share at Year-End</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$21.90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$21.23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$50.18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$43.24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Employees at Year-End</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1,515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13,115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14,181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$ 45.7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$ 37.7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$ 46.0</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w:t>
            </w:r>
          </w:p>
        </w:tc>
        <w:tc>
          <w:tcPr>
            <w:tcW w:w="1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Investment in ATC</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(17.9)</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(20.9)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77.3</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17.6</w:t>
            </w:r>
          </w:p>
        </w:tc>
        <w:tc>
          <w:tcPr>
            <w:tcW w:w="1240" w:type="dxa"/>
            <w:vAlign w:val="bottom"/>
          </w:tcPr>
          <w:p>
            <w:pPr>
              <w:ind w:left="480"/>
              <w:spacing w:after="0"/>
              <w:rPr>
                <w:sz w:val="20"/>
                <w:szCs w:val="20"/>
                <w:color w:val="auto"/>
              </w:rPr>
            </w:pPr>
            <w:r>
              <w:rPr>
                <w:rFonts w:ascii="Courier New" w:cs="Courier New" w:eastAsia="Courier New" w:hAnsi="Courier New"/>
                <w:sz w:val="14"/>
                <w:szCs w:val="14"/>
                <w:color w:val="auto"/>
              </w:rPr>
              <w:t>38.5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(0.9)</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w:t>
            </w:r>
          </w:p>
        </w:tc>
        <w:tc>
          <w:tcPr>
            <w:tcW w:w="1240" w:type="dxa"/>
            <w:vAlign w:val="bottom"/>
          </w:tcPr>
          <w:p>
            <w:pPr>
              <w:ind w:left="480"/>
              <w:spacing w:after="0"/>
              <w:rPr>
                <w:sz w:val="20"/>
                <w:szCs w:val="20"/>
                <w:color w:val="auto"/>
              </w:rPr>
            </w:pPr>
            <w:r>
              <w:rPr>
                <w:rFonts w:ascii="Courier New" w:cs="Courier New" w:eastAsia="Courier New" w:hAnsi="Courier New"/>
                <w:sz w:val="14"/>
                <w:szCs w:val="14"/>
                <w:color w:val="auto"/>
              </w:rPr>
              <w:t>73.7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480"/>
              <w:spacing w:after="0"/>
              <w:rPr>
                <w:sz w:val="20"/>
                <w:szCs w:val="20"/>
                <w:color w:val="auto"/>
              </w:rPr>
            </w:pPr>
            <w:r>
              <w:rPr>
                <w:rFonts w:ascii="Courier New" w:cs="Courier New" w:eastAsia="Courier New" w:hAnsi="Courier New"/>
                <w:sz w:val="14"/>
                <w:szCs w:val="14"/>
                <w:color w:val="auto"/>
              </w:rPr>
              <w:t>(7.8)</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$ 13.3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Average Electric</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Customers -</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146.8</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Electric 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Millions of</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MWh</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Regulated</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Utility</w:t>
            </w:r>
          </w:p>
        </w:tc>
        <w:tc>
          <w:tcPr>
            <w:tcW w:w="17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11.7</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41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Company Use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and Losses</w:t>
            </w:r>
          </w:p>
        </w:tc>
        <w:tc>
          <w:tcPr>
            <w:tcW w:w="17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6280" w:val="left"/>
          <w:tab w:leader="none" w:pos="7660" w:val="left"/>
          <w:tab w:leader="none" w:pos="8860" w:val="left"/>
          <w:tab w:leader="none" w:pos="10060" w:val="left"/>
        </w:tabs>
        <w:rPr>
          <w:sz w:val="20"/>
          <w:szCs w:val="20"/>
          <w:color w:val="auto"/>
        </w:rPr>
      </w:pP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13.7</w:t>
      </w:r>
      <w:r>
        <w:rPr>
          <w:sz w:val="20"/>
          <w:szCs w:val="20"/>
          <w:color w:val="auto"/>
        </w:rPr>
        <w:tab/>
      </w:r>
      <w:r>
        <w:rPr>
          <w:rFonts w:ascii="Courier New" w:cs="Courier New" w:eastAsia="Courier New" w:hAnsi="Courier New"/>
          <w:sz w:val="14"/>
          <w:szCs w:val="14"/>
          <w:color w:val="auto"/>
        </w:rPr>
        <w:t>13.6</w:t>
      </w:r>
      <w:r>
        <w:rPr>
          <w:sz w:val="20"/>
          <w:szCs w:val="20"/>
          <w:color w:val="auto"/>
        </w:rPr>
        <w:tab/>
      </w: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13.0</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8520" w:hanging="43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Power Supply - Millions of MWh Regulated Utility</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Generation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7.2</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Hydro</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Generation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Long-Term Purchases - Square Butte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Purchased Power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6280" w:val="left"/>
          <w:tab w:leader="none" w:pos="7660" w:val="left"/>
          <w:tab w:leader="none" w:pos="8860" w:val="left"/>
          <w:tab w:leader="none" w:pos="1006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11.8</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0.9</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Purchased Power</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6360" w:val="left"/>
          <w:tab w:leader="none" w:pos="7740" w:val="left"/>
          <w:tab w:leader="none" w:pos="8940" w:val="left"/>
          <w:tab w:leader="none" w:pos="10160" w:val="left"/>
        </w:tabs>
        <w:rPr>
          <w:sz w:val="20"/>
          <w:szCs w:val="20"/>
          <w:color w:val="auto"/>
        </w:rPr>
      </w:pPr>
      <w:r>
        <w:rPr>
          <w:rFonts w:ascii="Courier New" w:cs="Courier New" w:eastAsia="Courier New" w:hAnsi="Courier New"/>
          <w:sz w:val="14"/>
          <w:szCs w:val="14"/>
          <w:color w:val="auto"/>
        </w:rPr>
        <w:t>0.2</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6280" w:val="left"/>
          <w:tab w:leader="none" w:pos="7660" w:val="left"/>
          <w:tab w:leader="none" w:pos="8860" w:val="left"/>
          <w:tab w:leader="none" w:pos="10060" w:val="left"/>
        </w:tabs>
        <w:rPr>
          <w:sz w:val="20"/>
          <w:szCs w:val="20"/>
          <w:color w:val="auto"/>
        </w:rPr>
      </w:pP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13.7</w:t>
      </w:r>
      <w:r>
        <w:rPr>
          <w:sz w:val="20"/>
          <w:szCs w:val="20"/>
          <w:color w:val="auto"/>
        </w:rPr>
        <w:tab/>
      </w:r>
      <w:r>
        <w:rPr>
          <w:rFonts w:ascii="Courier New" w:cs="Courier New" w:eastAsia="Courier New" w:hAnsi="Courier New"/>
          <w:sz w:val="14"/>
          <w:szCs w:val="14"/>
          <w:color w:val="auto"/>
        </w:rPr>
        <w:t>13.6</w:t>
      </w:r>
      <w:r>
        <w:rPr>
          <w:sz w:val="20"/>
          <w:szCs w:val="20"/>
          <w:color w:val="auto"/>
        </w:rPr>
        <w:tab/>
      </w: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Coal Sold - Millions of Tons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Real Estate Sales</w:t>
            </w:r>
          </w:p>
        </w:tc>
        <w:tc>
          <w:tcPr>
            <w:tcW w:w="2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Town Center</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 Commercial Square Feet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401,971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643,000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4"/>
                <w:szCs w:val="14"/>
                <w:color w:val="auto"/>
              </w:rPr>
              <w:t>Residential Units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Palm Coast</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 Residential Units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Other Land</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 Acres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641</w:t>
            </w:r>
          </w:p>
        </w:tc>
      </w:tr>
      <w:tr>
        <w:trPr>
          <w:trHeight w:val="166"/>
        </w:trPr>
        <w:tc>
          <w:tcPr>
            <w:tcW w:w="1480" w:type="dxa"/>
            <w:vAlign w:val="bottom"/>
          </w:tcPr>
          <w:p>
            <w:pPr>
              <w:spacing w:after="0"/>
              <w:rPr>
                <w:sz w:val="14"/>
                <w:szCs w:val="14"/>
                <w:color w:val="auto"/>
              </w:rPr>
            </w:pPr>
          </w:p>
        </w:tc>
        <w:tc>
          <w:tcPr>
            <w:tcW w:w="2740" w:type="dxa"/>
            <w:vAlign w:val="bottom"/>
          </w:tcPr>
          <w:p>
            <w:pPr>
              <w:ind w:left="160"/>
              <w:spacing w:after="0"/>
              <w:rPr>
                <w:sz w:val="20"/>
                <w:szCs w:val="20"/>
                <w:color w:val="auto"/>
              </w:rPr>
            </w:pPr>
            <w:r>
              <w:rPr>
                <w:rFonts w:ascii="Courier New" w:cs="Courier New" w:eastAsia="Courier New" w:hAnsi="Courier New"/>
                <w:sz w:val="14"/>
                <w:szCs w:val="14"/>
                <w:color w:val="auto"/>
              </w:rPr>
              <w:t>Lots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1,425</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 Additions - Millions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$109.4</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$ 68.7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81.7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000"/>
        <w:spacing w:after="0"/>
        <w:tabs>
          <w:tab w:leader="none" w:pos="6200" w:val="left"/>
          <w:tab w:leader="none" w:pos="7560" w:val="left"/>
          <w:tab w:leader="none" w:pos="8680" w:val="left"/>
          <w:tab w:leader="none" w:pos="9800" w:val="left"/>
        </w:tabs>
        <w:rPr>
          <w:sz w:val="20"/>
          <w:szCs w:val="20"/>
          <w:color w:val="auto"/>
        </w:rPr>
      </w:pPr>
      <w:r>
        <w:rPr>
          <w:rFonts w:ascii="Courier New" w:cs="Courier New" w:eastAsia="Courier New" w:hAnsi="Courier New"/>
          <w:sz w:val="14"/>
          <w:szCs w:val="14"/>
          <w:color w:val="auto"/>
        </w:rPr>
        <w:t>$109.4</w:t>
      </w:r>
      <w:r>
        <w:rPr>
          <w:sz w:val="20"/>
          <w:szCs w:val="20"/>
          <w:color w:val="auto"/>
        </w:rPr>
        <w:tab/>
      </w:r>
      <w:r>
        <w:rPr>
          <w:rFonts w:ascii="Courier New" w:cs="Courier New" w:eastAsia="Courier New" w:hAnsi="Courier New"/>
          <w:sz w:val="14"/>
          <w:szCs w:val="14"/>
          <w:color w:val="auto"/>
        </w:rPr>
        <w:t>$63.1</w:t>
      </w:r>
      <w:r>
        <w:rPr>
          <w:sz w:val="20"/>
          <w:szCs w:val="20"/>
          <w:color w:val="auto"/>
        </w:rPr>
        <w:tab/>
      </w:r>
      <w:r>
        <w:rPr>
          <w:rFonts w:ascii="Courier New" w:cs="Courier New" w:eastAsia="Courier New" w:hAnsi="Courier New"/>
          <w:sz w:val="14"/>
          <w:szCs w:val="14"/>
          <w:color w:val="auto"/>
        </w:rPr>
        <w:t>$79.2</w:t>
      </w:r>
      <w:r>
        <w:rPr>
          <w:sz w:val="20"/>
          <w:szCs w:val="20"/>
          <w:color w:val="auto"/>
        </w:rPr>
        <w:tab/>
      </w:r>
      <w:r>
        <w:rPr>
          <w:rFonts w:ascii="Courier New" w:cs="Courier New" w:eastAsia="Courier New" w:hAnsi="Courier New"/>
          <w:sz w:val="14"/>
          <w:szCs w:val="14"/>
          <w:color w:val="auto"/>
        </w:rPr>
        <w:t>$136.3</w:t>
      </w:r>
      <w:r>
        <w:rPr>
          <w:sz w:val="20"/>
          <w:szCs w:val="20"/>
          <w:color w:val="auto"/>
        </w:rPr>
        <w:tab/>
      </w:r>
      <w:r>
        <w:rPr>
          <w:rFonts w:ascii="Courier New" w:cs="Courier New" w:eastAsia="Courier New" w:hAnsi="Courier New"/>
          <w:sz w:val="14"/>
          <w:szCs w:val="14"/>
          <w:color w:val="auto"/>
        </w:rPr>
        <w:t>$ 201.2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00" w:type="dxa"/>
            <w:vAlign w:val="bottom"/>
            <w:gridSpan w:val="4"/>
          </w:tcPr>
          <w:p>
            <w:pPr>
              <w:spacing w:after="0"/>
              <w:rPr>
                <w:sz w:val="20"/>
                <w:szCs w:val="20"/>
                <w:color w:val="auto"/>
              </w:rPr>
            </w:pPr>
            <w:r>
              <w:rPr>
                <w:rFonts w:ascii="Courier New" w:cs="Courier New" w:eastAsia="Courier New" w:hAnsi="Courier New"/>
                <w:sz w:val="14"/>
                <w:szCs w:val="14"/>
                <w:color w:val="auto"/>
              </w:rPr>
              <w:t>Excludes unallocated ESOP shares.</w:t>
            </w: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Effective</w:t>
            </w:r>
          </w:p>
        </w:tc>
        <w:tc>
          <w:tcPr>
            <w:tcW w:w="54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January 1, 2006, our Taconite Harbor generating  facility was</w:t>
            </w:r>
          </w:p>
        </w:tc>
        <w:tc>
          <w:tcPr>
            <w:tcW w:w="1560" w:type="dxa"/>
            <w:vAlign w:val="bottom"/>
            <w:gridSpan w:val="3"/>
          </w:tcPr>
          <w:p>
            <w:pPr>
              <w:spacing w:after="0"/>
              <w:rPr>
                <w:sz w:val="20"/>
                <w:szCs w:val="20"/>
                <w:color w:val="auto"/>
              </w:rPr>
            </w:pPr>
            <w:r>
              <w:rPr>
                <w:rFonts w:ascii="Courier New" w:cs="Courier New" w:eastAsia="Courier New" w:hAnsi="Courier New"/>
                <w:sz w:val="14"/>
                <w:szCs w:val="14"/>
                <w:color w:val="auto"/>
              </w:rPr>
              <w:t>redirected  from</w:t>
            </w:r>
          </w:p>
        </w:tc>
        <w:tc>
          <w:tcPr>
            <w:tcW w:w="292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Nonregulated Energy Operations</w:t>
            </w:r>
          </w:p>
        </w:tc>
      </w:tr>
      <w:tr>
        <w:trPr>
          <w:trHeight w:val="166"/>
        </w:trPr>
        <w:tc>
          <w:tcPr>
            <w:tcW w:w="268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to Regulated Utility.</w:t>
            </w:r>
          </w:p>
        </w:tc>
        <w:tc>
          <w:tcPr>
            <w:tcW w:w="1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Impacted</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a  $50.4 million,</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or $1.84</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per share, charge  related  to</w:t>
            </w:r>
          </w:p>
        </w:tc>
        <w:tc>
          <w:tcPr>
            <w:tcW w:w="298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the  assignment of  the Kendall</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County  power</w:t>
            </w:r>
          </w:p>
        </w:tc>
      </w:tr>
      <w:tr>
        <w:trPr>
          <w:trHeight w:val="166"/>
        </w:trPr>
        <w:tc>
          <w:tcPr>
            <w:tcW w:w="370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purchase agreement. (See Note 10.)</w:t>
            </w: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Impacted</w:t>
            </w:r>
          </w:p>
        </w:tc>
        <w:tc>
          <w:tcPr>
            <w:tcW w:w="9940" w:type="dxa"/>
            <w:vAlign w:val="bottom"/>
            <w:gridSpan w:val="11"/>
          </w:tcPr>
          <w:p>
            <w:pPr>
              <w:ind w:left="40"/>
              <w:spacing w:after="0"/>
              <w:rPr>
                <w:sz w:val="20"/>
                <w:szCs w:val="20"/>
                <w:color w:val="auto"/>
              </w:rPr>
            </w:pPr>
            <w:r>
              <w:rPr>
                <w:rFonts w:ascii="Courier New" w:cs="Courier New" w:eastAsia="Courier New" w:hAnsi="Courier New"/>
                <w:sz w:val="14"/>
                <w:szCs w:val="14"/>
                <w:color w:val="auto"/>
              </w:rPr>
              <w:t>by a $2.5 million, or $0.09 per share, deferred tax benefit due to comprehensive state tax planning initiatives</w:t>
            </w:r>
          </w:p>
        </w:tc>
      </w:tr>
      <w:tr>
        <w:trPr>
          <w:trHeight w:val="166"/>
        </w:trPr>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and a</w:t>
            </w:r>
          </w:p>
        </w:tc>
        <w:tc>
          <w:tcPr>
            <w:tcW w:w="62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$3.7 million, or $0.13 per share, current tax benefit due to a positive</w:t>
            </w:r>
          </w:p>
        </w:tc>
        <w:tc>
          <w:tcPr>
            <w:tcW w:w="3700" w:type="dxa"/>
            <w:vAlign w:val="bottom"/>
            <w:gridSpan w:val="6"/>
          </w:tcPr>
          <w:p>
            <w:pPr>
              <w:jc w:val="center"/>
              <w:ind w:right="348"/>
              <w:spacing w:after="0"/>
              <w:rPr>
                <w:sz w:val="20"/>
                <w:szCs w:val="20"/>
                <w:color w:val="auto"/>
              </w:rPr>
            </w:pPr>
            <w:r>
              <w:rPr>
                <w:rFonts w:ascii="Courier New" w:cs="Courier New" w:eastAsia="Courier New" w:hAnsi="Courier New"/>
                <w:sz w:val="14"/>
                <w:szCs w:val="14"/>
                <w:color w:val="auto"/>
              </w:rPr>
              <w:t>resolution of income tax audit issues.</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Included</w:t>
            </w:r>
          </w:p>
        </w:tc>
        <w:tc>
          <w:tcPr>
            <w:tcW w:w="62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  $10.9  million, or  $0.38  per  share,  after-tax  debt  prepayment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cost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incurred  as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part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ALLETE's</w:t>
            </w:r>
          </w:p>
        </w:tc>
      </w:tr>
      <w:tr>
        <w:trPr>
          <w:trHeight w:val="166"/>
        </w:trPr>
        <w:tc>
          <w:tcPr>
            <w:tcW w:w="268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financial restructuring in</w:t>
            </w:r>
          </w:p>
        </w:tc>
        <w:tc>
          <w:tcPr>
            <w:tcW w:w="3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preparation for the spin-off of Automotive</w:t>
            </w:r>
          </w:p>
        </w:tc>
        <w:tc>
          <w:tcPr>
            <w:tcW w:w="24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Services (see Note 11) and</w:t>
            </w:r>
          </w:p>
        </w:tc>
        <w:tc>
          <w:tcPr>
            <w:tcW w:w="82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8"/>
              </w:rPr>
              <w:t>an $11.5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million,  or</w:t>
            </w:r>
          </w:p>
        </w:tc>
      </w:tr>
      <w:tr>
        <w:trPr>
          <w:trHeight w:val="166"/>
        </w:trPr>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$0.41</w:t>
            </w:r>
          </w:p>
        </w:tc>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  gain on</w:t>
            </w:r>
          </w:p>
        </w:tc>
        <w:tc>
          <w:tcPr>
            <w:tcW w:w="6060" w:type="dxa"/>
            <w:vAlign w:val="bottom"/>
            <w:gridSpan w:val="6"/>
          </w:tcPr>
          <w:p>
            <w:pPr>
              <w:jc w:val="right"/>
              <w:ind w:right="48"/>
              <w:spacing w:after="0"/>
              <w:rPr>
                <w:sz w:val="20"/>
                <w:szCs w:val="20"/>
                <w:color w:val="auto"/>
              </w:rPr>
            </w:pPr>
            <w:r>
              <w:rPr>
                <w:rFonts w:ascii="Courier New" w:cs="Courier New" w:eastAsia="Courier New" w:hAnsi="Courier New"/>
                <w:sz w:val="14"/>
                <w:szCs w:val="14"/>
                <w:color w:val="auto"/>
              </w:rPr>
              <w:t>the sale of ADESA shares related to the Company's ESOP (see Note 17).</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Reflected</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the</w:t>
            </w:r>
          </w:p>
        </w:tc>
        <w:tc>
          <w:tcPr>
            <w:tcW w:w="2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cumulative effect on  prior</w:t>
            </w:r>
          </w:p>
        </w:tc>
        <w:tc>
          <w:tcPr>
            <w:tcW w:w="2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years (to December 2003) of</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changing</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the</w:t>
            </w:r>
          </w:p>
        </w:tc>
        <w:tc>
          <w:tcPr>
            <w:tcW w:w="172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equity method of</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accounting</w:t>
            </w:r>
          </w:p>
        </w:tc>
      </w:tr>
      <w:tr>
        <w:trPr>
          <w:trHeight w:val="166"/>
        </w:trPr>
        <w:tc>
          <w:tcPr>
            <w:tcW w:w="9260" w:type="dxa"/>
            <w:vAlign w:val="bottom"/>
            <w:gridSpan w:val="10"/>
          </w:tcPr>
          <w:p>
            <w:pPr>
              <w:ind w:left="340"/>
              <w:spacing w:after="0"/>
              <w:rPr>
                <w:sz w:val="20"/>
                <w:szCs w:val="20"/>
                <w:color w:val="auto"/>
              </w:rPr>
            </w:pPr>
            <w:r>
              <w:rPr>
                <w:rFonts w:ascii="Courier New" w:cs="Courier New" w:eastAsia="Courier New" w:hAnsi="Courier New"/>
                <w:sz w:val="14"/>
                <w:szCs w:val="14"/>
                <w:color w:val="auto"/>
              </w:rPr>
              <w:t>for investments in limited liability companies included in our emerging technology portfolio. (See Note</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15.)</w:t>
            </w:r>
          </w:p>
        </w:tc>
      </w:tr>
    </w:tbl>
    <w:p>
      <w:pPr>
        <w:sectPr>
          <w:pgSz w:w="11900" w:h="16880" w:orient="portrait"/>
          <w:cols w:equalWidth="0" w:num="1">
            <w:col w:w="11120"/>
          </w:cols>
          <w:pgMar w:left="220" w:top="1113" w:right="559" w:bottom="0" w:gutter="0" w:footer="0" w:header="0"/>
        </w:sectPr>
      </w:pPr>
    </w:p>
    <w:bookmarkStart w:id="34" w:name="page35"/>
    <w:bookmarkEnd w:id="34"/>
    <w:p>
      <w:pPr>
        <w:ind w:left="180"/>
        <w:spacing w:after="0"/>
        <w:rPr>
          <w:sz w:val="20"/>
          <w:szCs w:val="20"/>
          <w:color w:val="auto"/>
        </w:rPr>
      </w:pPr>
      <w:r>
        <w:rPr>
          <w:rFonts w:ascii="Courier New" w:cs="Courier New" w:eastAsia="Courier New" w:hAnsi="Courier New"/>
          <w:sz w:val="14"/>
          <w:szCs w:val="14"/>
          <w:color w:val="auto"/>
        </w:rPr>
        <w:t>Included a $71.6 million, or $2.59 per share, gain on the sale of the Water Services businesses.</w:t>
      </w:r>
    </w:p>
    <w:p>
      <w:pPr>
        <w:sectPr>
          <w:pgSz w:w="11900" w:h="16838" w:orient="portrait"/>
          <w:cols w:equalWidth="0" w:num="1">
            <w:col w:w="10600"/>
          </w:cols>
          <w:pgMar w:left="220" w:top="141" w:right="1079" w:bottom="1440" w:gutter="0" w:footer="0" w:header="0"/>
        </w:sectPr>
      </w:pPr>
    </w:p>
    <w:p>
      <w:pPr>
        <w:spacing w:after="0" w:line="7" w:lineRule="exact"/>
        <w:rPr>
          <w:sz w:val="20"/>
          <w:szCs w:val="20"/>
          <w:color w:val="auto"/>
        </w:rPr>
      </w:pPr>
    </w:p>
    <w:p>
      <w:pPr>
        <w:jc w:val="center"/>
        <w:ind w:left="180"/>
        <w:spacing w:after="0"/>
        <w:tabs>
          <w:tab w:leader="none" w:pos="160" w:val="left"/>
          <w:tab w:leader="none" w:pos="160" w:val="left"/>
          <w:tab w:leader="none" w:pos="160" w:val="left"/>
          <w:tab w:leader="none" w:pos="160" w:val="left"/>
          <w:tab w:leader="none" w:pos="140" w:val="left"/>
          <w:tab w:leader="none" w:pos="160" w:val="left"/>
          <w:tab w:leader="none" w:pos="160" w:val="left"/>
          <w:tab w:leader="none" w:pos="160" w:val="left"/>
          <w:tab w:leader="none" w:pos="160" w:val="left"/>
        </w:tabs>
        <w:rPr>
          <w:sz w:val="20"/>
          <w:szCs w:val="20"/>
          <w:color w:val="auto"/>
        </w:rPr>
      </w:pPr>
      <w:r>
        <w:rPr>
          <w:rFonts w:ascii="Courier New" w:cs="Courier New" w:eastAsia="Courier New" w:hAnsi="Courier New"/>
          <w:sz w:val="14"/>
          <w:szCs w:val="14"/>
          <w:color w:val="auto"/>
        </w:rPr>
        <w:t>Included a</w:t>
        <w:tab/>
        <w:t>$5.5</w:t>
        <w:tab/>
        <w:t>million, or</w:t>
        <w:tab/>
        <w:t>$0.20</w:t>
        <w:tab/>
        <w:t>per</w:t>
        <w:tab/>
        <w:t>share, charge</w:t>
        <w:tab/>
        <w:t>related</w:t>
        <w:tab/>
        <w:t>to</w:t>
        <w:tab/>
        <w:t>the indefinite</w:t>
        <w:tab/>
        <w:t>delay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 generation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project in</w:t>
      </w:r>
    </w:p>
    <w:p>
      <w:pPr>
        <w:spacing w:after="0" w:line="7" w:lineRule="exact"/>
        <w:rPr>
          <w:sz w:val="20"/>
          <w:szCs w:val="20"/>
          <w:color w:val="auto"/>
        </w:rPr>
      </w:pPr>
    </w:p>
    <w:p>
      <w:pPr>
        <w:sectPr>
          <w:pgSz w:w="11900" w:h="16838" w:orient="portrait"/>
          <w:cols w:equalWidth="0" w:num="3">
            <w:col w:w="8360" w:space="180"/>
            <w:col w:w="1020" w:space="180"/>
            <w:col w:w="860"/>
          </w:cols>
          <w:pgMar w:left="220" w:top="141" w:right="1079"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Superior, Wisconsin.</w:t>
      </w:r>
    </w:p>
    <w:p>
      <w:pPr>
        <w:sectPr>
          <w:pgSz w:w="11900" w:h="16838" w:orient="portrait"/>
          <w:cols w:equalWidth="0" w:num="1">
            <w:col w:w="10600"/>
          </w:cols>
          <w:pgMar w:left="220" w:top="141" w:right="107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2">
            <w:col w:w="6000" w:space="720"/>
            <w:col w:w="3880"/>
          </w:cols>
          <w:pgMar w:left="220" w:top="141" w:right="1079" w:bottom="1440" w:gutter="0" w:footer="0" w:header="0"/>
          <w:type w:val="continuous"/>
        </w:sectPr>
      </w:pPr>
    </w:p>
    <w:bookmarkStart w:id="35" w:name="page36"/>
    <w:bookmarkEnd w:id="35"/>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"Safe Harbor Statement Under the Private Securities Litigation Reform Act of 1995" located on page 4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in this Form 10-K are realized.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is a diversified company providing fundamental products and services since 1906. This includes our two core businesses--ENERGY and REAL ESTATE, as well as our former operations in the water, paper, telecommunications and automotive industries.</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Investment in ATC.</w:t>
      </w:r>
    </w:p>
    <w:p>
      <w:pPr>
        <w:spacing w:after="0" w:line="160" w:lineRule="exact"/>
        <w:rPr>
          <w:sz w:val="20"/>
          <w:szCs w:val="20"/>
          <w:color w:val="auto"/>
        </w:rPr>
      </w:pPr>
    </w:p>
    <w:p>
      <w:pPr>
        <w:jc w:val="both"/>
        <w:ind w:left="700" w:right="3339" w:hanging="519"/>
        <w:spacing w:after="0" w:line="252" w:lineRule="auto"/>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natural gas and water services in northeastern Minnesota and northwestern Wisconsin under the jurisdiction of state and federal regulatory authorities.</w:t>
      </w:r>
    </w:p>
    <w:p>
      <w:pPr>
        <w:spacing w:after="0" w:line="162" w:lineRule="exact"/>
        <w:rPr>
          <w:rFonts w:ascii="Courier New" w:cs="Courier New" w:eastAsia="Courier New" w:hAnsi="Courier New"/>
          <w:sz w:val="14"/>
          <w:szCs w:val="14"/>
          <w:color w:val="auto"/>
        </w:rPr>
      </w:pPr>
    </w:p>
    <w:p>
      <w:pPr>
        <w:jc w:val="both"/>
        <w:ind w:left="700" w:right="3339" w:hanging="519"/>
        <w:spacing w:after="0" w:line="252" w:lineRule="auto"/>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approximately 50 MW of nonregulated generation and Minnesota land sales.</w:t>
      </w:r>
    </w:p>
    <w:p>
      <w:pPr>
        <w:spacing w:after="0" w:line="162" w:lineRule="exact"/>
        <w:rPr>
          <w:rFonts w:ascii="Courier New" w:cs="Courier New" w:eastAsia="Courier New" w:hAnsi="Courier New"/>
          <w:sz w:val="14"/>
          <w:szCs w:val="14"/>
          <w:color w:val="auto"/>
        </w:rPr>
      </w:pPr>
    </w:p>
    <w:p>
      <w:pPr>
        <w:jc w:val="both"/>
        <w:ind w:left="70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2004 and 2005, Nonregulated Energy Operations also included nonregulated generation (non-rate base generation sold at market-based rates primarily to the wholesale market) from our Taconite Harbor facility in northern Minnesota, and generation secured through the Kendall County power purchase agreement.</w:t>
      </w:r>
    </w:p>
    <w:p>
      <w:pPr>
        <w:spacing w:after="0" w:line="164"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includes our equity ownership interest in ATC.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and short-term investments.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committed to earning a financial return that rewards our shareholders, allows for reinvestment in our businesses, and sustains our growth. We strive to grow earnings and dividends that will result in a total shareholder return that is superior to that of similar companies. Our goal is to earn a financial return that will allow us to provide dividend increases while at the same time fund our growth initiatives.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management believes that we can best grow earnings through the combined financial performance of a limited number of significant business units. In addition to providing earnings growth opportunities, this mix of diverse businesses helps mitigate the potential financial risk inherent in the economic cycles of each individual business.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in order to enhance our ability to achieve our long-term annual earnings growth goals, we must pursue a strategy of further expansion of our energy and/or real estate businesses, and/or a new industry segment outside of these two businesses. We will be disciplined and patient in our approach, with the direct involvement of our senior executives and Board of Directors.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provided fundamental products and services for 100 years, and we expect that our diversification efforts beyond our existing Energy and Real Estate businesses will generally be similarly focused. We currently anticipate that the size of an investment in a new industry segment could be in the range of $100 million to $500 million.</w:t>
      </w:r>
    </w:p>
    <w:p>
      <w:pPr>
        <w:spacing w:after="0" w:line="165"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achieved several milestones during 2006 that lay the groundwork for future success. These achievements include:</w:t>
      </w:r>
    </w:p>
    <w:p>
      <w:pPr>
        <w:spacing w:after="0" w:line="160" w:lineRule="exact"/>
        <w:rPr>
          <w:sz w:val="20"/>
          <w:szCs w:val="20"/>
          <w:color w:val="auto"/>
        </w:rPr>
      </w:pPr>
    </w:p>
    <w:p>
      <w:pPr>
        <w:ind w:left="700" w:hanging="519"/>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ALLETE's investment in ATC;</w:t>
      </w:r>
    </w:p>
    <w:p>
      <w:pPr>
        <w:spacing w:after="0" w:line="7" w:lineRule="exact"/>
        <w:rPr>
          <w:rFonts w:ascii="Courier New" w:cs="Courier New" w:eastAsia="Courier New" w:hAnsi="Courier New"/>
          <w:sz w:val="14"/>
          <w:szCs w:val="14"/>
          <w:color w:val="auto"/>
        </w:rPr>
      </w:pPr>
    </w:p>
    <w:p>
      <w:pPr>
        <w:ind w:left="700" w:right="3339" w:hanging="519"/>
        <w:spacing w:after="0" w:line="250"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Starting construction on an aggressive air emissions control plan with current cost recovery;</w:t>
      </w:r>
    </w:p>
    <w:p>
      <w:pPr>
        <w:jc w:val="both"/>
        <w:ind w:left="700" w:right="3339" w:hanging="519"/>
        <w:spacing w:after="0" w:line="257"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Purchasing electricity from a new 50-MW wind facility in North Dakota and signing an agreement to purchase power from a second 48-MW wind facility;</w:t>
      </w:r>
    </w:p>
    <w:p>
      <w:pPr>
        <w:spacing w:after="0" w:line="157"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Maintaining a high level of electric sales to industrial customers;</w:t>
      </w:r>
    </w:p>
    <w:p>
      <w:pPr>
        <w:spacing w:after="0" w:line="7" w:lineRule="exact"/>
        <w:rPr>
          <w:rFonts w:ascii="Courier New" w:cs="Courier New" w:eastAsia="Courier New" w:hAnsi="Courier New"/>
          <w:sz w:val="14"/>
          <w:szCs w:val="14"/>
          <w:color w:val="auto"/>
        </w:rPr>
      </w:pPr>
    </w:p>
    <w:p>
      <w:pPr>
        <w:ind w:left="700" w:right="3339" w:hanging="519"/>
        <w:spacing w:after="0" w:line="250"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Signing a long-term contract for approximately 70 MW with a new large industrial customer, PolyMet Mining;</w:t>
      </w:r>
    </w:p>
    <w:p>
      <w:pPr>
        <w:ind w:left="700" w:right="3339" w:hanging="519"/>
        <w:spacing w:after="0" w:line="250"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development order approval for our Ormond Crossings real estate project; and</w:t>
      </w:r>
    </w:p>
    <w:p>
      <w:pPr>
        <w:ind w:left="700" w:hanging="519"/>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the first sales contracts at our Palm Coast Park development.</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26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338" w:lineRule="exact"/>
        <w:rPr>
          <w:sz w:val="20"/>
          <w:szCs w:val="20"/>
          <w:color w:val="auto"/>
        </w:rPr>
      </w:pPr>
    </w:p>
    <w:p>
      <w:pPr>
        <w:ind w:left="6380"/>
        <w:spacing w:after="0"/>
        <w:tabs>
          <w:tab w:leader="none" w:pos="7560" w:val="left"/>
          <w:tab w:leader="none" w:pos="912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$639.2</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$555.0</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106.8</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62.6</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41.9</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920" w:val="left"/>
          <w:tab w:leader="none" w:pos="9460" w:val="left"/>
        </w:tabs>
        <w:rPr>
          <w:sz w:val="20"/>
          <w:szCs w:val="20"/>
          <w:color w:val="auto"/>
        </w:rPr>
      </w:pPr>
      <w:r>
        <w:rPr>
          <w:rFonts w:ascii="Courier New" w:cs="Courier New" w:eastAsia="Courier New" w:hAnsi="Courier New"/>
          <w:sz w:val="14"/>
          <w:szCs w:val="14"/>
          <w:color w:val="auto"/>
        </w:rPr>
        <w:t>$767.1</w:t>
      </w:r>
      <w:r>
        <w:rPr>
          <w:sz w:val="20"/>
          <w:szCs w:val="20"/>
          <w:color w:val="auto"/>
        </w:rPr>
        <w:tab/>
      </w:r>
      <w:r>
        <w:rPr>
          <w:rFonts w:ascii="Courier New" w:cs="Courier New" w:eastAsia="Courier New" w:hAnsi="Courier New"/>
          <w:sz w:val="14"/>
          <w:szCs w:val="14"/>
          <w:color w:val="auto"/>
        </w:rPr>
        <w:t>$737.4</w:t>
      </w:r>
      <w:r>
        <w:rPr>
          <w:sz w:val="20"/>
          <w:szCs w:val="20"/>
          <w:color w:val="auto"/>
        </w:rPr>
        <w:tab/>
      </w:r>
      <w:r>
        <w:rPr>
          <w:rFonts w:ascii="Courier New" w:cs="Courier New" w:eastAsia="Courier New" w:hAnsi="Courier New"/>
          <w:sz w:val="14"/>
          <w:szCs w:val="14"/>
          <w:color w:val="auto"/>
        </w:rPr>
        <w:t>$704.1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$543.8</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$476.3</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186.6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108.6</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920" w:val="left"/>
          <w:tab w:leader="none" w:pos="9460" w:val="left"/>
        </w:tabs>
        <w:rPr>
          <w:sz w:val="20"/>
          <w:szCs w:val="20"/>
          <w:color w:val="auto"/>
        </w:rPr>
      </w:pPr>
      <w:r>
        <w:rPr>
          <w:rFonts w:ascii="Courier New" w:cs="Courier New" w:eastAsia="Courier New" w:hAnsi="Courier New"/>
          <w:sz w:val="14"/>
          <w:szCs w:val="14"/>
          <w:color w:val="auto"/>
        </w:rPr>
        <w:t>$626.4</w:t>
      </w:r>
      <w:r>
        <w:rPr>
          <w:sz w:val="20"/>
          <w:szCs w:val="20"/>
          <w:color w:val="auto"/>
        </w:rPr>
        <w:tab/>
      </w:r>
      <w:r>
        <w:rPr>
          <w:rFonts w:ascii="Courier New" w:cs="Courier New" w:eastAsia="Courier New" w:hAnsi="Courier New"/>
          <w:sz w:val="14"/>
          <w:szCs w:val="14"/>
          <w:color w:val="auto"/>
        </w:rPr>
        <w:t>$692.3</w:t>
      </w:r>
      <w:r>
        <w:rPr>
          <w:sz w:val="20"/>
          <w:szCs w:val="20"/>
          <w:color w:val="auto"/>
        </w:rPr>
        <w:tab/>
      </w:r>
      <w:r>
        <w:rPr>
          <w:rFonts w:ascii="Courier New" w:cs="Courier New" w:eastAsia="Courier New" w:hAnsi="Courier New"/>
          <w:sz w:val="14"/>
          <w:szCs w:val="14"/>
          <w:color w:val="auto"/>
        </w:rPr>
        <w:t>$603.2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$20.2</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460"/>
        <w:spacing w:after="0"/>
        <w:tabs>
          <w:tab w:leader="none" w:pos="8000" w:val="left"/>
          <w:tab w:leader="none" w:pos="9540" w:val="left"/>
        </w:tabs>
        <w:rPr>
          <w:sz w:val="20"/>
          <w:szCs w:val="20"/>
          <w:color w:val="auto"/>
        </w:rPr>
      </w:pPr>
      <w:r>
        <w:rPr>
          <w:rFonts w:ascii="Courier New" w:cs="Courier New" w:eastAsia="Courier New" w:hAnsi="Courier New"/>
          <w:sz w:val="14"/>
          <w:szCs w:val="14"/>
          <w:color w:val="auto"/>
        </w:rPr>
        <w:t>$27.4</w:t>
      </w:r>
      <w:r>
        <w:rPr>
          <w:sz w:val="20"/>
          <w:szCs w:val="20"/>
          <w:color w:val="auto"/>
        </w:rPr>
        <w:tab/>
      </w:r>
      <w:r>
        <w:rPr>
          <w:rFonts w:ascii="Courier New" w:cs="Courier New" w:eastAsia="Courier New" w:hAnsi="Courier New"/>
          <w:sz w:val="14"/>
          <w:szCs w:val="14"/>
          <w:color w:val="auto"/>
        </w:rPr>
        <w:t>$26.4</w:t>
      </w:r>
      <w:r>
        <w:rPr>
          <w:sz w:val="20"/>
          <w:szCs w:val="20"/>
          <w:color w:val="auto"/>
        </w:rPr>
        <w:tab/>
      </w:r>
      <w:r>
        <w:rPr>
          <w:rFonts w:ascii="Courier New" w:cs="Courier New" w:eastAsia="Courier New" w:hAnsi="Courier New"/>
          <w:sz w:val="14"/>
          <w:szCs w:val="14"/>
          <w:color w:val="auto"/>
        </w:rPr>
        <w:t>$31.7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$ 0.9</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0.1</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Investment in ATC</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460"/>
        <w:spacing w:after="0"/>
        <w:tabs>
          <w:tab w:leader="none" w:pos="8080" w:val="left"/>
          <w:tab w:leader="none" w:pos="9460" w:val="left"/>
        </w:tabs>
        <w:rPr>
          <w:sz w:val="20"/>
          <w:szCs w:val="20"/>
          <w:color w:val="auto"/>
        </w:rPr>
      </w:pPr>
      <w:r>
        <w:rPr>
          <w:rFonts w:ascii="Courier New" w:cs="Courier New" w:eastAsia="Courier New" w:hAnsi="Courier New"/>
          <w:sz w:val="14"/>
          <w:szCs w:val="14"/>
          <w:color w:val="auto"/>
        </w:rPr>
        <w:t>$14.9</w:t>
      </w:r>
      <w:r>
        <w:rPr>
          <w:sz w:val="20"/>
          <w:szCs w:val="20"/>
          <w:color w:val="auto"/>
        </w:rPr>
        <w:tab/>
      </w: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$(12.2)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$ 37.7</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Investment in ATC</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2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77.3</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17.6</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38.5</w:t>
            </w:r>
          </w:p>
        </w:tc>
      </w:tr>
      <w:tr>
        <w:trPr>
          <w:trHeight w:val="166"/>
        </w:trPr>
        <w:tc>
          <w:tcPr>
            <w:tcW w:w="43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73.7</w:t>
            </w:r>
          </w:p>
        </w:tc>
      </w:tr>
      <w:tr>
        <w:trPr>
          <w:trHeight w:val="166"/>
        </w:trPr>
        <w:tc>
          <w:tcPr>
            <w:tcW w:w="434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Diluted Average Shares of Common Stock</w:t>
            </w:r>
          </w:p>
        </w:tc>
        <w:tc>
          <w:tcPr>
            <w:tcW w:w="2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27.9</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$0.64</w:t>
            </w:r>
          </w:p>
        </w:tc>
        <w:tc>
          <w:tcPr>
            <w:tcW w:w="13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(0.16)</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r>
      <w:tr>
        <w:trPr>
          <w:trHeight w:val="0"/>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460"/>
        <w:spacing w:after="0"/>
        <w:tabs>
          <w:tab w:leader="none" w:pos="8000" w:val="left"/>
          <w:tab w:leader="none" w:pos="9540" w:val="left"/>
        </w:tabs>
        <w:rPr>
          <w:sz w:val="20"/>
          <w:szCs w:val="20"/>
          <w:color w:val="auto"/>
        </w:rPr>
      </w:pPr>
      <w:r>
        <w:rPr>
          <w:rFonts w:ascii="Courier New" w:cs="Courier New" w:eastAsia="Courier New" w:hAnsi="Courier New"/>
          <w:sz w:val="14"/>
          <w:szCs w:val="14"/>
          <w:color w:val="auto"/>
        </w:rPr>
        <w:t>$2.74</w:t>
      </w:r>
      <w:r>
        <w:rPr>
          <w:sz w:val="20"/>
          <w:szCs w:val="20"/>
          <w:color w:val="auto"/>
        </w:rPr>
        <w:tab/>
      </w: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$3.67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440" w:val="left"/>
          <w:tab w:leader="none" w:pos="8080" w:val="left"/>
          <w:tab w:leader="none" w:pos="8940" w:val="left"/>
        </w:tabs>
        <w:rPr>
          <w:sz w:val="20"/>
          <w:szCs w:val="20"/>
          <w:color w:val="auto"/>
        </w:rPr>
      </w:pPr>
      <w:r>
        <w:rPr>
          <w:rFonts w:ascii="Courier New" w:cs="Courier New" w:eastAsia="Courier New" w:hAnsi="Courier New"/>
          <w:sz w:val="14"/>
          <w:szCs w:val="14"/>
          <w:color w:val="auto"/>
        </w:rPr>
        <w:t>Return on Common Equity</w:t>
      </w:r>
      <w:r>
        <w:rPr>
          <w:sz w:val="20"/>
          <w:szCs w:val="20"/>
          <w:color w:val="auto"/>
        </w:rPr>
        <w:tab/>
      </w: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2006, our Taconite Harbor generating facility was redirected from Nonregulated Energy Operations to Regulated Utility.</w:t>
      </w:r>
    </w:p>
    <w:p>
      <w:pPr>
        <w:ind w:left="520" w:right="52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Impacted by a $77.9 million ($50.4 million after tax, or $1.84 per share) charge related to the assignment of the Kendall County power purchase agreement in April 2005. (See Note 10.)</w:t>
      </w:r>
    </w:p>
    <w:p>
      <w:pPr>
        <w:ind w:left="520" w:right="180" w:hanging="345"/>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Impacted by a $2.5 million, or $0.09 per share, deferred tax benefit due to comprehensive state tax planning initiatives and a $3.7 million, or $0.13 per share, current tax benefit due to a positive resolution of income tax audit issues.</w:t>
      </w:r>
    </w:p>
    <w:p>
      <w:pPr>
        <w:spacing w:after="0" w:line="157" w:lineRule="exact"/>
        <w:rPr>
          <w:rFonts w:ascii="Courier New" w:cs="Courier New" w:eastAsia="Courier New" w:hAnsi="Courier New"/>
          <w:sz w:val="14"/>
          <w:szCs w:val="14"/>
          <w:color w:val="auto"/>
        </w:rPr>
      </w:pPr>
    </w:p>
    <w:p>
      <w:pPr>
        <w:ind w:left="520" w:right="180" w:hanging="34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an $18.5 million ($10.9 million after tax, or $0.38 per share) debt prepayment cost incurred as part of ALLETE's financial restructuring in preparation for the spin-off of Automotive Services and an $11.5 million, or $0.41 per share, gain on the sale of ADESA shares related to our ESOP.</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ectPr>
          <w:pgSz w:w="11900" w:h="16838" w:orient="portrait"/>
          <w:cols w:equalWidth="0" w:num="1">
            <w:col w:w="10860"/>
          </w:cols>
          <w:pgMar w:left="220" w:top="616" w:right="819" w:bottom="257"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173" w:lineRule="exact"/>
        <w:rPr>
          <w:sz w:val="20"/>
          <w:szCs w:val="20"/>
          <w:color w:val="auto"/>
        </w:rPr>
      </w:pPr>
    </w:p>
    <w:p>
      <w:pPr>
        <w:jc w:val="both"/>
        <w:ind w:right="3880"/>
        <w:spacing w:after="0" w:line="253" w:lineRule="auto"/>
        <w:rPr>
          <w:sz w:val="20"/>
          <w:szCs w:val="20"/>
          <w:color w:val="auto"/>
        </w:rPr>
      </w:pPr>
      <w:r>
        <w:rPr>
          <w:rFonts w:ascii="Courier New" w:cs="Courier New" w:eastAsia="Courier New" w:hAnsi="Courier New"/>
          <w:sz w:val="14"/>
          <w:szCs w:val="14"/>
          <w:color w:val="auto"/>
        </w:rPr>
        <w:t>Net income for 2006 was $76.4 million, or $2.74 per diluted share ($13.3 million, or $0.48 per diluted share for 2005; $104.4 million, or $3.67 per diluted share for 2004). Net income for 2006 was up $63.1 million from 2005 reflecting:</w:t>
      </w:r>
    </w:p>
    <w:p>
      <w:pPr>
        <w:spacing w:after="0" w:line="327" w:lineRule="exact"/>
        <w:rPr>
          <w:sz w:val="20"/>
          <w:szCs w:val="20"/>
          <w:color w:val="auto"/>
        </w:rPr>
      </w:pPr>
    </w:p>
    <w:p>
      <w:pPr>
        <w:ind w:left="700" w:right="3880" w:hanging="519"/>
        <w:spacing w:after="0" w:line="250" w:lineRule="auto"/>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the Kendall County Charge ($50.4 million recorded in 2005);</w:t>
      </w:r>
    </w:p>
    <w:p>
      <w:pPr>
        <w:ind w:left="700" w:right="3880" w:hanging="519"/>
        <w:spacing w:after="0" w:line="250" w:lineRule="auto"/>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Kendall County operating losses ($1.9 million recorded in 2005);</w:t>
      </w:r>
    </w:p>
    <w:p>
      <w:pPr>
        <w:ind w:left="700" w:right="3880" w:hanging="519"/>
        <w:spacing w:after="0" w:line="250" w:lineRule="auto"/>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emerging technology impairments ($3.3 million recorded in 2005);</w:t>
      </w:r>
    </w:p>
    <w:p>
      <w:pPr>
        <w:ind w:left="700" w:right="3880" w:hanging="519"/>
        <w:spacing w:after="0" w:line="250" w:lineRule="auto"/>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the loss on the sale of our telecommunication business ($3.6 million recorded in 2005);</w:t>
      </w:r>
    </w:p>
    <w:p>
      <w:pPr>
        <w:ind w:left="700" w:hanging="519"/>
        <w:spacing w:after="0"/>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income from Real Estate ($5.3 million);</w:t>
      </w:r>
    </w:p>
    <w:p>
      <w:pPr>
        <w:spacing w:after="0" w:line="7"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earnings on cash and short-term investments ($2.6 million);</w:t>
      </w:r>
    </w:p>
    <w:p>
      <w:pPr>
        <w:spacing w:after="0" w:line="7"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our investment in ATC ($1.9 million in 2006); and</w:t>
      </w:r>
    </w:p>
    <w:p>
      <w:pPr>
        <w:spacing w:after="0" w:line="7"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income from Regulated Utility ($1.1 million).</w:t>
      </w:r>
    </w:p>
    <w:p>
      <w:pPr>
        <w:spacing w:after="0" w:line="173"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These factors were partially offset by the absence of tax benefits recorded in 2005--a $3.7 million current tax benefit due to the positive resolution of income tax audit issues and a $2.5 million deferred tax benefit due to comprehensive state tax planning initiatives.</w:t>
      </w:r>
    </w:p>
    <w:p>
      <w:pPr>
        <w:spacing w:after="0" w:line="162"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Financial results for continuing operations for the periods discussed in this Form 10-K were significantly impacted by the following five transactions not representative of ongoing operations:</w:t>
      </w:r>
    </w:p>
    <w:p>
      <w:pPr>
        <w:spacing w:after="0" w:line="163" w:lineRule="exact"/>
        <w:rPr>
          <w:sz w:val="20"/>
          <w:szCs w:val="20"/>
          <w:color w:val="auto"/>
        </w:rPr>
      </w:pPr>
    </w:p>
    <w:p>
      <w:pPr>
        <w:jc w:val="both"/>
        <w:ind w:left="780" w:right="3880" w:hanging="599"/>
        <w:spacing w:after="0" w:line="250"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KENDALL COUNTY CHARGE. In 2005, we incurred a $77.9 million ($50.4 million after tax, or $1.84 per share) charge due to the assignment of the Kendall County power purchase agreement to Constellation Energy Commodities (Kendall County Charge). (See Note 10.)</w:t>
      </w:r>
    </w:p>
    <w:p>
      <w:pPr>
        <w:spacing w:after="0" w:line="1" w:lineRule="exact"/>
        <w:rPr>
          <w:rFonts w:ascii="Courier New" w:cs="Courier New" w:eastAsia="Courier New" w:hAnsi="Courier New"/>
          <w:sz w:val="14"/>
          <w:szCs w:val="14"/>
          <w:color w:val="auto"/>
        </w:rPr>
      </w:pPr>
    </w:p>
    <w:p>
      <w:pPr>
        <w:jc w:val="both"/>
        <w:ind w:left="780" w:right="3880" w:hanging="599"/>
        <w:spacing w:after="0" w:line="250"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POSITIVE RESOLUTION OF TAX AUDIT ISSUES. In 2005, we recognized a $3.7 million, or $0.13 per share, current tax benefit due to a positive resolution of income tax audit issues.</w:t>
      </w:r>
    </w:p>
    <w:p>
      <w:pPr>
        <w:spacing w:after="0" w:line="1" w:lineRule="exact"/>
        <w:rPr>
          <w:rFonts w:ascii="Courier New" w:cs="Courier New" w:eastAsia="Courier New" w:hAnsi="Courier New"/>
          <w:sz w:val="14"/>
          <w:szCs w:val="14"/>
          <w:color w:val="auto"/>
        </w:rPr>
      </w:pPr>
    </w:p>
    <w:p>
      <w:pPr>
        <w:jc w:val="both"/>
        <w:ind w:left="780" w:right="3880" w:hanging="599"/>
        <w:spacing w:after="0" w:line="250"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TAX PLANNING INITIATIVES. In 2005, we implemented comprehensive state tax planning initiatives, which resulted in current and ongoing tax savings, and a deferred tax benefit of $2.5 million, or $0.09 per share.</w:t>
      </w:r>
    </w:p>
    <w:p>
      <w:pPr>
        <w:spacing w:after="0" w:line="1" w:lineRule="exact"/>
        <w:rPr>
          <w:rFonts w:ascii="Courier New" w:cs="Courier New" w:eastAsia="Courier New" w:hAnsi="Courier New"/>
          <w:sz w:val="14"/>
          <w:szCs w:val="14"/>
          <w:color w:val="auto"/>
        </w:rPr>
      </w:pPr>
    </w:p>
    <w:p>
      <w:pPr>
        <w:jc w:val="both"/>
        <w:ind w:left="780" w:right="3880" w:hanging="599"/>
        <w:spacing w:after="0" w:line="250"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PREPAYMENT COST. In 2004, we incurred an $18.5 million ($10.9 million after tax, or $0.38 per share) debt prepayment cost as part of ALLETE's financial restructuring in preparation for the spin-off of Automotive Services.</w:t>
      </w:r>
    </w:p>
    <w:p>
      <w:pPr>
        <w:spacing w:after="0" w:line="1" w:lineRule="exact"/>
        <w:rPr>
          <w:rFonts w:ascii="Courier New" w:cs="Courier New" w:eastAsia="Courier New" w:hAnsi="Courier New"/>
          <w:sz w:val="14"/>
          <w:szCs w:val="14"/>
          <w:color w:val="auto"/>
        </w:rPr>
      </w:pPr>
    </w:p>
    <w:p>
      <w:pPr>
        <w:ind w:left="780" w:right="3880" w:hanging="599"/>
        <w:spacing w:after="0" w:line="250"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 ON SALE OF ADESA SHARES. In 2004, we recognized a nontaxable $11.5 million, or $0.41 per share, gain on the sale of</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ADESA shares related to our ESOP. (See Note 17.)</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Income from continuing operations was $77.3 million, or $2.77 per diluted share, for 2006, an increase of $59.7 million, or $2.13 per diluted share, from 2005. Excluding the three 2005 transactions not representative of ongoing operations mentioned above, 2006 diluted earnings per share from continuing operations was up 23% from 2005, exceeding our expected earnings growth for 2006 of 15% to 20%. (See Non-GAAP Financial Measures.)</w:t>
      </w:r>
    </w:p>
    <w:p>
      <w:pPr>
        <w:spacing w:after="0" w:line="164"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Financial results by segment for the periods presented and discussed in this Form 10-K were impacted by the integration of our Taconite Harbor facility into the Regulated Utility segment effective January 1, 2006. The redirection of Taconite Harbor from our Nonregulated Energy Operations segment to our Regulated Utility segment was in accordance with the Company's Resource Plan, as approved by the MPUC, to help meet forecasted base load energy requirements. Under the terms of our Resource Plan, we have operated the Taconite Harbor facility as a rate-based asset within the Minnesota retail jurisdiction since January 1, 2006. Prior to January 1, 2006, we operated our Taconite Harbor facility as nonregulated generation. Historical financial results of Taconite Harbor for periods prior to the 2006 redirection are included in our Nonregulated Energy Operations segment.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3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Retail and Municipals</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1,100</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1,053</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1,335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1,282</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7,206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7,071</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911</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Total Retail</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and Municipals</w:t>
            </w:r>
          </w:p>
        </w:tc>
        <w:tc>
          <w:tcPr>
            <w:tcW w:w="2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10,631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10,308</w:t>
            </w:r>
          </w:p>
        </w:tc>
      </w:tr>
      <w:tr>
        <w:trPr>
          <w:trHeight w:val="166"/>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Other Power Suppliers</w:t>
            </w:r>
          </w:p>
        </w:tc>
        <w:tc>
          <w:tcPr>
            <w:tcW w:w="2740" w:type="dxa"/>
            <w:vAlign w:val="bottom"/>
          </w:tcPr>
          <w:p>
            <w:pPr>
              <w:spacing w:after="0"/>
              <w:rPr>
                <w:sz w:val="14"/>
                <w:szCs w:val="14"/>
                <w:color w:val="auto"/>
              </w:rPr>
            </w:pPr>
          </w:p>
        </w:tc>
        <w:tc>
          <w:tcPr>
            <w:tcW w:w="2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2,153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540" w:type="dxa"/>
            <w:vAlign w:val="bottom"/>
          </w:tcPr>
          <w:p>
            <w:pPr>
              <w:ind w:left="1080"/>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Regulated Utility</w:t>
            </w:r>
          </w:p>
        </w:tc>
        <w:tc>
          <w:tcPr>
            <w:tcW w:w="26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12,784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11,657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11,226</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Nonregulated Energy</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Operations</w:t>
            </w:r>
          </w:p>
        </w:tc>
        <w:tc>
          <w:tcPr>
            <w:tcW w:w="26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1,521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1,496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540" w:type="dxa"/>
            <w:vAlign w:val="bottom"/>
          </w:tcPr>
          <w:p>
            <w:pPr>
              <w:ind w:left="1080"/>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Kilowatthours Sold</w:t>
            </w:r>
          </w:p>
        </w:tc>
        <w:tc>
          <w:tcPr>
            <w:tcW w:w="26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13,024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13,178</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12,722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780"/>
          </w:cols>
          <w:pgMar w:left="220" w:top="782" w:right="899" w:bottom="0" w:gutter="0" w:footer="0" w:header="0"/>
        </w:sectPr>
      </w:pPr>
    </w:p>
    <w:bookmarkStart w:id="38" w:name="page39"/>
    <w:bookmarkEnd w:id="38"/>
    <w:p>
      <w:pPr>
        <w:spacing w:after="0"/>
        <w:tabs>
          <w:tab w:leader="none" w:pos="50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14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200" w:lineRule="exact"/>
        <w:rPr>
          <w:sz w:val="20"/>
          <w:szCs w:val="20"/>
          <w:color w:val="auto"/>
        </w:rPr>
      </w:pPr>
    </w:p>
    <w:p>
      <w:pPr>
        <w:spacing w:after="0" w:line="304" w:lineRule="exact"/>
        <w:rPr>
          <w:sz w:val="20"/>
          <w:szCs w:val="20"/>
          <w:color w:val="auto"/>
        </w:rPr>
      </w:pPr>
    </w:p>
    <w:p>
      <w:pPr>
        <w:spacing w:after="0"/>
        <w:tabs>
          <w:tab w:leader="none" w:pos="3700" w:val="left"/>
          <w:tab w:leader="none" w:pos="6360" w:val="left"/>
          <w:tab w:leader="none" w:pos="8940" w:val="left"/>
        </w:tabs>
        <w:rPr>
          <w:sz w:val="20"/>
          <w:szCs w:val="20"/>
          <w:color w:val="auto"/>
        </w:rPr>
      </w:pPr>
      <w:r>
        <w:rPr>
          <w:rFonts w:ascii="Courier New" w:cs="Courier New" w:eastAsia="Courier New" w:hAnsi="Courier New"/>
          <w:sz w:val="14"/>
          <w:szCs w:val="14"/>
          <w:color w:val="auto"/>
        </w:rPr>
        <w:t>REAL ESTATE</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tabs>
          <w:tab w:leader="none" w:pos="3080" w:val="left"/>
          <w:tab w:leader="none" w:pos="4200" w:val="left"/>
          <w:tab w:leader="none" w:pos="5680" w:val="left"/>
          <w:tab w:leader="none" w:pos="6880" w:val="left"/>
          <w:tab w:leader="none" w:pos="8260" w:val="left"/>
          <w:tab w:leader="none" w:pos="9380" w:val="left"/>
        </w:tabs>
        <w:rPr>
          <w:sz w:val="20"/>
          <w:szCs w:val="20"/>
          <w:color w:val="auto"/>
        </w:rPr>
      </w:pPr>
      <w:r>
        <w:rPr>
          <w:rFonts w:ascii="Courier New" w:cs="Courier New" w:eastAsia="Courier New" w:hAnsi="Courier New"/>
          <w:sz w:val="14"/>
          <w:szCs w:val="14"/>
          <w:color w:val="auto"/>
        </w:rPr>
        <w:t>REVENUE AND SALES ACTIVITY</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Revenue from Land Sales</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Town Center Sales</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Commercial Sq. Ft.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401,971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Residential Units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Palm Coast Park</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Residential Unit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Other Land Sales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Acres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Lots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Contract Sales Price</w:t>
            </w:r>
          </w:p>
        </w:tc>
        <w:tc>
          <w:tcPr>
            <w:tcW w:w="2360" w:type="dxa"/>
            <w:vAlign w:val="bottom"/>
          </w:tcPr>
          <w:p>
            <w:pPr>
              <w:ind w:left="640"/>
              <w:spacing w:after="0"/>
              <w:rPr>
                <w:sz w:val="20"/>
                <w:szCs w:val="20"/>
                <w:color w:val="auto"/>
              </w:rPr>
            </w:pPr>
            <w:r>
              <w:rPr>
                <w:rFonts w:ascii="Courier New" w:cs="Courier New" w:eastAsia="Courier New" w:hAnsi="Courier New"/>
                <w:sz w:val="14"/>
                <w:szCs w:val="14"/>
                <w:color w:val="auto"/>
              </w:rPr>
              <w:t>51.1</w:t>
            </w:r>
          </w:p>
        </w:tc>
        <w:tc>
          <w:tcPr>
            <w:tcW w:w="2580" w:type="dxa"/>
            <w:vAlign w:val="bottom"/>
          </w:tcPr>
          <w:p>
            <w:pPr>
              <w:ind w:left="940"/>
              <w:spacing w:after="0"/>
              <w:rPr>
                <w:sz w:val="20"/>
                <w:szCs w:val="20"/>
                <w:color w:val="auto"/>
              </w:rPr>
            </w:pPr>
            <w:r>
              <w:rPr>
                <w:rFonts w:ascii="Courier New" w:cs="Courier New" w:eastAsia="Courier New" w:hAnsi="Courier New"/>
                <w:sz w:val="14"/>
                <w:szCs w:val="14"/>
                <w:color w:val="auto"/>
              </w:rPr>
              <w:t>53.7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37.3</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Revenue Recognized from</w:t>
            </w:r>
          </w:p>
        </w:tc>
        <w:tc>
          <w:tcPr>
            <w:tcW w:w="2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Previously Deferred Sales</w:t>
            </w:r>
          </w:p>
        </w:tc>
        <w:tc>
          <w:tcPr>
            <w:tcW w:w="23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9.7</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23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(3.8)</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2360" w:type="dxa"/>
            <w:vAlign w:val="bottom"/>
          </w:tcPr>
          <w:p>
            <w:pPr>
              <w:ind w:left="640"/>
              <w:spacing w:after="0"/>
              <w:rPr>
                <w:sz w:val="20"/>
                <w:szCs w:val="20"/>
                <w:color w:val="auto"/>
              </w:rPr>
            </w:pPr>
            <w:r>
              <w:rPr>
                <w:rFonts w:ascii="Courier New" w:cs="Courier New" w:eastAsia="Courier New" w:hAnsi="Courier New"/>
                <w:sz w:val="14"/>
                <w:szCs w:val="14"/>
                <w:color w:val="auto"/>
              </w:rPr>
              <w:t>(0.9)</w:t>
            </w:r>
          </w:p>
        </w:tc>
        <w:tc>
          <w:tcPr>
            <w:tcW w:w="2580" w:type="dxa"/>
            <w:vAlign w:val="bottom"/>
          </w:tcPr>
          <w:p>
            <w:pPr>
              <w:ind w:left="940"/>
              <w:spacing w:after="0"/>
              <w:rPr>
                <w:sz w:val="20"/>
                <w:szCs w:val="20"/>
                <w:color w:val="auto"/>
              </w:rPr>
            </w:pPr>
            <w:r>
              <w:rPr>
                <w:rFonts w:ascii="Courier New" w:cs="Courier New" w:eastAsia="Courier New" w:hAnsi="Courier New"/>
                <w:sz w:val="14"/>
                <w:szCs w:val="14"/>
                <w:color w:val="auto"/>
              </w:rPr>
              <w:t>(1.7)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4"/>
                <w:szCs w:val="14"/>
                <w:color w:val="auto"/>
              </w:rPr>
              <w:t>Revenue from Land Sales</w:t>
            </w: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56.1</w:t>
            </w:r>
          </w:p>
        </w:tc>
        <w:tc>
          <w:tcPr>
            <w:tcW w:w="25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42.0</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35.8</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Other Revenue</w:t>
            </w: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6.5</w:t>
            </w:r>
          </w:p>
        </w:tc>
        <w:tc>
          <w:tcPr>
            <w:tcW w:w="25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5.5</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$62.6</w:t>
            </w:r>
          </w:p>
        </w:tc>
        <w:tc>
          <w:tcPr>
            <w:tcW w:w="25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$47.5</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$41.9</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Reflected total contract sales price on closed land transactions. Land sales are recorded using a percentage-of-completion method. (See Critical Accounting Estimates and Note 2.)</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Contributed development dollars, which are credited to cost of real estate sold.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REGULATED UTILITY contributed income of $46.8 million in 2006 ($45.7 million in 2005; $37.7 million in 2004). Earnings were slightly higher in 2006 than 2005 as demand from our industrial customers continued to be strong. Kilowatthour sales to industrial customers increased 76 million, or 1%, in 2006. Overall, Regulated Utility kilowatthour sales increased 1,127 million, or 10%, reflecting the inclusion of Taconite Harbor and its pre-existing wholesale energy sales obligations in Regulated Utility since January 1, 2006.</w:t>
      </w:r>
    </w:p>
    <w:p>
      <w:pPr>
        <w:spacing w:after="0" w:line="164"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2005, income was higher than 2004 due to a 4% increase in overall regulated utility kilowatthour electric sales. Healthier economic conditions in Minnesota Power's service territory combined with warmer weather in the summer of 2005 contributed to the increase in kilowatthour sales. Higher pension expense ($1.0 million) and an increase in maintenance expense ($2.0 million) were partially offset by the absence of Split Rock Energy expenses ($1.2 million) and lower interest expense ($0.6 million).</w:t>
      </w:r>
    </w:p>
    <w:p>
      <w:pPr>
        <w:spacing w:after="0" w:line="164"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NONREGULATED ENERGY OPERATIONS reported income of $3.7 million in 2006 (a loss of $48.5 million in 2005; a loss of $2.9 million in 2004). In April 2005, we completed the assignment of our Kendall County power purchase agreement to Constellation Energy Commodities. As a result of this transaction, we incurred a charge to operating expenses totaling $50.4 million after tax in the second quarter of 2005. In 2006, financial results reflected the absence of income from Taconite Harbor, which is now reported as part of Regulated Utility, and operating losses from Kendall County ($1.9 million in 2005; $8.5 million in 2004). In 2004, the Kendall County operating loss included a $0.7 million cost to terminate a transmission contract.</w:t>
      </w:r>
    </w:p>
    <w:p>
      <w:pPr>
        <w:spacing w:after="0" w:line="16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Income from our coal operations was up $0.2 million from 2005 primarily due to a 16% increase in the delivery price per ton reflecting higher reimbursable coal production expenses. Tons of coal sold were down 7% from 2005 in part due to an outage at Minnkota Power's Unit 1 in 2006. In 2005, income from our coal operations was up $1.3 million from 2004, primarily due to a 7% increase in tons of coal sold.</w:t>
      </w:r>
    </w:p>
    <w:p>
      <w:pPr>
        <w:spacing w:after="0" w:line="164"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INVESTMENT IN ATC contributed income of $1.9 million in 2006. We began investing in ATC in May 2006. As of December 31, 2006, our equity investment balance in ATC was $53.7 million, representing approximately a 7% ownership interest. (See Notes 6 and 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ectPr>
          <w:pgSz w:w="11900" w:h="16838" w:orient="portrait"/>
          <w:cols w:equalWidth="0" w:num="1">
            <w:col w:w="10780"/>
          </w:cols>
          <w:pgMar w:left="220" w:top="616" w:right="899" w:bottom="1085"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960"/>
        <w:spacing w:after="0" w:line="251" w:lineRule="auto"/>
        <w:rPr>
          <w:sz w:val="20"/>
          <w:szCs w:val="20"/>
          <w:color w:val="auto"/>
        </w:rPr>
      </w:pPr>
      <w:r>
        <w:rPr>
          <w:rFonts w:ascii="Courier New" w:cs="Courier New" w:eastAsia="Courier New" w:hAnsi="Courier New"/>
          <w:sz w:val="14"/>
          <w:szCs w:val="14"/>
          <w:color w:val="auto"/>
        </w:rPr>
        <w:t>REAL ESTATE contributed income of $22.8 million in 2006 ($17.5 million in 2005; $14.3 million in 2004), reflecting continued strong demand for real estate in Florida. Income was higher in 2006 primarily due to the recognition of deferred earnings from prior land sales. The timing of the closing of real estate sales varies from period to period and impacts comparisons between years. As of December 31, 2006, we had $4.1 million of deferred profit on sales of real estate, before taxes and minority interest, on our balance sheet. Most of this deferred profit relates to Town Center which will be recognized over the next several years as development obligations are completed. Since land is being sold before completion of the project infrastructure, revenue and cost of real estate sold are recorded using a percentage-of-completion method as development obligations are completed. (See Note 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886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spacing w:after="0"/>
        <w:tabs>
          <w:tab w:leader="none" w:pos="5320" w:val="left"/>
          <w:tab w:leader="none" w:pos="8440" w:val="left"/>
        </w:tabs>
        <w:rPr>
          <w:sz w:val="20"/>
          <w:szCs w:val="20"/>
          <w:color w:val="auto"/>
        </w:rPr>
      </w:pPr>
      <w:r>
        <w:rPr>
          <w:rFonts w:ascii="Courier New" w:cs="Courier New" w:eastAsia="Courier New" w:hAnsi="Courier New"/>
          <w:sz w:val="14"/>
          <w:szCs w:val="14"/>
          <w:color w:val="auto"/>
        </w:rPr>
        <w:t>AT DECEMBER 31, 2006</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62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786,400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$ 24.2</w:t>
            </w:r>
          </w:p>
        </w:tc>
        <w:tc>
          <w:tcPr>
            <w:tcW w:w="1340" w:type="dxa"/>
            <w:vAlign w:val="bottom"/>
          </w:tcPr>
          <w:p>
            <w:pPr>
              <w:spacing w:after="0"/>
              <w:rPr>
                <w:sz w:val="14"/>
                <w:szCs w:val="1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62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1,010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c>
          <w:tcPr>
            <w:tcW w:w="13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6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62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50,000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1340" w:type="dxa"/>
            <w:vAlign w:val="bottom"/>
          </w:tcPr>
          <w:p>
            <w:pPr>
              <w:spacing w:after="0"/>
              <w:rPr>
                <w:sz w:val="14"/>
                <w:szCs w:val="1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62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2,409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60.3</w:t>
            </w:r>
          </w:p>
        </w:tc>
        <w:tc>
          <w:tcPr>
            <w:tcW w:w="1340" w:type="dxa"/>
            <w:vAlign w:val="bottom"/>
          </w:tcPr>
          <w:p>
            <w:pPr>
              <w:spacing w:after="0"/>
              <w:rPr>
                <w:sz w:val="14"/>
                <w:szCs w:val="14"/>
                <w:color w:val="auto"/>
              </w:rPr>
            </w:pP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6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62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196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1340" w:type="dxa"/>
            <w:vAlign w:val="bottom"/>
          </w:tcPr>
          <w:p>
            <w:pPr>
              <w:spacing w:after="0"/>
              <w:rPr>
                <w:sz w:val="14"/>
                <w:szCs w:val="14"/>
                <w:color w:val="auto"/>
              </w:rPr>
            </w:pPr>
          </w:p>
        </w:tc>
      </w:tr>
      <w:tr>
        <w:trPr>
          <w:trHeight w:val="166"/>
        </w:trPr>
        <w:tc>
          <w:tcPr>
            <w:tcW w:w="108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8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Total Pending Land Sales Under Contract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$113.8</w:t>
            </w:r>
          </w:p>
        </w:tc>
        <w:tc>
          <w:tcPr>
            <w:tcW w:w="1340" w:type="dxa"/>
            <w:vAlign w:val="bottom"/>
          </w:tcPr>
          <w:p>
            <w:pPr>
              <w:spacing w:after="0"/>
              <w:rPr>
                <w:sz w:val="24"/>
                <w:szCs w:val="24"/>
                <w:color w:val="auto"/>
              </w:rPr>
            </w:pPr>
          </w:p>
        </w:tc>
      </w:tr>
      <w:tr>
        <w:trPr>
          <w:trHeight w:val="166"/>
        </w:trPr>
        <w:tc>
          <w:tcPr>
            <w:tcW w:w="108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95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Acreage amounts are approximate and shown on a gross basis, including wetlands and minority interest. Acreage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amounts may</w:t>
            </w:r>
          </w:p>
        </w:tc>
      </w:tr>
      <w:tr>
        <w:trPr>
          <w:trHeight w:val="166"/>
        </w:trPr>
        <w:tc>
          <w:tcPr>
            <w:tcW w:w="8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vary due to platting or surveying activity. Wetland amounts vary by property and are often</w:t>
            </w: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 formally determined prior</w:t>
            </w:r>
          </w:p>
        </w:tc>
      </w:tr>
      <w:tr>
        <w:trPr>
          <w:trHeight w:val="166"/>
        </w:trPr>
        <w:tc>
          <w:tcPr>
            <w:tcW w:w="8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to  sale. Commercial square feet and residential units are estimated and include minority</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The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actual property</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allocation at full</w:t>
            </w:r>
          </w:p>
        </w:tc>
        <w:tc>
          <w:tcPr>
            <w:tcW w:w="62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build-out may be different than these estimates.</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Includes land located</w:t>
            </w:r>
          </w:p>
        </w:tc>
        <w:tc>
          <w:tcPr>
            <w:tcW w:w="88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in  Ormond  Beach and  Palm Coast  in  northeast Florida  and  other land located in Cape Coral in</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southwest Florida, all of which are not included in development projects.</w:t>
      </w:r>
    </w:p>
    <w:p>
      <w:pPr>
        <w:spacing w:after="0" w:line="200" w:lineRule="exact"/>
        <w:rPr>
          <w:sz w:val="20"/>
          <w:szCs w:val="20"/>
          <w:color w:val="auto"/>
        </w:rPr>
      </w:pPr>
    </w:p>
    <w:p>
      <w:pPr>
        <w:spacing w:after="0" w:line="304" w:lineRule="exact"/>
        <w:rPr>
          <w:sz w:val="20"/>
          <w:szCs w:val="20"/>
          <w:color w:val="auto"/>
        </w:rPr>
      </w:pPr>
    </w:p>
    <w:p>
      <w:pPr>
        <w:jc w:val="both"/>
        <w:ind w:right="3960"/>
        <w:spacing w:after="0" w:line="251" w:lineRule="auto"/>
        <w:rPr>
          <w:sz w:val="20"/>
          <w:szCs w:val="20"/>
          <w:color w:val="auto"/>
        </w:rPr>
      </w:pPr>
      <w:r>
        <w:rPr>
          <w:rFonts w:ascii="Courier New" w:cs="Courier New" w:eastAsia="Courier New" w:hAnsi="Courier New"/>
          <w:sz w:val="14"/>
          <w:szCs w:val="14"/>
          <w:color w:val="auto"/>
        </w:rPr>
        <w:t>At December 31, 2006, total pending land sales under contract were $113.8 million and are anticipated to close at various times through 2012. Prices on these contracts range from $20 to $50 per commercial square foot, $8,000 to $34,000 per residential unit and $11,000 to $1,774,200 per acre for all other properties. Prices per acre are stated on a gross acreage basis and are dependent on the type and location of the properties sold. The majority of the other properties under contract are zoned commercial or mixed use. In addition to minimum base price contracts, certain contracts allow us to receive participation revenue from land sales to third parties if various formula-based criteria are achieved.</w:t>
      </w:r>
    </w:p>
    <w:p>
      <w:pPr>
        <w:spacing w:after="0" w:line="329" w:lineRule="exact"/>
        <w:rPr>
          <w:sz w:val="20"/>
          <w:szCs w:val="20"/>
          <w:color w:val="auto"/>
        </w:rPr>
      </w:pPr>
    </w:p>
    <w:p>
      <w:pPr>
        <w:jc w:val="both"/>
        <w:ind w:right="3960"/>
        <w:spacing w:after="0" w:line="251" w:lineRule="auto"/>
        <w:rPr>
          <w:sz w:val="20"/>
          <w:szCs w:val="20"/>
          <w:color w:val="auto"/>
        </w:rPr>
      </w:pPr>
      <w:r>
        <w:rPr>
          <w:rFonts w:ascii="Courier New" w:cs="Courier New" w:eastAsia="Courier New" w:hAnsi="Courier New"/>
          <w:sz w:val="14"/>
          <w:szCs w:val="14"/>
          <w:color w:val="auto"/>
        </w:rPr>
        <w:t>If a purchaser defaults under terms of a contract, our remedies generally include retention of the purchaser's deposit and the ability to remarket the property to other prospective buyers. In many cases, the purchaser has also incurred significant costs in planning, designing and marketing of the property under contract before the contract closes.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4"/>
          </w:tcPr>
          <w:p>
            <w:pPr>
              <w:spacing w:after="0"/>
              <w:rPr>
                <w:sz w:val="20"/>
                <w:szCs w:val="20"/>
                <w:color w:val="auto"/>
              </w:rPr>
            </w:pPr>
            <w:r>
              <w:rPr>
                <w:rFonts w:ascii="Courier New" w:cs="Courier New" w:eastAsia="Courier New" w:hAnsi="Courier New"/>
                <w:sz w:val="14"/>
                <w:szCs w:val="14"/>
                <w:color w:val="auto"/>
              </w:rPr>
              <w:t>OTHER reflected  income</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w:t>
            </w:r>
          </w:p>
        </w:tc>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$2.1 million in</w:t>
            </w:r>
          </w:p>
        </w:tc>
        <w:tc>
          <w:tcPr>
            <w:tcW w:w="32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2006 ($2.9 million of income in 2005;</w:t>
            </w:r>
          </w:p>
        </w:tc>
      </w:tr>
      <w:tr>
        <w:trPr>
          <w:trHeight w:val="166"/>
        </w:trPr>
        <w:tc>
          <w:tcPr>
            <w:tcW w:w="2040" w:type="dxa"/>
            <w:vAlign w:val="bottom"/>
            <w:gridSpan w:val="4"/>
          </w:tcPr>
          <w:p>
            <w:pPr>
              <w:spacing w:after="0"/>
              <w:rPr>
                <w:sz w:val="20"/>
                <w:szCs w:val="20"/>
                <w:color w:val="auto"/>
              </w:rPr>
            </w:pPr>
            <w:r>
              <w:rPr>
                <w:rFonts w:ascii="Courier New" w:cs="Courier New" w:eastAsia="Courier New" w:hAnsi="Courier New"/>
                <w:sz w:val="14"/>
                <w:szCs w:val="14"/>
                <w:color w:val="auto"/>
              </w:rPr>
              <w:t>a $10.6 million loss in</w:t>
            </w:r>
          </w:p>
        </w:tc>
        <w:tc>
          <w:tcPr>
            <w:tcW w:w="48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2004). In 2006,  income from Other was down $0.8 million</w:t>
            </w:r>
          </w:p>
        </w:tc>
      </w:tr>
      <w:tr>
        <w:trPr>
          <w:trHeight w:val="166"/>
        </w:trPr>
        <w:tc>
          <w:tcPr>
            <w:tcW w:w="2040" w:type="dxa"/>
            <w:vAlign w:val="bottom"/>
            <w:gridSpan w:val="4"/>
          </w:tcPr>
          <w:p>
            <w:pPr>
              <w:spacing w:after="0"/>
              <w:rPr>
                <w:sz w:val="20"/>
                <w:szCs w:val="20"/>
                <w:color w:val="auto"/>
              </w:rPr>
            </w:pPr>
            <w:r>
              <w:rPr>
                <w:rFonts w:ascii="Courier New" w:cs="Courier New" w:eastAsia="Courier New" w:hAnsi="Courier New"/>
                <w:sz w:val="14"/>
                <w:szCs w:val="14"/>
                <w:color w:val="auto"/>
              </w:rPr>
              <w:t>from 2005 primarily due</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w:t>
            </w:r>
          </w:p>
        </w:tc>
        <w:tc>
          <w:tcPr>
            <w:tcW w:w="2440" w:type="dxa"/>
            <w:vAlign w:val="bottom"/>
            <w:gridSpan w:val="4"/>
          </w:tcPr>
          <w:p>
            <w:pPr>
              <w:spacing w:after="0"/>
              <w:rPr>
                <w:sz w:val="20"/>
                <w:szCs w:val="20"/>
                <w:color w:val="auto"/>
              </w:rPr>
            </w:pPr>
            <w:r>
              <w:rPr>
                <w:rFonts w:ascii="Courier New" w:cs="Courier New" w:eastAsia="Courier New" w:hAnsi="Courier New"/>
                <w:sz w:val="14"/>
                <w:szCs w:val="14"/>
                <w:color w:val="auto"/>
              </w:rPr>
              <w:t>the absence of tax benefits</w:t>
            </w:r>
          </w:p>
        </w:tc>
        <w:tc>
          <w:tcPr>
            <w:tcW w:w="2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recorded in 2005--a $3.7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million</w:t>
            </w:r>
          </w:p>
        </w:tc>
        <w:tc>
          <w:tcPr>
            <w:tcW w:w="53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current tax benefit due to the positive  resolution of income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tax audit</w:t>
            </w:r>
          </w:p>
        </w:tc>
      </w:tr>
      <w:tr>
        <w:trPr>
          <w:trHeight w:val="166"/>
        </w:trPr>
        <w:tc>
          <w:tcPr>
            <w:tcW w:w="2340" w:type="dxa"/>
            <w:vAlign w:val="bottom"/>
            <w:gridSpan w:val="5"/>
          </w:tcPr>
          <w:p>
            <w:pPr>
              <w:spacing w:after="0"/>
              <w:rPr>
                <w:sz w:val="20"/>
                <w:szCs w:val="20"/>
                <w:color w:val="auto"/>
              </w:rPr>
            </w:pPr>
            <w:r>
              <w:rPr>
                <w:rFonts w:ascii="Courier New" w:cs="Courier New" w:eastAsia="Courier New" w:hAnsi="Courier New"/>
                <w:sz w:val="14"/>
                <w:szCs w:val="14"/>
                <w:color w:val="auto"/>
              </w:rPr>
              <w:t>issues and a $2.5 million</w:t>
            </w:r>
          </w:p>
        </w:tc>
        <w:tc>
          <w:tcPr>
            <w:tcW w:w="2440" w:type="dxa"/>
            <w:vAlign w:val="bottom"/>
            <w:gridSpan w:val="4"/>
          </w:tcPr>
          <w:p>
            <w:pPr>
              <w:spacing w:after="0"/>
              <w:rPr>
                <w:sz w:val="20"/>
                <w:szCs w:val="20"/>
                <w:color w:val="auto"/>
              </w:rPr>
            </w:pPr>
            <w:r>
              <w:rPr>
                <w:rFonts w:ascii="Courier New" w:cs="Courier New" w:eastAsia="Courier New" w:hAnsi="Courier New"/>
                <w:sz w:val="14"/>
                <w:szCs w:val="14"/>
                <w:color w:val="auto"/>
              </w:rPr>
              <w:t>deferred tax benefit due to</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comprehensive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state tax</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planning</w:t>
            </w:r>
          </w:p>
        </w:tc>
        <w:tc>
          <w:tcPr>
            <w:tcW w:w="13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initiatives.</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w:t>
            </w:r>
          </w:p>
        </w:tc>
        <w:tc>
          <w:tcPr>
            <w:tcW w:w="4560" w:type="dxa"/>
            <w:vAlign w:val="bottom"/>
            <w:gridSpan w:val="7"/>
          </w:tcPr>
          <w:p>
            <w:pPr>
              <w:spacing w:after="0"/>
              <w:rPr>
                <w:sz w:val="20"/>
                <w:szCs w:val="20"/>
                <w:color w:val="auto"/>
              </w:rPr>
            </w:pPr>
            <w:r>
              <w:rPr>
                <w:rFonts w:ascii="Courier New" w:cs="Courier New" w:eastAsia="Courier New" w:hAnsi="Courier New"/>
                <w:sz w:val="14"/>
                <w:szCs w:val="14"/>
                <w:color w:val="auto"/>
              </w:rPr>
              <w:t>addition, a $0.9 million increase in interest expense</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was more than</w:t>
            </w:r>
          </w:p>
        </w:tc>
        <w:tc>
          <w:tcPr>
            <w:tcW w:w="11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offset by a</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$2.6</w:t>
            </w: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increase</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  earnings</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on cash and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short-term</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investments,</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absence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impairments</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of $3.3</w:t>
            </w:r>
          </w:p>
        </w:tc>
        <w:tc>
          <w:tcPr>
            <w:tcW w:w="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million</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related to certain</w:t>
            </w:r>
          </w:p>
        </w:tc>
      </w:tr>
      <w:tr>
        <w:trPr>
          <w:trHeight w:val="166"/>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investments  in our</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emerging</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portfolio</w:t>
            </w:r>
          </w:p>
        </w:tc>
        <w:tc>
          <w:tcPr>
            <w:tcW w:w="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and the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absence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of a $0.6</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million charge</w:t>
            </w:r>
          </w:p>
        </w:tc>
        <w:tc>
          <w:tcPr>
            <w:tcW w:w="11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recognized</w:t>
            </w:r>
          </w:p>
        </w:tc>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in 2005 for the probable</w:t>
            </w:r>
          </w:p>
        </w:tc>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payment under our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guarantee</w:t>
            </w:r>
          </w:p>
        </w:tc>
      </w:tr>
      <w:tr>
        <w:trPr>
          <w:trHeight w:val="166"/>
        </w:trPr>
        <w:tc>
          <w:tcPr>
            <w:tcW w:w="2340" w:type="dxa"/>
            <w:vAlign w:val="bottom"/>
            <w:gridSpan w:val="5"/>
          </w:tcPr>
          <w:p>
            <w:pPr>
              <w:spacing w:after="0"/>
              <w:rPr>
                <w:sz w:val="20"/>
                <w:szCs w:val="20"/>
                <w:color w:val="auto"/>
              </w:rPr>
            </w:pPr>
            <w:r>
              <w:rPr>
                <w:rFonts w:ascii="Courier New" w:cs="Courier New" w:eastAsia="Courier New" w:hAnsi="Courier New"/>
                <w:sz w:val="14"/>
                <w:szCs w:val="14"/>
                <w:color w:val="auto"/>
              </w:rPr>
              <w:t>of Northwest Airlines debt.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0" w:lineRule="exact"/>
        <w:rPr>
          <w:sz w:val="20"/>
          <w:szCs w:val="20"/>
          <w:color w:val="auto"/>
        </w:rPr>
      </w:pPr>
    </w:p>
    <w:p>
      <w:pPr>
        <w:jc w:val="both"/>
        <w:ind w:right="3960"/>
        <w:spacing w:after="0" w:line="251" w:lineRule="auto"/>
        <w:rPr>
          <w:sz w:val="20"/>
          <w:szCs w:val="20"/>
          <w:color w:val="auto"/>
        </w:rPr>
      </w:pPr>
      <w:r>
        <w:rPr>
          <w:rFonts w:ascii="Courier New" w:cs="Courier New" w:eastAsia="Courier New" w:hAnsi="Courier New"/>
          <w:sz w:val="14"/>
          <w:szCs w:val="14"/>
          <w:color w:val="auto"/>
        </w:rPr>
        <w:t>In 2005, income from Other was up $13.5 million from 2004. Financial results for 2005 reflected the $3.7 million current tax benefit and the $2.5 million deferred tax benefit previously mentioned, a $3.4 million decline in interest expense as a result of lower debt balances, and a $1.9 million increase in earnings on cash and short-term investments. Cash was higher in 2005 than 2004 due to proceeds received from the sale of Enventis Telecom in 2005 as well as earnings on proceeds received from the sale of our Water Services businesses in 2004 and 2003, and proceeds received from ADESA in 2004. Equity losses related to investments in venture capital funds declined in 2005 ($0 in 2005; $1.6 million in 2004) as did impairments related to certain investments in our emerging technology portfolio ($3.3 million in 2005; $4.1 million in 2004). Financial results for 2004 also included an $11.5 million gain on the sale of ADESA stock related to our ESOP (see Note 17), which was partially offset by a $10.9 million debt prepayment cost associated with the retirement of long-term debt as a part of our financial restructuring in preparation for the spin-off of ADESA.</w:t>
      </w:r>
    </w:p>
    <w:p>
      <w:pPr>
        <w:spacing w:after="0" w:line="32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860"/>
          </w:cols>
          <w:pgMar w:left="220" w:top="616" w:right="819" w:bottom="94"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DISCONTINUED OPERATIONS includes our Automotive Services business that was spun off on September 20, 2004, costs incurred by ALLETE associated with the spin-off of ADESA, our Water Services businesses that we sold over the three-year period from 2003 to 2005 and our telecommunications business, which we sold in December 2005. Discontinued operations reflected a $0.9 million loss in 2006 (a $4.3 million loss in 2005; $73.7 million of income in 2004).</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2006, discontinued operations reflected a $0.9 million loss resulting from additional legal and administrative expenses related to exiting the Water Services businesses (a $2.5 million loss in 2005; a $1.3 million loss in 2004). In 2005, administrative and other expenses were incurred to support Florida Water transfer proceedings. A $1.0 million rate-base settlement charge related to the sale of 63 of Florida Water systems to Aqua Utilities Florida, Inc. was also recorded in 2005. Gains in 2004 from the sale of our North Carolina assets and the remaining systems in Florida were offset by an adjustment to gains reported in 2003. The adjustment to gains reported in 2003 resulted primarily from an arbitration award in December 2004 relating to a gain-sharing provision on a system sold in 2003. The majority of our Florida systems were sold in the fourth quarter of 2003. North Carolina assets were sold in June 2004. Our wastewater assets in Georgia were sold in February 2005.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Automotive Services contributed income of $74.4 million in 2004.</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results for our telecommunications business reflected a loss of $1.8 million in 2005 (income of $0.6 million in 2004). In 2005, we recorded a $3.6 million loss on the sale of this business. In 2005, income from operations was $1.2 million higher than 2004 primarily due to increased margins on telecommunication services.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CHANGE IN ACCOUNTING PRINCIPLE reflected the cumulative effect on prior years (to December 31, 2003) of changing to the equity method of accounting for investments in limited liability companies included in our emerging technology portfolio. (See Note 15.)</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2006 COMPARED TO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$63.6 million, or 11%, from 2005, reflecting increased kilowatthour sales and increased fuel clause recoveries. Electric sales increased 1,127 million kilowatthours, or 10%, mostly due to the addition of Taconite Harbor wholesale power obligations to the Regulated Utility segment effective January 1, 2006. In 2006, the majority of Taconite Harbor sales are reflected in sales to other power suppliers. Sales to other power suppliers were 2,153 million kilowatthours and $94.3 million (1,142 million kilowatthours and $52.8 million in 2005). Absent the inclusion of pre-existing Taconite Harbor wholesale energy sales obligations, sales to other power suppliers were down reflecting less excess energy available for sale due to more planned outages at Company generating facilities in 2006 than 2005. Electric sales to retail and municipal customers increased 116 million kilowatthours, or 1%, and $23.5 million, mainly due to strong demand from industrial customers. Fuel clause recoveries were higher in 2006 as a result of increased fuel and purchased power expenses in 2006. Natural gas revenue was down $2.8 million from 2005 reflecting decreased usage due to warmer weather in 2006.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EXPENSES were up $57.8 million, or 12%, from 2005.</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FUEL AND PURCHASED POWER EXPENSE. Fuel and purchased power expense was up $38.0 million from 2005, reflecting the inclusion of Taconite Harbor operations beginning in 2006 ($22.8 million) and increased purchased power expense due to higher prices paid for purchased power, less Company hydro generation available as a result of below normal precipitation levels, and planned maintenance at Company generating facilities in 2006.</w:t>
      </w:r>
    </w:p>
    <w:p>
      <w:pPr>
        <w:spacing w:after="0" w:line="164"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OTHER OPERATING EXPENSES. In total, other operating expenses were up $19.8 million from 2005. Employee compensation was up $7.3 million primarily due to the inclusion of Taconite Harbor, annual wage increases and the inclusion of union employees in our results sharing compensation awards program. Depreciation expense increased $4.8 million primarily due to the inclusion of Taconite Harbor and a full year of depreciation of projects capitalized in 2005. In total, plant maintenance expense increased $4.7 million reflecting the inclusion of Taconite Harbor maintenance in 2006 ($4.0 million), increased planned maintenance expense at Boswell Unit 4 ($1.6 million) and increased equipment fuel expenses ($0.9 million) partially offset by a decrease in maintenance expense at Boswell Unit 3 ($1.8 million). In 2005, planned maintenance was performed at Boswell Unit 3 while the unit was down due to a cooling tower failure. Pension expense increased $2.2 million primarily due to a reduction in the discount rate (5.50% in 2006; 5.75% in 2005). Insurance expense was up $1.0 million due to increased premiums. Vegetation management expense was up $0.7 million due to more completed in 2006. Property taxes were up $0.7 million due to higher mill rates in 2006. Purchased natural gas expense was down $2.7 million due to decreased natural gas sales.</w:t>
      </w:r>
    </w:p>
    <w:p>
      <w:pPr>
        <w:spacing w:after="0" w:line="17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INTEREST EXPENSE was up $2.8 million, or 16%, from 2005, reflecting the inclusion of Taconite Harbor in 2006 partially offset by lower effective interest rates (5.92% in 2006; 6.07% in 2005).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ectPr>
          <w:pgSz w:w="11900" w:h="16838" w:orient="portrait"/>
          <w:cols w:equalWidth="0" w:num="1">
            <w:col w:w="10239"/>
          </w:cols>
          <w:pgMar w:left="220" w:top="616" w:right="1440" w:bottom="257"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2006 COMPARED TO 2005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$48.9 million, or 43%, from 2005 due to the absence of revenue from Taconite Harbor ($55.1 million in 2005) and Kendall County ($3.1 million in 2005). Effective January 1, 2006, Taconite Harbor is reported as part of Regulated Utility. Kendall County operations ceased to be included with our operations effective April 1, 2005, when the Company assigned the power purchase agreement to Constellation Energy Commodities. Coal revenue, realized under cost plus a fixed fee agreements, was up $3.7 million from 2005 reflecting a 16% increase in the delivery price per ton due to higher reimbursable coal production expenses (see operating expenses below). In 2006, tons of coal sold were down 7% from 2005 in part due to an outage at Minnkota Power's Unit 1 in 2006.</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$125.2 million, or 67%, from 2005 reflecting the absence of a $77.9 million charge related to the assignment of the Kendall County power purchase agreement to Constellation Energy Commodities on April 1, 2005, expenses related to Taconite Harbor ($49.3 million in 2005) and other expenses related to Kendall County ($6.3 million in 2005) that were incurred prior to April 1, 2005. Expenses related to coal operations were up $3.4 million reflecting increased equipment lease costs ($1.3 million), higher fuel expenses ($0.6 million) and increased parts and supplies ($0.9 million).</w:t>
      </w:r>
    </w:p>
    <w:p>
      <w:pPr>
        <w:spacing w:after="0" w:line="164"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$3.3 million, or 50%, primarily due to the absence of Taconite Harbor in 2006.</w:t>
      </w:r>
    </w:p>
    <w:p>
      <w:pPr>
        <w:spacing w:after="0" w:line="160"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OTHER INCOME (EXPENSE) reflected $0.5 million more income in 2006 due to increased Minnesota land sales.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ATC</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OTHER INCOME (EXPENSE) reflected $3.0 million of income in 2006 from our equity investment in ATC, resulting from our share of ATC's earnings.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$15.1 million, or 32%, from 2005, due to the recognition of revenue from prior land sales at our Town Center development project, which are accounted for under the percentage-of-completion method. Revenue from land sales was $56.1 million in 2006 which included $9.7 million of previously deferred revenue. In 2005, revenue from land sales was $42.0 million. Sales at Town Center represented 773 residential units and the rights to build up to 401,971 square feet of commercial space in 2006 (643,000 commercial square feet in 2005). Sales at Palm Coast Park represented 200 residential units in 2006. In 2006, 732 acres of other land were sold (1,102 acres and 7 lots in 2005). The first land sales for Town Center were recorded in June 2005 and the first land sales at Palm Coast Park were recorded in August 2006. At December 31, 2006, revenue of $5.6 million ($11.5 million at December 31, 2005) was deferred and will be recognized on a percentage-of-completion basis as development obligations are completed.</w:t>
      </w:r>
    </w:p>
    <w:p>
      <w:pPr>
        <w:spacing w:after="0" w:line="17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$2.7 million, or 17%, from 2005 reflecting a $1.6 million increase in the cost of real estate sold ($10.2 million in 2006; $8.6 million in 2005) due to the recognition of the cost of real estate sold at our Town Center development project which were previously deferred under the percentage-of-completion method. Selling expenses increased $0.6 million due to higher broker commission in 2006 and recognition of prior year's selling expenses at our Town Center development project which were previously deferred under the percentage-of-completion method. Property tax expense was $0.2 million higher in 2006 due to increased assessment values and higher rates. At December 31, 2006, cost of real estate sold totaling $1.3 million ($2.2 million at December 31, 2005) and selling expenses of $0.2 million ($0.3 million at December 31, 2005), primarily related to Town Center land sales, were deferred until development obligations are completed.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were down $1.2 million, or 29%, from 2005, reflecting lower general and administrative expenses in 2006.</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INTEREST EXPENSE was up $1.6 million, or 70%, from 2005, reflecting interest on additional taxes owed on the gain on the sale of our Florida Water assets and state tax audits, and higher variable rates in 2006.</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$10.1 million more income in 2006 due to a $4.4 million increase in earnings on cash and short-term investments due to higher rates and higher average balances in 2006, the absence of $5.1 million of impairments related to certain investments in our emerging technology portfolio recorded in 2005 and the absence of a $1.0 million charge recognized in 2005 for the probable payment under our guarantee of Northwest Airlines debt.</w:t>
      </w:r>
    </w:p>
    <w:p>
      <w:pPr>
        <w:spacing w:after="0" w:line="16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088"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2006 COMPARED TO 2005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For the year ended December 31, 2006, the effective tax rate from continuing operations before minority interest was 36.1% (2.5% benefit for the year ended December 31, 2005). The increase in the effective rate compared to last year was primarily due to the lower income from continuing operations in 2005 as a result of the Kendall County Charge, and one-time tax benefits realized in 2005 for adjustments to our deferred tax assets and liabilities as a result of comprehensive state tax planning initiatives, and positive resolution of audit issues. The effective rate of 36.1% for the year ended December 31, 2006, was less than the combined state and federal statutory rate because of investment tax credits, deductions for Medicare health subsidies, depletion and the expected use of state capital loss carryforwards.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COMPARED TO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$20.6 million, or 4%, from 2004. Revenue from other power suppliers was up $15.4 million from 2004 due to a 224 million, or 24%, increase in kilowatthour sales and higher market prices. In 2005, changes in scheduled plant outages resulted in more energy available for sale than in 2004. Transmission revenue was up $4.2 million from 2004, reflecting increased MISO-related revenue. Revenue from sales to retail and municipal customers was down $2.4 million, primarily due to lower fuel clause recoveries in 2005. (See operating expenses below.) Kilowatthour sales to retail and municipal customers remained strong--up 207 million, or 2%, from 2004, reflecting increased usage. Residential and municipal customer usage was higher in 2005 due to higher than normal summer temperatures in 2005. Commercial usage was higher due to stronger economic conditions in our electric service territory in 2005. Sales to industrial customers were similar to last year because, as in 2004, the Company's industrial customers were operating at high production levels, with taconite and paper production at or near capacity. Overall, regulated utility kilowatthour sales were up 431 million, or 4%, from 2004. Revenue from natural gas sales was up $2.5 million due to increased prices in the natural gas component of sales.</w:t>
      </w:r>
    </w:p>
    <w:p>
      <w:pPr>
        <w:spacing w:after="0" w:line="339"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EXPENSES were up $9.7 million, or 2%, from 2004. Fuel and purchased power expense was down $1.4 million from 2004 due to fewer outages. In 2004, increased purchased power was necessitated by outages at Company generating facilities and the Square Butte generating facility. Maintenance expense was up $3.4 million from 2004, reflecting planned maintenance performed at Boswell Units 1, 2 and 3 during 2005, partially offset by lower maintenance expense related to Boswell Unit 4 and Laskin Unit 1. In 2004, maintenance expense increased due to maintenance scheduled for 2005 and 2006 that was performed while Boswell Unit 4 was down as a result of a generator failure. Other operating expenses were $7.7 million higher in 2005--MISO transmission costs increased $4.1 million, natural gas purchases increased $2.6 million due to higher prices and pension expense increased $1.7 million primarily due to a reduction in the discount rate (5.75% in 2005; 6.00% in 2004). These increases were partially offset by the absence of $2.0 million of expenses related to Split Rock Energy, which we exited in March 2004.</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$1.1 million from 2004, primarily due to lower effective interest rates (6.07% in 2005; 6.67% in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$7.1 million, or 7%, from 2004. Revenue from Taconite Harbor increased $14.0 million from 2004, primarily due to higher demand as a result of two 5-year contracts (175 MW in total) that began in May 2005. Coal revenue, realized under cost plus a fixed fee agreements, was up $5.0 million from 2004, reflecting a 7% increase in tons of coal sold and an 8% increase in the delivery price per ton due to higher reimbursable coal production expenses. (See operating expenses below.) BNI Coal sold fewer tons of coal in 2004 due to a scheduled outage at the Square Butte generating facility. Revenue from Kendall County was down $13.4 million from 2004, reflecting the absence of operations since April 2005 when the Kendall County power purchase agreement was assigned to Constellation Energy Commodities. Overall, nonregulated kilowatthour sales were up 2% from 2004.</w:t>
      </w:r>
    </w:p>
    <w:p>
      <w:pPr>
        <w:spacing w:after="0" w:line="329"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$78.0 million, or 72%, from 2004, primarily due to the $77.9 million charge related to the assignment of the Kendall County power purchase agreement to Constellation Energy Commodities in April 2005. Nonregulated generation fuel and purchased power expense was down $11.7 million from 2004, reflecting the absence of Kendall County operations. Operating and maintenance expenses at Taconite Harbor were higher in 2005, reflecting a $2.3 million increase in SO2 emission allowance expense, a $1.0 million increase in contract services due to a longer than anticipated scheduled outage as well as unscheduled outages, and a $1.2 million increase in depreciation expense as a result of capitalized projects being completed and placed into operation. Expenses related to our coal operations were up $3.9 million, in part due to higher expenses associated with equipment repairs, increased fuel costs and a $2.1 million increase in lease expense related to the dragline.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ectPr>
          <w:pgSz w:w="11900" w:h="16838" w:orient="portrait"/>
          <w:cols w:equalWidth="0" w:num="1">
            <w:col w:w="10239"/>
          </w:cols>
          <w:pgMar w:left="220" w:top="616" w:right="1440" w:bottom="91"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2005 COMPARED TO 2004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 (CONTINUED)</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up $1.7 million from 2004, reflecting higher allocations in 2005.</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$1.1 million more income in 2005. Income from customer contract services was up $0.4 million from 2004. Income from Minnesota land sales was up $0.7 million from 2004, primarily due to an adjustment recorded as a result of an MPUC land reevaluation.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$5.6 million, or 13%, from 2004, reflecting strong land sales offset by the deferral of revenue associated with certain real estate sales. Revenue from land sales was $42.0 million in 2005 ($35.8 million in 2004). Town Center land sales accounted for $4.5 million of land sale revenue in 2005. In 2005, revenue of $10.0 million, primarily related to Town Center land sales, was deferred until development obligations are completed ($1.5 million in 2004). Revenue from lot sales was lower in 2005 because in January 2004 we sold the remaining 184 lots at Sugarmill Woods for $3.9 million, essentially exiting the lot sales business. In 2005, 1,102 acres and 7 lots were sold. Town Center sales included assignments of rights to build up to 643,000 square feet of commercial space. In 2004, 1,479 acres and 211 lots were sold. Revenue from our brokerage business, Cape Properties, Inc., was down $0.7 million, reflecting unusually strong sales in 2004.</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$0.5 million, or 3%, from 2004. Cost of real estate sold was $2.1 million higher in 2005 ($8.6 million in 2005; $6.5 million in 2004) due to the type and location of real estate sold. In 2005, cost of real estate sold totaling $2.2 million ($0.4 million in 2004) and selling expense of $0.3 million, primarily related to Town Center land sales, were deferred until development obligations are completed. Expenses for our brokerage business were down $0.2 million due to unusually strong sales in 2004. Selling expenses were down $1.1 million from 2004 due to lower transaction costs and fewer brokerage commissions on 2005 sales. Property taxes were down $0.3 million from 2004, reflecting a reduction in land owned.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were up $0.9 million, or 28%, from 2004, primarily due to increased compensation expenses.</w:t>
      </w:r>
    </w:p>
    <w:p>
      <w:pPr>
        <w:spacing w:after="0" w:line="160"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$5.7 million from 2004, primarily due to lower debt balances. The Company repaid a $53 million balance on a credit agreement in April 2004 and $125 million of 7.80% Senior Notes in July 2004. A combination of internally-generated funds, proceeds from the sale of our Water Services assets and proceeds received from ADESA were used to repay the debt.</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$11.6 million less expense in 2005. Other income (expense) in 2005 reflected a $3.2 million increase in earnings on excess cash, a $1.2 million decrease in equity losses from our emerging technology investments and a $1.0 million charge to recognize the probable payment under our guarantee of Northwest Airlines debt. We also recorded $5.1 million of impairments related to certain investments in our emerging technology portfolio in 2005 ($6.5 million in 2004). In 2004, other income (expense) included an $18.5 million debt prepayment cost related to the early redemption of $125 million in senior notes, an $11.5 million gain on the sale of ADESA shares held in our ESOP (see Note 17), and $0.9 million of income from a rabbi trust established to secure certain deferred executive compensation.</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INCOME TAXES. The effective tax rate from continuing operations before minority interest was a 2.5% benefit in 2005 (28.8% expense in 2004). Income taxes in 2005 were affected by three major items, the adjustment of our deferred taxes from comprehensive state tax planning initiatives, a current tax benefit from the positive resolution of audit issues and the inability to use state capital loss carryforwards. The adjustment of our deferred tax assets and liabilities resulted in a deferred tax benefit. We received an audit report resolving open issues that resulted in a current tax benefit. These items decreased our overall tax expense. The emerging technology investment impairments recorded in March 2005 and the Kendall County Charge recorded in April 2005 created capital losses. The current benefit for these items was limited to a federal benefit for income tax purposes. The state tax benefit from these items is not expected to be realized currently or in future periods. The benefit related to these state net capital loss carryforwards was fully offset by a valuation allowance. This resulted in an increase in our overall tax expense. Current taxes also increased in 2005 due to the expiration of the accelerated depreciation deduction allowed by the Jobs and Growth Tax Relief Act of 2003, which expired December 31, 2004. An increase in the Federal Medicare subsidy and the new Domestic Manufacturing Deduction contributed to lower taxes in 2005. Income taxes for 2004 were primarily affected as a result of the benefit of the nontaxable gain from the sale of ADESA common stock in our ESOP. (See Note 13.)</w:t>
      </w:r>
    </w:p>
    <w:p>
      <w:pPr>
        <w:spacing w:after="0" w:line="17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922"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NON-GAAP FINANCIAL MEASURES</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We prepare financial statements in accordance with GAAP. Along with this information, we disclose and discuss certain non-GAAP financial information in our quarterly earnings releases, on investor conference calls and during investor conferences and related events. Management believes that non-GAAP financial data supplements our GAAP financial statements by providing investors with additional information which enhances the investors' overall understanding of our financial performance and the comparability of our operating results from period to period. The presentation of this additional information is not meant to be considered in isolation or as a substitute for our results of operations prepared and presented in accordance with GAAP.</w:t>
      </w:r>
    </w:p>
    <w:p>
      <w:pPr>
        <w:spacing w:after="0" w:line="163" w:lineRule="exact"/>
        <w:rPr>
          <w:sz w:val="20"/>
          <w:szCs w:val="20"/>
          <w:color w:val="auto"/>
        </w:rPr>
      </w:pPr>
    </w:p>
    <w:p>
      <w:pPr>
        <w:jc w:val="both"/>
        <w:ind w:right="3700"/>
        <w:spacing w:after="0" w:line="255" w:lineRule="auto"/>
        <w:rPr>
          <w:sz w:val="20"/>
          <w:szCs w:val="20"/>
          <w:color w:val="auto"/>
        </w:rPr>
      </w:pPr>
      <w:r>
        <w:rPr>
          <w:rFonts w:ascii="Courier New" w:cs="Courier New" w:eastAsia="Courier New" w:hAnsi="Courier New"/>
          <w:sz w:val="14"/>
          <w:szCs w:val="14"/>
          <w:color w:val="auto"/>
        </w:rPr>
        <w:t>As earlier mentioned, financial results for 2005 were significantly impacted by the following transactions:</w:t>
      </w:r>
    </w:p>
    <w:p>
      <w:pPr>
        <w:spacing w:after="0" w:line="160" w:lineRule="exact"/>
        <w:rPr>
          <w:sz w:val="20"/>
          <w:szCs w:val="20"/>
          <w:color w:val="auto"/>
        </w:rPr>
      </w:pPr>
    </w:p>
    <w:p>
      <w:pPr>
        <w:jc w:val="both"/>
        <w:ind w:left="780" w:right="3700" w:hanging="513"/>
        <w:spacing w:after="0" w:line="250" w:lineRule="auto"/>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$50.4 million after tax, or $1.84 per share, charge due to the assignment of the Kendall County power purchase agreement to Constellation Energy Commodities (see Note 10);</w:t>
      </w:r>
    </w:p>
    <w:p>
      <w:pPr>
        <w:spacing w:after="0" w:line="1" w:lineRule="exact"/>
        <w:rPr>
          <w:rFonts w:ascii="Courier New" w:cs="Courier New" w:eastAsia="Courier New" w:hAnsi="Courier New"/>
          <w:sz w:val="14"/>
          <w:szCs w:val="14"/>
          <w:color w:val="auto"/>
        </w:rPr>
      </w:pPr>
    </w:p>
    <w:p>
      <w:pPr>
        <w:ind w:left="780" w:right="3700" w:hanging="513"/>
        <w:spacing w:after="0" w:line="250" w:lineRule="auto"/>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$3.7 million, or $0.13 per share, current tax benefit due to a positive resolution of income tax audit issues; and</w:t>
      </w:r>
    </w:p>
    <w:p>
      <w:pPr>
        <w:ind w:left="780" w:right="3700" w:hanging="513"/>
        <w:spacing w:after="0" w:line="255" w:lineRule="auto"/>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$2.5 million, or $0.09 per share, deferred tax benefit due to comprehensive state tax planning initiatives.</w:t>
      </w:r>
    </w:p>
    <w:p>
      <w:pPr>
        <w:spacing w:after="0" w:line="160" w:lineRule="exact"/>
        <w:rPr>
          <w:sz w:val="20"/>
          <w:szCs w:val="20"/>
          <w:color w:val="auto"/>
        </w:rPr>
      </w:pPr>
    </w:p>
    <w:p>
      <w:pPr>
        <w:ind w:right="3700"/>
        <w:spacing w:after="0" w:line="255" w:lineRule="auto"/>
        <w:rPr>
          <w:sz w:val="20"/>
          <w:szCs w:val="20"/>
          <w:color w:val="auto"/>
        </w:rPr>
      </w:pPr>
      <w:r>
        <w:rPr>
          <w:rFonts w:ascii="Courier New" w:cs="Courier New" w:eastAsia="Courier New" w:hAnsi="Courier New"/>
          <w:sz w:val="14"/>
          <w:szCs w:val="14"/>
          <w:color w:val="auto"/>
        </w:rPr>
        <w:t>In 2004, financial results were significantly impacted by the following transactions:</w:t>
      </w:r>
    </w:p>
    <w:p>
      <w:pPr>
        <w:spacing w:after="0" w:line="160" w:lineRule="exact"/>
        <w:rPr>
          <w:sz w:val="20"/>
          <w:szCs w:val="20"/>
          <w:color w:val="auto"/>
        </w:rPr>
      </w:pPr>
    </w:p>
    <w:p>
      <w:pPr>
        <w:jc w:val="both"/>
        <w:ind w:left="780" w:right="3700" w:hanging="513"/>
        <w:spacing w:after="0" w:line="250" w:lineRule="auto"/>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$10.9 million after tax, or $0.38 per share, debt prepayment cost as part of ALLETE's financial restructuring in preparation for the spin-off of Automotive Services (see Note 11); and</w:t>
      </w:r>
    </w:p>
    <w:p>
      <w:pPr>
        <w:spacing w:after="0" w:line="1" w:lineRule="exact"/>
        <w:rPr>
          <w:rFonts w:ascii="Courier New" w:cs="Courier New" w:eastAsia="Courier New" w:hAnsi="Courier New"/>
          <w:sz w:val="14"/>
          <w:szCs w:val="14"/>
          <w:color w:val="auto"/>
        </w:rPr>
      </w:pPr>
    </w:p>
    <w:p>
      <w:pPr>
        <w:ind w:left="780" w:right="3700" w:hanging="513"/>
        <w:spacing w:after="0" w:line="255" w:lineRule="auto"/>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$11.5 million after tax, or $0.41 per share, gain on the sale of ADESA shares related to our ESOP (see Note 17).</w:t>
      </w:r>
    </w:p>
    <w:p>
      <w:pPr>
        <w:spacing w:after="0" w:line="160"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Since these transactions significantly impacted the financial results from continuing operations in 2005 and 2004, we believe that for comparative purposes and a more accurate reflection of our ongoing operations, it is useful to present diluted earnings per share from continuing operations for each applicable period excluding the impact of these items. The table below reconciles actual reported diluted earnings per share from continuing operations before change in accounting principle to the adjusted results that exclude these transactions in the respective periods.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0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Continuing Operations Before Change in Accounting Principle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Add:</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Kendall</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County Charge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Debt Prepayment Cost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0.38</w:t>
            </w: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Less:</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Gain on</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Sale of ADESA Shares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r>
        <w:trPr>
          <w:trHeight w:val="166"/>
        </w:trPr>
        <w:tc>
          <w:tcPr>
            <w:tcW w:w="104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Positive Resolution of Tax Audit Issues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1040" w:type="dxa"/>
            <w:vAlign w:val="bottom"/>
          </w:tcPr>
          <w:p>
            <w:pPr>
              <w:spacing w:after="0" w:line="20" w:lineRule="exact"/>
              <w:rPr>
                <w:sz w:val="1"/>
                <w:szCs w:val="1"/>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State Tax Planning Initiatives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$2.77</w:t>
      </w:r>
      <w:r>
        <w:rPr>
          <w:sz w:val="20"/>
          <w:szCs w:val="20"/>
          <w:color w:val="auto"/>
        </w:rPr>
        <w:tab/>
      </w:r>
      <w:r>
        <w:rPr>
          <w:rFonts w:ascii="Courier New" w:cs="Courier New" w:eastAsia="Courier New" w:hAnsi="Courier New"/>
          <w:sz w:val="14"/>
          <w:szCs w:val="14"/>
          <w:color w:val="auto"/>
        </w:rPr>
        <w:t>$2.26</w:t>
      </w:r>
      <w:r>
        <w:rPr>
          <w:sz w:val="20"/>
          <w:szCs w:val="20"/>
          <w:color w:val="auto"/>
        </w:rPr>
        <w:tab/>
      </w:r>
      <w:r>
        <w:rPr>
          <w:rFonts w:ascii="Courier New" w:cs="Courier New" w:eastAsia="Courier New" w:hAnsi="Courier New"/>
          <w:sz w:val="14"/>
          <w:szCs w:val="14"/>
          <w:color w:val="auto"/>
        </w:rPr>
        <w:t>$1.32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ESTIMATES</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The preparation of financial statements and related disclosures in conformity with generally accepted accounting principles requires management to make various estimates and assumptions that affect amounts reported in the consolidated financial statements. These estimates and assumptions may be revised, which may have a material effect on the consolidated financial statements. Thus, actual results could differ from the amounts reported and disclosed herein. These policies are discussed with the Audit Committee of our Board of Directors on a regular basis. The following represent the policies we believe are most critical to our business and the understanding of our results of operations.</w:t>
      </w:r>
    </w:p>
    <w:p>
      <w:pPr>
        <w:spacing w:after="0" w:line="329" w:lineRule="exact"/>
        <w:rPr>
          <w:sz w:val="20"/>
          <w:szCs w:val="20"/>
          <w:color w:val="auto"/>
        </w:rPr>
      </w:pPr>
    </w:p>
    <w:p>
      <w:pPr>
        <w:jc w:val="both"/>
        <w:ind w:right="3700"/>
        <w:spacing w:after="0" w:line="250" w:lineRule="auto"/>
        <w:rPr>
          <w:sz w:val="20"/>
          <w:szCs w:val="20"/>
          <w:color w:val="auto"/>
        </w:rPr>
      </w:pPr>
      <w:r>
        <w:rPr>
          <w:rFonts w:ascii="Courier New" w:cs="Courier New" w:eastAsia="Courier New" w:hAnsi="Courier New"/>
          <w:sz w:val="14"/>
          <w:szCs w:val="14"/>
          <w:color w:val="auto"/>
        </w:rPr>
        <w:t>REAL ESTATE REVENUE AND EXPENSE RECOGNITION. We account for sales of real estate in accordance with SFAS 66, "Accounting for Sales of Real Estate." Revenue from commercial and residential properties is recorded at the time of closing using the full profit recognition method, provided that cash collections are at least 20% of the contract price and the other requirements of SFAS 66 are met. However, if we are obligated to perform significant development activities subsequent to the date of the sale, we recognize revenue using the percentage-of-completion method. This method of accounting requires that we recognize gross profit based upon the relationship of development costs incurred to the total estimated costs to develop the parcels. During each reporting period, we must estimate the total costs to be incurred until project completion, including development overhead and interest capitalization costs. These total cost estimates will impact the recognition of profit on sales. The costs are allocated to each lot or parcel based on the relative sales value method. These estimates affect the amount of costs relieved as each lot is sold and incorrect estimates may result in a misstatement of the cost of real estate sold. Additionally, we must estimate the selling price of each individual lot or parcel that is included in inventory for inclusion in the inventory cost model. If the estimated selling prices of the lots are inaccurate, a material difference in the timing of recording cost of real estate sold for the lots sold could occur.</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ectPr>
          <w:pgSz w:w="11900" w:h="16838" w:orient="portrait"/>
          <w:cols w:equalWidth="0" w:num="1">
            <w:col w:w="10600"/>
          </w:cols>
          <w:pgMar w:left="220" w:top="616" w:right="1079" w:bottom="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CRITICAL ACCOUNTING ESTIMATES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record land held for sale at the lower of cost or fair value, which is determined by the evaluation of individual land parcels. Real estate costs include the cost of land acquired, subsequent development costs and costs of improvements, capitalized development period interest, real estate taxes and payroll costs of certain employees devoted directly to the development effort. Based on the relative sales value of the parcels within each development project, we capitalize the real estate costs incurred to the cost of real estate parcels in accordance with SFAS 67, "Accounting for Costs and Initial Rental Operations of Real Estate Projects." When real estate is sold, we include the actual costs incurred and the estimate of future completion costs allocated to the parcel(s) sold, based upon the relative sales value method in the cost of real estate sold. We include land held for sale in Investments on our consolidated balance sheet. In certain cases, we pay fees or construct improvements to mitigate offsite traffic impacts. In return, we receive traffic impact fee credits. We recognize revenue from the sale of traffic impact fee credits when payment is received. In addition to minimum base price contracts, certain contracts allow us to receive participation revenue from land sales to third parties if various formula-based criteria are achieved.</w:t>
      </w:r>
    </w:p>
    <w:p>
      <w:pPr>
        <w:spacing w:after="0" w:line="339"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We annually review the real estate carrying value for impairment. If circumstances indicate that the carrying value may not be recoverable, we record an impairment and adjust the related assets to their estimated fair value less costs to sell.</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IMPAIRMENT OF LONG-LIVED ASSETS. We account for our long-lived assets at depreciated historical cost. A long-lived asset is tested for recoverability whenever events or changes in circumstances indicate that its carrying amount may not be recoverable. We conduct this assessment using SFAS 144, "Accounting for the Impairment and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only if the carrying amount of a long-lived asset is not recoverable from its undiscounted future cash flows. Management judgment is involved in both deciding if testing for recoverability is necessary and in estimating undiscounted future cash flows.</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PENSION AND POSTRETIREMENT HEALTH AND LIFE ACTUARIAL ASSUMPTIONS. We account for our pension and postretirement benefit obligations in accordance with the provisions of SFAS 158, "Employers' Accounting for Defined Benefit Pension and Other Postretirement Plans," SFAS 87, "Employers' Accounting for Pensions," and SFAS 106, "Employers' Accounting for Postretirement Benefits Other Than Pensions." These standards require the use of assumptions in determining our obligations and annual cost of our pension and postretirement benefits. An important actuarial assumption for pension and other postretirement benefit plans is the expected long-term rate of return on plan assets. In establishing this assumption,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 Our pension asset allocation is approximately 65% equity, 30% fixed-rate and 5% other securities. Equity securities consist of a mix of market capitalization sizes and also include investments in real estate and venture capital funds. We currently use an expected long-term rate of return of 9% in our actuarial determination of our pension and other postretirement expense. We annually review our expected long-term rate of return assumption and will adjust it to respond to any changing market conditions. A 1/2% decrease in the expected long-term rate of return would increase the annual expense for pension and other postretirement benefits by approximately $1 million after tax; conversely, a 1/2% increase in the expected long-term rate of return would decrease the annual expense by approximately $1 million after tax.</w:t>
      </w:r>
    </w:p>
    <w:p>
      <w:pPr>
        <w:spacing w:after="0" w:line="341"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Currently for plan valuation purposes, we use a discount rate of 5.75%. The discount rate is determined considering high-quality long-term corporate bond rates at the valuation date. The discount rate is compared to the Citigroup Pension Discount Curve adjusted for ALLETE's specific cash flows. We believe the adjusted discount curve used in this comparison does not materially differ in duration and cash flows for our pension obligation. The Audit Committee of the Board of Directors annually reviews and approves the rate of return and discount rate used for pension valuation and accounting purposes. (See Note 16.)</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REGULATORY ACCOUNTING. Our regulated utility operations are subject to the provisions of SFAS 71, "Accounting for the Effects of Certain Types of Regulation" (SFAS 71). SFAS 71 requires us to reflect the effect of regulatory decisions in our financial statements. Regulatory assets or liabilities arise as a result of a difference between accounting principles generally accepted in the U.S. and the accounting principles imposed by the regulatory agencies. Regulatory assets generally represent incurred costs that have been deferred as they are probable of recovery in customer rates. Regulatory liabilities generally represent obligations to make refunds to customers and amounts collected in rates for which the related costs have not yet been incurred.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recognize regulatory assets and liabilities in accordance with applicable state and federal regulatory rulings. The recoverability of regulatory assets is periodically assessed by considering factors such as, but not limited to, changes in regulatory rules and rate orders issued by applicable regulatory agencies. The assumptions and judgments used by regulatory authorities may have an impact on the recovery of costs, the rate of return on invested capital, and the timing and amount of assets to be recovered by rates. A change in these assumptions may result in a material impact on our results of operations. (See Note 5.)</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CRITICAL ACCOUNTING ESTIMATES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VALUATION OF INVESTMENTS.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investments in privately-held companies under the cost method because of our ownership percentage. These investments are included in Investments on our consolidated balance sheet. Our policy is to review these investments for impairment on a quarterly basis by assessing such factors as continued commercial viability of products, cash flow and earnings. Any impairment would reduce the carrying value of the investment and be recognized as a loss. In 2006, we did not record an impairment loss on these investments ($5.1 million pretax in 2005).</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PROVISION FOR ENVIRONMENTAL REMEDIATION. Our businesses are subject to regulation by various federal, state and local authorities concerning environmental matters.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We do not currently anticipate that potential expenditures for environmental remediation and cleanup will be material; however, if we become subject to more stringent remediation at known sites, if we discover additional contamination or previously unknown sites, or if we become subject to related personal or property damage, we could incur material costs in connection with our environmental remediation.</w:t>
      </w:r>
    </w:p>
    <w:p>
      <w:pPr>
        <w:spacing w:after="0" w:line="33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TAXATION. We are required to make judgments regarding the potential tax effects of various financial transactions and our ongoing operations to estimate our obligations to taxing authorities. These tax obligations include income, real estate and use taxes. These judgments include reserves for potential adverse outcomes regarding tax positions that we have taken. We must also assess our ability to generate capital gains to realize tax benefits associated with capital losses expected to be generated in future periods. Capital losses may be deducted only to the extent of capital gains realized during the year of the loss or during the three prior or five succeeding years for federal purposes, and fifteen succeeding years for Minnesota purposes. As of December 31, 2006, we have, where appropriate, recorded a valuation allowance against our deferred tax assets associated with realized capital losses and impairments to reduce the deferred tax assets to the amount we estimate is more likely than not to be realized. While we believe the resulting tax reserve balances as of December 31, 2006, reflect the most likely outcome of these tax matters in accordance with SFAS 109, "Accounting for Income Taxes," the ultimate amount of capital losses resulting in tax benefits could differ from the net amount of deferred tax assets at December 31, 2006.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ALLETE is committed to earning a financial return that rewards its shareholders, allows for reinvestment in its businesses and sustains growth. In the last 10 years, our average annual total shareholder return was 17%. By comparison, the Standard &amp; Poor's 500 Index averaged 8% for the same period. We believe that, in order to enhance our ability to achieve our long-term annual earnings growth goals, we must pursue a strategy of further expansion of our energy and/or real estate businesses, and/or a new industry segment outside of these two businesses.</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EARNINGS GUIDANCE. In 2007, we expect ALLETE's diluted earnings per share from continuing operations to be in the range of $2.95 to $3.05. The growth in earnings per share is expected to come primarily from our larger full-year investment in ATC. We also expect increased sales at our Real Estate operations and continued strong sales at our Regulated Utility operations. This earnings projection does not include an impact from any investment we may make in new growth opportunities.</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ENERGY. As part of our strategy, we will leverage the strengths of our Regulated Utility business to improve our strategic and financial outlook and seek growth opportunities in close geographic proximity to existing operations in the Midwest. In addition, we will evaluate growth opportunities through merger, acquisition or asset additions in our region. We believe our energy businesses are well positioned to successfully deal with the issues affecting the electric utility industry and to compete successfully. Our access to and ownership of low-cost power are our greatest strengths. We anticipate that we will have ready access to sufficient funds for capital investments. We believe electric industry deregulation is unlikely in Minnesota or Wisconsin in the next five years.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RATE CASES. Minnesota Power does not expect to file a request to increase rates for its retail utility operations during 2007. We will, however, continue to monitor the costs of serving our retail customers and evaluate the need for a rate filing in the future. Minnesota Power's retail rates are based on a 1994 MPUC retail rate order.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ectPr>
          <w:pgSz w:w="11900" w:h="16838" w:orient="portrait"/>
          <w:cols w:equalWidth="0" w:num="1">
            <w:col w:w="10239"/>
          </w:cols>
          <w:pgMar w:left="220" w:top="616" w:right="1440" w:bottom="919"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May 2006, SWL&amp;P filed an application with the PSCW for authority to increase retail utility rates on its electric, natural gas and water services an average of 5.2%, and requested an 11.7% return on common equity. An order was issued in December 2006 that allows for an 11.1% return on common equity. New rates became effective January 1, 2007, and reflect a 2.8% average increase in retail utility rates for SWL&amp;P customers (a 2.8% increase in electric rates, a 1.4% increase in natural gas rates and an 8.6% increase in water rates). The rate case allowed for a $1.7 million increase in annual revenue requirements. The approved rates were lower than originally requested due to the subsequent removal of costs for a new water tower and electric substation from the original request. Both of these projects are now estimated to be in service in late 2008 because of delays in obtaining all the necessary construction approvals. SWL&amp;P plans to file for another rate increase request in 2008.</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INDUSTRIAL CUSTOMERS. Approximately 50% of our Regulated Utility kilowatthour sales are made to our Large Power Customers in the taconite, paper and pulp, and pipeline industries. Based on our research of the taconite industry, Minnesota taconite production for 2007 is anticipated to be about 40 million tons (production was 40 million tons in 2006; 41 million tons in 2005 and in 2004).</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There was a slight slowdown for two of our customers in the paper industry in late December 2006 and early January 2007 due to slightly lower demand for their products and a need to balance orders with inventory. It is not known whether this trend will continue further into 2007. In addition, the wood products industry is operating at reduced levels reflecting a decrease in the number of new housing starts.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pipeline customers continued to operate at or above historic pumping levels during 2006 and forecast operating at record pumping levels in 2007. As Western Canadian oil sands reserves continue to develop and expand, pipeline operators served by the Company are executing expansion plans to transport additional crude oil supply to United States markets. We believe we are strategically positioned to serve these expanding pipeline facilities as Canadian supply continues to grow and displace domestic and imported Gulf Coast production.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Several natural resource-based companies have been making significant progress developing new projects in northeastern Minnesota. Minnesota Power has actively supported these projects which include paper, ferrous and non-ferrous developments. If some or all of these projects are completed, Minnesota Power could serve between 100 MW and 400 MW of new load. In 2006, a contract for approximately 70 MW was successfully negotiated with PolyMet Mining, a new customer planning to start a copper, nickel and precious metals (non-ferrous) mining operation in late 2008. If PolyMet's environmental permits are received and start-up is achieved, the contract with PolyMet Mining will run through at least 2018. The PolyMet Mining electric service agreement requires MPUC approval.</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ADDITIONAL GENERATION NEEDS. In 2006, the MPUC approved our Resource Plan, which detailed our forecasted retail energy needs and our projected demand along with our energy sourcing options to meet these projected requirements. We project an additional capacity need of approximately 150 MW by 2010, with another 200 MW of capacity needed by 2015. One of the key components in meeting our future needs was the redirection of our Taconite Harbor generating facility from Nonregulated Energy Operations to Regulated Utility operations effective January 1, 2006. We have also entered into a 50-MW long-term power purchase agreement with Manitoba Hydro which extends from May 2009 to April 2015 that is pending regulatory approval. We began purchasing the output from the 50-MW Oliver Wind I project in North Dakota under a 25-year power purchase agreement with an affiliate of FPL Energy in late December 2006. In January 2007, we announced plans for a second, 48-MW North Dakota wind project (Oliver Wind II) that is expected to be operational by the end of 2007, pending regulatory and other approvals. In addition, we are continuing to pursue the purchase of renewable energy from a new 25-MW to 30-MW wind facility that would be located in northeastern Minnesota, subject to a power purchase agreement and regulatory approvals.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also exploring construction and purchase options for our anticipated resource needs by 2015. Minnesota Power, Basin Electric Power Cooperative, Minnkota Power and Montana-Dakota Utilities Company are continuing a study that will evaluate the feasibility of a joint lignite-fueled generating resource in the vicinity of the existing Milton R. Young generating station (which includes Square Butte) near Center, North Dakota. We are also continuing to study the feasibility of the construction of a natural gas-fired electric generating facility which could be located in northwestern Wisconsin or northeastern Minnesota. Any final resource decision by Minnesota Power is subject to MPUC and other approvals.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anticipate that our winter peak demand requirements by customers in our service territory will increase at an average annual growth rate of 1.5% through 2011. We continue to make investments to maintain and improve the integrity of our generating, transmission and distribution assets, and maintain environmental compliance.</w:t>
      </w:r>
    </w:p>
    <w:p>
      <w:pPr>
        <w:spacing w:after="0" w:line="16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AREA AND BOSWELL UNIT 3 EMISSION REDUCTION PLANS. In May 2006, the MPUC approved our filing for cost recovery of planned expenditures to reduce emissions to meet pending federal requirements at Taconite Harbor and Laskin under the AREA Plan. The AREA Plan approval allows Minnesota Power to recover Minnesota jurisdictional costs for SO2, NOX and mercury emission reductions made at these facilities without a rate proceeding. Minnesota cost recovery from retail customers will include return on investment, depreciation, and incremental operations and maintenance expenses. Minnesota Power completed installation of new equipment at the first of two Laskin units at the end of November 2006, with the first of three Taconite Harbor unit installations anticipated to be completed by mid-2007. Work on all units at Taconite Harbor and Laskin is anticipated to be completed by the end of 2008. Cost recovery filings are required to be made 90 days prior to the anticipated in-service date for the equipment at each unit, with rate recovery beginning the month following the in-service date. We began cost recovery of AREA plan costs in December 2006 with the placement in service of Laskin Unit 2. We filed with the MPUC for cost recovery on Laskin Unit 1 in January 2007 and expect to begin cost recovery in May 2007. We anticipate beginning cost recovery on Taconite Harbor Unit 2 in mid-2007 and Taconite Harbor Units 1 and 3 in 2008. AREA plan expenditures as of December 31, 2006, were $11.4 million.</w:t>
      </w:r>
    </w:p>
    <w:p>
      <w:pPr>
        <w:spacing w:after="0" w:line="34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May 2006, we announced plans to make emission reduction investments at our Boswell Unit 3 generating unit. Plans include reductions of particulate, SO2, NOX and mercury emissions to meet pending federal and state requirements. The estimated capital cost for these reductions is approximately $200 million, $14 million of which was spent in 2006 for design engineering and related costs. The balance is expected to be spent from 2007 through 2009 and is included in the $233 million the Company expects to spend for environmental upgrades from 2007 through 2011. (See Capital Requirements.) In October 2006, we submitted a filing to the MPCA for approval of the Boswell Unit 3 emission reduction plan. A filing with the MPUC for approval of Minnesota jurisdictional related expenditures on Boswell Unit 3 was made in January 2007 to allow cost recovery on these investments from retail customers without a rate proceeding. MPUC approval would authorize a cash return on construction work in progress during the construction phase and allow recovery for a return on investment, depreciation, and incremental operations and maintenance expenses once the unit is placed into service in late 2009. We expect to begin cost recovery on construction work in progress in 2008. In 2007, we will be filing with the MPUC a request to extend the asset life for depreciation purposes on Boswell Unit 3 from 8 years to 29 years. We anticipate approval of this filing in 2007. This extension will reduce 2007 depreciation expense by approximately $5 million.</w:t>
      </w:r>
    </w:p>
    <w:p>
      <w:pPr>
        <w:spacing w:after="0" w:line="17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CAIR AND CAMR. In March 2005, the EPA issued its Clean Air Interstate Rule (CAIR) which would reduce emissions of SO2 and NOX. In November 2005, the EPA granted reconsideration of the CAIR. Minnesota Power filed comments for reconsideration arguing that the state of Minnesota did not belong in CAIR and that SO2 allocations proposed under the CAIR were unfair. CAIR was finalized by the EPA in March 2006 when the EPA determined it would not make any changes to the CAIR as a result of the petitions for reconsideration. Petitions for Review, including Minnesota Power's, remain pending at the Court of Appeals, with resolution of the Petitions for Review anticipated in 2008. In March 2005, the EPA issued its Clean Air Mercury Rule (CAMR). The EPA granted reconsideration of the CAMR in October 2005 and finalized the rule in early 2006. Minnesota Power is not participating in the Petitions for Review of the CAMR. The final outcomes of these regulatory proceedings are expected to require significant capital investments in the 2008 to 2012 timeframe. (See Capital Requirements.)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MISO AND FUEL CLAUSE. As a result of MISO Day 2 implementation in April 2005, energy transactions to serve retail customers are sourced through wholesale transactions with MISO as the counterparty. We filed a petition with the MPUC in February 2005 to amend our fuel clause to accommodate costs and revenue related to MISO Day 2 market implementation. In April 2005, the MPUC approved interim ratemaking treatment of MISO Day 2 costs, which allowed these costs to be recovered through the fuel clause, subject to refund with interest.</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December 2005, the MPUC issued an order which denied recovery through the fuel clause of uplift charges, congestion revenue and expenses, and administrative costs related to Minnesota Power's MISO Day 2 market activities. This denial created a refund obligation. Minnesota Power requested rehearing of the order in a filing made with the MPUC in January 2006. Three other Minnesota utilities affected by the order also filed for rehearing, as did the DOC and MISO. In February 2006, the MPUC granted rehearing of the MISO Day 2 docket and suspended the refund obligation for charges recovered through the fuel clause denied in the December 2005 order. The MPUC also ordered a review of MISO Day 2 costs to determine which costs should be recovered on a current basis through the fuel clause and which costs were more appropriately deferred for potential recovery through base rates. The Company worked with other Minnesota utilities, the DOC and other stakeholders to review MISO Day 2 costs and to prepare a joint report and recommendations. The joint report and recommendations were filed with the MPUC in June 2006. A technical conference on the report was held with the MPUC on October 31, 2006. At a hearing November 9, 2006, the MPUC approved current recovery of nearly all MISO Day 2 charges.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ectPr>
          <w:pgSz w:w="11900" w:h="16838" w:orient="portrait"/>
          <w:cols w:equalWidth="0" w:num="1">
            <w:col w:w="10239"/>
          </w:cols>
          <w:pgMar w:left="220" w:top="78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December 20, 2006, the MPUC issued an order allowing Minnesota Power and the other utilities involved in the MISO Day 2 proceeding to continue recovering MISO Day 2 charges through the Minnesota retail fuel clause except for MISO Day 2 administrative charges. On January 8, 2007, this order was challenged by the Minnesota OAG, which has sought reconsideration. The rehearing has been opposed by Minnesota Power and the other utilities, as well as MISO. The reconsideration request is currently pending before the MPUC. The MPUC has until March 9, 2007, to act on the Minnesota OAG's request. The order, if upheld, grants deferred accounting treatment for three MISO Day 2 charge types that were determined to be administrative charges. Under the order, Minnesota Power would refund through customer bills approximately $2 million of administrative charges previously collected through the fuel clause between April 1, 2005, and December 31, 2006, and record these administrative charges as a regulatory asset. Minnesota Power would be permitted to continue accumulating MISO Day 2 administrative charges after December 31, 2006, as a regulatory asset until it files its next rate case, at which time recovery for such charges will be determined. This order would remove the subject to refund requirement of the two interim orders, and include extensive fuel clause reporting requirements that would be reviewed in Minnesota Power's monthly and annual fuel clause filings with the MPUC. There would be no impact on earnings as a result of this ruling. The Company is unable to predict the outcome of this matter.</w:t>
      </w:r>
    </w:p>
    <w:p>
      <w:pPr>
        <w:spacing w:after="0" w:line="17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a result of the MPUC's December 2006 order allowing recovery of nearly all MISO Day 2 charges through the fuel clause, on December 28, 2006, Minnesota Power rescinded its December 2005 Letter of Intent to Withdraw from MISO.</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December 2005, we entered into an agreement with Wisconsin Public Service Corporation and WPS Investments, LLC that provides for our Wisconsin subsidiary, Rainy River Energy Corporation - Wisconsin, to invest $60 million in ATC. In May 2006, the PSCW reviewed and approved the request that allows us to invest in ATC. During 2006, we invested $51.4 million in ATC. We plan to invest an additional $8.6 million in ATC in early 2007 to reach our $60 million investment commitment and estimated 8% ownership interest. As of December 31, 2006, our equity investment balance in ATC was $53.7 million, representing approximately a 7% ownership interest. (See Note 6.) We will have the opportunity to make additional investments in ATC through general capital calls based upon our pro-rata investment level in ATC.</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We have a diversified mix of property under contract and available for sale--residential, commercial and industrial--in desirable Florida locations (see Item 1 - Real Estate). A large portion of our real estate inventory is located in Florida's Flagler and Volusia Counties, an area with one of the fastest growing populations in the United States. We expect this population growth to continue, which will increase the demand for real estate in the area. Rapid residential growth over the past few years in our markets has created a steady demand for our commercial properties. As of December 31, 2006, we had $113.8 million of pending contracts scheduled to close over the next several years. We believe the long-term growth indicators for Florida real estate remain strong.</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Progress continues on our three major planned development projects in Florida--Town Center, which will be a new downtown for Palm Coast; Palm Coast Park, which is located in northwest Palm Coast; and Ormond Crossings, which is located in Ormond Beach along Interstate 95. Other ongoing land sales and rental income at the retail shopping center in Winter Haven provide us with additional revenue.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ALLETE Properties plans to maximize the value of the property it currently owns through entitlement, infrastructure improvements and orderly sales of properties. In addition to managing its current real estate inventory, ALLETE Properties is focused on identifying, acquiring and entitling vacant land in Florida and other parts of the southeast United States.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of December 31, 2006, we had $4.1 million of deferred profit on sales of real estate, before taxes and minority interest, on our balance sheet. Most of the deferred profit relates to Town Center which will be recognized over the next several years as development obligations are completed.</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TOWN CENTER. Throughout 2005 and 2006, our marketing program targeted a blend of office, retail commercial, residential and mixed-use project developers. In 2006, a Publix grocery store anchored retail center opened and construction started on an 84,000 square foot medical center. Twenty other projects are in the permitting stage, 11 of which are expected to break ground in 2007. Future marketing efforts will focus on attracting the following additional land uses to Town Center: residential apartments, assisted living facilities, business park uses and restaurants.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Pending land sales under contract for properties at Town Center totaled $40.1 million at December 31, 2006. We have the opportunity to receive participation revenue as part of one of these sales contracts. Among the pending Town Center sales contracts is a contract with Developers Realty Corporation (DRC) to develop projects in the downtown core area and a large retail shopping center on a 50-acre tract. DRC has entered into an agreement to form a joint venture with Weingarten Realty Investors (Weingarten). DRC/Weingarten has a commitment from a major national retail anchor for the retail shopping center.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Sites have also been set aside for a new city hall, an arts and entertainment center, and other public uses. At build-out, Town Center is expected to include over 2,900 residential units, including lodging facilities and 3.7 million square feet of various types of commercial space, including a movie theater. Future market conditions will determine how quickly Town Center is built out.</w:t>
      </w:r>
    </w:p>
    <w:p>
      <w:pPr>
        <w:spacing w:after="0" w:line="16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PALM COAST PARK. We began selling property at Palm Coast Park in August 2006. Three developers who have purchased land at Palm Coast Park have started planning, engineering design and permitting of their respective projects. Since land is being sold before completion of the project infrastructure, revenue and cost of real estate sold are recorded using a percentage-of-completion method.</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2006, the Palm Coast Park District issued $31.8 million of tax-exempt, 5.7% Special Assessment Bonds, the majority of which will be used to fund the construction of the major infrastructure improvements at Palm Coast Park, and to mitigate traffic and environmental impacts at Palm Coast Park. Major infrastructure construction began in December 2006 and is expected to be completed in 2007. Commercial and industrial lots will be offered for sale in 2007, with closings anticipated to begin in 2008. We anticipate that the Palm Coast Park District will need to issue additional bonds to pay for the development of residential and commercial properties.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December 31, 2006, pending land sales under contract for properties at Palm Coast Park totaled $62.8 million. We have the opportunity to receive participation revenue as part of these sales contracts. One of the pending sales contracts, for the sale of five residential tracts and one commercial tract for a total of $52.5 million, provides for closings in 2007, 2008 and 2009. The project, which is named Sawmill Creek, will include up to 1,469 residential housing units, a championship golf course and neighborhood retail office space, along with a community park and an elementary and middle school. Other pending land sale contracts include a residential tract for an affordable condominium project and a 600-unit single-family residential project that will be connected to the existing Matanzas Woods golf course neighborhood.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ORMOND CROSSINGS. In December 2006, we received DRI approval from the city of Ormond Beach for our 6,000-acre Ormond Crossings project. This is a key approval necessary to develop up to 3,700 residential units and 5 million commercial square feet within Ormond Crossings. Most of Ormond Crossings is located in the city of Ormond Beach in Volusia County; the remainder of the development is an adjacent piece of unincorporated land in neighboring Flagler County. A development order from Flagler County is under review by the Flagler County Commission and, if approved, we will receive entitlements for up to 700 additional residential units. Actual build-out of Ormond Crossings, however, will consider market demand as well as infrastructure and mitigation costs.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After an agreement is finalized with the Florida Department of Transportation concerning traffic mitigation costs, we will determine the best economic build-out of the project. The agreement and economic analysis are expected to be completed in 2007.</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Engineering design and permitting will be ongoing as the project is developed and sites are sold. We anticipate Ormond Crossings land sales closings starting in 2009.</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have the potential to recognize gains or losses on the sale of investments in our emerging technology portfolio. We plan to sell investments in our emerging technology portfolio as shares are distributed to us. Some restrictions on sales may apply, including, but not limited to, underwriter lock-up periods that typically extend for 180 days following an initial public offering. We have committed to make additional investments in certain emerging technology holdings. The total future commitment was $2.5 million at December 31, 2006, and is expected to be invested in 2007. We do not have plans to make any additional investments beyond this commitment.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INCOME TAXES. ALLETE's aggregate federal and multi-state statutory tax rate is expected to be approximately 40% for 2007. On an ongoing basis ALLETE, has certain tax credits and other tax adjustments that will reduce the expected effective tax rate to approximately 38% for 2007. These tax credits and adjustments historically have included items such as investment tax credits, depletion allowances, Medicare prescription reimbursement as well as other items. The effective rate will also be impacted by such items as changes in income from operations before minority interest and income taxes, state and federal tax law changes that become effective during the year, business combinations and configuration changes, tax planning initiatives and resolution of prior years' tax matters. Based upon our earnings per share guidance for 2007, we expect our effective tax rate for 2007 to approximate 38%.</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strategy includes growing our businesses both internally by expanding facilities, services and operations (see Capital Requirements), and externally through acquisitions.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of $44.8 million, $104.5 million of short-term investments and a debt to total capital ratio of 37% at December 31, 2006.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bl>
    <w:p>
      <w:pPr>
        <w:sectPr>
          <w:pgSz w:w="11900" w:h="16838" w:orient="portrait"/>
          <w:cols w:equalWidth="0" w:num="1">
            <w:col w:w="10239"/>
          </w:cols>
          <w:pgMar w:left="220" w:top="782" w:right="1440" w:bottom="1085"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OPERATING ACTIVITIES. Cash from operating activities was $142.5 million for 2006 ($53.5 million for 2005; $175.0 million for 2004). Cash from operating activities was higher in 2006 than 2005, primarily due to the $77.9 million Kendall County Charge in 2005 and related $24.3 million federal tax refund received in 2006. Cash also increased $4.4 million in 2006 due to the collection of customer receivables which were up as a result of colder weather in December 2005. Other differences between 2006 and 2005 include an additional $9 million cash used for inventories in 2006 and the payment of approximately $13 million of 2005 accrued liabilities. Additional inventories primarily reflect coal purchases in anticipation of maintenance on coal handling equipment.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Cash from operating activities was lower in 2005 than 2004 due to the absence of cash from discontinued operations ($2.3 million in 2005; $108.8 million in 2004). In 2004, we spun off our Automotive Services business and essentially completed the exit from our Water Services businesses. The lower cash from operations was partially offset by the collection of a $6.7 million outstanding receivable at December 31, 2004, from ATC for work on the Duluth-to-Wausau transmission line and other receivables, and an additional $7.5 million of deferred profit on real estate activities.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INVESTING ACTIVITIES. Cash used for investing activities was $154.7 million for 2006 (cash from investing activities of $3.9 million for 2005; cash used for investing activities of $126.5 million for 2004). Gross proceeds from the sale of available-for-sale securities were $608.8 million in 2006 ($376.0 million in 2005; $1.9 million in 2004) and purchases were $596.4 million ($343.7 million in 2005; $149.5 million in 2004). Cash used for investing activities was higher in 2006 than 2005, primarily due to $51.4 million invested in ATC and a $43.7 million increase in expenditures for property, plant and equipment due to major environmental construction projects.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Cash from investing activities was higher in 2005 than 2004, primarily due to a $179.9 million increase in net proceeds received from the sale of short-term investments and $35.5 million received from the sale of Enventis Telecom. These increases were partially offset by the absence of $66.0 million proceeds received in 2004 from the sale of our remaining Water Services businesses and $12.0 million received from Split Rock Energy in 2004 upon termination of the joint venture.</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FINANCING ACTIVITIES. Cash used for financing activities was $32.6 million for 2006 ($13.9 million for 2005; $228.7 million for 2004). Cash used for financing activities was higher in 2006 than 2005 primarily due to an additional $7.2 million in dividends paid as a result of more shares outstanding, a higher dividend rate and fewer shares of common stock issued under our long-term incentive compensation plan. In 2006, we refinanced $77.8 million of long-term debt at lower rates.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Cash used for financing activities was lower in 2005 than 2004 primarily due to significant debt repayment ($35.7 million in 2005; $241.1 million in 2004). In 2005, we refinanced $35 million of long-term debt at a lower rate. In 2004, we repaid $3.5 million of industrial development revenue bonds and $125 million of senior notes, and refinanced $111 million of pollution control refunding revenue bonds at a lower rate. In addition, $53 million from a previous credit agreement was paid off early in 2004. Proceeds from the sale of our Water Services assets in 2003 and 2004, and proceeds received from ADESA in 2004 were used to repay the debt in 2004. Cash used for financing activities was also lower in 2005 than 2004 due to lower dividends paid following the spin-off of Automotive Services.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2006, our Town Center development project was financed with tax-exempt bonds issued by the Town Center District and a revolving development loan. In March 2005, the Town Center District issued $26.4 million of tax-exempt, 6% Capital Improvement Revenue Bonds, Series 2005, which are payable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beginning in November 2006. To the extent that we still own land at the time of the assessment, we recognize the cost of our portion of these assessments, based upon our ownership of benefited property. At December 31, 2006, we owned approximately 73% of the assessable land in the Town Center District.</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Our Palm Coast Park development project in Florida is being financed with tax-exempt bonds issued by the Palm Coast Park District. In May 2006, Palm Coast Park District issued $31.8 million of tax-exempt, 5.7% Special Assessment Bonds, Series 2006 which are payable over 31 years (by May 1, 2037). The bond proceeds (less capitalized interest, a debt service reserve fund and cost of issuance) are being used to fund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billed to Palm Coast Park landowners beginning in November 2007. To the extent that we still own land at the time of the assessment, we will recognize the cost of our portion of these assessments, based upon our ownership of benefited property. At December 31, 2006, we owned 97% of the assessable land in the Palm Coast Park District.</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94"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We have 0.6 million original issue shares of our common stock available for issuance through INVEST DIRECT, our direct stock purchase and dividend reinvestment plan. We have bank lines of credit aggregating $170.0 million, the majority of which expire in January 2012. In January 2006, we renewed, increased and extended a committed, syndicated, unsecured revolving credit facility with LaSalle Bank National Association, as Agent, for $150 million (Line) with a maturity date of January 11, 2011. The Line was subsequently extended for an additional year in December 2006 and currently matures on January 11, 2012. At our request and subject to certain conditions, the Line may be increased to $200 million and extended for two additional 12-month periods. We may prepay amounts outstanding under the Line in whole or in part at our discretion. Additionally, we may irrevocably terminate or reduce the size of the Line prior to maturity. The Line may be used for general corporate purposes, working capital and to provide liquidity in support of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above-mentioned securities will be made only by means of a prospectus meeting the requirements of the Securities Act of 1933 and the rules and regulations thereunder.</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in the private placement market. Proceeds were used to redeem $50 million in principal amount of First Mortgage Bonds, 7% Series due March 1, 2008.</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July 2006, the Collier County Industrial Development Authority (Authority or Issuer) issued $27.8 million of Industrial Development Variable Rate Demand Refunding Revenue Bonds Series 2006 due 2025 (Refunding Bonds) on behalf of ALLETE. The interest rate on these bonds was 3.94% at December 31, 2006. Pursuant to a financing agreement between the Authority and ALLETE dated as of July 1, 2006, ALLETE is obligated to make payments to the Issuer sufficient to pay all principal and interest on the Refunding Bonds. ALLETE's obligations under the financing agreement are supported by a direct pay letter of credit. Proceeds from the Refunding Bonds and internally generated funds were used to redeem $29.1 million of outstanding Collier County Industrial Development Refunding Revenue Bonds 6.5% Series 1996 due 2025 on August 9, 2006. As a result of an early redemption premium, we recognized a $0.6 million pre-tax charge to other expense in the third quarter of 2006.</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February 1, 2007, we issued $60 million in principal amount of First Mortgage Bonds, 5.99% Series due February 1, 2027, in the private placement market. Proceeds were used to retire $60 million in principal amount of First Mortgage Bonds, 7% Series on February 15,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COVENANTS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lines of credit and letters of credit supporting certain long-term debt arrangements contain financial covenants. The most restrictive covenant requires ALLETE to maintain a quarterly ratio of its funded debt to total capital of less than or equal to .65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2006, ALLETE was in compliance with its financial covenants.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 are discussed in Note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 AND COMMERCIAL COMMITMENTS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long-term debt obligations, including long-term debt due within one year, represent the principal amount of bonds, notes and loans which are recorded on our consolidated balance sheet, plus interest. The table below assumes the interest rate in effect at December 31, 2006, remains constant through the remaining term.</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ectPr>
          <w:pgSz w:w="11900" w:h="16838" w:orient="portrait"/>
          <w:cols w:equalWidth="0" w:num="1">
            <w:col w:w="10239"/>
          </w:cols>
          <w:pgMar w:left="220" w:top="616" w:right="1440" w:bottom="588"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700"/>
        <w:spacing w:after="0" w:line="255" w:lineRule="auto"/>
        <w:rPr>
          <w:sz w:val="20"/>
          <w:szCs w:val="20"/>
          <w:color w:val="auto"/>
        </w:rPr>
      </w:pPr>
      <w:r>
        <w:rPr>
          <w:rFonts w:ascii="Courier New" w:cs="Courier New" w:eastAsia="Courier New" w:hAnsi="Courier New"/>
          <w:sz w:val="14"/>
          <w:szCs w:val="14"/>
          <w:color w:val="auto"/>
        </w:rPr>
        <w:t>Unconditional purchase obligations represent our Square Butte power purchase agreements, and minimum purchase commitments under coal and rail contracts.</w:t>
      </w:r>
    </w:p>
    <w:p>
      <w:pPr>
        <w:spacing w:after="0" w:line="160"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Under our power purchase agreement with Square Butte that extends through 2026, we are obligated to pay our pro rata share of Square Butte's costs based on our entitlement to the output of Square Butte's 455 MW coal-fired generating unit near Center, North Dakota. Our payment obligation is suspended if Square Butte fails to deliver any power, whether produced or purchased, for a period of one year. Square Butte's fixed costs consist primarily of debt service. The following table reflects our share of future debt service based on our output entitlement of approximately 60% in 2007, 55% in 2008 and 50% thereafter. (See Note 8.)</w:t>
      </w:r>
    </w:p>
    <w:p>
      <w:pPr>
        <w:spacing w:after="0" w:line="329"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Under an agreement with Wisconsin Public Service Corporation and WPS Investments, LLC, we have a commitment to invest $60 million in ATC. During 2006, we invested $51.4 million in ATC. We plan to invest an additional $8.6 million in ATC in early 2007 to reach our $60 million investment commitment. (See Notes 6 and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PAYMENTS DUE BY PERIOD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160" w:val="left"/>
          <w:tab w:leader="none" w:pos="6700" w:val="left"/>
          <w:tab w:leader="none" w:pos="8000" w:val="left"/>
          <w:tab w:leader="none" w:pos="9460" w:val="left"/>
        </w:tabs>
        <w:rPr>
          <w:sz w:val="20"/>
          <w:szCs w:val="20"/>
          <w:color w:val="auto"/>
        </w:rPr>
      </w:pPr>
      <w:r>
        <w:rPr>
          <w:rFonts w:ascii="Courier New" w:cs="Courier New" w:eastAsia="Courier New" w:hAnsi="Courier New"/>
          <w:sz w:val="14"/>
          <w:szCs w:val="14"/>
          <w:color w:val="auto"/>
        </w:rPr>
        <w:t>CONTRACTUAL OBLIGATIONS</w:t>
      </w:r>
      <w:r>
        <w:rPr>
          <w:sz w:val="20"/>
          <w:szCs w:val="20"/>
          <w:color w:val="auto"/>
        </w:rPr>
        <w:tab/>
      </w:r>
      <w:r>
        <w:rPr>
          <w:rFonts w:ascii="Courier New" w:cs="Courier New" w:eastAsia="Courier New" w:hAnsi="Courier New"/>
          <w:sz w:val="14"/>
          <w:szCs w:val="14"/>
          <w:color w:val="auto"/>
        </w:rPr>
        <w:t>LESS THAN</w:t>
      </w:r>
      <w:r>
        <w:rPr>
          <w:sz w:val="20"/>
          <w:szCs w:val="20"/>
          <w:color w:val="auto"/>
        </w:rPr>
        <w:tab/>
      </w:r>
      <w:r>
        <w:rPr>
          <w:rFonts w:ascii="Courier New" w:cs="Courier New" w:eastAsia="Courier New" w:hAnsi="Courier New"/>
          <w:sz w:val="14"/>
          <w:szCs w:val="14"/>
          <w:color w:val="auto"/>
        </w:rPr>
        <w:t>1 TO 3</w:t>
      </w:r>
      <w:r>
        <w:rPr>
          <w:sz w:val="20"/>
          <w:szCs w:val="20"/>
          <w:color w:val="auto"/>
        </w:rPr>
        <w:tab/>
      </w:r>
      <w:r>
        <w:rPr>
          <w:rFonts w:ascii="Courier New" w:cs="Courier New" w:eastAsia="Courier New" w:hAnsi="Courier New"/>
          <w:sz w:val="14"/>
          <w:szCs w:val="14"/>
          <w:color w:val="auto"/>
        </w:rPr>
        <w:t>4 TO 5</w:t>
      </w:r>
      <w:r>
        <w:rPr>
          <w:sz w:val="20"/>
          <w:szCs w:val="20"/>
          <w:color w:val="auto"/>
        </w:rPr>
        <w:tab/>
      </w:r>
      <w:r>
        <w:rPr>
          <w:rFonts w:ascii="Courier New" w:cs="Courier New" w:eastAsia="Courier New" w:hAnsi="Courier New"/>
          <w:sz w:val="14"/>
          <w:szCs w:val="14"/>
          <w:color w:val="auto"/>
        </w:rPr>
        <w:t>AFTER</w:t>
      </w:r>
    </w:p>
    <w:p>
      <w:pPr>
        <w:spacing w:after="0" w:line="7" w:lineRule="exact"/>
        <w:rPr>
          <w:sz w:val="20"/>
          <w:szCs w:val="20"/>
          <w:color w:val="auto"/>
        </w:rPr>
      </w:pPr>
    </w:p>
    <w:p>
      <w:pPr>
        <w:spacing w:after="0"/>
        <w:tabs>
          <w:tab w:leader="none" w:pos="4040" w:val="left"/>
          <w:tab w:leader="none" w:pos="5240" w:val="left"/>
          <w:tab w:leader="none" w:pos="6800" w:val="left"/>
          <w:tab w:leader="none" w:pos="8080" w:val="left"/>
          <w:tab w:leader="none" w:pos="9380" w:val="left"/>
        </w:tabs>
        <w:rPr>
          <w:sz w:val="20"/>
          <w:szCs w:val="20"/>
          <w:color w:val="auto"/>
        </w:rPr>
      </w:pPr>
      <w:r>
        <w:rPr>
          <w:rFonts w:ascii="Courier New" w:cs="Courier New" w:eastAsia="Courier New" w:hAnsi="Courier New"/>
          <w:sz w:val="14"/>
          <w:szCs w:val="14"/>
          <w:color w:val="auto"/>
        </w:rPr>
        <w:t>AS OF DECEMBER 31, 2006</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5 YEARS</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02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639.7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$ 46.7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$ 65.1</w:t>
            </w:r>
          </w:p>
        </w:tc>
        <w:tc>
          <w:tcPr>
            <w:tcW w:w="600" w:type="dxa"/>
            <w:vAlign w:val="bottom"/>
          </w:tcPr>
          <w:p>
            <w:pPr>
              <w:spacing w:after="0"/>
              <w:rPr>
                <w:sz w:val="14"/>
                <w:szCs w:val="14"/>
                <w:color w:val="auto"/>
              </w:rPr>
            </w:pP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$496.7</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Operating Lease Obligations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86.5</w:t>
            </w:r>
          </w:p>
        </w:tc>
        <w:tc>
          <w:tcPr>
            <w:tcW w:w="740" w:type="dxa"/>
            <w:vAlign w:val="bottom"/>
          </w:tcPr>
          <w:p>
            <w:pPr>
              <w:spacing w:after="0"/>
              <w:rPr>
                <w:sz w:val="14"/>
                <w:szCs w:val="14"/>
                <w:color w:val="auto"/>
              </w:rPr>
            </w:pP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8.2</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21.1</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Unconditional</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Purchase Obligations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321.2</w:t>
            </w:r>
          </w:p>
        </w:tc>
        <w:tc>
          <w:tcPr>
            <w:tcW w:w="740" w:type="dxa"/>
            <w:vAlign w:val="bottom"/>
          </w:tcPr>
          <w:p>
            <w:pPr>
              <w:spacing w:after="0"/>
              <w:rPr>
                <w:sz w:val="14"/>
                <w:szCs w:val="14"/>
                <w:color w:val="auto"/>
              </w:rPr>
            </w:pP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5"/>
              </w:rPr>
              <w:t>53.7</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58.0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183.3</w:t>
            </w:r>
          </w:p>
        </w:tc>
      </w:tr>
      <w:tr>
        <w:trPr>
          <w:trHeight w:val="0"/>
        </w:trPr>
        <w:tc>
          <w:tcPr>
            <w:tcW w:w="1220" w:type="dxa"/>
            <w:vAlign w:val="bottom"/>
          </w:tcPr>
          <w:p>
            <w:pPr>
              <w:spacing w:after="0"/>
              <w:rPr>
                <w:sz w:val="20"/>
                <w:szCs w:val="20"/>
                <w:color w:val="auto"/>
              </w:rPr>
            </w:pPr>
            <w:r>
              <w:rPr>
                <w:rFonts w:ascii="Courier New" w:cs="Courier New" w:eastAsia="Courier New" w:hAnsi="Courier New"/>
                <w:sz w:val="14"/>
                <w:szCs w:val="14"/>
                <w:color w:val="auto"/>
              </w:rPr>
              <w:t>Investment in</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ATC</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w:t>
            </w:r>
          </w:p>
        </w:tc>
        <w:tc>
          <w:tcPr>
            <w:tcW w:w="740" w:type="dxa"/>
            <w:vAlign w:val="bottom"/>
          </w:tcPr>
          <w:p>
            <w:pPr>
              <w:spacing w:after="0" w:line="20" w:lineRule="exact"/>
              <w:rPr>
                <w:sz w:val="1"/>
                <w:szCs w:val="1"/>
                <w:color w:val="auto"/>
              </w:rPr>
            </w:pP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8.6</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880"/>
        <w:spacing w:after="0"/>
        <w:tabs>
          <w:tab w:leader="none" w:pos="5320" w:val="left"/>
          <w:tab w:leader="none" w:pos="6620" w:val="left"/>
          <w:tab w:leader="none" w:pos="8000" w:val="left"/>
          <w:tab w:leader="none" w:pos="9460" w:val="left"/>
        </w:tabs>
        <w:rPr>
          <w:sz w:val="20"/>
          <w:szCs w:val="20"/>
          <w:color w:val="auto"/>
        </w:rPr>
      </w:pPr>
      <w:r>
        <w:rPr>
          <w:rFonts w:ascii="Courier New" w:cs="Courier New" w:eastAsia="Courier New" w:hAnsi="Courier New"/>
          <w:sz w:val="14"/>
          <w:szCs w:val="14"/>
          <w:color w:val="auto"/>
        </w:rPr>
        <w:t>$1,056.0</w:t>
      </w:r>
      <w:r>
        <w:rPr>
          <w:sz w:val="20"/>
          <w:szCs w:val="20"/>
          <w:color w:val="auto"/>
        </w:rPr>
        <w:tab/>
      </w:r>
      <w:r>
        <w:rPr>
          <w:rFonts w:ascii="Courier New" w:cs="Courier New" w:eastAsia="Courier New" w:hAnsi="Courier New"/>
          <w:sz w:val="14"/>
          <w:szCs w:val="14"/>
          <w:color w:val="auto"/>
        </w:rPr>
        <w:t>$117.2</w:t>
      </w:r>
      <w:r>
        <w:rPr>
          <w:sz w:val="20"/>
          <w:szCs w:val="20"/>
          <w:color w:val="auto"/>
        </w:rPr>
        <w:tab/>
      </w:r>
      <w:r>
        <w:rPr>
          <w:rFonts w:ascii="Courier New" w:cs="Courier New" w:eastAsia="Courier New" w:hAnsi="Courier New"/>
          <w:sz w:val="14"/>
          <w:szCs w:val="14"/>
          <w:color w:val="auto"/>
        </w:rPr>
        <w:t>$144.2</w:t>
      </w:r>
      <w:r>
        <w:rPr>
          <w:sz w:val="20"/>
          <w:szCs w:val="20"/>
          <w:color w:val="auto"/>
        </w:rPr>
        <w:tab/>
      </w:r>
      <w:r>
        <w:rPr>
          <w:rFonts w:ascii="Courier New" w:cs="Courier New" w:eastAsia="Courier New" w:hAnsi="Courier New"/>
          <w:sz w:val="14"/>
          <w:szCs w:val="14"/>
          <w:color w:val="auto"/>
        </w:rPr>
        <w:t>$68.8</w:t>
      </w:r>
      <w:r>
        <w:rPr>
          <w:sz w:val="20"/>
          <w:szCs w:val="20"/>
          <w:color w:val="auto"/>
        </w:rPr>
        <w:tab/>
      </w:r>
      <w:r>
        <w:rPr>
          <w:rFonts w:ascii="Courier New" w:cs="Courier New" w:eastAsia="Courier New" w:hAnsi="Courier New"/>
          <w:sz w:val="14"/>
          <w:szCs w:val="14"/>
          <w:color w:val="auto"/>
        </w:rPr>
        <w:t>$725.8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00"/>
          </w:cols>
          <w:pgMar w:left="220" w:top="616" w:right="1079" w:bottom="0" w:gutter="0" w:footer="0" w:header="0"/>
        </w:sectPr>
      </w:pPr>
    </w:p>
    <w:p>
      <w:pPr>
        <w:spacing w:after="0" w:line="173"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Includes</w:t>
        <w:tab/>
        <w:t>interest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and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assumes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variable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rate 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at December 31, 2006, remains constant through</w:t>
      </w:r>
    </w:p>
    <w:p>
      <w:pPr>
        <w:spacing w:after="0" w:line="7" w:lineRule="exact"/>
        <w:rPr>
          <w:sz w:val="20"/>
          <w:szCs w:val="20"/>
          <w:color w:val="auto"/>
        </w:rPr>
      </w:pPr>
    </w:p>
    <w:p>
      <w:pPr>
        <w:sectPr>
          <w:pgSz w:w="11900" w:h="16838" w:orient="portrait"/>
          <w:cols w:equalWidth="0" w:num="7">
            <w:col w:w="1640" w:space="180"/>
            <w:col w:w="260" w:space="160"/>
            <w:col w:w="620" w:space="160"/>
            <w:col w:w="700" w:space="160"/>
            <w:col w:w="700" w:space="160"/>
            <w:col w:w="600" w:space="180"/>
            <w:col w:w="5080"/>
          </w:cols>
          <w:pgMar w:left="220" w:top="616" w:right="1079"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remaining term.</w:t>
      </w:r>
    </w:p>
    <w:p>
      <w:pPr>
        <w:sectPr>
          <w:pgSz w:w="11900" w:h="16838" w:orient="portrait"/>
          <w:cols w:equalWidth="0" w:num="1">
            <w:col w:w="10600"/>
          </w:cols>
          <w:pgMar w:left="220" w:top="616" w:right="1079"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We expect to contribute approximately $6 million to our postretirement health and life plans in 2007. We are not required to make any contributions to our defined benefit pension plans in 2007. We are unable to predict contribution levels to our defined benefit pension plans after 2007.</w:t>
      </w:r>
    </w:p>
    <w:p>
      <w:pPr>
        <w:spacing w:after="0" w:line="162"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and privately-held, start-up companies. We have committed to make additional investments in certain emerging technology holdings. The total future commitment was $2.5 million at December 31, 2006 ($3.1 million at December 31, 2005; $4.5 million at December 31, 2004) and is expected to be invested in 2007. We do not have plans to make any additional investments beyond this commitment.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RATINGS</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Our securities have been rated by Standard &amp; Poor's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95" w:lineRule="exact"/>
        <w:rPr>
          <w:sz w:val="20"/>
          <w:szCs w:val="20"/>
          <w:color w:val="auto"/>
        </w:rPr>
      </w:pPr>
    </w:p>
    <w:p>
      <w:pPr>
        <w:spacing w:after="0"/>
        <w:tabs>
          <w:tab w:leader="none" w:pos="6700" w:val="left"/>
          <w:tab w:leader="none" w:pos="9200" w:val="left"/>
        </w:tabs>
        <w:rPr>
          <w:sz w:val="20"/>
          <w:szCs w:val="20"/>
          <w:color w:val="auto"/>
        </w:rPr>
      </w:pPr>
      <w:r>
        <w:rPr>
          <w:rFonts w:ascii="Courier New" w:cs="Courier New" w:eastAsia="Courier New" w:hAnsi="Courier New"/>
          <w:sz w:val="14"/>
          <w:szCs w:val="14"/>
          <w:color w:val="auto"/>
        </w:rPr>
        <w:t>CREDIT RATINGS</w:t>
      </w:r>
      <w:r>
        <w:rPr>
          <w:sz w:val="20"/>
          <w:szCs w:val="20"/>
          <w:color w:val="auto"/>
        </w:rPr>
        <w:tab/>
      </w:r>
      <w:r>
        <w:rPr>
          <w:rFonts w:ascii="Courier New" w:cs="Courier New" w:eastAsia="Courier New" w:hAnsi="Courier New"/>
          <w:sz w:val="14"/>
          <w:szCs w:val="14"/>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Issuer Credit Rating</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BBB+</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Baa2</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A-2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P-2</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Senior Secured</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First Mortgage Bonds</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Baa1</w:t>
            </w: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Pollution Control Bonds</w:t>
            </w:r>
          </w:p>
        </w:tc>
        <w:tc>
          <w:tcPr>
            <w:tcW w:w="184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A</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Baa1</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Unsecured Debt</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Collier County Industrial Development Revenue Bonds - Fixed Rate</w:t>
            </w:r>
          </w:p>
        </w:tc>
        <w:tc>
          <w:tcPr>
            <w:tcW w:w="18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BBB</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PAYOUT RATIO</w:t>
      </w:r>
    </w:p>
    <w:p>
      <w:pPr>
        <w:spacing w:after="0" w:line="173"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In 2006, we paid out 53% (259% in 2005; 77% in 2004) of our per share earnings in dividends. The payout ratio in 2005 was impacted by a $1.84 per diluted share charge resulting from our assignment of the Kendall County power purchase agreement to Constellation Energy Commodities in April 2005. (See Note 10.)</w:t>
      </w:r>
    </w:p>
    <w:p>
      <w:pPr>
        <w:spacing w:after="0" w:line="162"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On January 26, 2007, our Board of Directors increased the dividend on ALLETE common stock by 13%, declaring a dividend of $0.41 per share payable March 1, 2007, to shareholders of record at the close of business February 15, 2007.</w:t>
      </w:r>
    </w:p>
    <w:p>
      <w:pPr>
        <w:sectPr>
          <w:pgSz w:w="11900" w:h="16838" w:orient="portrait"/>
          <w:cols w:equalWidth="0" w:num="1">
            <w:col w:w="10600"/>
          </w:cols>
          <w:pgMar w:left="220" w:top="616" w:right="1079" w:bottom="0" w:gutter="0" w:footer="0" w:header="0"/>
          <w:type w:val="continuous"/>
        </w:sectPr>
      </w:pPr>
    </w:p>
    <w:bookmarkStart w:id="55" w:name="page56"/>
    <w:bookmarkEnd w:id="55"/>
    <w:p>
      <w:pPr>
        <w:spacing w:after="0"/>
        <w:tabs>
          <w:tab w:leader="none" w:pos="508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14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CONTINUING OPERATIONS. Capital additions for 2006 totaled $109.4 million ($58.6 million in 2005; $57.8 million in 2004). Expenditures for 2006 included $107.5 million for Regulated Utility and $1.9 million for Nonregulated Energy Operations. Internally-generated funds were the source of funding for these expenditures.</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Capital additions are expected to be $179 million in 2007 and estimated to total about $700 million for 2008 through 2011. The 2007 amount includes $88 million for federal or state required environmental compliance projects at generation facilities (primarily for our AREA and Boswell Unit 3 emission reduction plans), $86 million for other regulated system component replacements and upgrades and $5 million for upgrades within Nonregulated Energy Operations. Over the next five years, we expect to use internally-generated funds and new issue debt to fund our projected capital additions. Approximately $145 million of the estimated capital additions for 2008 through 2011 relate to federal or state required environmental upgrades at our generation facilities, $450 million is for other regulated system replacements and upgrades, while $95 million is for possible generation resource additions linked to potential load growth identified in our Resource Plan filing.</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development expenditures are and will be funded with a revolving development loan and tax-exempt bonds issued by community development districts. The Palm Coast Park District issued $31.8 million of tax-exempt bonds in May 2006. Bond proceeds of $26.3 million will be used for environmental and traffic mitigation, and the construction of infrastructure improvements at Palm Coast Park, with the remaining funds to be used for capitalized interest, a debt service reserve fund and costs of issuance. We anticipate that the Palm Coast Park District will need to issue additional bonds to pay for the development of retail commercial, office and industrial lots at Palm Coast Park. Company expenditures related to our real estate developments in Florida increase the carrying value of our land assets, which are classified as Investments on our consolidated balance sheet.</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DISCONTINUED OPERATIONS. There were no capital additions for discontinued operations in 2006 ($4.5 million in 2005; $21.4 million in 2004).</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AND OTHER MATTERS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mentioned in our Critical Accounting Estimates section,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are unable to predict the outcome of the issues discussed in Note 8. (See Item 1 - Environmental Matters.)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AVAILABLE-FOR-SALE SECURITIES. At December 31, 2006, our available-for-sale securities portfolio consisted of securities in a grantor trust established to fund certain employee benefits included in Investments, and various auction rate bonds and variable rate demand notes included as Short-Term Investments. Our available-for-sale securities portfolio had a fair value of $130.1 million at December 31, 2006 ($139.5 million at December 31, 2005) and a total unrealized after-tax gain of $4.0 million at December 31, 2006 ($2.1 million at December 31, 2005).</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 As a result of our periodic assessments, we did not record any impairments on our available-for-sale securities in 2006 or 2005.</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investments in privately-held companies under the cost method because of our ownership percentage. The total carrying value of our emerging technology portfolio was $9.2 million at December 31, 2006, and December 31, 2005.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December 31, 2006, and at December 31, 2005. In 2005, we recorded $5.1 million ($3.3 million after tax) of impairments related to our direct investments in certain privately-held, start-up companies whose future business prospects had significantly diminished. Developments at these companies indicated that future commercial viability was unlikely, as was new financing necessary to continue development. In 2004, we recorded $6.5 million ($4.1 million after tax) of impairments.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ectPr>
          <w:pgSz w:w="11900" w:h="16838" w:orient="portrait"/>
          <w:cols w:equalWidth="0" w:num="1">
            <w:col w:w="10239"/>
          </w:cols>
          <w:pgMar w:left="220" w:top="616" w:right="1440" w:bottom="754"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MARKET RISK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RISK</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The table below presents the long-term debt obligations and the corresponding weighted average interest rate at December 31, 2006.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PRINCIPAL CASH FLOW BY EXPECTED MATURITY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RATE SENSITIVE</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FINANCIAL INSTRUMENTS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2010</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2011</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THEREAFTER</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VALUE</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Fixed Rate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$275.6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$305.8</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Average Interest Rate - %</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w:t>
            </w:r>
          </w:p>
        </w:tc>
        <w:tc>
          <w:tcPr>
            <w:tcW w:w="700" w:type="dxa"/>
            <w:vAlign w:val="bottom"/>
          </w:tcPr>
          <w:p>
            <w:pPr>
              <w:spacing w:after="0"/>
              <w:rPr>
                <w:sz w:val="14"/>
                <w:szCs w:val="14"/>
                <w:color w:val="auto"/>
              </w:rPr>
            </w:pPr>
          </w:p>
        </w:tc>
      </w:tr>
      <w:tr>
        <w:trPr>
          <w:trHeight w:val="331"/>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Variable Rate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$61.6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$81.8</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Average Interest Rate - %</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w:t>
            </w: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w:t>
            </w:r>
          </w:p>
        </w:tc>
        <w:tc>
          <w:tcPr>
            <w:tcW w:w="9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Assumes rate in effect at December 31, 2006, remains constant through remaining term.</w:t>
      </w:r>
    </w:p>
    <w:p>
      <w:pPr>
        <w:spacing w:after="0" w:line="200" w:lineRule="exact"/>
        <w:rPr>
          <w:sz w:val="20"/>
          <w:szCs w:val="20"/>
          <w:color w:val="auto"/>
        </w:rPr>
      </w:pPr>
    </w:p>
    <w:p>
      <w:pPr>
        <w:spacing w:after="0" w:line="30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The interest rate on variable rate long-term debt is reset on a periodic basis reflecting current market conditions. Based on the variable rate debt outstanding at December 31, 2006, and assuming no other changes to our financial structure, an increase or decrease of 100 basis points would impact the amount of pretax interest expense by $0.8 million. This amount was determined by considering the impact of a hypothetical 100 basis point change to the average variable interest rate on the variable rate debt held as of December 31,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620"/>
        <w:spacing w:after="0" w:line="252"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62"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at market prices.</w:t>
      </w:r>
    </w:p>
    <w:p>
      <w:pPr>
        <w:spacing w:after="0" w:line="165" w:lineRule="exact"/>
        <w:rPr>
          <w:sz w:val="20"/>
          <w:szCs w:val="20"/>
          <w:color w:val="auto"/>
        </w:rPr>
      </w:pPr>
    </w:p>
    <w:p>
      <w:pPr>
        <w:jc w:val="both"/>
        <w:ind w:right="3620"/>
        <w:spacing w:after="0" w:line="250" w:lineRule="auto"/>
        <w:rPr>
          <w:sz w:val="20"/>
          <w:szCs w:val="20"/>
          <w:color w:val="auto"/>
        </w:rPr>
      </w:pPr>
      <w:r>
        <w:rPr>
          <w:rFonts w:ascii="Courier New" w:cs="Courier New" w:eastAsia="Courier New" w:hAnsi="Courier New"/>
          <w:sz w:val="14"/>
          <w:szCs w:val="14"/>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with formula pricing based on variable production cost of a combustion-turbine, natural gas unit.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2.</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520"/>
          </w:cols>
          <w:pgMar w:left="220" w:top="616" w:right="1159" w:bottom="425" w:gutter="0" w:footer="0" w:header="0"/>
        </w:sectPr>
      </w:pPr>
    </w:p>
    <w:bookmarkStart w:id="58" w:name="page59"/>
    <w:bookmarkEnd w:id="58"/>
    <w:p>
      <w:pPr>
        <w:spacing w:after="0"/>
        <w:tabs>
          <w:tab w:leader="none" w:pos="94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See Item 7 Management's Discussion and Analysis of Results of Operations and Financial Condition - Market Risk for information related to quantitative and qualitative disclosure about market risk.</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See our consolidated financial statements as of December 31, 2006 and 2005, and for each of the three years in the period ended December 31, 2006, and supplementary data, also included, which are indexed in Item 15(a).</w:t>
      </w:r>
    </w:p>
    <w:p>
      <w:pPr>
        <w:spacing w:after="0" w:line="329" w:lineRule="exact"/>
        <w:rPr>
          <w:sz w:val="20"/>
          <w:szCs w:val="20"/>
          <w:color w:val="auto"/>
        </w:rPr>
      </w:pPr>
    </w:p>
    <w:p>
      <w:pPr>
        <w:jc w:val="both"/>
        <w:ind w:left="960" w:right="333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9A.</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 REGARDING THE EFFECTIVENESS OF DISCLOSURE 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Securities Exchange Act of 1934, as amended (Exchange Act). Based on this evaluation, our principal executive officer and our principal financial officer concluded that our disclosure controls and procedures were effective as of the end of the period covered by this annual report.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REPORT ON INTERNAL CONTROL OVER FINANCIAL REPORTING</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December 31, 2006.</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management's assessment of the effectiveness of our internal control over financial reporting as of December 31, 2006, has been audited by PricewaterhouseCoopers LLP, an independent registered public accounting firm, as stated in their report which is included herein.</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9B.</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ectPr>
          <w:pgSz w:w="11900" w:h="16838" w:orient="portrait"/>
          <w:cols w:equalWidth="0" w:num="1">
            <w:col w:w="10239"/>
          </w:cols>
          <w:pgMar w:left="220" w:top="616" w:right="1440" w:bottom="1440" w:gutter="0" w:footer="0" w:header="0"/>
        </w:sectPr>
      </w:pPr>
    </w:p>
    <w:bookmarkStart w:id="59" w:name="page60"/>
    <w:bookmarkEnd w:id="59"/>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EXECUTIVE OFFICERS AND CORPORATE GOVERNANCE</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Unless otherwise stated, the information required for this Item is incorporated by reference herein from our Proxy Statement for the 2007 Annual Meeting of Shareholders (2007 Proxy Statement) under the following headings:</w:t>
      </w:r>
    </w:p>
    <w:p>
      <w:pPr>
        <w:spacing w:after="0" w:line="163" w:lineRule="exact"/>
        <w:rPr>
          <w:sz w:val="20"/>
          <w:szCs w:val="20"/>
          <w:color w:val="auto"/>
        </w:rPr>
      </w:pPr>
    </w:p>
    <w:p>
      <w:pPr>
        <w:ind w:left="620" w:right="3339" w:hanging="353"/>
        <w:spacing w:after="0" w:line="250"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The information regarding directors will be included in the "Election of Directors" section;</w:t>
      </w:r>
    </w:p>
    <w:p>
      <w:pPr>
        <w:jc w:val="both"/>
        <w:ind w:left="620" w:right="3339" w:hanging="353"/>
        <w:spacing w:after="0" w:line="250"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FINANCIAL EXPERT. The information regarding the Audit Committee financial expert will be included in the "Report of the Audit</w:t>
      </w: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section;</w:t>
      </w:r>
    </w:p>
    <w:p>
      <w:pPr>
        <w:spacing w:after="0" w:line="167" w:lineRule="exact"/>
        <w:rPr>
          <w:sz w:val="20"/>
          <w:szCs w:val="20"/>
          <w:color w:val="auto"/>
        </w:rPr>
      </w:pPr>
    </w:p>
    <w:p>
      <w:pPr>
        <w:ind w:left="620" w:right="3339" w:hanging="359"/>
        <w:spacing w:after="0" w:line="250" w:lineRule="auto"/>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AUDIT COMMITTEE MEMBERS. The identity of the Audit Committee members is included in the "Report of the Audit Committee" section;</w:t>
      </w:r>
    </w:p>
    <w:p>
      <w:pPr>
        <w:spacing w:after="0" w:line="1" w:lineRule="exact"/>
        <w:rPr>
          <w:sz w:val="20"/>
          <w:szCs w:val="20"/>
          <w:color w:val="auto"/>
        </w:rPr>
      </w:pPr>
    </w:p>
    <w:p>
      <w:pPr>
        <w:ind w:left="620" w:right="3339" w:hanging="353"/>
        <w:spacing w:after="0" w:line="250"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The information regarding executive officers is included in Part I of this Form 10-K; and</w:t>
      </w:r>
    </w:p>
    <w:p>
      <w:pPr>
        <w:ind w:left="620" w:right="3339" w:hanging="353"/>
        <w:spacing w:after="0" w:line="252"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16(a) COMPLIANCE. The information regarding Section 16(a) compliance will be included in the "Section 16(a) Beneficial Ownership Reporting Compliance" section.</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2007 Proxy Statement will be filed with the SEC within 120 days after the end of our 2006 fiscal year.</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CODE OF ETHICS. We have adopted a written Code of Ethics that applies to all of our employees, including our chief executive officer, chief financial officer and controller. A copy of our Code of Ethics is available on our Website at www.allete.com and print copies are available upon request without charge. Any amendment to the Code of Ethics or any waiver of the Code of Ethics will be disclosed on our Website at www.allete.com promptly following the date of such amendment or waiver.</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CORPORATE GOVERNANCE. The following documents are available on our Website at www.allete.com and print copies are available upon request:</w:t>
      </w:r>
    </w:p>
    <w:p>
      <w:pPr>
        <w:spacing w:after="0" w:line="160" w:lineRule="exact"/>
        <w:rPr>
          <w:sz w:val="20"/>
          <w:szCs w:val="20"/>
          <w:color w:val="auto"/>
        </w:rPr>
      </w:pPr>
    </w:p>
    <w:p>
      <w:pPr>
        <w:ind w:left="620" w:hanging="353"/>
        <w:spacing w:after="0"/>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Governance Guidelines;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Charter;</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Compensation Committee Charter; and</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Governance and Nominating Committee Charter.</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Any amendment to these documents will be disclosed on our Website at www.allete.com promptly following the date of such amendment.</w:t>
      </w:r>
    </w:p>
    <w:p>
      <w:pPr>
        <w:spacing w:after="0" w:line="3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"Compensation of Executive Officers," the "Compensation Committee Report" and the "Director Compensation" sections in our 2007 Proxy Statement. The "Compensation of Executive Officers" section will include our Compensation Discussion and Analysis.</w:t>
      </w:r>
    </w:p>
    <w:p>
      <w:pPr>
        <w:spacing w:after="0" w:line="330" w:lineRule="exact"/>
        <w:rPr>
          <w:sz w:val="20"/>
          <w:szCs w:val="20"/>
          <w:color w:val="auto"/>
        </w:rPr>
      </w:pPr>
    </w:p>
    <w:p>
      <w:pPr>
        <w:jc w:val="both"/>
        <w:ind w:left="960" w:right="333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 AND RELATED STOCKHOLDER MATTERS</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"Security Ownership of Certain Beneficial Owners," the "Security Ownership of Management" and the "Equity Compensation Plan Information" sections in our 2007 Proxy Statement.</w:t>
      </w:r>
    </w:p>
    <w:p>
      <w:pPr>
        <w:spacing w:after="0" w:line="328" w:lineRule="exact"/>
        <w:rPr>
          <w:sz w:val="20"/>
          <w:szCs w:val="20"/>
          <w:color w:val="auto"/>
        </w:rPr>
      </w:pPr>
    </w:p>
    <w:p>
      <w:pPr>
        <w:jc w:val="both"/>
        <w:ind w:left="960" w:right="333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 AND DIRECTOR INDEPENDENCE</w:t>
      </w:r>
    </w:p>
    <w:p>
      <w:pPr>
        <w:spacing w:after="0" w:line="1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"Corporate Governance" section in our 2007 Proxy Statement.</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have adopted a Related Person Transaction Policy which is available on our Website at www.allete.com. Print copies are available, free of charge, upon request. Any amendment to this policy will be disclosed on our Website at www.allete.com promptly following the date of such amendment.</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PRINCIPAL ACCOUNTANT FEES AND SERVICES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herein from the "Report of the Audit Committee" section in our 2007 Proxy Statement.</w:t>
      </w:r>
    </w:p>
    <w:p>
      <w:pPr>
        <w:spacing w:after="0" w:line="16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60" w:name="page61"/>
    <w:bookmarkEnd w:id="60"/>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Certain Documents Filed as Part of this Form 10-K.</w:t>
      </w:r>
    </w:p>
    <w:p>
      <w:pPr>
        <w:spacing w:after="0" w:line="173"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4"/>
          <w:szCs w:val="14"/>
          <w:color w:val="auto"/>
        </w:rPr>
        <w:t>(1) Financial Statements</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620"/>
        <w:spacing w:after="0"/>
        <w:tabs>
          <w:tab w:leader="dot" w:pos="6700" w:val="left"/>
        </w:tabs>
        <w:rPr>
          <w:sz w:val="20"/>
          <w:szCs w:val="20"/>
          <w:color w:val="auto"/>
        </w:rPr>
      </w:pPr>
      <w:r>
        <w:rPr>
          <w:rFonts w:ascii="Courier New" w:cs="Courier New" w:eastAsia="Courier New" w:hAnsi="Courier New"/>
          <w:sz w:val="14"/>
          <w:szCs w:val="14"/>
          <w:color w:val="auto"/>
        </w:rPr>
        <w:t>Report of Independent Registered Public Accounting Firm</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620"/>
        <w:spacing w:after="0"/>
        <w:tabs>
          <w:tab w:leader="dot" w:pos="6700" w:val="left"/>
        </w:tabs>
        <w:rPr>
          <w:sz w:val="20"/>
          <w:szCs w:val="20"/>
          <w:color w:val="auto"/>
        </w:rPr>
      </w:pPr>
      <w:r>
        <w:rPr>
          <w:rFonts w:ascii="Courier New" w:cs="Courier New" w:eastAsia="Courier New" w:hAnsi="Courier New"/>
          <w:sz w:val="14"/>
          <w:szCs w:val="14"/>
          <w:color w:val="auto"/>
        </w:rPr>
        <w:t>Consolidated Balance Sheet at December 31, 2006 and 2005</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For the Three Years Ended December 31, 2006</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Consolidated Statement of Income</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Consolidated Statement of Cash Flows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Consolidated Statement of Shareholders' Equity</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620"/>
        <w:spacing w:after="0"/>
        <w:tabs>
          <w:tab w:leader="dot" w:pos="644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64-95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Financial Statement Schedules</w:t>
      </w:r>
    </w:p>
    <w:p>
      <w:pPr>
        <w:spacing w:after="0" w:line="7" w:lineRule="exact"/>
        <w:rPr>
          <w:sz w:val="20"/>
          <w:szCs w:val="20"/>
          <w:color w:val="auto"/>
        </w:rPr>
      </w:pPr>
    </w:p>
    <w:p>
      <w:pPr>
        <w:ind w:left="620"/>
        <w:spacing w:after="0"/>
        <w:tabs>
          <w:tab w:leader="dot" w:pos="6700" w:val="left"/>
        </w:tabs>
        <w:rPr>
          <w:sz w:val="20"/>
          <w:szCs w:val="20"/>
          <w:color w:val="auto"/>
        </w:rPr>
      </w:pPr>
      <w:r>
        <w:rPr>
          <w:rFonts w:ascii="Courier New" w:cs="Courier New" w:eastAsia="Courier New" w:hAnsi="Courier New"/>
          <w:sz w:val="14"/>
          <w:szCs w:val="14"/>
          <w:color w:val="auto"/>
        </w:rPr>
        <w:t>Schedule II - ALLETE Valuation and Qualifying Accounts and Reserves</w:t>
      </w:r>
      <w:r>
        <w:rPr>
          <w:sz w:val="20"/>
          <w:szCs w:val="20"/>
          <w:color w:val="auto"/>
        </w:rPr>
        <w:tab/>
      </w:r>
      <w:r>
        <w:rPr>
          <w:rFonts w:ascii="Courier New" w:cs="Courier New" w:eastAsia="Courier New" w:hAnsi="Courier New"/>
          <w:sz w:val="14"/>
          <w:szCs w:val="14"/>
          <w:color w:val="auto"/>
        </w:rPr>
        <w:t>96</w:t>
      </w:r>
    </w:p>
    <w:p>
      <w:pPr>
        <w:spacing w:after="0" w:line="173" w:lineRule="exact"/>
        <w:rPr>
          <w:sz w:val="20"/>
          <w:szCs w:val="20"/>
          <w:color w:val="auto"/>
        </w:rPr>
      </w:pPr>
    </w:p>
    <w:p>
      <w:pPr>
        <w:jc w:val="both"/>
        <w:ind w:left="360" w:right="3339"/>
        <w:spacing w:after="0" w:line="252" w:lineRule="auto"/>
        <w:rPr>
          <w:sz w:val="20"/>
          <w:szCs w:val="20"/>
          <w:color w:val="auto"/>
        </w:rPr>
      </w:pPr>
      <w:r>
        <w:rPr>
          <w:rFonts w:ascii="Courier New" w:cs="Courier New" w:eastAsia="Courier New" w:hAnsi="Courier New"/>
          <w:sz w:val="14"/>
          <w:szCs w:val="14"/>
          <w:color w:val="auto"/>
        </w:rPr>
        <w:t>All other schedules have been omitted either because the information is not required to be reported by ALLETE or because the information is included in the consolidated financial statements or the notes.</w:t>
      </w:r>
    </w:p>
    <w:p>
      <w:pPr>
        <w:spacing w:after="0" w:line="163" w:lineRule="exact"/>
        <w:rPr>
          <w:sz w:val="20"/>
          <w:szCs w:val="20"/>
          <w:color w:val="auto"/>
        </w:rPr>
      </w:pPr>
    </w:p>
    <w:p>
      <w:pPr>
        <w:ind w:left="360" w:hanging="352"/>
        <w:spacing w:after="0"/>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including those incorporated by reference.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NUMBER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*3(a)1</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24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Articles of Incorporation,</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amended and</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restated as of  May 8,</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2001 (filed as Exhibit 3(b) to the March 31,  2001,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Form 10-Q,</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File No. 1-3548).</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*3(a)2</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 to</w:t>
            </w:r>
          </w:p>
        </w:tc>
        <w:tc>
          <w:tcPr>
            <w:tcW w:w="1080" w:type="dxa"/>
            <w:vAlign w:val="bottom"/>
            <w:gridSpan w:val="3"/>
          </w:tcPr>
          <w:p>
            <w:pPr>
              <w:spacing w:after="0"/>
              <w:rPr>
                <w:sz w:val="20"/>
                <w:szCs w:val="20"/>
                <w:color w:val="auto"/>
              </w:rPr>
            </w:pPr>
            <w:r>
              <w:rPr>
                <w:rFonts w:ascii="Courier New" w:cs="Courier New" w:eastAsia="Courier New" w:hAnsi="Courier New"/>
                <w:sz w:val="14"/>
                <w:szCs w:val="14"/>
                <w:color w:val="auto"/>
              </w:rPr>
              <w:t>Articles of</w:t>
            </w:r>
          </w:p>
        </w:tc>
        <w:tc>
          <w:tcPr>
            <w:tcW w:w="1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Incorporation,</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effective 12:00 p.m.</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Eastern Time on  September</w:t>
            </w:r>
          </w:p>
        </w:tc>
        <w:tc>
          <w:tcPr>
            <w:tcW w:w="31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20, 2004 (filed as Exhibit 3 to the</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September 21, 2004, Form 8-K, File No. 1-3548).</w:t>
            </w:r>
          </w:p>
        </w:tc>
        <w:tc>
          <w:tcPr>
            <w:tcW w:w="860" w:type="dxa"/>
            <w:vAlign w:val="bottom"/>
          </w:tcPr>
          <w:p>
            <w:pPr>
              <w:spacing w:after="0"/>
              <w:rPr>
                <w:sz w:val="14"/>
                <w:szCs w:val="14"/>
                <w:color w:val="auto"/>
              </w:rPr>
            </w:pP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*3(a)3</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Amendment  to  Certificate  of Assumed  Name,  filed  with  the</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Minnesota  Secretary</w:t>
            </w:r>
          </w:p>
        </w:tc>
        <w:tc>
          <w:tcPr>
            <w:tcW w:w="16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of State on May 8, 2001 (filed as Exhibit</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3(a) to the March 31, 2001, Form 10-Q, File No. 1-3548).</w:t>
            </w: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*3(b)</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Bylaws,</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as</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amended</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effective</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August</w:t>
            </w:r>
          </w:p>
        </w:tc>
        <w:tc>
          <w:tcPr>
            <w:tcW w:w="18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 2004  (filed   as</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Exhibit</w:t>
            </w:r>
          </w:p>
        </w:tc>
        <w:tc>
          <w:tcPr>
            <w:tcW w:w="4740" w:type="dxa"/>
            <w:vAlign w:val="bottom"/>
            <w:gridSpan w:val="9"/>
          </w:tcPr>
          <w:p>
            <w:pPr>
              <w:jc w:val="right"/>
              <w:ind w:right="108"/>
              <w:spacing w:after="0"/>
              <w:rPr>
                <w:sz w:val="20"/>
                <w:szCs w:val="20"/>
                <w:color w:val="auto"/>
              </w:rPr>
            </w:pPr>
            <w:r>
              <w:rPr>
                <w:rFonts w:ascii="Courier New" w:cs="Courier New" w:eastAsia="Courier New" w:hAnsi="Courier New"/>
                <w:sz w:val="14"/>
                <w:szCs w:val="14"/>
                <w:color w:val="auto"/>
              </w:rPr>
              <w:t>3 to the August 25, 2004, Form 8-K, File No. 1-3548).</w:t>
            </w: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*4(a)1</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Mortgage</w:t>
            </w:r>
          </w:p>
        </w:tc>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Deed</w:t>
            </w:r>
          </w:p>
        </w:tc>
        <w:tc>
          <w:tcPr>
            <w:tcW w:w="1900" w:type="dxa"/>
            <w:vAlign w:val="bottom"/>
            <w:gridSpan w:val="5"/>
          </w:tcPr>
          <w:p>
            <w:pPr>
              <w:spacing w:after="0"/>
              <w:rPr>
                <w:sz w:val="20"/>
                <w:szCs w:val="20"/>
                <w:color w:val="auto"/>
              </w:rPr>
            </w:pPr>
            <w:r>
              <w:rPr>
                <w:rFonts w:ascii="Courier New" w:cs="Courier New" w:eastAsia="Courier New" w:hAnsi="Courier New"/>
                <w:sz w:val="14"/>
                <w:szCs w:val="14"/>
                <w:color w:val="auto"/>
              </w:rPr>
              <w:t>of Trust,  dated as of</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September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1, 1945,</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between</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Minnesota</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Power &amp; Light</w:t>
            </w:r>
          </w:p>
        </w:tc>
        <w:tc>
          <w:tcPr>
            <w:tcW w:w="25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Company (now ALLETE) and The</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Bank of</w:t>
            </w:r>
          </w:p>
        </w:tc>
        <w:tc>
          <w:tcPr>
            <w:tcW w:w="47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New York (formerly Irving Trust Company) and Douglas J.</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MacInnes</w:t>
            </w:r>
          </w:p>
        </w:tc>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(successor</w:t>
            </w:r>
          </w:p>
        </w:tc>
        <w:tc>
          <w:tcPr>
            <w:tcW w:w="16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Courier New" w:cs="Courier New" w:eastAsia="Courier New" w:hAnsi="Courier New"/>
                <w:sz w:val="14"/>
                <w:szCs w:val="14"/>
                <w:color w:val="auto"/>
              </w:rPr>
              <w:t>to Richard H. West),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Trustees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(filed as</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Exhibit 7(c), File No. 2-5865).</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*4(a)2</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Supplemental Indentures to ALLETE's Mortgage and Deed of Trust: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DATED AS OF</w:t>
            </w:r>
          </w:p>
        </w:tc>
        <w:tc>
          <w:tcPr>
            <w:tcW w:w="5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REFERENCE FILE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EXHIBIT</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March 1, 1949</w:t>
            </w:r>
          </w:p>
        </w:tc>
        <w:tc>
          <w:tcPr>
            <w:tcW w:w="5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2-7826</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7(b)</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1951</w:t>
            </w:r>
          </w:p>
        </w:tc>
        <w:tc>
          <w:tcPr>
            <w:tcW w:w="5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2-9036</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March 1, 1957</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2-13075</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January 1, 1968</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2-27794</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Fifth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April 1, 1971</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2-39537</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Sixth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 1975</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2-54116</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Seventh</w:t>
            </w:r>
          </w:p>
        </w:tc>
        <w:tc>
          <w:tcPr>
            <w:tcW w:w="18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September 1, 1976</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2-57014</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Eighth</w:t>
            </w:r>
          </w:p>
        </w:tc>
        <w:tc>
          <w:tcPr>
            <w:tcW w:w="18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September 1, 1977</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2-59690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Ninth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April 1, 1978</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2-60866</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Tenth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 1978</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2-62852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2(d)2</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Eleventh</w:t>
            </w:r>
          </w:p>
        </w:tc>
        <w:tc>
          <w:tcPr>
            <w:tcW w:w="18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December 1, 1982</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2-56649</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Twelfth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April 1, 1987</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33-30224</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Thirteenth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March 1, 1992</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33-47438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4(b)</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Fourteenth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June 1, 1992</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33-55240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4(b)</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Fifteenth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1992</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33-55240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Sixteenth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1992</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33-55240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4(d)</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Seventeenth</w:t>
            </w:r>
          </w:p>
        </w:tc>
        <w:tc>
          <w:tcPr>
            <w:tcW w:w="18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February 1, 1993</w:t>
            </w: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33-50143</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4(b)</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Eighteenth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1993</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33-50143</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4(c)</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Nineteenth</w:t>
            </w:r>
          </w:p>
        </w:tc>
        <w:tc>
          <w:tcPr>
            <w:tcW w:w="18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February 1, 1997</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1-3548</w:t>
            </w:r>
          </w:p>
        </w:tc>
        <w:tc>
          <w:tcPr>
            <w:tcW w:w="22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(1996 Form 10-K)</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Twentieth</w:t>
            </w:r>
          </w:p>
        </w:tc>
        <w:tc>
          <w:tcPr>
            <w:tcW w:w="18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November 1, 1997</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1-3548</w:t>
            </w:r>
          </w:p>
        </w:tc>
        <w:tc>
          <w:tcPr>
            <w:tcW w:w="22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(1997 Form 10-K)</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Twenty-first</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October 1, 2000</w:t>
            </w:r>
          </w:p>
        </w:tc>
        <w:tc>
          <w:tcPr>
            <w:tcW w:w="5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Courier New" w:cs="Courier New" w:eastAsia="Courier New" w:hAnsi="Courier New"/>
                <w:sz w:val="14"/>
                <w:szCs w:val="14"/>
                <w:color w:val="auto"/>
              </w:rPr>
              <w:t>333-54330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4(c)3</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Twenty-second</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2003</w:t>
            </w:r>
          </w:p>
        </w:tc>
        <w:tc>
          <w:tcPr>
            <w:tcW w:w="5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1-3548</w:t>
            </w:r>
          </w:p>
        </w:tc>
        <w:tc>
          <w:tcPr>
            <w:tcW w:w="22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(June 30, 2003 Form 10-Q)</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Twenty-third</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 2004</w:t>
            </w:r>
          </w:p>
        </w:tc>
        <w:tc>
          <w:tcPr>
            <w:tcW w:w="5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1-3548</w:t>
            </w:r>
          </w:p>
        </w:tc>
        <w:tc>
          <w:tcPr>
            <w:tcW w:w="22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(Sept. 30, 2004 Form 10-Q)</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4(a)</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Twenty-fourth</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March 1, 2005</w:t>
            </w:r>
          </w:p>
        </w:tc>
        <w:tc>
          <w:tcPr>
            <w:tcW w:w="5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1-3548</w:t>
            </w:r>
          </w:p>
        </w:tc>
        <w:tc>
          <w:tcPr>
            <w:tcW w:w="22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(March 31, 2005 Form 10-Q)</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Twenty-fifth</w:t>
            </w:r>
          </w:p>
        </w:tc>
        <w:tc>
          <w:tcPr>
            <w:tcW w:w="18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December 1, 2005</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1-3548</w:t>
            </w:r>
          </w:p>
        </w:tc>
        <w:tc>
          <w:tcPr>
            <w:tcW w:w="22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(March 31, 2006 Form 10-Q)</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4(a)3</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Twenty-Sixth</w:t>
            </w:r>
          </w:p>
        </w:tc>
        <w:tc>
          <w:tcPr>
            <w:tcW w:w="1080" w:type="dxa"/>
            <w:vAlign w:val="bottom"/>
            <w:gridSpan w:val="3"/>
          </w:tcPr>
          <w:p>
            <w:pPr>
              <w:spacing w:after="0"/>
              <w:rPr>
                <w:sz w:val="20"/>
                <w:szCs w:val="20"/>
                <w:color w:val="auto"/>
              </w:rPr>
            </w:pPr>
            <w:r>
              <w:rPr>
                <w:rFonts w:ascii="Courier New" w:cs="Courier New" w:eastAsia="Courier New" w:hAnsi="Courier New"/>
                <w:sz w:val="14"/>
                <w:szCs w:val="14"/>
                <w:color w:val="auto"/>
              </w:rPr>
              <w:t>Supplemental</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Indenture,</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dated as of</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October 1,</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2006,  between</w:t>
            </w:r>
          </w:p>
        </w:tc>
        <w:tc>
          <w:tcPr>
            <w:tcW w:w="68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ALLETE</w:t>
            </w:r>
          </w:p>
        </w:tc>
        <w:tc>
          <w:tcPr>
            <w:tcW w:w="3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and The Bank of New York and Douglas J.</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MacInnes, as Trustees.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160" w:type="dxa"/>
            <w:vAlign w:val="bottom"/>
            <w:gridSpan w:val="3"/>
          </w:tcPr>
          <w:p>
            <w:pPr>
              <w:spacing w:after="0"/>
              <w:rPr>
                <w:sz w:val="20"/>
                <w:szCs w:val="20"/>
                <w:color w:val="auto"/>
              </w:rPr>
            </w:pPr>
            <w:r>
              <w:rPr>
                <w:rFonts w:ascii="Courier New" w:cs="Courier New" w:eastAsia="Courier New" w:hAnsi="Courier New"/>
                <w:sz w:val="14"/>
                <w:szCs w:val="14"/>
                <w:color w:val="auto"/>
              </w:rPr>
              <w:t>ALLETE 2006 Form 10-K</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bl>
    <w:p>
      <w:pPr>
        <w:sectPr>
          <w:pgSz w:w="11900" w:h="16838" w:orient="portrait"/>
          <w:cols w:equalWidth="0" w:num="1">
            <w:col w:w="10239"/>
          </w:cols>
          <w:pgMar w:left="220" w:top="616" w:right="1440" w:bottom="1440" w:gutter="0" w:footer="0" w:header="0"/>
        </w:sectPr>
      </w:pPr>
    </w:p>
    <w:bookmarkStart w:id="61" w:name="page62"/>
    <w:bookmarkEnd w:id="61"/>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EXHIBIT NUMBER</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*4(b)1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Indenture</w:t>
            </w:r>
          </w:p>
        </w:tc>
        <w:tc>
          <w:tcPr>
            <w:tcW w:w="340" w:type="dxa"/>
            <w:vAlign w:val="bottom"/>
            <w:gridSpan w:val="2"/>
          </w:tcPr>
          <w:p>
            <w:pPr>
              <w:spacing w:after="0"/>
              <w:rPr>
                <w:sz w:val="20"/>
                <w:szCs w:val="20"/>
                <w:color w:val="auto"/>
              </w:rPr>
            </w:pPr>
            <w:r>
              <w:rPr>
                <w:rFonts w:ascii="Courier New" w:cs="Courier New" w:eastAsia="Courier New" w:hAnsi="Courier New"/>
                <w:sz w:val="14"/>
                <w:szCs w:val="14"/>
                <w:color w:val="auto"/>
              </w:rPr>
              <w:t>of</w:t>
            </w:r>
          </w:p>
        </w:tc>
        <w:tc>
          <w:tcPr>
            <w:tcW w:w="13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Trust, dated as</w:t>
            </w:r>
          </w:p>
        </w:tc>
        <w:tc>
          <w:tcPr>
            <w:tcW w:w="160" w:type="dxa"/>
            <w:vAlign w:val="bottom"/>
          </w:tcPr>
          <w:p>
            <w:pPr>
              <w:spacing w:after="0"/>
              <w:rPr>
                <w:sz w:val="24"/>
                <w:szCs w:val="2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of</w:t>
            </w:r>
          </w:p>
        </w:tc>
        <w:tc>
          <w:tcPr>
            <w:tcW w:w="24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August 1, 2004, between the</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City of Cohasset, Minnesota and U.S. Bank National Association,</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Trustee</w:t>
            </w:r>
          </w:p>
        </w:tc>
        <w:tc>
          <w:tcPr>
            <w:tcW w:w="80" w:type="dxa"/>
            <w:vAlign w:val="bottom"/>
          </w:tcPr>
          <w:p>
            <w:pPr>
              <w:spacing w:after="0"/>
              <w:rPr>
                <w:sz w:val="14"/>
                <w:szCs w:val="14"/>
                <w:color w:val="auto"/>
              </w:rPr>
            </w:pPr>
          </w:p>
        </w:tc>
        <w:tc>
          <w:tcPr>
            <w:tcW w:w="2240" w:type="dxa"/>
            <w:vAlign w:val="bottom"/>
            <w:gridSpan w:val="10"/>
          </w:tcPr>
          <w:p>
            <w:pPr>
              <w:spacing w:after="0"/>
              <w:rPr>
                <w:sz w:val="20"/>
                <w:szCs w:val="20"/>
                <w:color w:val="auto"/>
              </w:rPr>
            </w:pPr>
            <w:r>
              <w:rPr>
                <w:rFonts w:ascii="Courier New" w:cs="Courier New" w:eastAsia="Courier New" w:hAnsi="Courier New"/>
                <w:sz w:val="14"/>
                <w:szCs w:val="14"/>
                <w:color w:val="auto"/>
              </w:rPr>
              <w:t>relating to $111 Million</w:t>
            </w:r>
          </w:p>
        </w:tc>
        <w:tc>
          <w:tcPr>
            <w:tcW w:w="1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Collateralized</w:t>
            </w:r>
          </w:p>
        </w:tc>
        <w:tc>
          <w:tcPr>
            <w:tcW w:w="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Pollution</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Control</w:t>
            </w:r>
          </w:p>
        </w:tc>
        <w:tc>
          <w:tcPr>
            <w:tcW w:w="8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Refunding</w:t>
            </w:r>
          </w:p>
        </w:tc>
        <w:tc>
          <w:tcPr>
            <w:tcW w:w="80" w:type="dxa"/>
            <w:vAlign w:val="bottom"/>
          </w:tcPr>
          <w:p>
            <w:pPr>
              <w:spacing w:after="0"/>
              <w:rPr>
                <w:sz w:val="14"/>
                <w:szCs w:val="14"/>
                <w:color w:val="auto"/>
              </w:rPr>
            </w:pPr>
          </w:p>
        </w:tc>
        <w:tc>
          <w:tcPr>
            <w:tcW w:w="3800" w:type="dxa"/>
            <w:vAlign w:val="bottom"/>
            <w:gridSpan w:val="15"/>
          </w:tcPr>
          <w:p>
            <w:pPr>
              <w:jc w:val="right"/>
              <w:spacing w:after="0"/>
              <w:rPr>
                <w:sz w:val="20"/>
                <w:szCs w:val="20"/>
                <w:color w:val="auto"/>
              </w:rPr>
            </w:pPr>
            <w:r>
              <w:rPr>
                <w:rFonts w:ascii="Courier New" w:cs="Courier New" w:eastAsia="Courier New" w:hAnsi="Courier New"/>
                <w:sz w:val="14"/>
                <w:szCs w:val="14"/>
                <w:color w:val="auto"/>
              </w:rPr>
              <w:t>Revenue Bonds (filed as Exhibit 4(b) to the</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September 30, 2004, Form 10-Q, File No. 1-3548).</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*4(b)2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Loan Agreement, dated as of</w:t>
            </w:r>
          </w:p>
        </w:tc>
        <w:tc>
          <w:tcPr>
            <w:tcW w:w="31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August 1, 2004, between the City of</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Cohasset,</w:t>
            </w:r>
          </w:p>
        </w:tc>
        <w:tc>
          <w:tcPr>
            <w:tcW w:w="8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Courier New" w:cs="Courier New" w:eastAsia="Courier New" w:hAnsi="Courier New"/>
                <w:sz w:val="14"/>
                <w:szCs w:val="14"/>
                <w:color w:val="auto"/>
              </w:rPr>
              <w:t>Minnesota</w:t>
            </w:r>
          </w:p>
        </w:tc>
        <w:tc>
          <w:tcPr>
            <w:tcW w:w="4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and</w:t>
            </w:r>
          </w:p>
        </w:tc>
        <w:tc>
          <w:tcPr>
            <w:tcW w:w="6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ALLETE</w:t>
            </w:r>
          </w:p>
        </w:tc>
        <w:tc>
          <w:tcPr>
            <w:tcW w:w="112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9"/>
              </w:rPr>
              <w:t>relating  to</w:t>
            </w:r>
          </w:p>
        </w:tc>
        <w:tc>
          <w:tcPr>
            <w:tcW w:w="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$111</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Million</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Collateralized Pollution Control Refunding Revenue Bonds (filed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gridSpan w:val="14"/>
          </w:tcPr>
          <w:p>
            <w:pPr>
              <w:ind w:left="180"/>
              <w:spacing w:after="0"/>
              <w:rPr>
                <w:sz w:val="20"/>
                <w:szCs w:val="20"/>
                <w:color w:val="auto"/>
              </w:rPr>
            </w:pPr>
            <w:r>
              <w:rPr>
                <w:rFonts w:ascii="Courier New" w:cs="Courier New" w:eastAsia="Courier New" w:hAnsi="Courier New"/>
                <w:sz w:val="14"/>
                <w:szCs w:val="14"/>
                <w:color w:val="auto"/>
              </w:rPr>
              <w:t>as Exhibit 4(c) to the September 30, 2004,</w:t>
            </w:r>
          </w:p>
        </w:tc>
        <w:tc>
          <w:tcPr>
            <w:tcW w:w="80" w:type="dxa"/>
            <w:vAlign w:val="bottom"/>
          </w:tcPr>
          <w:p>
            <w:pPr>
              <w:spacing w:after="0"/>
              <w:rPr>
                <w:sz w:val="14"/>
                <w:szCs w:val="14"/>
                <w:color w:val="auto"/>
              </w:rPr>
            </w:pPr>
          </w:p>
        </w:tc>
        <w:tc>
          <w:tcPr>
            <w:tcW w:w="1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Form 10-Q, File No.</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1-3548).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*4(c)1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Mortgage and Deed</w:t>
            </w:r>
          </w:p>
        </w:tc>
        <w:tc>
          <w:tcPr>
            <w:tcW w:w="780" w:type="dxa"/>
            <w:vAlign w:val="bottom"/>
            <w:gridSpan w:val="4"/>
          </w:tcPr>
          <w:p>
            <w:pPr>
              <w:spacing w:after="0"/>
              <w:rPr>
                <w:sz w:val="20"/>
                <w:szCs w:val="20"/>
                <w:color w:val="auto"/>
              </w:rPr>
            </w:pPr>
            <w:r>
              <w:rPr>
                <w:rFonts w:ascii="Courier New" w:cs="Courier New" w:eastAsia="Courier New" w:hAnsi="Courier New"/>
                <w:sz w:val="14"/>
                <w:szCs w:val="14"/>
                <w:color w:val="auto"/>
              </w:rPr>
              <w:t>of Trust,</w:t>
            </w:r>
          </w:p>
        </w:tc>
        <w:tc>
          <w:tcPr>
            <w:tcW w:w="31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dated as of March 1, 1943, between</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Superior</w:t>
            </w:r>
          </w:p>
        </w:tc>
        <w:tc>
          <w:tcPr>
            <w:tcW w:w="8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Water,</w:t>
            </w:r>
          </w:p>
        </w:tc>
        <w:tc>
          <w:tcPr>
            <w:tcW w:w="1460" w:type="dxa"/>
            <w:vAlign w:val="bottom"/>
            <w:gridSpan w:val="7"/>
          </w:tcPr>
          <w:p>
            <w:pPr>
              <w:spacing w:after="0"/>
              <w:rPr>
                <w:sz w:val="20"/>
                <w:szCs w:val="20"/>
                <w:color w:val="auto"/>
              </w:rPr>
            </w:pPr>
            <w:r>
              <w:rPr>
                <w:rFonts w:ascii="Courier New" w:cs="Courier New" w:eastAsia="Courier New" w:hAnsi="Courier New"/>
                <w:sz w:val="14"/>
                <w:szCs w:val="14"/>
                <w:color w:val="auto"/>
              </w:rPr>
              <w:t>Light and Power</w:t>
            </w:r>
          </w:p>
        </w:tc>
        <w:tc>
          <w:tcPr>
            <w:tcW w:w="1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Company and Chemical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Bank &amp;</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Trust Company and Howard B. Smith, as Trustees,</w:t>
            </w:r>
          </w:p>
        </w:tc>
        <w:tc>
          <w:tcPr>
            <w:tcW w:w="1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both succeeded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by U.S.</w:t>
            </w:r>
          </w:p>
        </w:tc>
        <w:tc>
          <w:tcPr>
            <w:tcW w:w="164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Bank Trust N.A.,</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as</w:t>
            </w:r>
          </w:p>
        </w:tc>
        <w:tc>
          <w:tcPr>
            <w:tcW w:w="6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w w:val="98"/>
              </w:rPr>
              <w:t>Trustee</w:t>
            </w:r>
          </w:p>
        </w:tc>
        <w:tc>
          <w:tcPr>
            <w:tcW w:w="1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(filed as Exhibit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7(c),</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File No. 2-8668).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*4(c)2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Supplemental</w:t>
            </w:r>
          </w:p>
        </w:tc>
        <w:tc>
          <w:tcPr>
            <w:tcW w:w="1040" w:type="dxa"/>
            <w:vAlign w:val="bottom"/>
            <w:gridSpan w:val="5"/>
          </w:tcPr>
          <w:p>
            <w:pPr>
              <w:ind w:left="180"/>
              <w:spacing w:after="0"/>
              <w:rPr>
                <w:sz w:val="20"/>
                <w:szCs w:val="20"/>
                <w:color w:val="auto"/>
              </w:rPr>
            </w:pPr>
            <w:r>
              <w:rPr>
                <w:rFonts w:ascii="Courier New" w:cs="Courier New" w:eastAsia="Courier New" w:hAnsi="Courier New"/>
                <w:sz w:val="14"/>
                <w:szCs w:val="14"/>
                <w:color w:val="auto"/>
                <w:w w:val="99"/>
              </w:rPr>
              <w:t>Indentures</w:t>
            </w:r>
          </w:p>
        </w:tc>
        <w:tc>
          <w:tcPr>
            <w:tcW w:w="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to</w:t>
            </w:r>
          </w:p>
        </w:tc>
        <w:tc>
          <w:tcPr>
            <w:tcW w:w="190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Superior Water, Light</w:t>
            </w:r>
          </w:p>
        </w:tc>
        <w:tc>
          <w:tcPr>
            <w:tcW w:w="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Power</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Company's Mortgage and Deed of Trust: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3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DATED AS OF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REFERENCE FILE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EXHIBIT</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34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March 1, 1951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8"/>
              </w:rPr>
              <w:t>2-59690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2(d)(1)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3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March 1, 1962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8"/>
              </w:rPr>
              <w:t>2-27794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2(d)1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8"/>
              </w:rPr>
              <w:t>2-57478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2(e)1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34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March 1, 1985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8"/>
              </w:rPr>
              <w:t>2-78641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5"/>
              </w:rPr>
              <w:t>4(b)</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Fifth</w:t>
            </w:r>
          </w:p>
        </w:tc>
        <w:tc>
          <w:tcPr>
            <w:tcW w:w="34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December 1, 1992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9"/>
          </w:tcPr>
          <w:p>
            <w:pPr>
              <w:ind w:left="100"/>
              <w:spacing w:after="0"/>
              <w:rPr>
                <w:sz w:val="20"/>
                <w:szCs w:val="20"/>
                <w:color w:val="auto"/>
              </w:rPr>
            </w:pPr>
            <w:r>
              <w:rPr>
                <w:rFonts w:ascii="Courier New" w:cs="Courier New" w:eastAsia="Courier New" w:hAnsi="Courier New"/>
                <w:sz w:val="14"/>
                <w:szCs w:val="14"/>
                <w:color w:val="auto"/>
              </w:rPr>
              <w:t>1-3548 (1992 Form 10-K)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4(b)1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Sixth</w:t>
            </w:r>
          </w:p>
        </w:tc>
        <w:tc>
          <w:tcPr>
            <w:tcW w:w="34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March 24, 1994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9"/>
          </w:tcPr>
          <w:p>
            <w:pPr>
              <w:ind w:left="100"/>
              <w:spacing w:after="0"/>
              <w:rPr>
                <w:sz w:val="20"/>
                <w:szCs w:val="20"/>
                <w:color w:val="auto"/>
              </w:rPr>
            </w:pPr>
            <w:r>
              <w:rPr>
                <w:rFonts w:ascii="Courier New" w:cs="Courier New" w:eastAsia="Courier New" w:hAnsi="Courier New"/>
                <w:sz w:val="14"/>
                <w:szCs w:val="14"/>
                <w:color w:val="auto"/>
              </w:rPr>
              <w:t>1-3548 (1996 Form 10-K)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4(b)1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Seventh</w:t>
            </w:r>
          </w:p>
        </w:tc>
        <w:tc>
          <w:tcPr>
            <w:tcW w:w="34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November 1, 1994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9"/>
          </w:tcPr>
          <w:p>
            <w:pPr>
              <w:ind w:left="100"/>
              <w:spacing w:after="0"/>
              <w:rPr>
                <w:sz w:val="20"/>
                <w:szCs w:val="20"/>
                <w:color w:val="auto"/>
              </w:rPr>
            </w:pPr>
            <w:r>
              <w:rPr>
                <w:rFonts w:ascii="Courier New" w:cs="Courier New" w:eastAsia="Courier New" w:hAnsi="Courier New"/>
                <w:sz w:val="14"/>
                <w:szCs w:val="14"/>
                <w:color w:val="auto"/>
              </w:rPr>
              <w:t>1-3548 (1996 Form 10-K)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4(b)2</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Eighth</w:t>
            </w:r>
          </w:p>
        </w:tc>
        <w:tc>
          <w:tcPr>
            <w:tcW w:w="34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January 1, 1997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9"/>
          </w:tcPr>
          <w:p>
            <w:pPr>
              <w:ind w:left="100"/>
              <w:spacing w:after="0"/>
              <w:rPr>
                <w:sz w:val="20"/>
                <w:szCs w:val="20"/>
                <w:color w:val="auto"/>
              </w:rPr>
            </w:pPr>
            <w:r>
              <w:rPr>
                <w:rFonts w:ascii="Courier New" w:cs="Courier New" w:eastAsia="Courier New" w:hAnsi="Courier New"/>
                <w:sz w:val="14"/>
                <w:szCs w:val="14"/>
                <w:color w:val="auto"/>
              </w:rPr>
              <w:t>1-3548 (1996 Form 10-K)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4(b)3</w:t>
            </w: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Amended and</w:t>
            </w:r>
          </w:p>
        </w:tc>
        <w:tc>
          <w:tcPr>
            <w:tcW w:w="80" w:type="dxa"/>
            <w:vAlign w:val="bottom"/>
          </w:tcPr>
          <w:p>
            <w:pPr>
              <w:spacing w:after="0"/>
              <w:rPr>
                <w:sz w:val="24"/>
                <w:szCs w:val="24"/>
                <w:color w:val="auto"/>
              </w:rPr>
            </w:pPr>
          </w:p>
        </w:tc>
        <w:tc>
          <w:tcPr>
            <w:tcW w:w="8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Restated</w:t>
            </w:r>
          </w:p>
        </w:tc>
        <w:tc>
          <w:tcPr>
            <w:tcW w:w="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Rights</w:t>
            </w:r>
          </w:p>
        </w:tc>
        <w:tc>
          <w:tcPr>
            <w:tcW w:w="15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Agreement, dated</w:t>
            </w:r>
          </w:p>
        </w:tc>
        <w:tc>
          <w:tcPr>
            <w:tcW w:w="1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as of July 12,</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2006, between ALLETE and the Corporate</w:t>
            </w:r>
          </w:p>
        </w:tc>
        <w:tc>
          <w:tcPr>
            <w:tcW w:w="21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Secretary of ALLETE, as</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c>
          <w:tcPr>
            <w:tcW w:w="600" w:type="dxa"/>
            <w:vAlign w:val="bottom"/>
            <w:gridSpan w:val="3"/>
          </w:tcPr>
          <w:p>
            <w:pPr>
              <w:spacing w:after="0"/>
              <w:rPr>
                <w:sz w:val="20"/>
                <w:szCs w:val="20"/>
                <w:color w:val="auto"/>
              </w:rPr>
            </w:pPr>
            <w:r>
              <w:rPr>
                <w:rFonts w:ascii="Courier New" w:cs="Courier New" w:eastAsia="Courier New" w:hAnsi="Courier New"/>
                <w:sz w:val="14"/>
                <w:szCs w:val="14"/>
                <w:color w:val="auto"/>
              </w:rPr>
              <w:t>Agent</w:t>
            </w:r>
          </w:p>
        </w:tc>
        <w:tc>
          <w:tcPr>
            <w:tcW w:w="3200" w:type="dxa"/>
            <w:vAlign w:val="bottom"/>
            <w:gridSpan w:val="13"/>
          </w:tcPr>
          <w:p>
            <w:pPr>
              <w:jc w:val="right"/>
              <w:ind w:right="108"/>
              <w:spacing w:after="0"/>
              <w:rPr>
                <w:sz w:val="20"/>
                <w:szCs w:val="20"/>
                <w:color w:val="auto"/>
              </w:rPr>
            </w:pPr>
            <w:r>
              <w:rPr>
                <w:rFonts w:ascii="Courier New" w:cs="Courier New" w:eastAsia="Courier New" w:hAnsi="Courier New"/>
                <w:sz w:val="14"/>
                <w:szCs w:val="14"/>
                <w:color w:val="auto"/>
              </w:rPr>
              <w:t>(filed as Exhibit 4 to the July 14,</w:t>
            </w:r>
          </w:p>
        </w:tc>
        <w:tc>
          <w:tcPr>
            <w:tcW w:w="4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5"/>
              </w:rPr>
              <w:t>2006,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8-K, File No. 1-3548).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Power Purchase and</w:t>
            </w:r>
          </w:p>
        </w:tc>
        <w:tc>
          <w:tcPr>
            <w:tcW w:w="8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5"/>
              </w:rPr>
              <w:t>Sale</w:t>
            </w:r>
          </w:p>
        </w:tc>
        <w:tc>
          <w:tcPr>
            <w:tcW w:w="27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Agreement, dated as of May 29,</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between</w:t>
            </w:r>
          </w:p>
        </w:tc>
        <w:tc>
          <w:tcPr>
            <w:tcW w:w="8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Minnesota</w:t>
            </w:r>
          </w:p>
        </w:tc>
        <w:tc>
          <w:tcPr>
            <w:tcW w:w="8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Power,</w:t>
            </w:r>
          </w:p>
        </w:tc>
        <w:tc>
          <w:tcPr>
            <w:tcW w:w="4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5"/>
              </w:rPr>
              <w:t>Inc.</w:t>
            </w:r>
          </w:p>
        </w:tc>
        <w:tc>
          <w:tcPr>
            <w:tcW w:w="26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(now ALLETE) and Square Butte</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Electric Cooperative (filed as Exhibit 10 to the June 30, 1998,</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Form 10-Q, File No.</w:t>
            </w:r>
          </w:p>
        </w:tc>
        <w:tc>
          <w:tcPr>
            <w:tcW w:w="9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1-3548).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*10(b)</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Amended and Restated Withdrawal Agreement (without Exhibits and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Schedules),</w:t>
            </w:r>
          </w:p>
        </w:tc>
        <w:tc>
          <w:tcPr>
            <w:tcW w:w="80" w:type="dxa"/>
            <w:vAlign w:val="bottom"/>
          </w:tcPr>
          <w:p>
            <w:pPr>
              <w:spacing w:after="0"/>
              <w:rPr>
                <w:sz w:val="14"/>
                <w:szCs w:val="14"/>
                <w:color w:val="auto"/>
              </w:rPr>
            </w:pPr>
          </w:p>
        </w:tc>
        <w:tc>
          <w:tcPr>
            <w:tcW w:w="4400" w:type="dxa"/>
            <w:vAlign w:val="bottom"/>
            <w:gridSpan w:val="18"/>
          </w:tcPr>
          <w:p>
            <w:pPr>
              <w:ind w:left="100"/>
              <w:spacing w:after="0"/>
              <w:rPr>
                <w:sz w:val="20"/>
                <w:szCs w:val="20"/>
                <w:color w:val="auto"/>
              </w:rPr>
            </w:pPr>
            <w:r>
              <w:rPr>
                <w:rFonts w:ascii="Courier New" w:cs="Courier New" w:eastAsia="Courier New" w:hAnsi="Courier New"/>
                <w:sz w:val="14"/>
                <w:szCs w:val="14"/>
                <w:color w:val="auto"/>
              </w:rPr>
              <w:t>dated January 30, 2004, by and between Great River</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Energy and Minnesota Power (now ALLETE) (filed as Exhibit 10(p)</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gridSpan w:val="14"/>
          </w:tcPr>
          <w:p>
            <w:pPr>
              <w:ind w:left="180"/>
              <w:spacing w:after="0"/>
              <w:rPr>
                <w:sz w:val="20"/>
                <w:szCs w:val="20"/>
                <w:color w:val="auto"/>
              </w:rPr>
            </w:pPr>
            <w:r>
              <w:rPr>
                <w:rFonts w:ascii="Courier New" w:cs="Courier New" w:eastAsia="Courier New" w:hAnsi="Courier New"/>
                <w:sz w:val="14"/>
                <w:szCs w:val="14"/>
                <w:color w:val="auto"/>
              </w:rPr>
              <w:t>to the 2003 Form 10-K, File No. 1-3548).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*10(c)</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Master  Agreement  (without  Appendices  and  Exhibits),  dated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December</w:t>
            </w:r>
          </w:p>
        </w:tc>
        <w:tc>
          <w:tcPr>
            <w:tcW w:w="2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Courier New" w:cs="Courier New" w:eastAsia="Courier New" w:hAnsi="Courier New"/>
                <w:sz w:val="14"/>
                <w:szCs w:val="14"/>
                <w:color w:val="auto"/>
              </w:rPr>
              <w:t>28,</w:t>
            </w:r>
          </w:p>
        </w:tc>
        <w:tc>
          <w:tcPr>
            <w:tcW w:w="6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2004,</w:t>
            </w:r>
          </w:p>
        </w:tc>
        <w:tc>
          <w:tcPr>
            <w:tcW w:w="1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by</w:t>
            </w:r>
          </w:p>
        </w:tc>
        <w:tc>
          <w:tcPr>
            <w:tcW w:w="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w:t>
            </w:r>
          </w:p>
        </w:tc>
        <w:tc>
          <w:tcPr>
            <w:tcW w:w="8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between</w:t>
            </w: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Rainy</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River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Energy</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Corporation</w:t>
            </w:r>
          </w:p>
        </w:tc>
        <w:tc>
          <w:tcPr>
            <w:tcW w:w="80" w:type="dxa"/>
            <w:vAlign w:val="bottom"/>
          </w:tcPr>
          <w:p>
            <w:pPr>
              <w:spacing w:after="0"/>
              <w:rPr>
                <w:sz w:val="14"/>
                <w:szCs w:val="14"/>
                <w:color w:val="auto"/>
              </w:rPr>
            </w:pPr>
          </w:p>
        </w:tc>
        <w:tc>
          <w:tcPr>
            <w:tcW w:w="1560" w:type="dxa"/>
            <w:vAlign w:val="bottom"/>
            <w:gridSpan w:val="7"/>
          </w:tcPr>
          <w:p>
            <w:pPr>
              <w:spacing w:after="0"/>
              <w:rPr>
                <w:sz w:val="20"/>
                <w:szCs w:val="20"/>
                <w:color w:val="auto"/>
              </w:rPr>
            </w:pPr>
            <w:r>
              <w:rPr>
                <w:rFonts w:ascii="Courier New" w:cs="Courier New" w:eastAsia="Courier New" w:hAnsi="Courier New"/>
                <w:sz w:val="14"/>
                <w:szCs w:val="14"/>
                <w:color w:val="auto"/>
              </w:rPr>
              <w:t>and Constellation</w:t>
            </w:r>
          </w:p>
        </w:tc>
        <w:tc>
          <w:tcPr>
            <w:tcW w:w="6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Energy</w:t>
            </w:r>
          </w:p>
        </w:tc>
        <w:tc>
          <w:tcPr>
            <w:tcW w:w="12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Commodities</w:t>
            </w:r>
          </w:p>
        </w:tc>
        <w:tc>
          <w:tcPr>
            <w:tcW w:w="94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Group, Inc.</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(filed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Courier New" w:cs="Courier New" w:eastAsia="Courier New" w:hAnsi="Courier New"/>
                <w:sz w:val="14"/>
                <w:szCs w:val="14"/>
                <w:color w:val="auto"/>
                <w:w w:val="98"/>
              </w:rPr>
              <w:t>Exhibit</w:t>
            </w:r>
          </w:p>
        </w:tc>
        <w:tc>
          <w:tcPr>
            <w:tcW w:w="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10(c)</w:t>
            </w:r>
          </w:p>
        </w:tc>
        <w:tc>
          <w:tcPr>
            <w:tcW w:w="6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to the</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500" w:type="dxa"/>
            <w:vAlign w:val="bottom"/>
            <w:gridSpan w:val="2"/>
          </w:tcPr>
          <w:p>
            <w:pPr>
              <w:spacing w:after="0"/>
              <w:rPr>
                <w:sz w:val="20"/>
                <w:szCs w:val="20"/>
                <w:color w:val="auto"/>
              </w:rPr>
            </w:pPr>
            <w:r>
              <w:rPr>
                <w:rFonts w:ascii="Courier New" w:cs="Courier New" w:eastAsia="Courier New" w:hAnsi="Courier New"/>
                <w:sz w:val="14"/>
                <w:szCs w:val="14"/>
                <w:color w:val="auto"/>
              </w:rPr>
              <w:t>Form</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10-K,</w:t>
            </w:r>
          </w:p>
        </w:tc>
        <w:tc>
          <w:tcPr>
            <w:tcW w:w="68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8"/>
              </w:rPr>
              <w:t>File No.</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1-3548).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*10(d)1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Fourth Amended</w:t>
            </w:r>
          </w:p>
        </w:tc>
        <w:tc>
          <w:tcPr>
            <w:tcW w:w="19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and Restated Committed</w:t>
            </w:r>
          </w:p>
        </w:tc>
        <w:tc>
          <w:tcPr>
            <w:tcW w:w="21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Facility Letter (without</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Exhibits),</w:t>
            </w:r>
          </w:p>
        </w:tc>
        <w:tc>
          <w:tcPr>
            <w:tcW w:w="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dated</w:t>
            </w:r>
          </w:p>
        </w:tc>
        <w:tc>
          <w:tcPr>
            <w:tcW w:w="8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January 11,</w:t>
            </w:r>
          </w:p>
        </w:tc>
        <w:tc>
          <w:tcPr>
            <w:tcW w:w="160" w:type="dxa"/>
            <w:vAlign w:val="bottom"/>
          </w:tcPr>
          <w:p>
            <w:pPr>
              <w:spacing w:after="0"/>
              <w:rPr>
                <w:sz w:val="14"/>
                <w:szCs w:val="14"/>
                <w:color w:val="auto"/>
              </w:rPr>
            </w:pPr>
          </w:p>
        </w:tc>
        <w:tc>
          <w:tcPr>
            <w:tcW w:w="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2006,</w:t>
            </w:r>
          </w:p>
        </w:tc>
        <w:tc>
          <w:tcPr>
            <w:tcW w:w="122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by and among</w:t>
            </w:r>
          </w:p>
        </w:tc>
        <w:tc>
          <w:tcPr>
            <w:tcW w:w="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ALLETE and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LaSalle Bank National</w:t>
            </w:r>
          </w:p>
        </w:tc>
        <w:tc>
          <w:tcPr>
            <w:tcW w:w="11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Association,</w:t>
            </w:r>
          </w:p>
        </w:tc>
        <w:tc>
          <w:tcPr>
            <w:tcW w:w="24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as Agent (filed as Exhibit</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10 to the January</w:t>
            </w:r>
          </w:p>
        </w:tc>
        <w:tc>
          <w:tcPr>
            <w:tcW w:w="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5"/>
              </w:rPr>
              <w:t>17,</w:t>
            </w:r>
          </w:p>
        </w:tc>
        <w:tc>
          <w:tcPr>
            <w:tcW w:w="28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2006, Form 8-K, File No. 1-3548).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*10(d)2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First  Amendment</w:t>
            </w:r>
          </w:p>
        </w:tc>
        <w:tc>
          <w:tcPr>
            <w:tcW w:w="340" w:type="dxa"/>
            <w:vAlign w:val="bottom"/>
            <w:gridSpan w:val="2"/>
          </w:tcPr>
          <w:p>
            <w:pPr>
              <w:spacing w:after="0"/>
              <w:rPr>
                <w:sz w:val="20"/>
                <w:szCs w:val="20"/>
                <w:color w:val="auto"/>
              </w:rPr>
            </w:pPr>
            <w:r>
              <w:rPr>
                <w:rFonts w:ascii="Courier New" w:cs="Courier New" w:eastAsia="Courier New" w:hAnsi="Courier New"/>
                <w:sz w:val="14"/>
                <w:szCs w:val="14"/>
                <w:color w:val="auto"/>
              </w:rPr>
              <w:t>to</w:t>
            </w:r>
          </w:p>
        </w:tc>
        <w:tc>
          <w:tcPr>
            <w:tcW w:w="7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9"/>
              </w:rPr>
              <w:t>Fourth</w:t>
            </w:r>
          </w:p>
        </w:tc>
        <w:tc>
          <w:tcPr>
            <w:tcW w:w="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Amended</w:t>
            </w:r>
          </w:p>
        </w:tc>
        <w:tc>
          <w:tcPr>
            <w:tcW w:w="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w:t>
            </w:r>
          </w:p>
        </w:tc>
        <w:tc>
          <w:tcPr>
            <w:tcW w:w="1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Restated Committed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Facility</w:t>
            </w:r>
          </w:p>
        </w:tc>
        <w:tc>
          <w:tcPr>
            <w:tcW w:w="206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Letter dated June 19,</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2006,</w:t>
            </w:r>
          </w:p>
        </w:tc>
        <w:tc>
          <w:tcPr>
            <w:tcW w:w="21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by and among ALLETE and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LaSalle Bank National</w:t>
            </w:r>
          </w:p>
        </w:tc>
        <w:tc>
          <w:tcPr>
            <w:tcW w:w="11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Association,</w:t>
            </w:r>
          </w:p>
        </w:tc>
        <w:tc>
          <w:tcPr>
            <w:tcW w:w="24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as Agent (filed as Exhibit</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10(a) to the June 30, 2006, Form 10-Q, File No. 1-3548).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10(d)3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Second  Amendment  to  Fourth  Amended  and  Restated Committed</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Facility</w:t>
            </w:r>
          </w:p>
        </w:tc>
        <w:tc>
          <w:tcPr>
            <w:tcW w:w="1200" w:type="dxa"/>
            <w:vAlign w:val="bottom"/>
            <w:gridSpan w:val="6"/>
          </w:tcPr>
          <w:p>
            <w:pPr>
              <w:ind w:left="180"/>
              <w:spacing w:after="0"/>
              <w:rPr>
                <w:sz w:val="20"/>
                <w:szCs w:val="20"/>
                <w:color w:val="auto"/>
              </w:rPr>
            </w:pPr>
            <w:r>
              <w:rPr>
                <w:rFonts w:ascii="Courier New" w:cs="Courier New" w:eastAsia="Courier New" w:hAnsi="Courier New"/>
                <w:sz w:val="14"/>
                <w:szCs w:val="14"/>
                <w:color w:val="auto"/>
                <w:w w:val="99"/>
              </w:rPr>
              <w:t>Letter dated</w:t>
            </w:r>
          </w:p>
        </w:tc>
        <w:tc>
          <w:tcPr>
            <w:tcW w:w="180" w:type="dxa"/>
            <w:vAlign w:val="bottom"/>
          </w:tcPr>
          <w:p>
            <w:pPr>
              <w:spacing w:after="0"/>
              <w:rPr>
                <w:sz w:val="14"/>
                <w:szCs w:val="14"/>
                <w:color w:val="auto"/>
              </w:rPr>
            </w:pPr>
          </w:p>
        </w:tc>
        <w:tc>
          <w:tcPr>
            <w:tcW w:w="1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December 14, 2006,</w:t>
            </w:r>
          </w:p>
        </w:tc>
        <w:tc>
          <w:tcPr>
            <w:tcW w:w="80" w:type="dxa"/>
            <w:vAlign w:val="bottom"/>
          </w:tcPr>
          <w:p>
            <w:pPr>
              <w:spacing w:after="0"/>
              <w:rPr>
                <w:sz w:val="14"/>
                <w:szCs w:val="14"/>
                <w:color w:val="auto"/>
              </w:rPr>
            </w:pPr>
          </w:p>
        </w:tc>
        <w:tc>
          <w:tcPr>
            <w:tcW w:w="1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by and among ALLETE</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and LaSalle Bank National Association, as Agent.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*10(e)1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Financing</w:t>
            </w:r>
          </w:p>
        </w:tc>
        <w:tc>
          <w:tcPr>
            <w:tcW w:w="80" w:type="dxa"/>
            <w:vAlign w:val="bottom"/>
          </w:tcPr>
          <w:p>
            <w:pPr>
              <w:spacing w:after="0"/>
              <w:rPr>
                <w:sz w:val="24"/>
                <w:szCs w:val="24"/>
                <w:color w:val="auto"/>
              </w:rPr>
            </w:pPr>
          </w:p>
        </w:tc>
        <w:tc>
          <w:tcPr>
            <w:tcW w:w="86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7"/>
              </w:rPr>
              <w:t>Agreement</w:t>
            </w:r>
          </w:p>
        </w:tc>
        <w:tc>
          <w:tcPr>
            <w:tcW w:w="180" w:type="dxa"/>
            <w:vAlign w:val="bottom"/>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Courier New" w:cs="Courier New" w:eastAsia="Courier New" w:hAnsi="Courier New"/>
                <w:sz w:val="14"/>
                <w:szCs w:val="14"/>
                <w:color w:val="auto"/>
                <w:w w:val="98"/>
              </w:rPr>
              <w:t>between</w:t>
            </w:r>
          </w:p>
        </w:tc>
        <w:tc>
          <w:tcPr>
            <w:tcW w:w="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Collier</w:t>
            </w:r>
          </w:p>
        </w:tc>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County</w:t>
            </w:r>
          </w:p>
        </w:tc>
        <w:tc>
          <w:tcPr>
            <w:tcW w:w="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Industrial</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Development</w:t>
            </w:r>
          </w:p>
        </w:tc>
        <w:tc>
          <w:tcPr>
            <w:tcW w:w="8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7"/>
              </w:rPr>
              <w:t>Authority</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and</w:t>
            </w:r>
          </w:p>
        </w:tc>
        <w:tc>
          <w:tcPr>
            <w:tcW w:w="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ALLETE</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dated</w:t>
            </w:r>
          </w:p>
        </w:tc>
        <w:tc>
          <w:tcPr>
            <w:tcW w:w="80" w:type="dxa"/>
            <w:vAlign w:val="bottom"/>
          </w:tcPr>
          <w:p>
            <w:pPr>
              <w:spacing w:after="0"/>
              <w:rPr>
                <w:sz w:val="14"/>
                <w:szCs w:val="14"/>
                <w:color w:val="auto"/>
              </w:rPr>
            </w:pPr>
          </w:p>
        </w:tc>
        <w:tc>
          <w:tcPr>
            <w:tcW w:w="12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as of July 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(filed as Exhibit 10(b)1 to the June 30, 2006,</w:t>
            </w:r>
          </w:p>
        </w:tc>
        <w:tc>
          <w:tcPr>
            <w:tcW w:w="1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Form 10-Q, File</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No. 1-3548).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*10(e)2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Letter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8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w w:val="99"/>
              </w:rPr>
              <w:t>Credit</w:t>
            </w:r>
          </w:p>
        </w:tc>
        <w:tc>
          <w:tcPr>
            <w:tcW w:w="80" w:type="dxa"/>
            <w:vAlign w:val="bottom"/>
          </w:tcPr>
          <w:p>
            <w:pPr>
              <w:spacing w:after="0"/>
              <w:rPr>
                <w:sz w:val="24"/>
                <w:szCs w:val="24"/>
                <w:color w:val="auto"/>
              </w:rPr>
            </w:pPr>
          </w:p>
        </w:tc>
        <w:tc>
          <w:tcPr>
            <w:tcW w:w="96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99"/>
              </w:rPr>
              <w:t>Agreement,</w:t>
            </w:r>
          </w:p>
        </w:tc>
        <w:tc>
          <w:tcPr>
            <w:tcW w:w="160" w:type="dxa"/>
            <w:vAlign w:val="bottom"/>
          </w:tcPr>
          <w:p>
            <w:pPr>
              <w:spacing w:after="0"/>
              <w:rPr>
                <w:sz w:val="24"/>
                <w:szCs w:val="24"/>
                <w:color w:val="auto"/>
              </w:rPr>
            </w:pPr>
          </w:p>
        </w:tc>
        <w:tc>
          <w:tcPr>
            <w:tcW w:w="26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dated as of July 5, 2006, among</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ALLETE, the Participating</w:t>
            </w:r>
          </w:p>
        </w:tc>
        <w:tc>
          <w:tcPr>
            <w:tcW w:w="310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Banks and Wells Fargo Bank, National</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Association, as Administrative Agent and Issuing Bank (filed as</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Exhibit</w:t>
            </w:r>
          </w:p>
        </w:tc>
        <w:tc>
          <w:tcPr>
            <w:tcW w:w="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10(b)2</w:t>
            </w:r>
          </w:p>
        </w:tc>
        <w:tc>
          <w:tcPr>
            <w:tcW w:w="7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to the</w:t>
            </w:r>
          </w:p>
        </w:tc>
        <w:tc>
          <w:tcPr>
            <w:tcW w:w="9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June 30,</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2006,</w:t>
            </w:r>
          </w:p>
        </w:tc>
        <w:tc>
          <w:tcPr>
            <w:tcW w:w="500" w:type="dxa"/>
            <w:vAlign w:val="bottom"/>
            <w:gridSpan w:val="2"/>
          </w:tcPr>
          <w:p>
            <w:pPr>
              <w:spacing w:after="0"/>
              <w:rPr>
                <w:sz w:val="20"/>
                <w:szCs w:val="20"/>
                <w:color w:val="auto"/>
              </w:rPr>
            </w:pPr>
            <w:r>
              <w:rPr>
                <w:rFonts w:ascii="Courier New" w:cs="Courier New" w:eastAsia="Courier New" w:hAnsi="Courier New"/>
                <w:sz w:val="14"/>
                <w:szCs w:val="14"/>
                <w:color w:val="auto"/>
              </w:rPr>
              <w:t>Form</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10-Q,</w:t>
            </w:r>
          </w:p>
        </w:tc>
        <w:tc>
          <w:tcPr>
            <w:tcW w:w="68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8"/>
              </w:rPr>
              <w:t>File No.</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1-3548).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*10(f)</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Master  Separation  Agreement,  dated  June  4,  2004,  between</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ALLETE,</w:t>
            </w:r>
          </w:p>
        </w:tc>
        <w:tc>
          <w:tcPr>
            <w:tcW w:w="138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Inc. and ADESA,</w:t>
            </w:r>
          </w:p>
        </w:tc>
        <w:tc>
          <w:tcPr>
            <w:tcW w:w="336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Inc. (filed as Exhibit 10.1 to ADESA,</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Inc.'s June 30, 2004, Form 10-Q, File No. 1-32198).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*10(g)</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Agreement (without</w:t>
            </w:r>
          </w:p>
        </w:tc>
        <w:tc>
          <w:tcPr>
            <w:tcW w:w="80" w:type="dxa"/>
            <w:vAlign w:val="bottom"/>
          </w:tcPr>
          <w:p>
            <w:pPr>
              <w:spacing w:after="0"/>
              <w:rPr>
                <w:sz w:val="24"/>
                <w:szCs w:val="24"/>
                <w:color w:val="auto"/>
              </w:rPr>
            </w:pPr>
          </w:p>
        </w:tc>
        <w:tc>
          <w:tcPr>
            <w:tcW w:w="3800" w:type="dxa"/>
            <w:vAlign w:val="bottom"/>
            <w:gridSpan w:val="15"/>
          </w:tcPr>
          <w:p>
            <w:pPr>
              <w:jc w:val="right"/>
              <w:spacing w:after="0"/>
              <w:rPr>
                <w:sz w:val="20"/>
                <w:szCs w:val="20"/>
                <w:color w:val="auto"/>
              </w:rPr>
            </w:pPr>
            <w:r>
              <w:rPr>
                <w:rFonts w:ascii="Courier New" w:cs="Courier New" w:eastAsia="Courier New" w:hAnsi="Courier New"/>
                <w:sz w:val="14"/>
                <w:szCs w:val="14"/>
                <w:color w:val="auto"/>
              </w:rPr>
              <w:t>Exhibit)  dated  December  16, 2005,  among</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gridSpan w:val="21"/>
          </w:tcPr>
          <w:p>
            <w:pPr>
              <w:ind w:left="180"/>
              <w:spacing w:after="0"/>
              <w:rPr>
                <w:sz w:val="20"/>
                <w:szCs w:val="20"/>
                <w:color w:val="auto"/>
              </w:rPr>
            </w:pPr>
            <w:r>
              <w:rPr>
                <w:rFonts w:ascii="Courier New" w:cs="Courier New" w:eastAsia="Courier New" w:hAnsi="Courier New"/>
                <w:sz w:val="14"/>
                <w:szCs w:val="14"/>
                <w:color w:val="auto"/>
              </w:rPr>
              <w:t>ALLETE,   Wisconsin   Public   Service   Corporation   and  WPS</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Investments,</w:t>
            </w:r>
          </w:p>
        </w:tc>
        <w:tc>
          <w:tcPr>
            <w:tcW w:w="4400" w:type="dxa"/>
            <w:vAlign w:val="bottom"/>
            <w:gridSpan w:val="18"/>
          </w:tcPr>
          <w:p>
            <w:pPr>
              <w:jc w:val="right"/>
              <w:spacing w:after="0"/>
              <w:rPr>
                <w:sz w:val="20"/>
                <w:szCs w:val="20"/>
                <w:color w:val="auto"/>
              </w:rPr>
            </w:pPr>
            <w:r>
              <w:rPr>
                <w:rFonts w:ascii="Courier New" w:cs="Courier New" w:eastAsia="Courier New" w:hAnsi="Courier New"/>
                <w:sz w:val="14"/>
                <w:szCs w:val="14"/>
                <w:color w:val="auto"/>
              </w:rPr>
              <w:t>LLC (filed as Exhibit 10 to the December 21, 2005</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Form 8-K, File No. 1-3548).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Minnesota</w:t>
            </w:r>
          </w:p>
        </w:tc>
        <w:tc>
          <w:tcPr>
            <w:tcW w:w="1640" w:type="dxa"/>
            <w:vAlign w:val="bottom"/>
            <w:gridSpan w:val="8"/>
          </w:tcPr>
          <w:p>
            <w:pPr>
              <w:spacing w:after="0"/>
              <w:rPr>
                <w:sz w:val="20"/>
                <w:szCs w:val="20"/>
                <w:color w:val="auto"/>
              </w:rPr>
            </w:pPr>
            <w:r>
              <w:rPr>
                <w:rFonts w:ascii="Courier New" w:cs="Courier New" w:eastAsia="Courier New" w:hAnsi="Courier New"/>
                <w:sz w:val="14"/>
                <w:szCs w:val="14"/>
                <w:color w:val="auto"/>
              </w:rPr>
              <w:t>Power (now ALLETE)</w:t>
            </w:r>
          </w:p>
        </w:tc>
        <w:tc>
          <w:tcPr>
            <w:tcW w:w="284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Executive Annual Incentive Plan,</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as amended,</w:t>
            </w:r>
          </w:p>
        </w:tc>
        <w:tc>
          <w:tcPr>
            <w:tcW w:w="80" w:type="dxa"/>
            <w:vAlign w:val="bottom"/>
          </w:tcPr>
          <w:p>
            <w:pPr>
              <w:spacing w:after="0"/>
              <w:rPr>
                <w:sz w:val="14"/>
                <w:szCs w:val="14"/>
                <w:color w:val="auto"/>
              </w:rPr>
            </w:pPr>
          </w:p>
        </w:tc>
        <w:tc>
          <w:tcPr>
            <w:tcW w:w="3720" w:type="dxa"/>
            <w:vAlign w:val="bottom"/>
            <w:gridSpan w:val="15"/>
          </w:tcPr>
          <w:p>
            <w:pPr>
              <w:ind w:left="100"/>
              <w:spacing w:after="0"/>
              <w:rPr>
                <w:sz w:val="20"/>
                <w:szCs w:val="20"/>
                <w:color w:val="auto"/>
              </w:rPr>
            </w:pPr>
            <w:r>
              <w:rPr>
                <w:rFonts w:ascii="Courier New" w:cs="Courier New" w:eastAsia="Courier New" w:hAnsi="Courier New"/>
                <w:sz w:val="14"/>
                <w:szCs w:val="14"/>
                <w:color w:val="auto"/>
              </w:rPr>
              <w:t>effective January 1, 1999 with amendments</w:t>
            </w: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through</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2940" w:type="dxa"/>
            <w:vAlign w:val="bottom"/>
            <w:gridSpan w:val="13"/>
          </w:tcPr>
          <w:p>
            <w:pPr>
              <w:ind w:left="80"/>
              <w:spacing w:after="0"/>
              <w:rPr>
                <w:sz w:val="20"/>
                <w:szCs w:val="20"/>
                <w:color w:val="auto"/>
              </w:rPr>
            </w:pPr>
            <w:r>
              <w:rPr>
                <w:rFonts w:ascii="Courier New" w:cs="Courier New" w:eastAsia="Courier New" w:hAnsi="Courier New"/>
                <w:sz w:val="14"/>
                <w:szCs w:val="14"/>
                <w:color w:val="auto"/>
              </w:rPr>
              <w:t>2003 (filed as Exhibit 10 to the</w:t>
            </w: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September</w:t>
            </w:r>
          </w:p>
        </w:tc>
        <w:tc>
          <w:tcPr>
            <w:tcW w:w="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30, 2003,</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Form 10-Q, File No.</w:t>
            </w:r>
          </w:p>
        </w:tc>
        <w:tc>
          <w:tcPr>
            <w:tcW w:w="9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1-3548).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November</w:t>
            </w:r>
          </w:p>
        </w:tc>
        <w:tc>
          <w:tcPr>
            <w:tcW w:w="2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2003</w:t>
            </w:r>
          </w:p>
        </w:tc>
        <w:tc>
          <w:tcPr>
            <w:tcW w:w="10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Amendment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to</w:t>
            </w: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the</w:t>
            </w:r>
          </w:p>
        </w:tc>
        <w:tc>
          <w:tcPr>
            <w:tcW w:w="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ALLETE</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Executive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Annual</w:t>
            </w:r>
          </w:p>
        </w:tc>
      </w:tr>
      <w:tr>
        <w:trPr>
          <w:trHeight w:val="166"/>
        </w:trPr>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Incentive</w:t>
            </w:r>
          </w:p>
        </w:tc>
        <w:tc>
          <w:tcPr>
            <w:tcW w:w="4480" w:type="dxa"/>
            <w:vAlign w:val="bottom"/>
            <w:gridSpan w:val="19"/>
          </w:tcPr>
          <w:p>
            <w:pPr>
              <w:spacing w:after="0"/>
              <w:rPr>
                <w:sz w:val="20"/>
                <w:szCs w:val="20"/>
                <w:color w:val="auto"/>
              </w:rPr>
            </w:pPr>
            <w:r>
              <w:rPr>
                <w:rFonts w:ascii="Courier New" w:cs="Courier New" w:eastAsia="Courier New" w:hAnsi="Courier New"/>
                <w:sz w:val="14"/>
                <w:szCs w:val="14"/>
                <w:color w:val="auto"/>
              </w:rPr>
              <w:t>Plan (filed as Exhibit 10(t)2 to the 2003 Form 10-K,</w:t>
            </w:r>
          </w:p>
        </w:tc>
      </w:tr>
    </w:tbl>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File No. 1-3548).</w:t>
      </w:r>
    </w:p>
    <w:p>
      <w:pPr>
        <w:sectPr>
          <w:pgSz w:w="11900" w:h="16877" w:orient="portrait"/>
          <w:cols w:equalWidth="0" w:num="1">
            <w:col w:w="10239"/>
          </w:cols>
          <w:pgMar w:left="220" w:top="616" w:right="1440"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+*10(h)3</w:t>
            </w:r>
          </w:p>
        </w:tc>
        <w:tc>
          <w:tcPr>
            <w:tcW w:w="2400" w:type="dxa"/>
            <w:vAlign w:val="bottom"/>
          </w:tcPr>
          <w:p>
            <w:pPr>
              <w:ind w:left="160"/>
              <w:spacing w:after="0"/>
              <w:rPr>
                <w:sz w:val="20"/>
                <w:szCs w:val="20"/>
                <w:color w:val="auto"/>
              </w:rPr>
            </w:pPr>
            <w:r>
              <w:rPr>
                <w:rFonts w:ascii="Courier New" w:cs="Courier New" w:eastAsia="Courier New" w:hAnsi="Courier New"/>
                <w:sz w:val="14"/>
                <w:szCs w:val="14"/>
                <w:color w:val="auto"/>
              </w:rPr>
              <w:t>-   July 2004  Amendment</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to the ALLETE</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Executive Annual Incentive</w:t>
            </w:r>
          </w:p>
        </w:tc>
      </w:tr>
      <w:tr>
        <w:trPr>
          <w:trHeight w:val="166"/>
        </w:trPr>
        <w:tc>
          <w:tcPr>
            <w:tcW w:w="960" w:type="dxa"/>
            <w:vAlign w:val="bottom"/>
          </w:tcPr>
          <w:p>
            <w:pPr>
              <w:spacing w:after="0"/>
              <w:rPr>
                <w:sz w:val="14"/>
                <w:szCs w:val="14"/>
                <w:color w:val="auto"/>
              </w:rPr>
            </w:pPr>
          </w:p>
        </w:tc>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Plan (filed as Exhibit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10(a) to the</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June 30, 2004,  Form 10-Q,</w:t>
            </w:r>
          </w:p>
        </w:tc>
      </w:tr>
      <w:tr>
        <w:trPr>
          <w:trHeight w:val="166"/>
        </w:trPr>
        <w:tc>
          <w:tcPr>
            <w:tcW w:w="960" w:type="dxa"/>
            <w:vAlign w:val="bottom"/>
          </w:tcPr>
          <w:p>
            <w:pPr>
              <w:spacing w:after="0"/>
              <w:rPr>
                <w:sz w:val="14"/>
                <w:szCs w:val="14"/>
                <w:color w:val="auto"/>
              </w:rPr>
            </w:pPr>
          </w:p>
        </w:tc>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File No. 1-3548).</w:t>
            </w:r>
          </w:p>
        </w:tc>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1"/>
        </w:trPr>
        <w:tc>
          <w:tcPr>
            <w:tcW w:w="9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55</w:t>
            </w: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ALLETE 2006 Form 10-K</w:t>
            </w:r>
          </w:p>
        </w:tc>
      </w:tr>
    </w:tbl>
    <w:p>
      <w:pPr>
        <w:sectPr>
          <w:pgSz w:w="11900" w:h="16838" w:orient="portrait"/>
          <w:cols w:equalWidth="0" w:num="1">
            <w:col w:w="10239"/>
          </w:cols>
          <w:pgMar w:left="220" w:top="307" w:right="1440" w:bottom="1440" w:gutter="0" w:footer="0" w:header="0"/>
        </w:sectPr>
      </w:pPr>
    </w:p>
    <w:bookmarkStart w:id="63" w:name="page64"/>
    <w:bookmarkEnd w:id="63"/>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EXHIBIT NUMBER</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January 2007 Amendment to the ALLETE Executive Annual Incentive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Plan.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Form</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ALLETE</w:t>
            </w:r>
          </w:p>
        </w:tc>
        <w:tc>
          <w:tcPr>
            <w:tcW w:w="13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Executive Annual</w:t>
            </w:r>
          </w:p>
        </w:tc>
        <w:tc>
          <w:tcPr>
            <w:tcW w:w="25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Incentive Plan 2006 Award -</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w w:val="99"/>
              </w:rPr>
              <w:t>President of</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ALLETE</w:t>
            </w:r>
          </w:p>
        </w:tc>
        <w:tc>
          <w:tcPr>
            <w:tcW w:w="36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Properties (filed as Exhibit 10(b) to the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00" w:type="dxa"/>
            <w:vAlign w:val="bottom"/>
            <w:gridSpan w:val="12"/>
          </w:tcPr>
          <w:p>
            <w:pPr>
              <w:ind w:left="140"/>
              <w:spacing w:after="0"/>
              <w:rPr>
                <w:sz w:val="20"/>
                <w:szCs w:val="20"/>
                <w:color w:val="auto"/>
              </w:rPr>
            </w:pPr>
            <w:r>
              <w:rPr>
                <w:rFonts w:ascii="Courier New" w:cs="Courier New" w:eastAsia="Courier New" w:hAnsi="Courier New"/>
                <w:sz w:val="14"/>
                <w:szCs w:val="14"/>
                <w:color w:val="auto"/>
              </w:rPr>
              <w:t>January 30, 2006, Form 8-K, File No. 1-3548).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Form of ALLETE  Executive</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Annual</w:t>
            </w:r>
          </w:p>
        </w:tc>
        <w:tc>
          <w:tcPr>
            <w:tcW w:w="10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Incentive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Plan</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Award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(filed as Exhibit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10</w:t>
            </w:r>
          </w:p>
        </w:tc>
        <w:tc>
          <w:tcPr>
            <w:tcW w:w="18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Courier New" w:cs="Courier New" w:eastAsia="Courier New" w:hAnsi="Courier New"/>
                <w:sz w:val="14"/>
                <w:szCs w:val="14"/>
                <w:color w:val="auto"/>
              </w:rPr>
              <w:t>to the February</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17,</w:t>
            </w: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2006,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Form</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8-K,</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File No. 1-3548).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+10(h)7</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Form of ALLETE Executive Annual Incentive Plan Awards Effective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2007.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ALLETE   and  Affiliated   Companies   Supplemental   Executive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60" w:type="dxa"/>
            <w:vAlign w:val="bottom"/>
            <w:gridSpan w:val="11"/>
          </w:tcPr>
          <w:p>
            <w:pPr>
              <w:ind w:left="140"/>
              <w:spacing w:after="0"/>
              <w:rPr>
                <w:sz w:val="20"/>
                <w:szCs w:val="20"/>
                <w:color w:val="auto"/>
              </w:rPr>
            </w:pPr>
            <w:r>
              <w:rPr>
                <w:rFonts w:ascii="Courier New" w:cs="Courier New" w:eastAsia="Courier New" w:hAnsi="Courier New"/>
                <w:sz w:val="14"/>
                <w:szCs w:val="14"/>
                <w:color w:val="auto"/>
              </w:rPr>
              <w:t>Retirement Plan, as amended and restated,</w:t>
            </w:r>
          </w:p>
        </w:tc>
        <w:tc>
          <w:tcPr>
            <w:tcW w:w="1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effective January 1,</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2004</w:t>
            </w:r>
          </w:p>
        </w:tc>
        <w:tc>
          <w:tcPr>
            <w:tcW w:w="1480" w:type="dxa"/>
            <w:vAlign w:val="bottom"/>
            <w:gridSpan w:val="5"/>
          </w:tcPr>
          <w:p>
            <w:pPr>
              <w:spacing w:after="0"/>
              <w:rPr>
                <w:sz w:val="20"/>
                <w:szCs w:val="20"/>
                <w:color w:val="auto"/>
              </w:rPr>
            </w:pPr>
            <w:r>
              <w:rPr>
                <w:rFonts w:ascii="Courier New" w:cs="Courier New" w:eastAsia="Courier New" w:hAnsi="Courier New"/>
                <w:sz w:val="14"/>
                <w:szCs w:val="14"/>
                <w:color w:val="auto"/>
              </w:rPr>
              <w:t>(filed as Exhibit</w:t>
            </w:r>
          </w:p>
        </w:tc>
        <w:tc>
          <w:tcPr>
            <w:tcW w:w="1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10(u) to the 2003</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Form 10-K,</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1-3548).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w w:val="99"/>
              </w:rPr>
              <w:t>January 2005</w:t>
            </w:r>
          </w:p>
        </w:tc>
        <w:tc>
          <w:tcPr>
            <w:tcW w:w="26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Amendment to the ALLETE and</w:t>
            </w:r>
          </w:p>
        </w:tc>
        <w:tc>
          <w:tcPr>
            <w:tcW w:w="1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Affiliated Companies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w w:val="99"/>
              </w:rPr>
              <w:t>Supplemental</w:t>
            </w:r>
          </w:p>
        </w:tc>
        <w:tc>
          <w:tcPr>
            <w:tcW w:w="44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Executive Retirement Plan (filed as Exhibit 10(b)</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0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to the March 31, 2005, Form 10-Q, File No. 1-3548).</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w w:val="95"/>
              </w:rPr>
              <w:t>August</w:t>
            </w:r>
          </w:p>
        </w:tc>
        <w:tc>
          <w:tcPr>
            <w:tcW w:w="5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2006</w:t>
            </w:r>
          </w:p>
        </w:tc>
        <w:tc>
          <w:tcPr>
            <w:tcW w:w="44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Amendments to the ALLETE and Affiliated Companies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w w:val="99"/>
              </w:rPr>
              <w:t>Supplemental</w:t>
            </w:r>
          </w:p>
        </w:tc>
        <w:tc>
          <w:tcPr>
            <w:tcW w:w="440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Executive Retirement Plan (filed as Exhibit 10(a)</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80" w:type="dxa"/>
            <w:vAlign w:val="bottom"/>
            <w:gridSpan w:val="15"/>
          </w:tcPr>
          <w:p>
            <w:pPr>
              <w:ind w:left="140"/>
              <w:spacing w:after="0"/>
              <w:rPr>
                <w:sz w:val="20"/>
                <w:szCs w:val="20"/>
                <w:color w:val="auto"/>
              </w:rPr>
            </w:pPr>
            <w:r>
              <w:rPr>
                <w:rFonts w:ascii="Courier New" w:cs="Courier New" w:eastAsia="Courier New" w:hAnsi="Courier New"/>
                <w:sz w:val="14"/>
                <w:szCs w:val="14"/>
                <w:color w:val="auto"/>
              </w:rPr>
              <w:t>to the September 30, 2006, Form 10-Q, File No. 1-3548).</w:t>
            </w: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December 2006 Amendments to the ALLETE and Affiliated Companies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gridSpan w:val="10"/>
          </w:tcPr>
          <w:p>
            <w:pPr>
              <w:ind w:left="140"/>
              <w:spacing w:after="0"/>
              <w:rPr>
                <w:sz w:val="20"/>
                <w:szCs w:val="20"/>
                <w:color w:val="auto"/>
              </w:rPr>
            </w:pPr>
            <w:r>
              <w:rPr>
                <w:rFonts w:ascii="Courier New" w:cs="Courier New" w:eastAsia="Courier New" w:hAnsi="Courier New"/>
                <w:sz w:val="14"/>
                <w:szCs w:val="14"/>
                <w:color w:val="auto"/>
              </w:rPr>
              <w:t>Supplemental Executive Retirement Plan.</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+*10(j)1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Minnesota Power and</w:t>
            </w: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w w:val="99"/>
              </w:rPr>
              <w:t>Affiliated</w:t>
            </w:r>
          </w:p>
        </w:tc>
        <w:tc>
          <w:tcPr>
            <w:tcW w:w="27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Companies Executive Investment</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Plan I, as amended</w:t>
            </w:r>
          </w:p>
        </w:tc>
        <w:tc>
          <w:tcPr>
            <w:tcW w:w="4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and</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restated,</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effective</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November 1, 1988</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w w:val="95"/>
              </w:rPr>
              <w:t>(filed</w:t>
            </w:r>
          </w:p>
        </w:tc>
        <w:tc>
          <w:tcPr>
            <w:tcW w:w="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Exhibit</w:t>
            </w:r>
          </w:p>
        </w:tc>
        <w:tc>
          <w:tcPr>
            <w:tcW w:w="440" w:type="dxa"/>
            <w:vAlign w:val="bottom"/>
            <w:gridSpan w:val="2"/>
          </w:tcPr>
          <w:p>
            <w:pPr>
              <w:spacing w:after="0"/>
              <w:rPr>
                <w:sz w:val="20"/>
                <w:szCs w:val="20"/>
                <w:color w:val="auto"/>
              </w:rPr>
            </w:pPr>
            <w:r>
              <w:rPr>
                <w:rFonts w:ascii="Courier New" w:cs="Courier New" w:eastAsia="Courier New" w:hAnsi="Courier New"/>
                <w:sz w:val="14"/>
                <w:szCs w:val="14"/>
                <w:color w:val="auto"/>
                <w:w w:val="99"/>
              </w:rPr>
              <w:t>10(c)</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the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1988</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Form</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10-K,</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1-3548).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+*10(j)2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Amendments</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through</w:t>
            </w: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December</w:t>
            </w:r>
          </w:p>
        </w:tc>
        <w:tc>
          <w:tcPr>
            <w:tcW w:w="27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2003  to the Minnesota Power and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Affiliated</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Companies</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Courier New" w:cs="Courier New" w:eastAsia="Courier New" w:hAnsi="Courier New"/>
                <w:sz w:val="14"/>
                <w:szCs w:val="14"/>
                <w:color w:val="auto"/>
              </w:rPr>
              <w:t>Executive</w:t>
            </w: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Investment</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Plan I (filed  as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80" w:type="dxa"/>
            <w:vAlign w:val="bottom"/>
            <w:gridSpan w:val="15"/>
          </w:tcPr>
          <w:p>
            <w:pPr>
              <w:ind w:left="140"/>
              <w:spacing w:after="0"/>
              <w:rPr>
                <w:sz w:val="20"/>
                <w:szCs w:val="20"/>
                <w:color w:val="auto"/>
              </w:rPr>
            </w:pPr>
            <w:r>
              <w:rPr>
                <w:rFonts w:ascii="Courier New" w:cs="Courier New" w:eastAsia="Courier New" w:hAnsi="Courier New"/>
                <w:sz w:val="14"/>
                <w:szCs w:val="14"/>
                <w:color w:val="auto"/>
              </w:rPr>
              <w:t>Exhibit 10(v)2 to the 2003 Form 10-K, File No. 1-3548).</w:t>
            </w: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+*10(j)3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July</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2004</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Amendment</w:t>
            </w:r>
          </w:p>
        </w:tc>
        <w:tc>
          <w:tcPr>
            <w:tcW w:w="36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to  the  Minnesota  Power  and Affiliated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7"/>
              </w:rPr>
              <w:t>Companies</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Executive</w:t>
            </w:r>
          </w:p>
        </w:tc>
        <w:tc>
          <w:tcPr>
            <w:tcW w:w="36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Investment Plan I (filed as Exhibit 10(b)</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40" w:type="dxa"/>
            <w:vAlign w:val="bottom"/>
            <w:gridSpan w:val="13"/>
          </w:tcPr>
          <w:p>
            <w:pPr>
              <w:ind w:left="140"/>
              <w:spacing w:after="0"/>
              <w:rPr>
                <w:sz w:val="20"/>
                <w:szCs w:val="20"/>
                <w:color w:val="auto"/>
              </w:rPr>
            </w:pPr>
            <w:r>
              <w:rPr>
                <w:rFonts w:ascii="Courier New" w:cs="Courier New" w:eastAsia="Courier New" w:hAnsi="Courier New"/>
                <w:sz w:val="14"/>
                <w:szCs w:val="14"/>
                <w:color w:val="auto"/>
              </w:rPr>
              <w:t>to the June 30, 2004, Form 10-Q, File No. 1-3548).</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+*10(j)4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August 2006</w:t>
            </w:r>
          </w:p>
        </w:tc>
        <w:tc>
          <w:tcPr>
            <w:tcW w:w="9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Amendment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to</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27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Minnesota Power and Affiliated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7"/>
              </w:rPr>
              <w:t>Companies</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Executive</w:t>
            </w:r>
          </w:p>
        </w:tc>
        <w:tc>
          <w:tcPr>
            <w:tcW w:w="36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Investment Plan I (filed as Exhibit 10(b)</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80" w:type="dxa"/>
            <w:vAlign w:val="bottom"/>
            <w:gridSpan w:val="15"/>
          </w:tcPr>
          <w:p>
            <w:pPr>
              <w:ind w:left="140"/>
              <w:spacing w:after="0"/>
              <w:rPr>
                <w:sz w:val="20"/>
                <w:szCs w:val="20"/>
                <w:color w:val="auto"/>
              </w:rPr>
            </w:pPr>
            <w:r>
              <w:rPr>
                <w:rFonts w:ascii="Courier New" w:cs="Courier New" w:eastAsia="Courier New" w:hAnsi="Courier New"/>
                <w:sz w:val="14"/>
                <w:szCs w:val="14"/>
                <w:color w:val="auto"/>
              </w:rPr>
              <w:t>to the September 30, 2006, Form 10-Q, File No. 1-3548).</w:t>
            </w: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+*10(k)1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7"/>
              </w:rPr>
              <w:t>Minnesota</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Power</w:t>
            </w:r>
          </w:p>
        </w:tc>
        <w:tc>
          <w:tcPr>
            <w:tcW w:w="388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and Affiliated Companies Executive Investment</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Plan II, as</w:t>
            </w:r>
          </w:p>
        </w:tc>
        <w:tc>
          <w:tcPr>
            <w:tcW w:w="960" w:type="dxa"/>
            <w:vAlign w:val="bottom"/>
            <w:gridSpan w:val="3"/>
          </w:tcPr>
          <w:p>
            <w:pPr>
              <w:spacing w:after="0"/>
              <w:rPr>
                <w:sz w:val="20"/>
                <w:szCs w:val="20"/>
                <w:color w:val="auto"/>
              </w:rPr>
            </w:pPr>
            <w:r>
              <w:rPr>
                <w:rFonts w:ascii="Courier New" w:cs="Courier New" w:eastAsia="Courier New" w:hAnsi="Courier New"/>
                <w:sz w:val="14"/>
                <w:szCs w:val="14"/>
                <w:color w:val="auto"/>
              </w:rPr>
              <w:t>amended and</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restated,</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effective</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November 1, 1988</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w w:val="95"/>
              </w:rPr>
              <w:t>(filed</w:t>
            </w:r>
          </w:p>
        </w:tc>
        <w:tc>
          <w:tcPr>
            <w:tcW w:w="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Exhibit</w:t>
            </w:r>
          </w:p>
        </w:tc>
        <w:tc>
          <w:tcPr>
            <w:tcW w:w="440" w:type="dxa"/>
            <w:vAlign w:val="bottom"/>
            <w:gridSpan w:val="2"/>
          </w:tcPr>
          <w:p>
            <w:pPr>
              <w:spacing w:after="0"/>
              <w:rPr>
                <w:sz w:val="20"/>
                <w:szCs w:val="20"/>
                <w:color w:val="auto"/>
              </w:rPr>
            </w:pPr>
            <w:r>
              <w:rPr>
                <w:rFonts w:ascii="Courier New" w:cs="Courier New" w:eastAsia="Courier New" w:hAnsi="Courier New"/>
                <w:sz w:val="14"/>
                <w:szCs w:val="14"/>
                <w:color w:val="auto"/>
                <w:w w:val="99"/>
              </w:rPr>
              <w:t>10(d)</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the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1988</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Form</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10-K,</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1-3548).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+*10(k)2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Amendments</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through</w:t>
            </w: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December</w:t>
            </w:r>
          </w:p>
        </w:tc>
        <w:tc>
          <w:tcPr>
            <w:tcW w:w="27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2003  to the Minnesota Power and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Affiliated</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Companies</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Courier New" w:cs="Courier New" w:eastAsia="Courier New" w:hAnsi="Courier New"/>
                <w:sz w:val="14"/>
                <w:szCs w:val="14"/>
                <w:color w:val="auto"/>
              </w:rPr>
              <w:t>Executive</w:t>
            </w: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Investment</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Plan II (filed as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Exhibit 10(w)2 to the 2003</w:t>
            </w:r>
          </w:p>
        </w:tc>
        <w:tc>
          <w:tcPr>
            <w:tcW w:w="1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Form 10-K, File</w:t>
            </w:r>
          </w:p>
        </w:tc>
        <w:tc>
          <w:tcPr>
            <w:tcW w:w="1320" w:type="dxa"/>
            <w:vAlign w:val="bottom"/>
            <w:gridSpan w:val="4"/>
          </w:tcPr>
          <w:p>
            <w:pPr>
              <w:jc w:val="right"/>
              <w:ind w:right="128"/>
              <w:spacing w:after="0"/>
              <w:rPr>
                <w:sz w:val="20"/>
                <w:szCs w:val="20"/>
                <w:color w:val="auto"/>
              </w:rPr>
            </w:pPr>
            <w:r>
              <w:rPr>
                <w:rFonts w:ascii="Courier New" w:cs="Courier New" w:eastAsia="Courier New" w:hAnsi="Courier New"/>
                <w:sz w:val="14"/>
                <w:szCs w:val="14"/>
                <w:color w:val="auto"/>
              </w:rPr>
              <w:t>No. 1-3548).</w:t>
            </w: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+*10(k)3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July</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rPr>
              <w:t>2004</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Amendment</w:t>
            </w:r>
          </w:p>
        </w:tc>
        <w:tc>
          <w:tcPr>
            <w:tcW w:w="1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w:t>
            </w:r>
          </w:p>
        </w:tc>
        <w:tc>
          <w:tcPr>
            <w:tcW w:w="9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Minnesota</w:t>
            </w:r>
          </w:p>
        </w:tc>
        <w:tc>
          <w:tcPr>
            <w:tcW w:w="1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Power and Affiliated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Companies Executive</w:t>
            </w:r>
          </w:p>
        </w:tc>
        <w:tc>
          <w:tcPr>
            <w:tcW w:w="36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Investment Plan II (filed as Exhibit 10(c)</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40" w:type="dxa"/>
            <w:vAlign w:val="bottom"/>
            <w:gridSpan w:val="13"/>
          </w:tcPr>
          <w:p>
            <w:pPr>
              <w:ind w:left="140"/>
              <w:spacing w:after="0"/>
              <w:rPr>
                <w:sz w:val="20"/>
                <w:szCs w:val="20"/>
                <w:color w:val="auto"/>
              </w:rPr>
            </w:pPr>
            <w:r>
              <w:rPr>
                <w:rFonts w:ascii="Courier New" w:cs="Courier New" w:eastAsia="Courier New" w:hAnsi="Courier New"/>
                <w:sz w:val="14"/>
                <w:szCs w:val="14"/>
                <w:color w:val="auto"/>
              </w:rPr>
              <w:t>to the June 30, 2004, Form 10-Q, File No. 1-3548).</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+*10(k)4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580" w:type="dxa"/>
            <w:vAlign w:val="bottom"/>
            <w:gridSpan w:val="10"/>
          </w:tcPr>
          <w:p>
            <w:pPr>
              <w:ind w:left="140"/>
              <w:spacing w:after="0"/>
              <w:rPr>
                <w:sz w:val="20"/>
                <w:szCs w:val="20"/>
                <w:color w:val="auto"/>
              </w:rPr>
            </w:pPr>
            <w:r>
              <w:rPr>
                <w:rFonts w:ascii="Courier New" w:cs="Courier New" w:eastAsia="Courier New" w:hAnsi="Courier New"/>
                <w:sz w:val="14"/>
                <w:szCs w:val="14"/>
                <w:color w:val="auto"/>
              </w:rPr>
              <w:t>August 2006 Amendment to the  Minnesota</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Power</w:t>
            </w: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and</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Affiliated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Companies Executive</w:t>
            </w:r>
          </w:p>
        </w:tc>
        <w:tc>
          <w:tcPr>
            <w:tcW w:w="36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Investment Plan II (filed as Exhibit 10(c)</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80" w:type="dxa"/>
            <w:vAlign w:val="bottom"/>
            <w:gridSpan w:val="15"/>
          </w:tcPr>
          <w:p>
            <w:pPr>
              <w:ind w:left="140"/>
              <w:spacing w:after="0"/>
              <w:rPr>
                <w:sz w:val="20"/>
                <w:szCs w:val="20"/>
                <w:color w:val="auto"/>
              </w:rPr>
            </w:pPr>
            <w:r>
              <w:rPr>
                <w:rFonts w:ascii="Courier New" w:cs="Courier New" w:eastAsia="Courier New" w:hAnsi="Courier New"/>
                <w:sz w:val="14"/>
                <w:szCs w:val="14"/>
                <w:color w:val="auto"/>
              </w:rPr>
              <w:t>to the September 30, 2006, Form 10-Q, File No. 1-3548).</w:t>
            </w: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+*10(l)</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Deferred Compensation Trust Agreement, as amended and restated,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7"/>
              </w:rPr>
              <w:t>effective</w:t>
            </w:r>
          </w:p>
        </w:tc>
        <w:tc>
          <w:tcPr>
            <w:tcW w:w="320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January 1, 1989 (filed as Exhibit</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10(f) to the 1988</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Form 10-K, File No. 1-3548).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ALLETE  Executive  Long-Term  Incentive  Compensation  Plan  as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amended  and  restated  effective  January  1,  2006  (filed as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40" w:type="dxa"/>
            <w:vAlign w:val="bottom"/>
            <w:gridSpan w:val="13"/>
          </w:tcPr>
          <w:p>
            <w:pPr>
              <w:ind w:left="140"/>
              <w:spacing w:after="0"/>
              <w:rPr>
                <w:sz w:val="20"/>
                <w:szCs w:val="20"/>
                <w:color w:val="auto"/>
              </w:rPr>
            </w:pPr>
            <w:r>
              <w:rPr>
                <w:rFonts w:ascii="Courier New" w:cs="Courier New" w:eastAsia="Courier New" w:hAnsi="Courier New"/>
                <w:sz w:val="14"/>
                <w:szCs w:val="14"/>
                <w:color w:val="auto"/>
              </w:rPr>
              <w:t>Exhibit 10 to the May 16, 2005, Form 8-K, File No.</w:t>
            </w:r>
          </w:p>
        </w:tc>
        <w:tc>
          <w:tcPr>
            <w:tcW w:w="11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1-3548).</w:t>
            </w: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580" w:type="dxa"/>
            <w:vAlign w:val="bottom"/>
            <w:gridSpan w:val="10"/>
          </w:tcPr>
          <w:p>
            <w:pPr>
              <w:ind w:left="140"/>
              <w:spacing w:after="0"/>
              <w:rPr>
                <w:sz w:val="20"/>
                <w:szCs w:val="20"/>
                <w:color w:val="auto"/>
              </w:rPr>
            </w:pPr>
            <w:r>
              <w:rPr>
                <w:rFonts w:ascii="Courier New" w:cs="Courier New" w:eastAsia="Courier New" w:hAnsi="Courier New"/>
                <w:sz w:val="14"/>
                <w:szCs w:val="14"/>
                <w:color w:val="auto"/>
              </w:rPr>
              <w:t>Form  of  ALLETE  Executive  Long-Term</w:t>
            </w: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Incentive</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7"/>
              </w:rPr>
              <w:t>Plan 2006</w:t>
            </w:r>
          </w:p>
        </w:tc>
        <w:tc>
          <w:tcPr>
            <w:tcW w:w="1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Nonqualified</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Option</w:t>
            </w:r>
          </w:p>
        </w:tc>
        <w:tc>
          <w:tcPr>
            <w:tcW w:w="1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Grant (filed as Exhibit</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gridSpan w:val="16"/>
          </w:tcPr>
          <w:p>
            <w:pPr>
              <w:ind w:left="140"/>
              <w:spacing w:after="0"/>
              <w:rPr>
                <w:sz w:val="20"/>
                <w:szCs w:val="20"/>
                <w:color w:val="auto"/>
              </w:rPr>
            </w:pPr>
            <w:r>
              <w:rPr>
                <w:rFonts w:ascii="Courier New" w:cs="Courier New" w:eastAsia="Courier New" w:hAnsi="Courier New"/>
                <w:sz w:val="14"/>
                <w:szCs w:val="14"/>
                <w:color w:val="auto"/>
              </w:rPr>
              <w:t>10(a)1 to the January 30, 2006, Form 8-K, File No. 1-3548).</w:t>
            </w: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100" w:type="dxa"/>
            <w:vAlign w:val="bottom"/>
            <w:gridSpan w:val="12"/>
          </w:tcPr>
          <w:p>
            <w:pPr>
              <w:ind w:left="140"/>
              <w:spacing w:after="0"/>
              <w:rPr>
                <w:sz w:val="20"/>
                <w:szCs w:val="20"/>
                <w:color w:val="auto"/>
              </w:rPr>
            </w:pPr>
            <w:r>
              <w:rPr>
                <w:rFonts w:ascii="Courier New" w:cs="Courier New" w:eastAsia="Courier New" w:hAnsi="Courier New"/>
                <w:sz w:val="14"/>
                <w:szCs w:val="14"/>
                <w:color w:val="auto"/>
              </w:rPr>
              <w:t>Form of ALLETE Executive Long-Term Incentive</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Compensation Plan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2006</w:t>
            </w:r>
          </w:p>
        </w:tc>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Performance</w:t>
            </w:r>
          </w:p>
        </w:tc>
        <w:tc>
          <w:tcPr>
            <w:tcW w:w="2760" w:type="dxa"/>
            <w:vAlign w:val="bottom"/>
            <w:gridSpan w:val="9"/>
          </w:tcPr>
          <w:p>
            <w:pPr>
              <w:ind w:left="80"/>
              <w:spacing w:after="0"/>
              <w:rPr>
                <w:sz w:val="20"/>
                <w:szCs w:val="20"/>
                <w:color w:val="auto"/>
              </w:rPr>
            </w:pPr>
            <w:r>
              <w:rPr>
                <w:rFonts w:ascii="Courier New" w:cs="Courier New" w:eastAsia="Courier New" w:hAnsi="Courier New"/>
                <w:sz w:val="14"/>
                <w:szCs w:val="14"/>
                <w:color w:val="auto"/>
              </w:rPr>
              <w:t>Share Grant (filed as Exhibit</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10(a)2 to the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00" w:type="dxa"/>
            <w:vAlign w:val="bottom"/>
            <w:gridSpan w:val="12"/>
          </w:tcPr>
          <w:p>
            <w:pPr>
              <w:ind w:left="140"/>
              <w:spacing w:after="0"/>
              <w:rPr>
                <w:sz w:val="20"/>
                <w:szCs w:val="20"/>
                <w:color w:val="auto"/>
              </w:rPr>
            </w:pPr>
            <w:r>
              <w:rPr>
                <w:rFonts w:ascii="Courier New" w:cs="Courier New" w:eastAsia="Courier New" w:hAnsi="Courier New"/>
                <w:sz w:val="14"/>
                <w:szCs w:val="14"/>
                <w:color w:val="auto"/>
              </w:rPr>
              <w:t>January 30, 2006, Form 8-K, File No. 1-3548).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Form of ALLETE Executive</w:t>
            </w:r>
          </w:p>
        </w:tc>
        <w:tc>
          <w:tcPr>
            <w:tcW w:w="31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Long-Term Incentive Compensation Plan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2006  Long-Term  Cash</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Courier New" w:cs="Courier New" w:eastAsia="Courier New" w:hAnsi="Courier New"/>
                <w:sz w:val="14"/>
                <w:szCs w:val="14"/>
                <w:color w:val="auto"/>
              </w:rPr>
              <w:t>Incentive</w:t>
            </w:r>
          </w:p>
        </w:tc>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Award -</w:t>
            </w:r>
          </w:p>
        </w:tc>
        <w:tc>
          <w:tcPr>
            <w:tcW w:w="9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President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ALLETE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Properties</w:t>
            </w:r>
          </w:p>
        </w:tc>
        <w:tc>
          <w:tcPr>
            <w:tcW w:w="1640" w:type="dxa"/>
            <w:vAlign w:val="bottom"/>
            <w:gridSpan w:val="5"/>
          </w:tcPr>
          <w:p>
            <w:pPr>
              <w:spacing w:after="0"/>
              <w:rPr>
                <w:sz w:val="20"/>
                <w:szCs w:val="20"/>
                <w:color w:val="auto"/>
              </w:rPr>
            </w:pPr>
            <w:r>
              <w:rPr>
                <w:rFonts w:ascii="Courier New" w:cs="Courier New" w:eastAsia="Courier New" w:hAnsi="Courier New"/>
                <w:sz w:val="14"/>
                <w:szCs w:val="14"/>
                <w:color w:val="auto"/>
              </w:rPr>
              <w:t>(filed as Exhibit</w:t>
            </w:r>
          </w:p>
        </w:tc>
        <w:tc>
          <w:tcPr>
            <w:tcW w:w="2280" w:type="dxa"/>
            <w:vAlign w:val="bottom"/>
            <w:gridSpan w:val="7"/>
          </w:tcPr>
          <w:p>
            <w:pPr>
              <w:spacing w:after="0"/>
              <w:rPr>
                <w:sz w:val="20"/>
                <w:szCs w:val="20"/>
                <w:color w:val="auto"/>
              </w:rPr>
            </w:pPr>
            <w:r>
              <w:rPr>
                <w:rFonts w:ascii="Courier New" w:cs="Courier New" w:eastAsia="Courier New" w:hAnsi="Courier New"/>
                <w:sz w:val="14"/>
                <w:szCs w:val="14"/>
                <w:color w:val="auto"/>
              </w:rPr>
              <w:t>10(a)3 to the January 30,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Form 8-K, File No. 1-3548).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100" w:type="dxa"/>
            <w:vAlign w:val="bottom"/>
            <w:gridSpan w:val="12"/>
          </w:tcPr>
          <w:p>
            <w:pPr>
              <w:ind w:left="140"/>
              <w:spacing w:after="0"/>
              <w:rPr>
                <w:sz w:val="20"/>
                <w:szCs w:val="20"/>
                <w:color w:val="auto"/>
              </w:rPr>
            </w:pPr>
            <w:r>
              <w:rPr>
                <w:rFonts w:ascii="Courier New" w:cs="Courier New" w:eastAsia="Courier New" w:hAnsi="Courier New"/>
                <w:sz w:val="14"/>
                <w:szCs w:val="14"/>
                <w:color w:val="auto"/>
              </w:rPr>
              <w:t>Form of ALLETE Executive Long-Term Incentive</w:t>
            </w: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Compensation Plan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2006 Stock Grant -</w:t>
            </w:r>
          </w:p>
        </w:tc>
        <w:tc>
          <w:tcPr>
            <w:tcW w:w="112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President</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of ALLETE</w:t>
            </w:r>
          </w:p>
        </w:tc>
        <w:tc>
          <w:tcPr>
            <w:tcW w:w="180" w:type="dxa"/>
            <w:vAlign w:val="bottom"/>
          </w:tcPr>
          <w:p>
            <w:pPr>
              <w:spacing w:after="0"/>
              <w:rPr>
                <w:sz w:val="14"/>
                <w:szCs w:val="14"/>
                <w:color w:val="auto"/>
              </w:rPr>
            </w:pPr>
          </w:p>
        </w:tc>
        <w:tc>
          <w:tcPr>
            <w:tcW w:w="9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w w:val="99"/>
              </w:rPr>
              <w:t>Properties</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(filed as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Exhibit</w:t>
            </w:r>
          </w:p>
        </w:tc>
        <w:tc>
          <w:tcPr>
            <w:tcW w:w="19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10(a)4 to the January</w:t>
            </w: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30,  2006,</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Form 8-K,</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1-3548).</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w:t>
            </w:r>
          </w:p>
        </w:tc>
        <w:tc>
          <w:tcPr>
            <w:tcW w:w="466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ALLETE Executive Long-Term Incentive Compensation Plan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40" w:type="dxa"/>
            <w:vAlign w:val="bottom"/>
            <w:gridSpan w:val="13"/>
          </w:tcPr>
          <w:p>
            <w:pPr>
              <w:ind w:left="140"/>
              <w:spacing w:after="0"/>
              <w:rPr>
                <w:sz w:val="20"/>
                <w:szCs w:val="20"/>
                <w:color w:val="auto"/>
              </w:rPr>
            </w:pPr>
            <w:r>
              <w:rPr>
                <w:rFonts w:ascii="Courier New" w:cs="Courier New" w:eastAsia="Courier New" w:hAnsi="Courier New"/>
                <w:sz w:val="14"/>
                <w:szCs w:val="14"/>
                <w:color w:val="auto"/>
              </w:rPr>
              <w:t>Nonqualified Stock Option Grant Effective 2007.</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+10(m)7</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15"/>
          </w:tcPr>
          <w:p>
            <w:pPr>
              <w:ind w:left="140"/>
              <w:spacing w:after="0"/>
              <w:rPr>
                <w:sz w:val="20"/>
                <w:szCs w:val="20"/>
                <w:color w:val="auto"/>
              </w:rPr>
            </w:pPr>
            <w:r>
              <w:rPr>
                <w:rFonts w:ascii="Courier New" w:cs="Courier New" w:eastAsia="Courier New" w:hAnsi="Courier New"/>
                <w:sz w:val="14"/>
                <w:szCs w:val="14"/>
                <w:color w:val="auto"/>
              </w:rPr>
              <w:t>Form of ALLETE Executive Long-Term Incentive Compensation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gridSpan w:val="10"/>
          </w:tcPr>
          <w:p>
            <w:pPr>
              <w:ind w:left="140"/>
              <w:spacing w:after="0"/>
              <w:rPr>
                <w:sz w:val="20"/>
                <w:szCs w:val="20"/>
                <w:color w:val="auto"/>
              </w:rPr>
            </w:pPr>
            <w:r>
              <w:rPr>
                <w:rFonts w:ascii="Courier New" w:cs="Courier New" w:eastAsia="Courier New" w:hAnsi="Courier New"/>
                <w:sz w:val="14"/>
                <w:szCs w:val="14"/>
                <w:color w:val="auto"/>
              </w:rPr>
              <w:t>Performance Share Grant Effective 2007.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80" w:orient="portrait"/>
          <w:cols w:equalWidth="0" w:num="1">
            <w:col w:w="10239"/>
          </w:cols>
          <w:pgMar w:left="220" w:top="616" w:right="1440"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+10(m)8</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 ALLETE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Long-Term Incentive Compensation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Long-Term Cash</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Incentive</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Award Effective 2007.</w:t>
            </w: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+10(m)9</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 ALLETE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Executive</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Long-Term Incentive Compensation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Stock Grant Effective 2007.</w:t>
            </w: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+*10(n)1</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Minnesota</w:t>
            </w:r>
          </w:p>
        </w:tc>
        <w:tc>
          <w:tcPr>
            <w:tcW w:w="16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Power (now ALLETE)</w:t>
            </w: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Director Stock  Plan,  effective</w:t>
            </w:r>
          </w:p>
        </w:tc>
      </w:tr>
      <w:tr>
        <w:trPr>
          <w:trHeight w:val="166"/>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80" w:type="dxa"/>
            <w:vAlign w:val="bottom"/>
            <w:gridSpan w:val="7"/>
          </w:tcPr>
          <w:p>
            <w:pPr>
              <w:ind w:left="60"/>
              <w:spacing w:after="0"/>
              <w:rPr>
                <w:sz w:val="20"/>
                <w:szCs w:val="20"/>
                <w:color w:val="auto"/>
              </w:rPr>
            </w:pPr>
            <w:r>
              <w:rPr>
                <w:rFonts w:ascii="Courier New" w:cs="Courier New" w:eastAsia="Courier New" w:hAnsi="Courier New"/>
                <w:sz w:val="14"/>
                <w:szCs w:val="14"/>
                <w:color w:val="auto"/>
              </w:rPr>
              <w:t>January 1, 1995 (filed as Exhibit 10 to the March 31, 1995 Form</w:t>
            </w:r>
          </w:p>
        </w:tc>
      </w:tr>
      <w:tr>
        <w:trPr>
          <w:trHeight w:val="166"/>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10-Q, File No.</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1-3548).</w:t>
            </w:r>
          </w:p>
        </w:tc>
        <w:tc>
          <w:tcPr>
            <w:tcW w:w="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+*10(n)2</w:t>
            </w:r>
          </w:p>
        </w:tc>
        <w:tc>
          <w:tcPr>
            <w:tcW w:w="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Amendments</w:t>
            </w:r>
          </w:p>
        </w:tc>
        <w:tc>
          <w:tcPr>
            <w:tcW w:w="72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8"/>
              </w:rPr>
              <w:t>through</w:t>
            </w:r>
          </w:p>
        </w:tc>
        <w:tc>
          <w:tcPr>
            <w:tcW w:w="3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December 2003 to the  Minnesota Power (now</w:t>
            </w:r>
          </w:p>
        </w:tc>
      </w:tr>
      <w:tr>
        <w:trPr>
          <w:trHeight w:val="166"/>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ALLETE)  Director</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Plan</w:t>
            </w: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(filed as Exhibit  10(z)2 to the</w:t>
            </w:r>
          </w:p>
        </w:tc>
      </w:tr>
      <w:tr>
        <w:trPr>
          <w:trHeight w:val="166"/>
        </w:trPr>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2003 Form 10-K, File No.</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1-3548).</w:t>
            </w:r>
          </w:p>
        </w:tc>
        <w:tc>
          <w:tcPr>
            <w:tcW w:w="440" w:type="dxa"/>
            <w:vAlign w:val="bottom"/>
          </w:tcPr>
          <w:p>
            <w:pPr>
              <w:spacing w:after="0"/>
              <w:rPr>
                <w:sz w:val="14"/>
                <w:szCs w:val="14"/>
                <w:color w:val="auto"/>
              </w:rPr>
            </w:pPr>
          </w:p>
        </w:tc>
      </w:tr>
      <w:tr>
        <w:trPr>
          <w:trHeight w:val="331"/>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ALLETE 2006 Form</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10-K</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bl>
    <w:p>
      <w:pPr>
        <w:sectPr>
          <w:pgSz w:w="11900" w:h="16838" w:orient="portrait"/>
          <w:cols w:equalWidth="0" w:num="1">
            <w:col w:w="10239"/>
          </w:cols>
          <w:pgMar w:left="220" w:top="307"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EXHIBIT NUMBER</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+*10(n)3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July 2004 Amendment  to</w:t>
            </w:r>
          </w:p>
        </w:tc>
        <w:tc>
          <w:tcPr>
            <w:tcW w:w="1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w w:val="99"/>
              </w:rPr>
              <w:t>the ALLETE</w:t>
            </w:r>
          </w:p>
        </w:tc>
        <w:tc>
          <w:tcPr>
            <w:tcW w:w="2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Director Stock Plan (filed</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8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as Exhibit  10(e) to the June 30,</w:t>
            </w:r>
          </w:p>
        </w:tc>
        <w:tc>
          <w:tcPr>
            <w:tcW w:w="1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2004,</w:t>
            </w: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620" w:type="dxa"/>
            <w:vAlign w:val="bottom"/>
            <w:gridSpan w:val="2"/>
          </w:tcPr>
          <w:p>
            <w:pPr>
              <w:spacing w:after="0"/>
              <w:rPr>
                <w:sz w:val="20"/>
                <w:szCs w:val="20"/>
                <w:color w:val="auto"/>
              </w:rPr>
            </w:pPr>
            <w:r>
              <w:rPr>
                <w:rFonts w:ascii="Courier New" w:cs="Courier New" w:eastAsia="Courier New" w:hAnsi="Courier New"/>
                <w:sz w:val="14"/>
                <w:szCs w:val="14"/>
                <w:color w:val="auto"/>
              </w:rPr>
              <w:t>10-Q,</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File No.</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1-3548).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+10(n)4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620" w:type="dxa"/>
            <w:vAlign w:val="bottom"/>
            <w:gridSpan w:val="11"/>
          </w:tcPr>
          <w:p>
            <w:pPr>
              <w:ind w:left="140"/>
              <w:spacing w:after="0"/>
              <w:rPr>
                <w:sz w:val="20"/>
                <w:szCs w:val="20"/>
                <w:color w:val="auto"/>
              </w:rPr>
            </w:pPr>
            <w:r>
              <w:rPr>
                <w:rFonts w:ascii="Courier New" w:cs="Courier New" w:eastAsia="Courier New" w:hAnsi="Courier New"/>
                <w:sz w:val="14"/>
                <w:szCs w:val="14"/>
                <w:color w:val="auto"/>
              </w:rPr>
              <w:t>January 2007 Amendment to the ALLETE Director Stock</w:t>
            </w:r>
          </w:p>
        </w:tc>
        <w:tc>
          <w:tcPr>
            <w:tcW w:w="5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4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+*10(n)5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ALLETE</w:t>
            </w:r>
          </w:p>
        </w:tc>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Director</w:t>
            </w:r>
          </w:p>
        </w:tc>
        <w:tc>
          <w:tcPr>
            <w:tcW w:w="12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Compensation</w:t>
            </w:r>
          </w:p>
        </w:tc>
        <w:tc>
          <w:tcPr>
            <w:tcW w:w="8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Summary</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Effective</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May 1, 2005</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(filed as Exhibit 10 to</w:t>
            </w:r>
          </w:p>
        </w:tc>
        <w:tc>
          <w:tcPr>
            <w:tcW w:w="160" w:type="dxa"/>
            <w:vAlign w:val="bottom"/>
          </w:tcPr>
          <w:p>
            <w:pPr>
              <w:spacing w:after="0"/>
              <w:rPr>
                <w:sz w:val="14"/>
                <w:szCs w:val="14"/>
                <w:color w:val="auto"/>
              </w:rPr>
            </w:pPr>
          </w:p>
        </w:tc>
        <w:tc>
          <w:tcPr>
            <w:tcW w:w="32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the June 30, 2005, Form 10-Q, File No.</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1-3548).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+10(n)6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ALLETE Non-Management</w:t>
            </w:r>
          </w:p>
        </w:tc>
        <w:tc>
          <w:tcPr>
            <w:tcW w:w="8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8"/>
              </w:rPr>
              <w:t>Director</w:t>
            </w:r>
          </w:p>
        </w:tc>
        <w:tc>
          <w:tcPr>
            <w:tcW w:w="25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Compensation Summary Effective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February 15, 2007.</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+*10(o)1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Minnesota Power (now ALLETE)</w:t>
            </w:r>
          </w:p>
        </w:tc>
        <w:tc>
          <w:tcPr>
            <w:tcW w:w="8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8"/>
              </w:rPr>
              <w:t>Director</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Compensation</w:t>
            </w:r>
          </w:p>
        </w:tc>
        <w:tc>
          <w:tcPr>
            <w:tcW w:w="2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Deferral</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Plan Amended and Restated,  effective January 1, 1990 (filed as</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Exhibit 10(ac)</w:t>
            </w:r>
          </w:p>
        </w:tc>
        <w:tc>
          <w:tcPr>
            <w:tcW w:w="3540" w:type="dxa"/>
            <w:vAlign w:val="bottom"/>
            <w:gridSpan w:val="10"/>
          </w:tcPr>
          <w:p>
            <w:pPr>
              <w:ind w:left="80"/>
              <w:spacing w:after="0"/>
              <w:rPr>
                <w:sz w:val="20"/>
                <w:szCs w:val="20"/>
                <w:color w:val="auto"/>
              </w:rPr>
            </w:pPr>
            <w:r>
              <w:rPr>
                <w:rFonts w:ascii="Courier New" w:cs="Courier New" w:eastAsia="Courier New" w:hAnsi="Courier New"/>
                <w:sz w:val="14"/>
                <w:szCs w:val="14"/>
                <w:color w:val="auto"/>
              </w:rPr>
              <w:t>to the 2002 Form 10-K, File No. 1-3548).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+*10(o)2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October</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Amendment</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to</w:t>
            </w:r>
          </w:p>
        </w:tc>
        <w:tc>
          <w:tcPr>
            <w:tcW w:w="2160" w:type="dxa"/>
            <w:vAlign w:val="bottom"/>
            <w:gridSpan w:val="6"/>
          </w:tcPr>
          <w:p>
            <w:pPr>
              <w:jc w:val="center"/>
              <w:ind w:right="28"/>
              <w:spacing w:after="0"/>
              <w:rPr>
                <w:sz w:val="20"/>
                <w:szCs w:val="20"/>
                <w:color w:val="auto"/>
              </w:rPr>
            </w:pPr>
            <w:r>
              <w:rPr>
                <w:rFonts w:ascii="Courier New" w:cs="Courier New" w:eastAsia="Courier New" w:hAnsi="Courier New"/>
                <w:sz w:val="14"/>
                <w:szCs w:val="14"/>
                <w:color w:val="auto"/>
              </w:rPr>
              <w:t>the Minnesota Power (now</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ALLETE)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Director</w:t>
            </w:r>
          </w:p>
        </w:tc>
        <w:tc>
          <w:tcPr>
            <w:tcW w:w="1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Compensation</w:t>
            </w:r>
          </w:p>
        </w:tc>
        <w:tc>
          <w:tcPr>
            <w:tcW w:w="34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Deferral Plan (filed as Exhibit 10(aa)2</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to the 2003 Form 10-K, File No. 1-3548).</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+*10(o)3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January 2005</w:t>
            </w: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Amendment</w:t>
            </w:r>
          </w:p>
        </w:tc>
        <w:tc>
          <w:tcPr>
            <w:tcW w:w="160" w:type="dxa"/>
            <w:vAlign w:val="bottom"/>
          </w:tcPr>
          <w:p>
            <w:pPr>
              <w:spacing w:after="0"/>
              <w:rPr>
                <w:sz w:val="24"/>
                <w:szCs w:val="24"/>
                <w:color w:val="auto"/>
              </w:rPr>
            </w:pPr>
          </w:p>
        </w:tc>
        <w:tc>
          <w:tcPr>
            <w:tcW w:w="13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to the ALLETE</w:t>
            </w: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Director</w:t>
            </w:r>
          </w:p>
        </w:tc>
        <w:tc>
          <w:tcPr>
            <w:tcW w:w="13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Deferral</w:t>
            </w:r>
          </w:p>
        </w:tc>
        <w:tc>
          <w:tcPr>
            <w:tcW w:w="216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Plan (filed as Exhibit</w:t>
            </w:r>
          </w:p>
        </w:tc>
        <w:tc>
          <w:tcPr>
            <w:tcW w:w="21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10(c) to the March 31,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2005,</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Form 10-Q, File No. 1-3548).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+*10(o)4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August  2006  Amendment  to  the  ALLETE Director  Compensation</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Deferral</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Plan</w:t>
            </w: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(filed as Exhibit</w:t>
            </w:r>
          </w:p>
        </w:tc>
        <w:tc>
          <w:tcPr>
            <w:tcW w:w="1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10(d) to the</w:t>
            </w:r>
          </w:p>
        </w:tc>
        <w:tc>
          <w:tcPr>
            <w:tcW w:w="86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7"/>
              </w:rPr>
              <w:t>September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2006, Form 10-Q, File No. 1-3548).</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+*10(p)</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ALLETE</w:t>
            </w:r>
          </w:p>
        </w:tc>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Compensation</w:t>
            </w: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Trust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Agreement,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effective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October 11, 2004 (filed as Exhibit</w:t>
            </w:r>
          </w:p>
        </w:tc>
        <w:tc>
          <w:tcPr>
            <w:tcW w:w="112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10(a) to the</w:t>
            </w:r>
          </w:p>
        </w:tc>
        <w:tc>
          <w:tcPr>
            <w:tcW w:w="1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2004, Form 10-Q, File No. 1-3548).</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620" w:type="dxa"/>
            <w:vAlign w:val="bottom"/>
            <w:gridSpan w:val="11"/>
          </w:tcPr>
          <w:p>
            <w:pPr>
              <w:ind w:left="140"/>
              <w:spacing w:after="0"/>
              <w:rPr>
                <w:sz w:val="20"/>
                <w:szCs w:val="20"/>
                <w:color w:val="auto"/>
              </w:rPr>
            </w:pPr>
            <w:r>
              <w:rPr>
                <w:rFonts w:ascii="Courier New" w:cs="Courier New" w:eastAsia="Courier New" w:hAnsi="Courier New"/>
                <w:sz w:val="14"/>
                <w:szCs w:val="14"/>
                <w:color w:val="auto"/>
              </w:rPr>
              <w:t>Computation of Ratios of Earnings to Fixed Charges.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98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Subsidiaries of the Registrant.</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23(a)</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120" w:type="dxa"/>
            <w:vAlign w:val="bottom"/>
            <w:gridSpan w:val="13"/>
          </w:tcPr>
          <w:p>
            <w:pPr>
              <w:ind w:left="140"/>
              <w:spacing w:after="0"/>
              <w:rPr>
                <w:sz w:val="20"/>
                <w:szCs w:val="20"/>
                <w:color w:val="auto"/>
              </w:rPr>
            </w:pPr>
            <w:r>
              <w:rPr>
                <w:rFonts w:ascii="Courier New" w:cs="Courier New" w:eastAsia="Courier New" w:hAnsi="Courier New"/>
                <w:sz w:val="14"/>
                <w:szCs w:val="14"/>
                <w:color w:val="auto"/>
              </w:rPr>
              <w:t>Consent of Independent Registered Public Accounting Firm.</w:t>
            </w:r>
          </w:p>
        </w:tc>
        <w:tc>
          <w:tcPr>
            <w:tcW w:w="4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23(b)</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Consent of General Counsel.</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31(a)</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Rule  13a-14(a)/15d-14(a)</w:t>
            </w:r>
          </w:p>
        </w:tc>
        <w:tc>
          <w:tcPr>
            <w:tcW w:w="32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Certification by the Chief Executive</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Officer</w:t>
            </w:r>
          </w:p>
        </w:tc>
        <w:tc>
          <w:tcPr>
            <w:tcW w:w="27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Pursuant to Section 302 of the</w:t>
            </w:r>
          </w:p>
        </w:tc>
        <w:tc>
          <w:tcPr>
            <w:tcW w:w="13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Sarbanes-Oxley</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31(b)</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Rule  13a-14(a)/15d-14(a)</w:t>
            </w:r>
          </w:p>
        </w:tc>
        <w:tc>
          <w:tcPr>
            <w:tcW w:w="328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Certification by the Chief Financial</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Officer</w:t>
            </w:r>
          </w:p>
        </w:tc>
        <w:tc>
          <w:tcPr>
            <w:tcW w:w="276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Pursuant to Section 302 of the</w:t>
            </w:r>
          </w:p>
        </w:tc>
        <w:tc>
          <w:tcPr>
            <w:tcW w:w="13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Sarbanes-Oxley</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170" w:lineRule="exact"/>
        <w:rPr>
          <w:sz w:val="20"/>
          <w:szCs w:val="20"/>
          <w:color w:val="auto"/>
        </w:rPr>
      </w:pPr>
    </w:p>
    <w:p>
      <w:pPr>
        <w:ind w:left="1480" w:right="3339" w:hanging="869"/>
        <w:spacing w:after="0" w:line="252" w:lineRule="auto"/>
        <w:tabs>
          <w:tab w:leader="none" w:pos="113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Section 1350 Certification of Annual Report by the Chief Executive Officer and Chief Financial Officer Pursuant to Section 906 of the Sarbanes-Oxley Act of 2002.</w:t>
      </w:r>
    </w:p>
    <w:p>
      <w:pPr>
        <w:spacing w:after="0" w:line="163" w:lineRule="exact"/>
        <w:rPr>
          <w:sz w:val="20"/>
          <w:szCs w:val="20"/>
          <w:color w:val="auto"/>
        </w:rPr>
      </w:pPr>
    </w:p>
    <w:p>
      <w:pPr>
        <w:ind w:left="1480" w:right="3339" w:hanging="869"/>
        <w:spacing w:after="0" w:line="251" w:lineRule="auto"/>
        <w:tabs>
          <w:tab w:leader="none" w:pos="113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ALLETE News Release dated February 16, 2007, announcing 2006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a party to another long-term debt instrument, $38,995,000 of City of Cohasset, Minnesota, Variable Rate Demand Revenue Refunding Bonds (ALLETE, formerly Minnesota Power &amp; Light Company, Project) Series 1997A, Series 1997B, Series 1997C and Series 1997D that, pursuant to Regulation S-K, Item 601(b)(4)(iii), is not filed as an exhibit since the total amount of debt authorized under this omitted instrument does not exceed 10% of our total consolidated assets. We will furnish copies of this instrument to the SEC upon its request.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as indicated.</w:t>
      </w:r>
    </w:p>
    <w:p>
      <w:pPr>
        <w:spacing w:after="0" w:line="7" w:lineRule="exact"/>
        <w:rPr>
          <w:sz w:val="20"/>
          <w:szCs w:val="20"/>
          <w:color w:val="auto"/>
        </w:rPr>
      </w:pPr>
    </w:p>
    <w:p>
      <w:pPr>
        <w:ind w:left="360" w:right="3339" w:hanging="352"/>
        <w:spacing w:after="0" w:line="255"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required to be filed as an exhibit to this report pursuant to Item 15(c) of Form 10-K.</w:t>
      </w:r>
    </w:p>
    <w:p>
      <w:pPr>
        <w:spacing w:after="0" w:line="16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66" w:name="page67"/>
    <w:bookmarkEnd w:id="66"/>
    <w:p>
      <w:pPr>
        <w:jc w:val="center"/>
        <w:ind w:right="46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ALLETE, INC.</w:t>
      </w:r>
    </w:p>
    <w:p>
      <w:pPr>
        <w:sectPr>
          <w:pgSz w:w="11900" w:h="16838" w:orient="portrait"/>
          <w:cols w:equalWidth="0" w:num="1">
            <w:col w:w="11540"/>
          </w:cols>
          <w:pgMar w:left="220" w:top="616" w:right="139" w:bottom="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16, 2007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ectPr>
          <w:pgSz w:w="11900" w:h="16838" w:orient="portrait"/>
          <w:cols w:equalWidth="0" w:num="3">
            <w:col w:w="2300" w:space="720"/>
            <w:col w:w="840" w:space="720"/>
            <w:col w:w="6960"/>
          </w:cols>
          <w:pgMar w:left="220" w:top="616" w:right="139" w:bottom="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Chairman, President and Chief</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Executive Officer</w:t>
      </w:r>
    </w:p>
    <w:p>
      <w:pPr>
        <w:spacing w:after="0" w:line="338"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80"/>
        <w:spacing w:after="0"/>
        <w:tabs>
          <w:tab w:leader="none" w:pos="5760" w:val="left"/>
          <w:tab w:leader="none" w:pos="920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ind w:left="1040"/>
              <w:spacing w:after="0"/>
              <w:rPr>
                <w:sz w:val="20"/>
                <w:szCs w:val="20"/>
                <w:color w:val="auto"/>
              </w:rPr>
            </w:pPr>
            <w:r>
              <w:rPr>
                <w:rFonts w:ascii="Courier New" w:cs="Courier New" w:eastAsia="Courier New" w:hAnsi="Courier New"/>
                <w:sz w:val="14"/>
                <w:szCs w:val="14"/>
                <w:color w:val="auto"/>
              </w:rPr>
              <w:t>Donald J. Shippar</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Chairman, President, Chief Executive Officer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and Director</w:t>
            </w:r>
          </w:p>
        </w:tc>
        <w:tc>
          <w:tcPr>
            <w:tcW w:w="1680" w:type="dxa"/>
            <w:vAlign w:val="bottom"/>
          </w:tcPr>
          <w:p>
            <w:pPr>
              <w:spacing w:after="0"/>
              <w:rPr>
                <w:sz w:val="14"/>
                <w:szCs w:val="14"/>
                <w:color w:val="auto"/>
              </w:rPr>
            </w:pPr>
          </w:p>
        </w:tc>
      </w:tr>
      <w:tr>
        <w:trPr>
          <w:trHeight w:val="166"/>
        </w:trPr>
        <w:tc>
          <w:tcPr>
            <w:tcW w:w="3760" w:type="dxa"/>
            <w:vAlign w:val="bottom"/>
          </w:tcPr>
          <w:p>
            <w:pPr>
              <w:ind w:left="1040"/>
              <w:spacing w:after="0"/>
              <w:rPr>
                <w:sz w:val="20"/>
                <w:szCs w:val="20"/>
                <w:color w:val="auto"/>
              </w:rPr>
            </w:pPr>
            <w:r>
              <w:rPr>
                <w:rFonts w:ascii="Courier New" w:cs="Courier New" w:eastAsia="Courier New" w:hAnsi="Courier New"/>
                <w:sz w:val="14"/>
                <w:szCs w:val="14"/>
                <w:color w:val="auto"/>
              </w:rPr>
              <w:t>Donald J. Shippar</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Mark A. Schober</w:t>
            </w:r>
          </w:p>
        </w:tc>
        <w:tc>
          <w:tcPr>
            <w:tcW w:w="4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Senior Vice President and Chief Financial Officer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Mark A. Schober</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Steven Q. DeVinck</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Controller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Steven Q. DeVinck</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Kathleen A. Brekken</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Kathleen A. Brekken</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Heidi J. Eddins</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Heidi J. Eddins</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James J. Hoolihan</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James J. Hoolihan</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Peter J. Johnson</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Peter J. Johnson</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Madeleine W. Ludlow</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Madeleine W. Ludlow</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George L. Mayer</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George L. Mayer</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Roger D. Peirce</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Roger D. Peirce</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Jack I. Rajala</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Jack I. Rajala</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Nick Smith</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Nick Smith</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Bruce W. Stender</w:t>
            </w:r>
          </w:p>
        </w:tc>
        <w:tc>
          <w:tcPr>
            <w:tcW w:w="4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Director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7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Bruce W. Stender</w:t>
            </w:r>
          </w:p>
        </w:tc>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63"/>
        </w:trPr>
        <w:tc>
          <w:tcPr>
            <w:tcW w:w="376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456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58</w:t>
            </w:r>
          </w:p>
        </w:tc>
        <w:tc>
          <w:tcPr>
            <w:tcW w:w="1680" w:type="dxa"/>
            <w:vAlign w:val="bottom"/>
          </w:tcPr>
          <w:p>
            <w:pPr>
              <w:spacing w:after="0"/>
              <w:rPr>
                <w:sz w:val="24"/>
                <w:szCs w:val="24"/>
                <w:color w:val="auto"/>
              </w:rPr>
            </w:pPr>
          </w:p>
        </w:tc>
      </w:tr>
    </w:tbl>
    <w:p>
      <w:pPr>
        <w:sectPr>
          <w:pgSz w:w="11900" w:h="16838" w:orient="portrait"/>
          <w:cols w:equalWidth="0" w:num="1">
            <w:col w:w="11540"/>
          </w:cols>
          <w:pgMar w:left="220" w:top="616" w:right="139" w:bottom="0" w:gutter="0" w:footer="0" w:header="0"/>
          <w:type w:val="continuous"/>
        </w:sectPr>
      </w:pPr>
    </w:p>
    <w:bookmarkStart w:id="67" w:name="page68"/>
    <w:bookmarkEnd w:id="67"/>
    <w:p>
      <w:pPr>
        <w:spacing w:after="0" w:line="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 ALLETE, Inc.</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have completed integrated audits of ALLETE, Inc.'s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 and financial statement 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15(a)(1) present fairly, in all material respects, the financial position of ALLETE, Inc. and its subsidiaries (the Company) at December 31, 2006 and 2005,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accompanying index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discussed in Note 15 to the consolidated financial statements, in 2004 the Company changed its method of accounting for investments in limited liability companies in accordance with EITF 03-16, "Accounting for Investments in Limited Liability Companies." As discussed in Note 16 to the consolidated financial statements, in 2006 the Company adopted SFAS 158, "Employer's Accounting for Defined Benefit Pension and Other Postretirement Plans." As discussed in Note 17 to the consolidated financial statements, in 2006 the Company changed the manner in which it accounts for share-based compensation.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control over financial reporting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Also, in our opinion, management's assessment, included in Management's Report on Internal Control Over Financial Reporting appearing under Item 9A, that the Company maintained effective internal control over financial reporting as of December 31, 2006 based on criteria established in Internal Control--Integrated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Internal Control--Integrated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34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ectPr>
          <w:pgSz w:w="11900" w:h="16877" w:orient="portrait"/>
          <w:cols w:equalWidth="0" w:num="1">
            <w:col w:w="10239"/>
          </w:cols>
          <w:pgMar w:left="220" w:top="616" w:right="1440" w:bottom="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2007, except as to Note 7 for which the date is February 15, 2007</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307" w:right="1440" w:bottom="1440" w:gutter="0" w:footer="0" w:header="0"/>
        </w:sectPr>
      </w:pPr>
    </w:p>
    <w:bookmarkStart w:id="69" w:name="page70"/>
    <w:bookmarkEnd w:id="69"/>
    <w:p>
      <w:pPr>
        <w:jc w:val="center"/>
        <w:ind w:right="32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CONSOLIDATED 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5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44.8</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89.6</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104.5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$1.1 and $1.0)</w:t>
            </w: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70.9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43.4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23.8</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287.7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373.9</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921.6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860.4</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189.1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117.7</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6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$1,533.4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$1,398.8</w:t>
            </w:r>
          </w:p>
        </w:tc>
      </w:tr>
    </w:tbl>
    <w:p>
      <w:pPr>
        <w:spacing w:after="0" w:line="4"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840"/>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53.5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44.7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8.6</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29.7</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143.5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119.7</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359.8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387.8</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130.8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226.1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144.1</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19"/>
        <w:spacing w:after="0"/>
        <w:tabs>
          <w:tab w:leader="none" w:pos="5320" w:val="left"/>
          <w:tab w:leader="none" w:pos="186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867.6</w:t>
      </w:r>
      <w:r>
        <w:rPr>
          <w:sz w:val="20"/>
          <w:szCs w:val="20"/>
          <w:color w:val="auto"/>
        </w:rPr>
        <w:tab/>
      </w:r>
      <w:r>
        <w:rPr>
          <w:rFonts w:ascii="Courier New" w:cs="Courier New" w:eastAsia="Courier New" w:hAnsi="Courier New"/>
          <w:sz w:val="14"/>
          <w:szCs w:val="14"/>
          <w:color w:val="auto"/>
        </w:rPr>
        <w:t>796.0</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Shares Authorized</w:t>
            </w: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30.4 and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30.1 Shares Outstanding</w:t>
            </w:r>
          </w:p>
        </w:tc>
        <w:tc>
          <w:tcPr>
            <w:tcW w:w="2880" w:type="dxa"/>
            <w:vAlign w:val="bottom"/>
          </w:tcPr>
          <w:p>
            <w:pPr>
              <w:spacing w:after="0"/>
              <w:rPr>
                <w:sz w:val="14"/>
                <w:szCs w:val="14"/>
                <w:color w:val="auto"/>
              </w:rPr>
            </w:pPr>
          </w:p>
        </w:tc>
        <w:tc>
          <w:tcPr>
            <w:tcW w:w="28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438.7</w:t>
            </w:r>
          </w:p>
        </w:tc>
        <w:tc>
          <w:tcPr>
            <w:tcW w:w="1420" w:type="dxa"/>
            <w:vAlign w:val="bottom"/>
          </w:tcPr>
          <w:p>
            <w:pPr>
              <w:ind w:left="900"/>
              <w:spacing w:after="0"/>
              <w:rPr>
                <w:sz w:val="20"/>
                <w:szCs w:val="20"/>
                <w:color w:val="auto"/>
              </w:rPr>
            </w:pPr>
            <w:r>
              <w:rPr>
                <w:rFonts w:ascii="Courier New" w:cs="Courier New" w:eastAsia="Courier New" w:hAnsi="Courier New"/>
                <w:sz w:val="14"/>
                <w:szCs w:val="14"/>
                <w:color w:val="auto"/>
              </w:rPr>
              <w:t>421.1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(71.9)</w:t>
            </w:r>
          </w:p>
        </w:tc>
        <w:tc>
          <w:tcPr>
            <w:tcW w:w="1420" w:type="dxa"/>
            <w:vAlign w:val="bottom"/>
          </w:tcPr>
          <w:p>
            <w:pPr>
              <w:ind w:left="900"/>
              <w:spacing w:after="0"/>
              <w:rPr>
                <w:sz w:val="20"/>
                <w:szCs w:val="20"/>
                <w:color w:val="auto"/>
              </w:rPr>
            </w:pPr>
            <w:r>
              <w:rPr>
                <w:rFonts w:ascii="Courier New" w:cs="Courier New" w:eastAsia="Courier New" w:hAnsi="Courier New"/>
                <w:sz w:val="14"/>
                <w:szCs w:val="14"/>
                <w:color w:val="auto"/>
                <w:w w:val="99"/>
              </w:rPr>
              <w:t>(77.6)</w:t>
            </w:r>
          </w:p>
        </w:tc>
      </w:tr>
      <w:tr>
        <w:trPr>
          <w:trHeight w:val="33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880" w:type="dxa"/>
            <w:vAlign w:val="bottom"/>
          </w:tcPr>
          <w:p>
            <w:pPr>
              <w:spacing w:after="0"/>
              <w:rPr>
                <w:sz w:val="24"/>
                <w:szCs w:val="24"/>
                <w:color w:val="auto"/>
              </w:rPr>
            </w:pP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(8.8)</w:t>
            </w:r>
          </w:p>
        </w:tc>
        <w:tc>
          <w:tcPr>
            <w:tcW w:w="1420" w:type="dxa"/>
            <w:vAlign w:val="bottom"/>
          </w:tcPr>
          <w:p>
            <w:pPr>
              <w:ind w:left="900"/>
              <w:spacing w:after="0"/>
              <w:rPr>
                <w:sz w:val="20"/>
                <w:szCs w:val="20"/>
                <w:color w:val="auto"/>
              </w:rPr>
            </w:pPr>
            <w:r>
              <w:rPr>
                <w:rFonts w:ascii="Courier New" w:cs="Courier New" w:eastAsia="Courier New" w:hAnsi="Courier New"/>
                <w:sz w:val="14"/>
                <w:szCs w:val="14"/>
                <w:color w:val="auto"/>
                <w:w w:val="99"/>
              </w:rPr>
              <w:t>(12.8)</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307.8</w:t>
            </w:r>
          </w:p>
        </w:tc>
        <w:tc>
          <w:tcPr>
            <w:tcW w:w="1420" w:type="dxa"/>
            <w:vAlign w:val="bottom"/>
          </w:tcPr>
          <w:p>
            <w:pPr>
              <w:ind w:left="900"/>
              <w:spacing w:after="0"/>
              <w:rPr>
                <w:sz w:val="20"/>
                <w:szCs w:val="20"/>
                <w:color w:val="auto"/>
              </w:rPr>
            </w:pPr>
            <w:r>
              <w:rPr>
                <w:rFonts w:ascii="Courier New" w:cs="Courier New" w:eastAsia="Courier New" w:hAnsi="Courier New"/>
                <w:sz w:val="14"/>
                <w:szCs w:val="14"/>
                <w:color w:val="auto"/>
              </w:rPr>
              <w:t>272.1</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19"/>
        <w:spacing w:after="0"/>
        <w:tabs>
          <w:tab w:leader="none" w:pos="4540" w:val="left"/>
          <w:tab w:leader="none" w:pos="186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665.8</w:t>
      </w:r>
      <w:r>
        <w:rPr>
          <w:sz w:val="20"/>
          <w:szCs w:val="20"/>
          <w:color w:val="auto"/>
        </w:rPr>
        <w:tab/>
      </w:r>
      <w:r>
        <w:rPr>
          <w:rFonts w:ascii="Courier New" w:cs="Courier New" w:eastAsia="Courier New" w:hAnsi="Courier New"/>
          <w:sz w:val="14"/>
          <w:szCs w:val="14"/>
          <w:color w:val="auto"/>
        </w:rPr>
        <w:t>602.8</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954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$1,533.4</w:t>
      </w:r>
      <w:r>
        <w:rPr>
          <w:sz w:val="20"/>
          <w:szCs w:val="20"/>
          <w:color w:val="auto"/>
        </w:rPr>
        <w:tab/>
      </w:r>
      <w:r>
        <w:rPr>
          <w:rFonts w:ascii="Courier New" w:cs="Courier New" w:eastAsia="Courier New" w:hAnsi="Courier New"/>
          <w:sz w:val="14"/>
          <w:szCs w:val="14"/>
          <w:color w:val="auto"/>
        </w:rPr>
        <w:t>$1,398.8</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bl>
    <w:p>
      <w:pPr>
        <w:sectPr>
          <w:pgSz w:w="11900" w:h="16838" w:orient="portrait"/>
          <w:cols w:equalWidth="0" w:num="1">
            <w:col w:w="10940"/>
          </w:cols>
          <w:pgMar w:left="220" w:top="616" w:right="739" w:bottom="1085"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ALLETE CONSOLIDATED STATEMENT OF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2006</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$767.1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281.7</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273.1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286.2</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296.0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270.1</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48.7</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626.4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140.7</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3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14.9</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 AND INCOME TAXES</w:t>
            </w:r>
          </w:p>
        </w:tc>
        <w:tc>
          <w:tcPr>
            <w:tcW w:w="2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128.2</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2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4.6</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3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3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123.6</w:t>
            </w:r>
          </w:p>
        </w:tc>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17.1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r>
      <w:tr>
        <w:trPr>
          <w:trHeight w:val="331"/>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(BENEFIT)</w:t>
            </w:r>
          </w:p>
        </w:tc>
        <w:tc>
          <w:tcPr>
            <w:tcW w:w="3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46.3</w:t>
            </w:r>
          </w:p>
        </w:tc>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CHANGE IN ACCOUNTING</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PRINCIPLE</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77.3</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17.6</w:t>
            </w: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rPr>
              <w:t>38.5</w:t>
            </w:r>
          </w:p>
        </w:tc>
      </w:tr>
      <w:tr>
        <w:trPr>
          <w:trHeight w:val="331"/>
        </w:trPr>
        <w:tc>
          <w:tcPr>
            <w:tcW w:w="5780" w:type="dxa"/>
            <w:vAlign w:val="bottom"/>
            <w:gridSpan w:val="3"/>
          </w:tcPr>
          <w:p>
            <w:pPr>
              <w:spacing w:after="0"/>
              <w:rPr>
                <w:sz w:val="20"/>
                <w:szCs w:val="20"/>
                <w:color w:val="auto"/>
              </w:rPr>
            </w:pPr>
            <w:r>
              <w:rPr>
                <w:rFonts w:ascii="Courier New" w:cs="Courier New" w:eastAsia="Courier New" w:hAnsi="Courier New"/>
                <w:sz w:val="14"/>
                <w:szCs w:val="14"/>
                <w:color w:val="auto"/>
              </w:rPr>
              <w:t>INCOME (LOSS) FROM DISCONTINUED OPERATIONS - NET OF TAX</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rPr>
              <w:t>73.7</w:t>
            </w: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 -</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NET OF TAX</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$ 76.4</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$ 13.3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3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1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1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27.9</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(LOSS) PER</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4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54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Change 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Accounting</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2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420" w:val="left"/>
          <w:tab w:leader="none" w:pos="9980" w:val="left"/>
        </w:tabs>
        <w:rPr>
          <w:sz w:val="20"/>
          <w:szCs w:val="20"/>
          <w:color w:val="auto"/>
        </w:rPr>
      </w:pPr>
      <w:r>
        <w:rPr>
          <w:rFonts w:ascii="Courier New" w:cs="Courier New" w:eastAsia="Courier New" w:hAnsi="Courier New"/>
          <w:sz w:val="14"/>
          <w:szCs w:val="14"/>
          <w:color w:val="auto"/>
        </w:rPr>
        <w:t>$2.75</w:t>
      </w:r>
      <w:r>
        <w:rPr>
          <w:sz w:val="20"/>
          <w:szCs w:val="20"/>
          <w:color w:val="auto"/>
        </w:rPr>
        <w:tab/>
      </w:r>
      <w:r>
        <w:rPr>
          <w:rFonts w:ascii="Courier New" w:cs="Courier New" w:eastAsia="Courier New" w:hAnsi="Courier New"/>
          <w:sz w:val="14"/>
          <w:szCs w:val="14"/>
          <w:color w:val="auto"/>
        </w:rPr>
        <w:t>$0.49</w:t>
      </w:r>
      <w:r>
        <w:rPr>
          <w:sz w:val="20"/>
          <w:szCs w:val="20"/>
          <w:color w:val="auto"/>
        </w:rPr>
        <w:tab/>
      </w:r>
      <w:r>
        <w:rPr>
          <w:rFonts w:ascii="Courier New" w:cs="Courier New" w:eastAsia="Courier New" w:hAnsi="Courier New"/>
          <w:sz w:val="14"/>
          <w:szCs w:val="14"/>
          <w:color w:val="auto"/>
        </w:rPr>
        <w:t>$3.69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r>
      <w:tr>
        <w:trPr>
          <w:trHeight w:val="0"/>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420" w:val="left"/>
          <w:tab w:leader="none" w:pos="9980" w:val="left"/>
        </w:tabs>
        <w:rPr>
          <w:sz w:val="20"/>
          <w:szCs w:val="20"/>
          <w:color w:val="auto"/>
        </w:rPr>
      </w:pPr>
      <w:r>
        <w:rPr>
          <w:rFonts w:ascii="Courier New" w:cs="Courier New" w:eastAsia="Courier New" w:hAnsi="Courier New"/>
          <w:sz w:val="14"/>
          <w:szCs w:val="14"/>
          <w:color w:val="auto"/>
        </w:rPr>
        <w:t>$2.74</w:t>
      </w:r>
      <w:r>
        <w:rPr>
          <w:sz w:val="20"/>
          <w:szCs w:val="20"/>
          <w:color w:val="auto"/>
        </w:rPr>
        <w:tab/>
      </w: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$3.67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540" w:val="left"/>
          <w:tab w:leader="none" w:pos="8260" w:val="left"/>
          <w:tab w:leader="none" w:pos="980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$1.4500</w:t>
      </w:r>
      <w:r>
        <w:rPr>
          <w:sz w:val="20"/>
          <w:szCs w:val="20"/>
          <w:color w:val="auto"/>
        </w:rPr>
        <w:tab/>
      </w:r>
      <w:r>
        <w:rPr>
          <w:rFonts w:ascii="Courier New" w:cs="Courier New" w:eastAsia="Courier New" w:hAnsi="Courier New"/>
          <w:sz w:val="14"/>
          <w:szCs w:val="14"/>
          <w:color w:val="auto"/>
        </w:rPr>
        <w:t>$1.2450</w:t>
      </w:r>
      <w:r>
        <w:rPr>
          <w:sz w:val="20"/>
          <w:szCs w:val="20"/>
          <w:color w:val="auto"/>
        </w:rPr>
        <w:tab/>
      </w:r>
      <w:r>
        <w:rPr>
          <w:rFonts w:ascii="Courier New" w:cs="Courier New" w:eastAsia="Courier New" w:hAnsi="Courier New"/>
          <w:sz w:val="14"/>
          <w:szCs w:val="14"/>
          <w:color w:val="auto"/>
        </w:rPr>
        <w:t>$2.8425</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940"/>
          </w:cols>
          <w:pgMar w:left="220" w:top="782" w:right="739"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ALLETE CONSOLIDATED STATEMENT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2006</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76.4</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13.3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(Income) Loss from Discontinued Operations</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0.9</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Income from Equity Investments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Loss on Impairment of Investments</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27.8</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Bad Debt Expense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78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6"/>
        </w:trPr>
        <w:tc>
          <w:tcPr>
            <w:tcW w:w="578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5780" w:type="dxa"/>
            <w:vAlign w:val="bottom"/>
          </w:tcPr>
          <w:p>
            <w:pPr>
              <w:ind w:left="780"/>
              <w:spacing w:after="0"/>
              <w:rPr>
                <w:sz w:val="20"/>
                <w:szCs w:val="20"/>
                <w:color w:val="auto"/>
              </w:rPr>
            </w:pPr>
            <w:r>
              <w:rPr>
                <w:rFonts w:ascii="Courier New" w:cs="Courier New" w:eastAsia="Courier New" w:hAnsi="Courier New"/>
                <w:sz w:val="14"/>
                <w:szCs w:val="14"/>
                <w:color w:val="auto"/>
              </w:rPr>
              <w:t>Prepayments and Other</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578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5780" w:type="dxa"/>
            <w:vAlign w:val="bottom"/>
          </w:tcPr>
          <w:p>
            <w:pPr>
              <w:ind w:left="780"/>
              <w:spacing w:after="0"/>
              <w:rPr>
                <w:sz w:val="20"/>
                <w:szCs w:val="20"/>
                <w:color w:val="auto"/>
              </w:rPr>
            </w:pPr>
            <w:r>
              <w:rPr>
                <w:rFonts w:ascii="Courier New" w:cs="Courier New" w:eastAsia="Courier New" w:hAnsi="Courier New"/>
                <w:sz w:val="14"/>
                <w:szCs w:val="14"/>
                <w:color w:val="auto"/>
              </w:rPr>
              <w:t>Other Current Liabilities</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Net Operating Activities from Discontinued Operations</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25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142.5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608.8</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376.0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(596.4)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(149.5)</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Changes to Investments</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Net Investing Activities from Discontinued Operations</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2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(154.7)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Issuance of Common Stock</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15.8</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Issuance of Long-Term Debt</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77.8</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Reacquired Common Stock</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Changes in Notes Payable - Net</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Reductions of Long-Term Debt</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(78.9)</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(241.1)</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Dividends on Common Stock and Distributions to Minority Shareholders</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(43.9)</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(79.7)</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Net Increase (Decrease) in Book Overdrafts</w:t>
            </w: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Net Financing Activities for Discontinued Operations</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(32.6)</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(228.7)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gridSpan w:val="7"/>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(180.2)</w:t>
            </w:r>
          </w:p>
        </w:tc>
      </w:tr>
      <w:tr>
        <w:trPr>
          <w:trHeight w:val="331"/>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24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w:t>
            </w:r>
          </w:p>
        </w:tc>
        <w:tc>
          <w:tcPr>
            <w:tcW w:w="17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226.3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24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  44.8</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89.6</w:t>
            </w:r>
          </w:p>
        </w:tc>
        <w:tc>
          <w:tcPr>
            <w:tcW w:w="1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46.1</w:t>
            </w:r>
          </w:p>
        </w:tc>
      </w:tr>
    </w:tbl>
    <w:p>
      <w:pPr>
        <w:spacing w:after="0" w:line="4"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$2.4 million of cash from Discontinued Operations at December 31, 2004.</w:t>
      </w:r>
    </w:p>
    <w:p>
      <w:pPr>
        <w:spacing w:after="0" w:line="33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bl>
    <w:p>
      <w:pPr>
        <w:sectPr>
          <w:pgSz w:w="11900" w:h="16838" w:orient="portrait"/>
          <w:cols w:equalWidth="0" w:num="1">
            <w:col w:w="10940"/>
          </w:cols>
          <w:pgMar w:left="220" w:top="616" w:right="7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ALLETE CONSOLIDATED STATEMENT OF SHAREHOLDERS' EQUITY</w:t>
            </w: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ACCUMULATED</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w w:val="99"/>
              </w:rPr>
              <w:t>OTHER</w:t>
            </w:r>
          </w:p>
        </w:tc>
        <w:tc>
          <w:tcPr>
            <w:tcW w:w="12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UNEARNED</w:t>
            </w:r>
          </w:p>
        </w:tc>
        <w:tc>
          <w:tcPr>
            <w:tcW w:w="820" w:type="dxa"/>
            <w:vAlign w:val="bottom"/>
          </w:tcPr>
          <w:p>
            <w:pPr>
              <w:spacing w:after="0"/>
              <w:rPr>
                <w:sz w:val="14"/>
                <w:szCs w:val="14"/>
                <w:color w:val="auto"/>
              </w:rPr>
            </w:pPr>
          </w:p>
        </w:tc>
      </w:tr>
      <w:tr>
        <w:trPr>
          <w:trHeight w:val="166"/>
        </w:trPr>
        <w:tc>
          <w:tcPr>
            <w:tcW w:w="5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SHAREHOLDERS'</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RETAINED</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COMPREHENSIVE</w:t>
            </w:r>
          </w:p>
        </w:tc>
        <w:tc>
          <w:tcPr>
            <w:tcW w:w="12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ESOP</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r>
      <w:tr>
        <w:trPr>
          <w:trHeight w:val="166"/>
        </w:trPr>
        <w:tc>
          <w:tcPr>
            <w:tcW w:w="5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INCOME (LOSS)</w:t>
            </w:r>
          </w:p>
        </w:tc>
        <w:tc>
          <w:tcPr>
            <w:tcW w:w="12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at December 31, 2003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$1,460.2</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$631.9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$859.2</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104.4</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104.4</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Gains on Securities - Net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124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62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w:t>
            </w:r>
          </w:p>
        </w:tc>
        <w:tc>
          <w:tcPr>
            <w:tcW w:w="12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620"/>
              <w:spacing w:after="0"/>
              <w:rPr>
                <w:sz w:val="20"/>
                <w:szCs w:val="20"/>
                <w:color w:val="auto"/>
              </w:rPr>
            </w:pPr>
            <w:r>
              <w:rPr>
                <w:rFonts w:ascii="Courier New" w:cs="Courier New" w:eastAsia="Courier New" w:hAnsi="Courier New"/>
                <w:sz w:val="14"/>
                <w:szCs w:val="14"/>
                <w:color w:val="auto"/>
              </w:rPr>
              <w:t>Additional Pension Liability</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12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960"/>
              <w:spacing w:after="0"/>
              <w:rPr>
                <w:sz w:val="20"/>
                <w:szCs w:val="20"/>
                <w:color w:val="auto"/>
              </w:rPr>
            </w:pPr>
            <w:r>
              <w:rPr>
                <w:rFonts w:ascii="Courier New" w:cs="Courier New" w:eastAsia="Courier New" w:hAnsi="Courier New"/>
                <w:sz w:val="14"/>
                <w:szCs w:val="14"/>
                <w:color w:val="auto"/>
              </w:rPr>
              <w:t>Total Comprehensive Income</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78.5</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Common Stock Issued - Net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43.2</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ADESA IPO</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Spin-Off of ADESA</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(963.6)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(363.4)</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(600.2)</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Receipt of ADESA Stock by ESOP</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54.3</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Purchase of ALLETE Shares by ESOP</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w:t>
            </w:r>
          </w:p>
        </w:tc>
        <w:tc>
          <w:tcPr>
            <w:tcW w:w="900" w:type="dxa"/>
            <w:vAlign w:val="bottom"/>
          </w:tcPr>
          <w:p>
            <w:pPr>
              <w:spacing w:after="0"/>
              <w:rPr>
                <w:sz w:val="24"/>
                <w:szCs w:val="2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(79.7)</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ESOP Shares Earned</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w:t>
            </w:r>
          </w:p>
        </w:tc>
        <w:tc>
          <w:tcPr>
            <w:tcW w:w="90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at December 31, 2004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630.5</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293.2</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400.1</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13.3</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Gains on Securities - Net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w:t>
            </w:r>
          </w:p>
        </w:tc>
        <w:tc>
          <w:tcPr>
            <w:tcW w:w="12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Additional Pension Liability</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2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960"/>
              <w:spacing w:after="0"/>
              <w:rPr>
                <w:sz w:val="20"/>
                <w:szCs w:val="20"/>
                <w:color w:val="auto"/>
              </w:rPr>
            </w:pPr>
            <w:r>
              <w:rPr>
                <w:rFonts w:ascii="Courier New" w:cs="Courier New" w:eastAsia="Courier New" w:hAnsi="Courier New"/>
                <w:sz w:val="14"/>
                <w:szCs w:val="14"/>
                <w:color w:val="auto"/>
              </w:rPr>
              <w:t>Total Comprehensive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Common Stock Issued - Net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21.0</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Purchase of ALLETE Shares by ESOP</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w:t>
            </w:r>
          </w:p>
        </w:tc>
        <w:tc>
          <w:tcPr>
            <w:tcW w:w="780" w:type="dxa"/>
            <w:vAlign w:val="bottom"/>
          </w:tcPr>
          <w:p>
            <w:pPr>
              <w:spacing w:after="0"/>
              <w:rPr>
                <w:sz w:val="24"/>
                <w:szCs w:val="2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ESOP Shares Earned</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78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at December 31, 2005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602.8</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272.1</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421.1</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76.4</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76.4</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Gains on Securities - Net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2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620"/>
              <w:spacing w:after="0"/>
              <w:rPr>
                <w:sz w:val="20"/>
                <w:szCs w:val="20"/>
                <w:color w:val="auto"/>
              </w:rPr>
            </w:pPr>
            <w:r>
              <w:rPr>
                <w:rFonts w:ascii="Courier New" w:cs="Courier New" w:eastAsia="Courier New" w:hAnsi="Courier New"/>
                <w:sz w:val="14"/>
                <w:szCs w:val="14"/>
                <w:color w:val="auto"/>
              </w:rPr>
              <w:t>Additional Pension Liability</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12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960"/>
              <w:spacing w:after="0"/>
              <w:rPr>
                <w:sz w:val="20"/>
                <w:szCs w:val="20"/>
                <w:color w:val="auto"/>
              </w:rPr>
            </w:pPr>
            <w:r>
              <w:rPr>
                <w:rFonts w:ascii="Courier New" w:cs="Courier New" w:eastAsia="Courier New" w:hAnsi="Courier New"/>
                <w:sz w:val="14"/>
                <w:szCs w:val="14"/>
                <w:color w:val="auto"/>
              </w:rPr>
              <w:t>Total Comprehensive Income</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84.7</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Adjustment to initially apply SFAS 158 -</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Net of Tax</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12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Common Stock Issued - Net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(40.7)</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ESOP Shares Earned</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c>
          <w:tcPr>
            <w:tcW w:w="78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Balance at December 31, 2006</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665.8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$307.8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$438.7</w:t>
            </w:r>
          </w:p>
        </w:tc>
      </w:tr>
    </w:tbl>
    <w:p>
      <w:pPr>
        <w:spacing w:after="0" w:line="4"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940"/>
          </w:cols>
          <w:pgMar w:left="220" w:top="782" w:right="739" w:bottom="1440" w:gutter="0" w:footer="0" w:header="0"/>
        </w:sectPr>
      </w:pPr>
    </w:p>
    <w:bookmarkStart w:id="73" w:name="page74"/>
    <w:bookmarkEnd w:id="73"/>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BUSINESS SEGMENTS</w:t>
      </w:r>
    </w:p>
    <w:p>
      <w:pPr>
        <w:spacing w:after="0" w:line="173"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Presented below are the operating results and other financial information related to our reporting segments. For a description of our reporting segments, see Note 2.</w:t>
      </w:r>
    </w:p>
    <w:p>
      <w:pPr>
        <w:spacing w:after="0" w:line="16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Financial results by segment for the periods presented were impacted by the integration of our Taconite Harbor facility into the Regulated Utility segment, effective January 1, 2006. The redirection of Taconite Harbor from our Nonregulated Energy Operations segment to our Regulated Utility segment was in accordance with the Company's Resource Plan, as approved by the MPUC. Under the terms of our Resource Plan, we have operated the Taconite Harbor facility as a rate-based asset within the Minnesota retail jurisdiction since January 1, 2006. Prior to January 1, 2006, we operated our Taconite Harbor facility as nonregulated generation (non-rate base generation sold at market-based rates primarily to the wholesale market). Historical financial results of Taconite Harbor for periods prior to the 2006 redirection are included in our Nonregulated Energy Operations segment.</w:t>
      </w:r>
    </w:p>
    <w:p>
      <w:pPr>
        <w:spacing w:after="0" w:line="16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Effective the third quarter of 2006, financial results for our equity investment in ATC have been reported as a separate segment. ATC is a Wisconsin-based public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(See Note 6.)</w:t>
      </w:r>
    </w:p>
    <w:p>
      <w:pPr>
        <w:spacing w:after="0" w:line="200" w:lineRule="exact"/>
        <w:rPr>
          <w:sz w:val="20"/>
          <w:szCs w:val="20"/>
          <w:color w:val="auto"/>
        </w:rPr>
      </w:pPr>
    </w:p>
    <w:p>
      <w:pPr>
        <w:spacing w:after="0" w:line="295"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4740"/>
        <w:spacing w:after="0"/>
        <w:tabs>
          <w:tab w:leader="none" w:pos="5940" w:val="left"/>
          <w:tab w:leader="none" w:pos="7060" w:val="left"/>
          <w:tab w:leader="none" w:pos="834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360"/>
        <w:spacing w:after="0"/>
        <w:tabs>
          <w:tab w:leader="none" w:pos="4820" w:val="left"/>
          <w:tab w:leader="none" w:pos="5760" w:val="left"/>
          <w:tab w:leader="none" w:pos="7220" w:val="left"/>
          <w:tab w:leader="none" w:pos="8260" w:val="left"/>
          <w:tab w:leader="none" w:pos="946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IN ATC</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$767.1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$639.2</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281.7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281.7</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296.0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217.9</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95.4</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Income from</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Before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Taxes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76.1</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Minority</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(Benefit)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$ 46.8</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r>
      <w:tr>
        <w:trPr>
          <w:trHeight w:val="331"/>
        </w:trPr>
        <w:tc>
          <w:tcPr>
            <w:tcW w:w="3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5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w:t>
            </w: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$ 76.4</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$1,533.4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$1,143.3</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Capital Additions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$107.5</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bl>
    <w:p>
      <w:pPr>
        <w:sectPr>
          <w:pgSz w:w="11900" w:h="16838" w:orient="portrait"/>
          <w:cols w:equalWidth="0" w:num="1">
            <w:col w:w="10440"/>
          </w:cols>
          <w:pgMar w:left="220" w:top="616" w:right="1239" w:bottom="1440" w:gutter="0" w:footer="0" w:header="0"/>
        </w:sectPr>
      </w:pPr>
    </w:p>
    <w:bookmarkStart w:id="74" w:name="page75"/>
    <w:bookmarkEnd w:id="74"/>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 (CONTINUED)</w:t>
      </w:r>
    </w:p>
    <w:p>
      <w:pPr>
        <w:spacing w:after="0" w:line="200" w:lineRule="exact"/>
        <w:rPr>
          <w:sz w:val="20"/>
          <w:szCs w:val="20"/>
          <w:color w:val="auto"/>
        </w:rPr>
      </w:pPr>
    </w:p>
    <w:p>
      <w:pPr>
        <w:sectPr>
          <w:pgSz w:w="11900" w:h="16877" w:orient="portrait"/>
          <w:cols w:equalWidth="0" w:num="2">
            <w:col w:w="620" w:space="340"/>
            <w:col w:w="9480"/>
          </w:cols>
          <w:pgMar w:left="220" w:top="616" w:right="1239" w:bottom="0" w:gutter="0" w:footer="0" w:header="0"/>
        </w:sectPr>
      </w:pPr>
    </w:p>
    <w:p>
      <w:pPr>
        <w:spacing w:after="0" w:line="30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ENERGY</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4740"/>
        <w:spacing w:after="0"/>
        <w:tabs>
          <w:tab w:leader="none" w:pos="5940" w:val="left"/>
          <w:tab w:leader="none" w:pos="7060" w:val="left"/>
          <w:tab w:leader="none" w:pos="834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280"/>
        <w:spacing w:after="0"/>
        <w:tabs>
          <w:tab w:leader="none" w:pos="4820" w:val="left"/>
          <w:tab w:leader="none" w:pos="5760" w:val="left"/>
          <w:tab w:leader="none" w:pos="7220" w:val="left"/>
          <w:tab w:leader="none" w:pos="8260" w:val="left"/>
          <w:tab w:leader="none" w:pos="946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IN ATC</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ectPr>
          <w:pgSz w:w="11900" w:h="16877" w:orient="portrait"/>
          <w:cols w:equalWidth="0" w:num="1">
            <w:col w:w="10440"/>
          </w:cols>
          <w:pgMar w:left="220" w:top="616" w:right="1239"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$737.4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$575.6</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0.4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273.1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243.7</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29.4</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202.9</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Income (Loss) from</w:t>
            </w: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89.6</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Before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Minority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Interest and</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13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 (Loss) from</w:t>
            </w: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Before Income Taxes</w:t>
            </w:r>
          </w:p>
        </w:tc>
        <w:tc>
          <w:tcPr>
            <w:tcW w:w="1540" w:type="dxa"/>
            <w:vAlign w:val="bottom"/>
          </w:tcPr>
          <w:p>
            <w:pPr>
              <w:ind w:left="720"/>
              <w:spacing w:after="0"/>
              <w:rPr>
                <w:sz w:val="20"/>
                <w:szCs w:val="20"/>
                <w:color w:val="auto"/>
              </w:rPr>
            </w:pPr>
            <w:r>
              <w:rPr>
                <w:rFonts w:ascii="Courier New" w:cs="Courier New" w:eastAsia="Courier New" w:hAnsi="Courier New"/>
                <w:sz w:val="14"/>
                <w:szCs w:val="14"/>
                <w:color w:val="auto"/>
              </w:rPr>
              <w:t>17.1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1540" w:type="dxa"/>
            <w:vAlign w:val="bottom"/>
          </w:tcPr>
          <w:p>
            <w:pPr>
              <w:ind w:left="720"/>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w:t>
            </w:r>
          </w:p>
        </w:tc>
      </w:tr>
      <w:tr>
        <w:trPr>
          <w:trHeight w:val="166"/>
        </w:trPr>
        <w:tc>
          <w:tcPr>
            <w:tcW w:w="3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$ 13.3</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$1,398.8</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$909.5</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$185.2</w:t>
            </w: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$73.7</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$227.8</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Capital Additions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$63.1</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$46.5</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$12.1</w:t>
            </w: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$555.0</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$106.8</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0.4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286.2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245.1</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41.1</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270.1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191.7</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40" w:type="dxa"/>
            <w:vAlign w:val="bottom"/>
          </w:tcPr>
          <w:p>
            <w:pPr>
              <w:ind w:left="440"/>
              <w:spacing w:after="0"/>
              <w:rPr>
                <w:sz w:val="20"/>
                <w:szCs w:val="20"/>
                <w:color w:val="auto"/>
              </w:rPr>
            </w:pPr>
            <w:r>
              <w:rPr>
                <w:rFonts w:ascii="Courier New" w:cs="Courier New" w:eastAsia="Courier New" w:hAnsi="Courier New"/>
                <w:sz w:val="14"/>
                <w:szCs w:val="14"/>
                <w:color w:val="auto"/>
              </w:rPr>
              <w:t>from Continuing Operations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100.9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78.7</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(31.7)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(12.2)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Before</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Minority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Interest and</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13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$ 37.7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3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 -</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 -</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$1,431.4</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$902.8</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$161.4</w:t>
            </w: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$75.1</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$242.6</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Capital Additions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$41.7</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$15.7</w:t>
            </w: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 represented $2.6 million of total assets in 2005($49.5 million in 2004) and $4.5  million</w:t>
      </w:r>
    </w:p>
    <w:p>
      <w:pPr>
        <w:sectPr>
          <w:pgSz w:w="11900" w:h="16877" w:orient="portrait"/>
          <w:cols w:equalWidth="0" w:num="1">
            <w:col w:w="10440"/>
          </w:cols>
          <w:pgMar w:left="220" w:top="616" w:right="1239" w:bottom="0" w:gutter="0" w:footer="0" w:header="0"/>
          <w:type w:val="continuous"/>
        </w:sectPr>
      </w:pPr>
    </w:p>
    <w:bookmarkStart w:id="75" w:name="page76"/>
    <w:bookmarkEnd w:id="75"/>
    <w:p>
      <w:pPr>
        <w:ind w:left="440"/>
        <w:spacing w:after="0"/>
        <w:rPr>
          <w:sz w:val="20"/>
          <w:szCs w:val="20"/>
          <w:color w:val="auto"/>
        </w:rPr>
      </w:pPr>
      <w:r>
        <w:rPr>
          <w:rFonts w:ascii="Courier New" w:cs="Courier New" w:eastAsia="Courier New" w:hAnsi="Courier New"/>
          <w:sz w:val="14"/>
          <w:szCs w:val="14"/>
          <w:color w:val="auto"/>
        </w:rPr>
        <w:t>of capital additions in 2005 ($21.4 million in 2004).</w:t>
      </w:r>
    </w:p>
    <w:p>
      <w:pPr>
        <w:spacing w:after="0" w:line="200" w:lineRule="exact"/>
        <w:rPr>
          <w:sz w:val="20"/>
          <w:szCs w:val="20"/>
          <w:color w:val="auto"/>
        </w:rPr>
      </w:pPr>
    </w:p>
    <w:p>
      <w:pPr>
        <w:spacing w:after="0" w:line="30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141" w:right="1440" w:bottom="1440" w:gutter="0" w:footer="0" w:header="0"/>
        </w:sectPr>
      </w:pPr>
    </w:p>
    <w:bookmarkStart w:id="76" w:name="page77"/>
    <w:bookmarkEnd w:id="76"/>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STATEMENT PREPARATION. References in this report to "we," "us" and "our" are to ALLETE and its subsidiaries, collectively. We prepare our financial 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PRINCIPLES OF CONSOLIDATION. Our consolidated financial statements include the accounts of ALLETE and all of our majority-owned subsidiary companies. All material intercompany balances and transactions have been eliminated in consolidation.</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BUSINESS SEGMENTS. Our Regulated Utility, Nonregulated Energy Operations, Real Estate, Investment in ATC and Other segments were determined in accordance with SFAS 131, "Disclosures about Segments of an Enterprise and Related Information." Segmentation is based on the manner in which we operate, assess, and allocate resources to the business. We measure performance of our operations through budgeting and monitoring of contributions to consolidated net income by each business segment. Discontinued Operations includes our telecommunications business, which we sold on December 30, 2005, our Automotive Services business that was spun off in September 2004, costs associated with the spin-off of ADESA incurred by ALLETE, and our Water Services businesses, the majority of which were sold in 2003.</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REGULATED UTILITY includes retail and wholesale rate-regulated electric, natural gas and water services in northeastern Minnesota and northwestern Wisconsin. Minnesota Power, an operating division of ALLETE, and SWL&amp;P, a wholly-owned subsidiary, provide regulated utility electric service to 154,000 retail customers in northeastern Minnesota and northwestern Wisconsin. Approximately 39% of regulated utility electric revenue is from Large Power Customers (33% of consolidated revenue). Large Power Customers consist of five taconite producers, four paper and pulp mills, two pipeline companies and one manufacturer under all-requirements contracts with expiration dates extending from February 2008 through October 2013. Revenue of $89.0 million (11.6% of consolidated revenue) was received from one taconite producer in 2006 (11.3% in 2005; 12.6% in 2004). Regulated utility rates are under the jurisdiction of Minnesota and Wisconsin, and federal regulatory authorities. Billings are rendered on a cycle basis. Revenue is accrued for service provided but not billed. Regulated utility electric rates include adjustment clauses that: (1) bill or credit customers for fuel and purchased energy costs above or below the base levels in rate schedules; (2) bill retail customers for the recovery of conservation improvement program expenditures not collected in base rates; and (3) bill customers for the recovery of certain environmental expenditures. Fuel and purchased power expense is deferred to match the period in which the revenue for fuel and purchased power expense is collected from customers pursuant to the fuel adjustment clause.</w:t>
      </w:r>
    </w:p>
    <w:p>
      <w:pPr>
        <w:spacing w:after="0" w:line="34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withdrew from Split Rock Energy, a joint venture with Great River Energy, in 2004. Upon withdrawal, we received a $12.0 million distribution in 2004. We accounted for our 50% ownership interest in Split Rock Energy under the equity method of accounting. For the year ended December 31, 2004, our pre-tax equity income from Split Rock Energy was less than $0.1 million. In 2004, prior to our withdrawal, we made power purchases from Split Rock Energy of $6.2 million and power sales to Split Rock Energy of $1.9 million.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NONREGULATED ENERGY OPERATIONS includes our coal mining activities in North Dakota, approximately 50 MW of nonregulated generation and Minnesota land sales. BNI Coal, a wholly-owned subsidiary, mines and sells lignite coal to two North Dakota mine-mouth generating units, one of which is Square Butte. Square Butte supplies approximately 60% (323 MW) of its output to Minnesota Power under a long-term contract. (See Note 8.) Coal sales are recognized when delivered at the cost of production plus a specified profit per ton of coal delivered.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2004 and 2005, Nonregulated Energy Operations included nonregulated generation (non-rate base generation sold at market-based rates to the wholesale market) from our Taconite Harbor facility in northern Minnesota and generation secured through the Kendall County power purchase agreement. To help meet forecasted base load energy requirements effective January 1, 2006, Taconite Harbor was integrated into our Regulated Utility business in accordance with the terms of our Resource Plan, as approved by the MPUC. The Kendall County power purchase agreement was assigned to Constellation Energy Commodities in April 2005. (See Note 10.)</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includes our approximate 7% equity ownership interest in ATC, a Wisconsin-based public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(See Note 6 and 8.)</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includes our Florida real estate operations. Our real estate operations include several wholly-owned subsidiaries and an 80% ownership in Lehigh Acquisition Corporation, which are consolidated in ALLETE's financial statements. All of our Florida real estate companies are principally engaged in real estate acquisitions, development and sales.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Full profit recognition is recorded on sales upon closing, provided cash collections are at least 20% of the contract price and the other requirements of SFAS 66, "Accounting for Sales of Real Estate," are met. In certain cases, where there 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bl>
    <w:p>
      <w:pPr>
        <w:sectPr>
          <w:pgSz w:w="11900" w:h="16838" w:orient="portrait"/>
          <w:cols w:equalWidth="0" w:num="1">
            <w:col w:w="10239"/>
          </w:cols>
          <w:pgMar w:left="220" w:top="616" w:right="1440" w:bottom="0" w:gutter="0" w:footer="0" w:header="0"/>
        </w:sectPr>
      </w:pPr>
    </w:p>
    <w:bookmarkStart w:id="77" w:name="page78"/>
    <w:bookmarkEnd w:id="77"/>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obligations to perform significant development activities after the date of sale, we recognize profit on a percentage-of-completion basis in accordance with SFAS 66. Pursuant to this method of accounting, gross profit is recognized based upon the relationship of development costs incurred as of that date to the total estimated costs to develop the parcels, including all related amenities or common costs of the entire project. Revenue and cost of real estate sold in excess of the amount recognized based on the percentage-of-completion method is deferred and recognized as revenue and cost of real estate sold during the period in which the related development costs are incurred. Revenue and cost of real estate sold are recorded net as Deferred Profit on Sales of Real Estate on our consolidated balance sheet. In addition to minimum base price contracts, certain contracts allow us to receive participation revenue from land sales to third parties if various formula-based criteria are achieved.</w:t>
      </w:r>
    </w:p>
    <w:p>
      <w:pPr>
        <w:spacing w:after="0" w:line="16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In certain cases, we pay fees or construct improvements to mitigate offsite traffic impacts. In return, we receive traffic impact fee credits. We recognize revenue from the sale of traffic impact fee credits when payment is received.</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Land held for sale is recorded at the lower of cost or fair value determined by the evaluation of individual land parcels and is included in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SFAS 67, "Accounting for Costs and Initial Rental Operations of Real Estate Projects." When real estate is sold, the cost of real estate sold includes the actual costs incurred and the estimate of future completion costs allocated to the real estate sold based upon the relative sales value method.</w:t>
      </w:r>
    </w:p>
    <w:p>
      <w:pPr>
        <w:spacing w:after="0" w:line="16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Whenever events or circumstances indicate that the carrying value of the real estate may not be recoverable, impairments would be recorded and the related assets would be adjusted to their estimated fair value, less costs to sell.</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OTHER includes investments in emerging technologies, and earnings on cash and short-term investments.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investments in privately-held companies under the cost method because of our ownership percentage. Short-term investments consist of auction rate bonds and variable rate demand notes, and are classified as available-for-sale securities. All income generated from these short-term investments is recorded as interest income.</w:t>
      </w:r>
    </w:p>
    <w:p>
      <w:pPr>
        <w:spacing w:after="0" w:line="329"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PROPERTY, PLANT AND EQUIPMENT. Property, plant and equipment are recorded at original cost and are reported on the balance sheet net of accumulated depreciation. Expenditures for additions and significant replacements and improvements are capitalized; maintenance and repair costs are expensed as incurred. Expenditures for major plant overhauls are also accounted for using this same policy. Gains or losses on nonregulated property, plant and equipment are recognized when they are retired or otherwise disposed. When regulated utility property, plant and equipment are retired or otherwise disposed, no gain or loss is recognized, pursuant to SFAS 71, "Accounting for the Effects of Certain Types of Regulations." Our Regulated Utility operations capitalize an allowance for funds used during construction, which includes both an interest and equity component.</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LONG-LIVED ASSET IMPAIRMENTS. We account for our long-lived assets at depreciated historical cost. A long-lived asset is tested for recoverability whenever events or changes in circumstances indicate that its carrying amount may not be recoverable. We conduct this assessment using SFAS 144, "Accounting for the Impairment and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loss only if the carrying amount of a long-lived asset is not recoverable from its undiscounted future cash flows. Management judgment is involved in both deciding if testing for recoverability is necessary and in estimating undiscounted future cash flows.</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ACCOUNTS RECEIVABLE. Accounts receivable are reported on the balance sheet net of an allowance for doubtful accounts. The allowance is based on our evaluation of the receivable portfolio under current conditions overall portfolio quality, review of specific problems and such other factors that, in our judgment, deserve recognition in estimating losses.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RECEIVABLE</w:t>
            </w: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41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Trade Accounts Receivable</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660" w:type="dxa"/>
            <w:vAlign w:val="bottom"/>
          </w:tcPr>
          <w:p>
            <w:pPr>
              <w:ind w:left="620"/>
              <w:spacing w:after="0"/>
              <w:rPr>
                <w:sz w:val="20"/>
                <w:szCs w:val="20"/>
                <w:color w:val="auto"/>
              </w:rPr>
            </w:pPr>
            <w:r>
              <w:rPr>
                <w:rFonts w:ascii="Courier New" w:cs="Courier New" w:eastAsia="Courier New" w:hAnsi="Courier New"/>
                <w:sz w:val="14"/>
                <w:szCs w:val="14"/>
                <w:color w:val="auto"/>
              </w:rPr>
              <w:t>Billed</w:t>
            </w:r>
          </w:p>
        </w:tc>
        <w:tc>
          <w:tcPr>
            <w:tcW w:w="3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$58.5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$65.5</w:t>
            </w:r>
          </w:p>
        </w:tc>
      </w:tr>
      <w:tr>
        <w:trPr>
          <w:trHeight w:val="166"/>
        </w:trPr>
        <w:tc>
          <w:tcPr>
            <w:tcW w:w="5660" w:type="dxa"/>
            <w:vAlign w:val="bottom"/>
          </w:tcPr>
          <w:p>
            <w:pPr>
              <w:ind w:left="620"/>
              <w:spacing w:after="0"/>
              <w:rPr>
                <w:sz w:val="20"/>
                <w:szCs w:val="20"/>
                <w:color w:val="auto"/>
              </w:rPr>
            </w:pPr>
            <w:r>
              <w:rPr>
                <w:rFonts w:ascii="Courier New" w:cs="Courier New" w:eastAsia="Courier New" w:hAnsi="Courier New"/>
                <w:sz w:val="14"/>
                <w:szCs w:val="14"/>
                <w:color w:val="auto"/>
              </w:rPr>
              <w:t>Unbilled</w:t>
            </w:r>
          </w:p>
        </w:tc>
        <w:tc>
          <w:tcPr>
            <w:tcW w:w="3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0"/>
        </w:trPr>
        <w:tc>
          <w:tcPr>
            <w:tcW w:w="5660" w:type="dxa"/>
            <w:vAlign w:val="bottom"/>
          </w:tcPr>
          <w:p>
            <w:pPr>
              <w:ind w:left="620"/>
              <w:spacing w:after="0"/>
              <w:rPr>
                <w:sz w:val="20"/>
                <w:szCs w:val="20"/>
                <w:color w:val="auto"/>
              </w:rPr>
            </w:pPr>
            <w:r>
              <w:rPr>
                <w:rFonts w:ascii="Courier New" w:cs="Courier New" w:eastAsia="Courier New" w:hAnsi="Courier New"/>
                <w:sz w:val="14"/>
                <w:szCs w:val="14"/>
                <w:color w:val="auto"/>
              </w:rPr>
              <w:t>Less:  Allowance for Doubtful Accounts</w:t>
            </w:r>
          </w:p>
        </w:tc>
        <w:tc>
          <w:tcPr>
            <w:tcW w:w="3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400" w:val="left"/>
          <w:tab w:leader="none" w:pos="9540" w:val="left"/>
        </w:tabs>
        <w:rPr>
          <w:sz w:val="20"/>
          <w:szCs w:val="20"/>
          <w:color w:val="auto"/>
        </w:rPr>
      </w:pPr>
      <w:r>
        <w:rPr>
          <w:rFonts w:ascii="Courier New" w:cs="Courier New" w:eastAsia="Courier New" w:hAnsi="Courier New"/>
          <w:sz w:val="14"/>
          <w:szCs w:val="14"/>
          <w:color w:val="auto"/>
        </w:rPr>
        <w:t>Total Accounts Receivable - Net</w:t>
      </w:r>
      <w:r>
        <w:rPr>
          <w:sz w:val="20"/>
          <w:szCs w:val="20"/>
          <w:color w:val="auto"/>
        </w:rPr>
        <w:tab/>
      </w:r>
      <w:r>
        <w:rPr>
          <w:rFonts w:ascii="Courier New" w:cs="Courier New" w:eastAsia="Courier New" w:hAnsi="Courier New"/>
          <w:sz w:val="14"/>
          <w:szCs w:val="14"/>
          <w:color w:val="auto"/>
        </w:rPr>
        <w:t>$70.9</w:t>
      </w:r>
      <w:r>
        <w:rPr>
          <w:sz w:val="20"/>
          <w:szCs w:val="20"/>
          <w:color w:val="auto"/>
        </w:rPr>
        <w:tab/>
      </w:r>
      <w:r>
        <w:rPr>
          <w:rFonts w:ascii="Courier New" w:cs="Courier New" w:eastAsia="Courier New" w:hAnsi="Courier New"/>
          <w:sz w:val="14"/>
          <w:szCs w:val="14"/>
          <w:color w:val="auto"/>
        </w:rPr>
        <w:t>$79.1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80"/>
          </w:cols>
          <w:pgMar w:left="220" w:top="616" w:right="999" w:bottom="0" w:gutter="0" w:footer="0" w:header="0"/>
        </w:sectPr>
      </w:pPr>
    </w:p>
    <w:bookmarkStart w:id="78" w:name="page79"/>
    <w:bookmarkEnd w:id="78"/>
    <w:p>
      <w:pPr>
        <w:spacing w:after="0"/>
        <w:tabs>
          <w:tab w:leader="none" w:pos="508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141" w:right="1440" w:bottom="1440" w:gutter="0" w:footer="0" w:header="0"/>
        </w:sectPr>
      </w:pPr>
    </w:p>
    <w:bookmarkStart w:id="79" w:name="page80"/>
    <w:bookmarkEnd w:id="79"/>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Inventories are stated at the lower of cost or market.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Fuel</w:t>
            </w:r>
          </w:p>
        </w:tc>
        <w:tc>
          <w:tcPr>
            <w:tcW w:w="4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4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4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$43.4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UNAMORTIZED DISCOUNT AND PREMIUM ON DEBT. Discount and premium on debt are deferred and amortized over the terms of the related debt instruments using the effective interest method.</w:t>
      </w:r>
    </w:p>
    <w:p>
      <w:pPr>
        <w:spacing w:after="0" w:line="163" w:lineRule="exact"/>
        <w:rPr>
          <w:sz w:val="20"/>
          <w:szCs w:val="20"/>
          <w:color w:val="auto"/>
        </w:rPr>
      </w:pPr>
    </w:p>
    <w:p>
      <w:pPr>
        <w:jc w:val="both"/>
        <w:ind w:right="3780"/>
        <w:spacing w:after="0" w:line="255" w:lineRule="auto"/>
        <w:rPr>
          <w:sz w:val="20"/>
          <w:szCs w:val="20"/>
          <w:color w:val="auto"/>
        </w:rPr>
      </w:pPr>
      <w:r>
        <w:rPr>
          <w:rFonts w:ascii="Courier New" w:cs="Courier New" w:eastAsia="Courier New" w:hAnsi="Courier New"/>
          <w:sz w:val="14"/>
          <w:szCs w:val="14"/>
          <w:color w:val="auto"/>
        </w:rPr>
        <w:t>CASH AND CASH EQUIVALENTS. We consider all investments purchased with original maturities of three months or less to be cash equivalents.</w:t>
      </w:r>
    </w:p>
    <w:p>
      <w:pPr>
        <w:spacing w:after="0" w:line="160"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SUPPLEMENTAL STATEMENT OF CASH FLOW INFORMATION. Amounts presented for 2005 and 2004 have been revised to eliminate intercompany interest payments from cash paid during the period for Interest - Net of Amounts Capitalized.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STATEMENT OF CASH FLOWS</w:t>
            </w:r>
          </w:p>
        </w:tc>
        <w:tc>
          <w:tcPr>
            <w:tcW w:w="2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SUPPLEMENTAL</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DISCLOSURE</w:t>
            </w:r>
          </w:p>
        </w:tc>
        <w:tc>
          <w:tcPr>
            <w:tcW w:w="2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w:t>
            </w:r>
          </w:p>
        </w:tc>
        <w:tc>
          <w:tcPr>
            <w:tcW w:w="28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Cash Paid During the Period for</w:t>
            </w:r>
          </w:p>
        </w:tc>
        <w:tc>
          <w:tcPr>
            <w:tcW w:w="2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Interest - Net of Amounts Capitalized</w:t>
            </w: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$25.3</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3820" w:type="dxa"/>
            <w:vAlign w:val="bottom"/>
          </w:tcPr>
          <w:p>
            <w:pPr>
              <w:spacing w:after="0"/>
              <w:rPr>
                <w:sz w:val="14"/>
                <w:szCs w:val="14"/>
                <w:color w:val="auto"/>
              </w:rPr>
            </w:pP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$34.5</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$75.7</w:t>
            </w: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Noncash Investing</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Accounts Payable for Capital Additions to</w:t>
            </w:r>
          </w:p>
        </w:tc>
        <w:tc>
          <w:tcPr>
            <w:tcW w:w="2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Property</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of a $24.3 million cash refund.</w:t>
      </w:r>
    </w:p>
    <w:p>
      <w:pPr>
        <w:spacing w:after="0" w:line="200" w:lineRule="exact"/>
        <w:rPr>
          <w:sz w:val="20"/>
          <w:szCs w:val="20"/>
          <w:color w:val="auto"/>
        </w:rPr>
      </w:pPr>
    </w:p>
    <w:p>
      <w:pPr>
        <w:spacing w:after="0" w:line="304"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AVAILABLE-FOR-SALE SECURITIES. Available-for-sale securities are recorded at fair value with unrealized gains and losses included in accumulated other comprehensive income (loss), net of tax. Unrealized losses that are other than temporary are recognized in earnings. Our auction rate securities and variable rate demand notes classified as available-for-sale securities, however, are recorded at cost. Their cost approximates fair market value as they typically reset every 7 to 35 days. Despite the long-term nature of their stated contractual maturities, we have the ability to quickly liquidate these securities. 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w:t>
      </w:r>
    </w:p>
    <w:p>
      <w:pPr>
        <w:spacing w:after="0" w:line="329"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ACCOUNTING FOR STOCK-BASED COMPENSATION. Effective January 1, 2006, we adopted the fair value recognition provisions of SFAS 123R, "Share-Based Payment," using the modified prospective transition method. Under this method, we recognize compensation expense for all share-based payments granted after January 1, 2006, and those granted prior to but not yet vested as of January 1, 2006. Under the fair value recognition provisions of SFAS 123R, we recognize stock-based compensation net of an estimated forfeiture rate and only recognize compensation expense for those shares expected to vest over the required service period of the award. Prior to our adoption of SFAS 123R, we accounted for share-based payments under Accounting Principles Board Opinion No. 25, "Accounting for Stock Issued to Employees" and related interpretations. (See Note 17.)</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FOREIGN CURRENCY TRANSLATION. Results of operations for our Canadian and Mexican automotive subsidiaries prior to the spin-off of ADESA in 2004 were translated into United States dollars using the average exchange rates during the applicable periods. Assets and liabilities were translated into United States dollars using the exchange rate on the balance sheet date. Resulting translation adjustments were recorded in Accumulated Other Comprehensive Income (Loss) in Shareholders' Equity.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bl>
    <w:p>
      <w:pPr>
        <w:sectPr>
          <w:pgSz w:w="11900" w:h="16838" w:orient="portrait"/>
          <w:cols w:equalWidth="0" w:num="1">
            <w:col w:w="10680"/>
          </w:cols>
          <w:pgMar w:left="220" w:top="616" w:right="999" w:bottom="1440" w:gutter="0" w:footer="0" w:header="0"/>
        </w:sectPr>
      </w:pPr>
    </w:p>
    <w:bookmarkStart w:id="80" w:name="page81"/>
    <w:bookmarkEnd w:id="80"/>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NOTE 2.</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6800" w:type="dxa"/>
            <w:vAlign w:val="bottom"/>
          </w:tcPr>
          <w:p>
            <w:pPr>
              <w:ind w:left="40"/>
              <w:spacing w:after="0"/>
              <w:rPr>
                <w:sz w:val="20"/>
                <w:szCs w:val="20"/>
                <w:color w:val="auto"/>
              </w:rPr>
            </w:pPr>
            <w:r>
              <w:rPr>
                <w:rFonts w:ascii="Courier New" w:cs="Courier New" w:eastAsia="Courier New" w:hAnsi="Courier New"/>
                <w:sz w:val="14"/>
                <w:szCs w:val="14"/>
                <w:color w:val="auto"/>
              </w:rPr>
              <w:t>AND SIGNIFICANT ACCOUNTING POLICIES (CONTINUED)</w:t>
            </w:r>
          </w:p>
        </w:tc>
        <w:tc>
          <w:tcPr>
            <w:tcW w:w="1260" w:type="dxa"/>
            <w:vAlign w:val="bottom"/>
          </w:tcPr>
          <w:p>
            <w:pPr>
              <w:spacing w:after="0"/>
              <w:rPr>
                <w:sz w:val="14"/>
                <w:szCs w:val="14"/>
                <w:color w:val="auto"/>
              </w:rPr>
            </w:pPr>
          </w:p>
        </w:tc>
      </w:tr>
      <w:tr>
        <w:trPr>
          <w:trHeight w:val="663"/>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PREPAYMENTS AND OTHER</w:t>
            </w:r>
          </w:p>
        </w:tc>
        <w:tc>
          <w:tcPr>
            <w:tcW w:w="6800" w:type="dxa"/>
            <w:vAlign w:val="bottom"/>
          </w:tcPr>
          <w:p>
            <w:pPr>
              <w:ind w:left="40"/>
              <w:spacing w:after="0"/>
              <w:rPr>
                <w:sz w:val="20"/>
                <w:szCs w:val="20"/>
                <w:color w:val="auto"/>
              </w:rPr>
            </w:pPr>
            <w:r>
              <w:rPr>
                <w:rFonts w:ascii="Courier New" w:cs="Courier New" w:eastAsia="Courier New" w:hAnsi="Courier New"/>
                <w:sz w:val="14"/>
                <w:szCs w:val="14"/>
                <w:color w:val="auto"/>
              </w:rPr>
              <w:t>CURRENT ASSETS</w:t>
            </w:r>
          </w:p>
        </w:tc>
        <w:tc>
          <w:tcPr>
            <w:tcW w:w="126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spacing w:after="0"/>
              <w:rPr>
                <w:sz w:val="14"/>
                <w:szCs w:val="14"/>
                <w:color w:val="auto"/>
              </w:rPr>
            </w:pPr>
          </w:p>
        </w:tc>
        <w:tc>
          <w:tcPr>
            <w:tcW w:w="6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Deferred Fuel Adjustment Clause</w:t>
            </w:r>
          </w:p>
        </w:tc>
        <w:tc>
          <w:tcPr>
            <w:tcW w:w="3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0"/>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400" w:val="left"/>
          <w:tab w:leader="none" w:pos="9540" w:val="left"/>
        </w:tabs>
        <w:rPr>
          <w:sz w:val="20"/>
          <w:szCs w:val="20"/>
          <w:color w:val="auto"/>
        </w:rPr>
      </w:pPr>
      <w:r>
        <w:rPr>
          <w:rFonts w:ascii="Courier New" w:cs="Courier New" w:eastAsia="Courier New" w:hAnsi="Courier New"/>
          <w:sz w:val="14"/>
          <w:szCs w:val="14"/>
          <w:color w:val="auto"/>
        </w:rPr>
        <w:t>Total Prepayments and Other Current Assets</w:t>
      </w:r>
      <w:r>
        <w:rPr>
          <w:sz w:val="20"/>
          <w:szCs w:val="20"/>
          <w:color w:val="auto"/>
        </w:rPr>
        <w:tab/>
      </w:r>
      <w:r>
        <w:rPr>
          <w:rFonts w:ascii="Courier New" w:cs="Courier New" w:eastAsia="Courier New" w:hAnsi="Courier New"/>
          <w:sz w:val="14"/>
          <w:szCs w:val="14"/>
          <w:color w:val="auto"/>
        </w:rPr>
        <w:t>$23.8</w:t>
      </w:r>
      <w:r>
        <w:rPr>
          <w:sz w:val="20"/>
          <w:szCs w:val="20"/>
          <w:color w:val="auto"/>
        </w:rPr>
        <w:tab/>
      </w:r>
      <w:r>
        <w:rPr>
          <w:rFonts w:ascii="Courier New" w:cs="Courier New" w:eastAsia="Courier New" w:hAnsi="Courier New"/>
          <w:sz w:val="14"/>
          <w:szCs w:val="14"/>
          <w:color w:val="auto"/>
        </w:rPr>
        <w:t>$23.8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p>
      <w:pPr>
        <w:spacing w:after="0"/>
        <w:tabs>
          <w:tab w:leader="none" w:pos="7400" w:val="left"/>
          <w:tab w:leader="none" w:pos="954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Future Benefit Obligations Under</w:t>
            </w:r>
          </w:p>
        </w:tc>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Defined Benefit Pension and Other Postretirement Plans</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$ 86.1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6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48.9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300" w:val="left"/>
          <w:tab w:leader="none" w:pos="9540" w:val="left"/>
        </w:tabs>
        <w:rPr>
          <w:sz w:val="20"/>
          <w:szCs w:val="20"/>
          <w:color w:val="auto"/>
        </w:rPr>
      </w:pPr>
      <w:r>
        <w:rPr>
          <w:rFonts w:ascii="Courier New" w:cs="Courier New" w:eastAsia="Courier New" w:hAnsi="Courier New"/>
          <w:sz w:val="14"/>
          <w:szCs w:val="14"/>
          <w:color w:val="auto"/>
        </w:rPr>
        <w:t>Total Other Assets</w:t>
      </w:r>
      <w:r>
        <w:rPr>
          <w:sz w:val="20"/>
          <w:szCs w:val="20"/>
          <w:color w:val="auto"/>
        </w:rPr>
        <w:tab/>
      </w:r>
      <w:r>
        <w:rPr>
          <w:rFonts w:ascii="Courier New" w:cs="Courier New" w:eastAsia="Courier New" w:hAnsi="Courier New"/>
          <w:sz w:val="14"/>
          <w:szCs w:val="14"/>
          <w:color w:val="auto"/>
        </w:rPr>
        <w:t>$135.0</w:t>
      </w:r>
      <w:r>
        <w:rPr>
          <w:sz w:val="20"/>
          <w:szCs w:val="20"/>
          <w:color w:val="auto"/>
        </w:rPr>
        <w:tab/>
      </w:r>
      <w:r>
        <w:rPr>
          <w:rFonts w:ascii="Courier New" w:cs="Courier New" w:eastAsia="Courier New" w:hAnsi="Courier New"/>
          <w:sz w:val="14"/>
          <w:szCs w:val="14"/>
          <w:color w:val="auto"/>
        </w:rPr>
        <w:t>$44.6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LIABILITIES</w:t>
      </w:r>
    </w:p>
    <w:p>
      <w:pPr>
        <w:spacing w:after="0" w:line="7" w:lineRule="exact"/>
        <w:rPr>
          <w:sz w:val="20"/>
          <w:szCs w:val="20"/>
          <w:color w:val="auto"/>
        </w:rPr>
      </w:pPr>
    </w:p>
    <w:p>
      <w:pPr>
        <w:spacing w:after="0"/>
        <w:tabs>
          <w:tab w:leader="none" w:pos="7400" w:val="left"/>
          <w:tab w:leader="none" w:pos="954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Deferred Regulatory Credits (See Note 5)</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$ 33.8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$ 31.8</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34.2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Future Benefit Obligation Under</w:t>
            </w: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200" w:type="dxa"/>
            <w:vAlign w:val="bottom"/>
          </w:tcPr>
          <w:p>
            <w:pPr>
              <w:ind w:left="440"/>
              <w:spacing w:after="0"/>
              <w:rPr>
                <w:sz w:val="20"/>
                <w:szCs w:val="20"/>
                <w:color w:val="auto"/>
              </w:rPr>
            </w:pPr>
            <w:r>
              <w:rPr>
                <w:rFonts w:ascii="Courier New" w:cs="Courier New" w:eastAsia="Courier New" w:hAnsi="Courier New"/>
                <w:sz w:val="14"/>
                <w:szCs w:val="14"/>
                <w:color w:val="auto"/>
              </w:rPr>
              <w:t>Defined Benefit Pension and Other Postretirement Plans</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107.6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Asset Retirement Obligations (See Note 3)</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Other Liabilities</w:t>
            </w:r>
          </w:p>
        </w:tc>
        <w:tc>
          <w:tcPr>
            <w:tcW w:w="40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ENVIRONMENTAL LIABILITIES.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w:t>
      </w:r>
    </w:p>
    <w:p>
      <w:pPr>
        <w:spacing w:after="0" w:line="16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INCOME TAXES. We file a consolidated federal income tax return. We account for income taxes using the liability method as prescribed by SFAS 109, "Accounting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 Due to the effects of regulation on Minnesota Power, certain adjustments made to deferred income taxes are, in turn, recorded as regulatory assets or liabilities. Investment tax credits have been recorded as deferred credits and are being amortized to income tax expense over the service lives of the related property.</w:t>
      </w:r>
    </w:p>
    <w:p>
      <w:pPr>
        <w:spacing w:after="0" w:line="16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EXCISE TAXES. We collect excise taxes from our customers levied by government entities. These taxes are stated separately on the billing to the customer and recorded as a liability to be remitted to the government entity. We account for the collection and payment of these taxes on the net basis and neither the amounts collected or paid are reflected on our consolidated statement of income.</w:t>
      </w:r>
    </w:p>
    <w:p>
      <w:pPr>
        <w:spacing w:after="0" w:line="165" w:lineRule="exact"/>
        <w:rPr>
          <w:sz w:val="20"/>
          <w:szCs w:val="20"/>
          <w:color w:val="auto"/>
        </w:rPr>
      </w:pPr>
    </w:p>
    <w:p>
      <w:pPr>
        <w:jc w:val="both"/>
        <w:ind w:right="3880"/>
        <w:spacing w:after="0" w:line="250" w:lineRule="auto"/>
        <w:rPr>
          <w:sz w:val="20"/>
          <w:szCs w:val="20"/>
          <w:color w:val="auto"/>
        </w:rPr>
      </w:pPr>
      <w:r>
        <w:rPr>
          <w:rFonts w:ascii="Courier New" w:cs="Courier New" w:eastAsia="Courier New" w:hAnsi="Courier New"/>
          <w:sz w:val="14"/>
          <w:szCs w:val="14"/>
          <w:color w:val="auto"/>
        </w:rPr>
        <w:t>NEW ACCOUNTING STANDARDS. INTERPRETATION NO. 48. In June 2006, the FASB issued Interpretation No. 48, "Accounting for Uncertainty in Income Taxes - an Interpretation of FASB Statement No. 109" (Interpretation No. 48). Interpretation No. 48 clarifies the accounting for uncertain tax positions in accordance with SFAS 109, "Accounting for Income Taxes." Pursuant to Interpretation No. 48, we will be required to recognize in our financial statements the largest tax benefit of a tax position that is "more-likely-than-not" to be sustained, on audit, based solely on the technical merits of the position as of the reporting date. Only tax positions that meet the "more-likely-than-not" threshold at that date may be recognized. The term "more-likely-than-not" means a likelihood of more than 50%. Interpretation No. 48 also provides guidance on new disclosure requirements, reporting and accrual of interest and penalties, accounting in interim periods and transition. The cumulative effect of initially applying Interpretation No. 48 will be recognized as a change in accounting principle as of the date of adoption. We are currently evaluating the impact of applying this interpretation as of January 1, 2007, the effective date of the interpretation. We do not expect Interpretation No. 48 to</w:t>
      </w:r>
    </w:p>
    <w:p>
      <w:pPr>
        <w:sectPr>
          <w:pgSz w:w="11900" w:h="16876" w:orient="portrait"/>
          <w:cols w:equalWidth="0" w:num="1">
            <w:col w:w="10780"/>
          </w:cols>
          <w:pgMar w:left="220" w:top="616" w:right="899" w:bottom="0" w:gutter="0" w:footer="0" w:header="0"/>
        </w:sectPr>
      </w:pPr>
    </w:p>
    <w:bookmarkStart w:id="81" w:name="page82"/>
    <w:bookmarkEnd w:id="81"/>
    <w:p>
      <w:pPr>
        <w:ind w:right="3339"/>
        <w:spacing w:after="0" w:line="255" w:lineRule="auto"/>
        <w:rPr>
          <w:sz w:val="20"/>
          <w:szCs w:val="20"/>
          <w:color w:val="auto"/>
        </w:rPr>
      </w:pPr>
      <w:r>
        <w:rPr>
          <w:rFonts w:ascii="Courier New" w:cs="Courier New" w:eastAsia="Courier New" w:hAnsi="Courier New"/>
          <w:sz w:val="14"/>
          <w:szCs w:val="14"/>
          <w:color w:val="auto"/>
        </w:rPr>
        <w:t>have a material impact on our financial position, results of operations or cash flows.</w:t>
      </w:r>
    </w:p>
    <w:p>
      <w:pPr>
        <w:spacing w:after="0" w:line="16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141" w:right="1440" w:bottom="1440" w:gutter="0" w:footer="0" w:header="0"/>
        </w:sectPr>
      </w:pPr>
    </w:p>
    <w:bookmarkStart w:id="82" w:name="page83"/>
    <w:bookmarkEnd w:id="82"/>
    <w:p>
      <w:pPr>
        <w:spacing w:after="0" w:line="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SFAS 157. In September 2006, the FASB issued SFAS 157, "Fair Value Measurements" (SFAS 157), to increase consistency and comparability in fair value measurements by defining fair value, establishing a framework for measuring fair value in generally accepted accounting principles,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will be applied on a prospective basis. We are currently evaluating the impact that the adoption of SFAS 157 will have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PROPERTY, PLANT AND EQUIPMENT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35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3360" w:type="dxa"/>
            <w:vAlign w:val="bottom"/>
          </w:tcPr>
          <w:p>
            <w:pPr>
              <w:spacing w:after="0"/>
              <w:rPr>
                <w:sz w:val="14"/>
                <w:szCs w:val="14"/>
                <w:color w:val="auto"/>
              </w:rPr>
            </w:pPr>
          </w:p>
        </w:tc>
        <w:tc>
          <w:tcPr>
            <w:tcW w:w="38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$1,575.8</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$1,457.4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Construction Work</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in Progress</w:t>
            </w:r>
          </w:p>
        </w:tc>
        <w:tc>
          <w:tcPr>
            <w:tcW w:w="38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71.4</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Accumulated Depreciation</w:t>
            </w:r>
          </w:p>
        </w:tc>
        <w:tc>
          <w:tcPr>
            <w:tcW w:w="3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(781.3)</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(743.5)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Regulated Utility Plant - Net</w:t>
            </w:r>
          </w:p>
        </w:tc>
        <w:tc>
          <w:tcPr>
            <w:tcW w:w="3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865.9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735.1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3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88.5</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Construction Work in Progress</w:t>
            </w:r>
          </w:p>
        </w:tc>
        <w:tc>
          <w:tcPr>
            <w:tcW w:w="3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3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(40.1)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 Plant - Net</w:t>
            </w:r>
          </w:p>
        </w:tc>
        <w:tc>
          <w:tcPr>
            <w:tcW w:w="3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51.0</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120.4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Other Plant - Net</w:t>
            </w:r>
          </w:p>
        </w:tc>
        <w:tc>
          <w:tcPr>
            <w:tcW w:w="3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4.7</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Property, Plant and Equipment - Net</w:t>
            </w:r>
          </w:p>
        </w:tc>
        <w:tc>
          <w:tcPr>
            <w:tcW w:w="3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921.6</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860.4</w:t>
            </w:r>
          </w:p>
        </w:tc>
      </w:tr>
    </w:tbl>
    <w:p>
      <w:pPr>
        <w:spacing w:after="0" w:line="4"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2006, our Taconite Harbor generating facility was redirected from Nonregulated Energy Operations to Regulated Utility.</w:t>
      </w:r>
    </w:p>
    <w:p>
      <w:pPr>
        <w:spacing w:after="0" w:line="200" w:lineRule="exact"/>
        <w:rPr>
          <w:sz w:val="20"/>
          <w:szCs w:val="20"/>
          <w:color w:val="auto"/>
        </w:rPr>
      </w:pPr>
    </w:p>
    <w:p>
      <w:pPr>
        <w:spacing w:after="0" w:line="291"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Depreciation is computed using the straight-line method over the estimated useful lives of the various classes of plant. The MPUC and the PSCW have approved depreciation rates for our Regulated Utility plant.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USEFUL LIVES OF 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Regulated Utility - Generation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30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3240" w:type="dxa"/>
            <w:vAlign w:val="bottom"/>
          </w:tcPr>
          <w:p>
            <w:pPr>
              <w:ind w:left="1740"/>
              <w:spacing w:after="0"/>
              <w:rPr>
                <w:sz w:val="20"/>
                <w:szCs w:val="20"/>
                <w:color w:val="auto"/>
              </w:rPr>
            </w:pPr>
            <w:r>
              <w:rPr>
                <w:rFonts w:ascii="Courier New" w:cs="Courier New" w:eastAsia="Courier New" w:hAnsi="Courier New"/>
                <w:sz w:val="14"/>
                <w:szCs w:val="14"/>
                <w:color w:val="auto"/>
              </w:rPr>
              <w:t>Transmission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Other Plant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3240" w:type="dxa"/>
            <w:vAlign w:val="bottom"/>
          </w:tcPr>
          <w:p>
            <w:pPr>
              <w:ind w:left="1740"/>
              <w:spacing w:after="0"/>
              <w:rPr>
                <w:sz w:val="20"/>
                <w:szCs w:val="20"/>
                <w:color w:val="auto"/>
              </w:rPr>
            </w:pPr>
            <w:r>
              <w:rPr>
                <w:rFonts w:ascii="Courier New" w:cs="Courier New" w:eastAsia="Courier New" w:hAnsi="Courier New"/>
                <w:sz w:val="14"/>
                <w:szCs w:val="14"/>
                <w:color w:val="auto"/>
              </w:rPr>
              <w:t>Distribution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0" w:lineRule="auto"/>
        <w:rPr>
          <w:sz w:val="20"/>
          <w:szCs w:val="20"/>
          <w:color w:val="auto"/>
        </w:rPr>
      </w:pPr>
      <w:r>
        <w:rPr>
          <w:rFonts w:ascii="Courier New" w:cs="Courier New" w:eastAsia="Courier New" w:hAnsi="Courier New"/>
          <w:sz w:val="14"/>
          <w:szCs w:val="14"/>
          <w:color w:val="auto"/>
        </w:rPr>
        <w:t>ASSET RETIREMENT OBLIGATIONS. Pursuant to SFAS 143, "Accounting for Asset Retirement Obligations," we recognize, at fair value, obligations associated with the retirement of tangible, long-lived assets that result from the acquisition, construction or development and/or normal operation of the asset. The associated retirement costs are capitalized as part of the related long-lived asset and depreciated over the useful life of the asset. Asset retirement obligations relate primarily to the decommissioning of our utility steam generating facilities and reclamation at BNI Coal, and are included in Other Liabilities on our consolidated balance sheet. Removal costs associated with certain distribution and transmission assets have not been recognized as these facilities have been determined to have indeterminate useful lives. Prior to the adoption of SFAS 143, utility decommissioning obligations were accrued through depreciation expense at depreciation rates approved by the MPUC. Conditional asset retirement obligations have been identified for treated wood poles and remaining polychlorinated biphenyl and asbestos-containing assets; however, removal costs have not been recognized due to indeterminate retirement settlement dates.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RETIREMENT OBLIGATION</w:t>
      </w:r>
    </w:p>
    <w:p>
      <w:pPr>
        <w:spacing w:after="0" w:line="7"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Obligation at December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31, 2004</w:t>
            </w:r>
          </w:p>
        </w:tc>
        <w:tc>
          <w:tcPr>
            <w:tcW w:w="366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Accretion Expense</w:t>
            </w:r>
          </w:p>
        </w:tc>
        <w:tc>
          <w:tcPr>
            <w:tcW w:w="7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Additional Liabilities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Incurred</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in 2005</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780"/>
          </w:cols>
          <w:pgMar w:left="220" w:top="616" w:right="89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Obligation at December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31, 2005</w:t>
            </w:r>
          </w:p>
        </w:tc>
        <w:tc>
          <w:tcPr>
            <w:tcW w:w="3700" w:type="dxa"/>
            <w:vAlign w:val="bottom"/>
          </w:tcPr>
          <w:p>
            <w:pPr>
              <w:spacing w:after="0"/>
              <w:rPr>
                <w:sz w:val="14"/>
                <w:szCs w:val="14"/>
                <w:color w:val="auto"/>
              </w:rPr>
            </w:pP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Accretion Expense</w:t>
            </w:r>
          </w:p>
        </w:tc>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0"/>
        </w:trPr>
        <w:tc>
          <w:tcPr>
            <w:tcW w:w="1940" w:type="dxa"/>
            <w:vAlign w:val="bottom"/>
          </w:tcPr>
          <w:p>
            <w:pPr>
              <w:spacing w:after="0"/>
              <w:rPr>
                <w:sz w:val="20"/>
                <w:szCs w:val="20"/>
                <w:color w:val="auto"/>
              </w:rPr>
            </w:pPr>
            <w:r>
              <w:rPr>
                <w:rFonts w:ascii="Courier New" w:cs="Courier New" w:eastAsia="Courier New" w:hAnsi="Courier New"/>
                <w:sz w:val="14"/>
                <w:szCs w:val="14"/>
                <w:color w:val="auto"/>
              </w:rPr>
              <w:t>Additional Liabilities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Incurred</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in 2006</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9380" w:val="left"/>
        </w:tabs>
        <w:rPr>
          <w:sz w:val="20"/>
          <w:szCs w:val="20"/>
          <w:color w:val="auto"/>
        </w:rPr>
      </w:pPr>
      <w:r>
        <w:rPr>
          <w:rFonts w:ascii="Courier New" w:cs="Courier New" w:eastAsia="Courier New" w:hAnsi="Courier New"/>
          <w:sz w:val="14"/>
          <w:szCs w:val="14"/>
          <w:color w:val="auto"/>
        </w:rPr>
        <w:t>Obligation at December 31, 2006</w:t>
      </w:r>
      <w:r>
        <w:rPr>
          <w:sz w:val="20"/>
          <w:szCs w:val="20"/>
          <w:color w:val="auto"/>
        </w:rPr>
        <w:tab/>
      </w:r>
      <w:r>
        <w:rPr>
          <w:rFonts w:ascii="Courier New" w:cs="Courier New" w:eastAsia="Courier New" w:hAnsi="Courier New"/>
          <w:sz w:val="14"/>
          <w:szCs w:val="14"/>
          <w:color w:val="auto"/>
        </w:rPr>
        <w:t>$27.2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80"/>
          </w:cols>
          <w:pgMar w:left="220" w:top="307" w:right="89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2">
            <w:col w:w="6000" w:space="720"/>
            <w:col w:w="4060"/>
          </w:cols>
          <w:pgMar w:left="220" w:top="307" w:right="899" w:bottom="1440" w:gutter="0" w:footer="0" w:header="0"/>
          <w:type w:val="continuous"/>
        </w:sectPr>
      </w:pPr>
    </w:p>
    <w:bookmarkStart w:id="84" w:name="page85"/>
    <w:bookmarkEnd w:id="84"/>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JOINTLY-OWNED ELECTRIC FACILITY</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We own 80% of the 536-MW Boswell Energy Center Unit 4 (Boswell Unit 4). While we operate the plant, certain decisions about the operations of Boswell Unit 4 are subject to the oversight of a committee on which we and Wisconsin Public Power, Inc., the owner of the other 20%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Our 80% share of the original cost of Boswell Unit 4, which is included in property, plant and equipment at December 31, 2006, was $314 million ($310 million at December 31, 2005). The corresponding accumulated depreciation balance was $168 million at December 31, 2006 ($162 million at December 31, 2005).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ELECTRIC RATES. Entities within our Regulated Utility segment file for periodic rate revisions with the MPUC, the FERC or the PSCW. Minnesota Power's last retail rate filing with the MPUC was in 1994. SWL&amp;P's current retail rates are based on a 2006 PSCW retail rate order, effective January 1, 2007. In 2006, 72% of our consolidated operating revenue was under regulatory authority (72% in 2005; 75% in 2004). The MPUC had regulatory authority over approximately 56% of our consolidated operating revenue in 2006 (56% in 2005; 60% in 2004).</w:t>
      </w:r>
    </w:p>
    <w:p>
      <w:pPr>
        <w:spacing w:after="0" w:line="16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DEFERRED REGULATORY CHARGES AND CREDITS. Our regulated utility operations are subject to the provisions of SFAS 71, "Accounting for the Effects of Certain Types of Regulation." We capitalize as deferred regulatory charges incurred costs which are probable of recovery in future utility rates. Deferred regulatory credits represent amounts expected to be credited to customers in rates. Deferred regulatory charges and credits are included in Other Assets and Other Liabilities on our consolidated balance sheet.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REGULATORY CHARGES AND CREDITS</w:t>
            </w:r>
          </w:p>
        </w:tc>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3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20"/>
                <w:szCs w:val="20"/>
                <w:color w:val="auto"/>
              </w:rPr>
            </w:pPr>
            <w:r>
              <w:rPr>
                <w:rFonts w:ascii="Courier New" w:cs="Courier New" w:eastAsia="Courier New" w:hAnsi="Courier New"/>
                <w:sz w:val="14"/>
                <w:szCs w:val="14"/>
                <w:color w:val="auto"/>
              </w:rPr>
              <w:t>Deferred Charges</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$ 12.0</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Premium on Reacquired Debt</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Future Benefit Obligations Under</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7020" w:type="dxa"/>
            <w:vAlign w:val="bottom"/>
          </w:tcPr>
          <w:p>
            <w:pPr>
              <w:ind w:left="780"/>
              <w:spacing w:after="0"/>
              <w:rPr>
                <w:sz w:val="20"/>
                <w:szCs w:val="20"/>
                <w:color w:val="auto"/>
              </w:rPr>
            </w:pPr>
            <w:r>
              <w:rPr>
                <w:rFonts w:ascii="Courier New" w:cs="Courier New" w:eastAsia="Courier New" w:hAnsi="Courier New"/>
                <w:sz w:val="14"/>
                <w:szCs w:val="14"/>
                <w:color w:val="auto"/>
              </w:rPr>
              <w:t>Defined Benefit Pension and Other Postretirement Plans (See Note 16)</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7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103.6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Deferred Credits - Income Taxes</w:t>
            </w:r>
          </w:p>
        </w:tc>
        <w:tc>
          <w:tcPr>
            <w:tcW w:w="37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33.8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Net Deferred Regulatory Assets (Liabilities)</w:t>
            </w:r>
          </w:p>
        </w:tc>
        <w:tc>
          <w:tcPr>
            <w:tcW w:w="30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620"/>
        <w:spacing w:after="0" w:line="250" w:lineRule="auto"/>
        <w:rPr>
          <w:sz w:val="20"/>
          <w:szCs w:val="20"/>
          <w:color w:val="auto"/>
        </w:rPr>
      </w:pPr>
      <w:r>
        <w:rPr>
          <w:rFonts w:ascii="Courier New" w:cs="Courier New" w:eastAsia="Courier New" w:hAnsi="Courier New"/>
          <w:sz w:val="14"/>
          <w:szCs w:val="14"/>
          <w:color w:val="auto"/>
        </w:rPr>
        <w:t>AVAILABLE-FOR-SALE INVESTMENTS. We account for our available-for-sale portfolio in accordance with SFAS 115, "Accounting for Certain Investments in Debt and Equity Securities." Our available-for-sale securities portfolio consisted of securities in a grantor trust established to fund certain employee benefits included in Investments and various auction rate municipal bonds and variable rate municipal demand notes included as Short-Term Investments (see below). Available-for-sale securities are recorded at fair value with unrealized gains and losses included in accumulated other comprehensive income (loss), net of tax. Unrealized losses that are other than temporary are recognized in earnings. Our short-term investments classified as available-for-sale securities, however, are recorded at cost. Their cost approximates fair market value as they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 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 As a result of our periodic assessments, we did not record any impairment of available-for-sale securities in 2006, 2005 or 2004.</w:t>
      </w:r>
    </w:p>
    <w:p>
      <w:pPr>
        <w:spacing w:after="0" w:line="340"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During the fourth quarter of 2004, we sold 3.3 million shares of ADESA stock received by our ESOP plan (see Note 17) as a result of the September 2004 spin-off of ADESA. In total, the ESOP received total proceeds of $65.9 million, resulting in a gain of $11.5 million, which we recognized during the fourth quarter of 2004. We accounted for the ADESA stock as available-for-sale.</w:t>
      </w:r>
    </w:p>
    <w:p>
      <w:pPr>
        <w:spacing w:after="0" w:line="16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520"/>
          </w:cols>
          <w:pgMar w:left="220" w:top="616" w:right="1159" w:bottom="591" w:gutter="0" w:footer="0" w:header="0"/>
        </w:sectPr>
      </w:pPr>
    </w:p>
    <w:bookmarkStart w:id="85" w:name="page86"/>
    <w:bookmarkEnd w:id="85"/>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INVESTMENTS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AVAILABLE-FOR-SALE SECURITIES</w:t>
      </w:r>
    </w:p>
    <w:p>
      <w:pPr>
        <w:spacing w:after="0" w:line="7"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GROSS UNREALIZED</w:t>
      </w:r>
    </w:p>
    <w:p>
      <w:pPr>
        <w:spacing w:after="0" w:line="7" w:lineRule="exact"/>
        <w:rPr>
          <w:sz w:val="20"/>
          <w:szCs w:val="20"/>
          <w:color w:val="auto"/>
        </w:rPr>
      </w:pPr>
    </w:p>
    <w:p>
      <w:pPr>
        <w:spacing w:after="0"/>
        <w:tabs>
          <w:tab w:leader="none" w:pos="3180" w:val="left"/>
          <w:tab w:leader="none" w:pos="5420" w:val="left"/>
          <w:tab w:leader="none" w:pos="6880" w:val="left"/>
          <w:tab w:leader="none" w:pos="8940" w:val="left"/>
        </w:tabs>
        <w:rPr>
          <w:sz w:val="20"/>
          <w:szCs w:val="20"/>
          <w:color w:val="auto"/>
        </w:rPr>
      </w:pPr>
      <w:r>
        <w:rPr>
          <w:rFonts w:ascii="Courier New" w:cs="Courier New" w:eastAsia="Courier New" w:hAnsi="Courier New"/>
          <w:sz w:val="14"/>
          <w:szCs w:val="14"/>
          <w:color w:val="auto"/>
        </w:rPr>
        <w:t>AT DECEMBER 31</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w:t>
      </w:r>
      <w:r>
        <w:rPr>
          <w:sz w:val="20"/>
          <w:szCs w:val="20"/>
          <w:color w:val="auto"/>
        </w:rPr>
        <w:tab/>
      </w:r>
      <w:r>
        <w:rPr>
          <w:rFonts w:ascii="Courier New" w:cs="Courier New" w:eastAsia="Courier New" w:hAnsi="Courier New"/>
          <w:sz w:val="14"/>
          <w:szCs w:val="14"/>
          <w:color w:val="auto"/>
        </w:rPr>
        <w:t>(LOSS)</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2006</w:t>
            </w:r>
          </w:p>
        </w:tc>
        <w:tc>
          <w:tcPr>
            <w:tcW w:w="28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$123.2</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$130.1</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2005</w:t>
            </w:r>
          </w:p>
        </w:tc>
        <w:tc>
          <w:tcPr>
            <w:tcW w:w="28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$135.2</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$139.5</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2004</w:t>
            </w:r>
          </w:p>
        </w:tc>
        <w:tc>
          <w:tcPr>
            <w:tcW w:w="28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$176.4</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UNREALIZED</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GAIN (LOSS)</w:t>
      </w:r>
    </w:p>
    <w:p>
      <w:pPr>
        <w:spacing w:after="0" w:line="7" w:lineRule="exact"/>
        <w:rPr>
          <w:sz w:val="20"/>
          <w:szCs w:val="20"/>
          <w:color w:val="auto"/>
        </w:rPr>
      </w:pPr>
    </w:p>
    <w:p>
      <w:pPr>
        <w:ind w:left="9060"/>
        <w:spacing w:after="0"/>
        <w:rPr>
          <w:sz w:val="20"/>
          <w:szCs w:val="20"/>
          <w:color w:val="auto"/>
        </w:rPr>
      </w:pPr>
      <w:r>
        <w:rPr>
          <w:rFonts w:ascii="Courier New" w:cs="Courier New" w:eastAsia="Courier New" w:hAnsi="Courier New"/>
          <w:sz w:val="14"/>
          <w:szCs w:val="14"/>
          <w:color w:val="auto"/>
        </w:rPr>
        <w:t>IN OTHER</w:t>
      </w:r>
    </w:p>
    <w:p>
      <w:pPr>
        <w:spacing w:after="0" w:line="7" w:lineRule="exact"/>
        <w:rPr>
          <w:sz w:val="20"/>
          <w:szCs w:val="20"/>
          <w:color w:val="auto"/>
        </w:rPr>
      </w:pPr>
    </w:p>
    <w:p>
      <w:pPr>
        <w:spacing w:after="0"/>
        <w:tabs>
          <w:tab w:leader="none" w:pos="3180" w:val="left"/>
          <w:tab w:leader="none" w:pos="5760" w:val="left"/>
          <w:tab w:leader="none" w:pos="88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SALES</w:t>
      </w:r>
      <w:r>
        <w:rPr>
          <w:sz w:val="20"/>
          <w:szCs w:val="20"/>
          <w:color w:val="auto"/>
        </w:rPr>
        <w:tab/>
      </w:r>
      <w:r>
        <w:rPr>
          <w:rFonts w:ascii="Courier New" w:cs="Courier New" w:eastAsia="Courier New" w:hAnsi="Courier New"/>
          <w:sz w:val="14"/>
          <w:szCs w:val="14"/>
          <w:color w:val="auto"/>
        </w:rPr>
        <w:t>GROSS REALIZED</w:t>
      </w:r>
      <w:r>
        <w:rPr>
          <w:sz w:val="20"/>
          <w:szCs w:val="20"/>
          <w:color w:val="auto"/>
        </w:rPr>
        <w:tab/>
      </w:r>
      <w:r>
        <w:rPr>
          <w:rFonts w:ascii="Courier New" w:cs="Courier New" w:eastAsia="Courier New" w:hAnsi="Courier New"/>
          <w:sz w:val="14"/>
          <w:szCs w:val="14"/>
          <w:color w:val="auto"/>
        </w:rPr>
        <w:t>COMPREHENSIVE</w:t>
      </w:r>
    </w:p>
    <w:p>
      <w:pPr>
        <w:spacing w:after="0" w:line="7" w:lineRule="exact"/>
        <w:rPr>
          <w:sz w:val="20"/>
          <w:szCs w:val="20"/>
          <w:color w:val="auto"/>
        </w:rPr>
      </w:pPr>
    </w:p>
    <w:p>
      <w:pPr>
        <w:spacing w:after="0"/>
        <w:tabs>
          <w:tab w:leader="none" w:pos="3000" w:val="left"/>
          <w:tab w:leader="none" w:pos="5420" w:val="left"/>
          <w:tab w:leader="none" w:pos="6880" w:val="left"/>
          <w:tab w:leader="none" w:pos="912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PROCEEDS</w:t>
      </w:r>
      <w:r>
        <w:rPr>
          <w:sz w:val="20"/>
          <w:szCs w:val="20"/>
          <w:color w:val="auto"/>
        </w:rPr>
        <w:tab/>
      </w:r>
      <w:r>
        <w:rPr>
          <w:rFonts w:ascii="Courier New" w:cs="Courier New" w:eastAsia="Courier New" w:hAnsi="Courier New"/>
          <w:sz w:val="14"/>
          <w:szCs w:val="14"/>
          <w:color w:val="auto"/>
        </w:rPr>
        <w:t>GAIN</w:t>
      </w:r>
      <w:r>
        <w:rPr>
          <w:sz w:val="20"/>
          <w:szCs w:val="20"/>
          <w:color w:val="auto"/>
        </w:rPr>
        <w:tab/>
      </w:r>
      <w:r>
        <w:rPr>
          <w:rFonts w:ascii="Courier New" w:cs="Courier New" w:eastAsia="Courier New" w:hAnsi="Courier New"/>
          <w:sz w:val="14"/>
          <w:szCs w:val="14"/>
          <w:color w:val="auto"/>
        </w:rPr>
        <w:t>(LOSS)</w:t>
      </w:r>
      <w:r>
        <w:rPr>
          <w:sz w:val="20"/>
          <w:szCs w:val="20"/>
          <w:color w:val="auto"/>
        </w:rPr>
        <w:tab/>
      </w:r>
      <w:r>
        <w:rPr>
          <w:rFonts w:ascii="Courier New" w:cs="Courier New" w:eastAsia="Courier New" w:hAnsi="Courier New"/>
          <w:sz w:val="14"/>
          <w:szCs w:val="14"/>
          <w:color w:val="auto"/>
        </w:rPr>
        <w:t>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2006</w:t>
            </w: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$12.4</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$2.7</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2005</w:t>
            </w: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$32.3</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2004</w:t>
            </w: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$65.9</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w:t>
            </w:r>
          </w:p>
        </w:tc>
        <w:tc>
          <w:tcPr>
            <w:tcW w:w="18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SHORT-TERM INVESTMENTS. At December 31, 2006, we held $104.5 million of short-term investments ($116.9 million at December 31, 2005) consisting of various auction rate municipal bonds and variable rate municipal demand notes.</w:t>
      </w:r>
    </w:p>
    <w:p>
      <w:pPr>
        <w:spacing w:after="0" w:line="163"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INVESTMENTS. At December 31, 2006, our long-term investment portfolio included the real estate assets of ALLETE Properties, our investment in ATC, debt and equity securities consisting primarily of securities held to fund employee benefits, and our emerging technology portfolio.</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4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3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$ 89.8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73.7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3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166"/>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Investment in ATC</w:t>
            </w:r>
          </w:p>
        </w:tc>
        <w:tc>
          <w:tcPr>
            <w:tcW w:w="3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53.7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Technology Portfolio</w:t>
            </w:r>
          </w:p>
        </w:tc>
        <w:tc>
          <w:tcPr>
            <w:tcW w:w="37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300" w:val="left"/>
          <w:tab w:leader="none" w:pos="9380" w:val="left"/>
        </w:tabs>
        <w:rPr>
          <w:sz w:val="20"/>
          <w:szCs w:val="20"/>
          <w:color w:val="auto"/>
        </w:rPr>
      </w:pPr>
      <w:r>
        <w:rPr>
          <w:rFonts w:ascii="Courier New" w:cs="Courier New" w:eastAsia="Courier New" w:hAnsi="Courier New"/>
          <w:sz w:val="14"/>
          <w:szCs w:val="14"/>
          <w:color w:val="auto"/>
        </w:rPr>
        <w:t>Total Investments</w:t>
      </w:r>
      <w:r>
        <w:rPr>
          <w:sz w:val="20"/>
          <w:szCs w:val="20"/>
          <w:color w:val="auto"/>
        </w:rPr>
        <w:tab/>
      </w:r>
      <w:r>
        <w:rPr>
          <w:rFonts w:ascii="Courier New" w:cs="Courier New" w:eastAsia="Courier New" w:hAnsi="Courier New"/>
          <w:sz w:val="14"/>
          <w:szCs w:val="14"/>
          <w:color w:val="auto"/>
        </w:rPr>
        <w:t>$189.1</w:t>
      </w:r>
      <w:r>
        <w:rPr>
          <w:sz w:val="20"/>
          <w:szCs w:val="20"/>
          <w:color w:val="auto"/>
        </w:rPr>
        <w:tab/>
      </w:r>
      <w:r>
        <w:rPr>
          <w:rFonts w:ascii="Courier New" w:cs="Courier New" w:eastAsia="Courier New" w:hAnsi="Courier New"/>
          <w:sz w:val="14"/>
          <w:szCs w:val="14"/>
          <w:color w:val="auto"/>
        </w:rPr>
        <w:t>$ 117.7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400" w:val="left"/>
          <w:tab w:leader="none" w:pos="9540" w:val="left"/>
        </w:tabs>
        <w:rPr>
          <w:sz w:val="20"/>
          <w:szCs w:val="20"/>
          <w:color w:val="auto"/>
        </w:rPr>
      </w:pPr>
      <w:r>
        <w:rPr>
          <w:rFonts w:ascii="Courier New" w:cs="Courier New" w:eastAsia="Courier New" w:hAnsi="Courier New"/>
          <w:sz w:val="14"/>
          <w:szCs w:val="14"/>
          <w:color w:val="auto"/>
        </w:rPr>
        <w:t>REAL ESTATE ASSETS</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Land Held for</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Sale Beginning</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c>
          <w:tcPr>
            <w:tcW w:w="27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$48.0</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4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during period: Capitalized Improvements</w:t>
            </w:r>
          </w:p>
        </w:tc>
        <w:tc>
          <w:tcPr>
            <w:tcW w:w="27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18.8</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Purchases</w:t>
            </w:r>
          </w:p>
        </w:tc>
        <w:tc>
          <w:tcPr>
            <w:tcW w:w="27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1.4</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Deductions during period: Cost of Real Estate Sold</w:t>
            </w:r>
          </w:p>
        </w:tc>
        <w:tc>
          <w:tcPr>
            <w:tcW w:w="2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Land Held for Sale Ending Balance</w:t>
            </w:r>
          </w:p>
        </w:tc>
        <w:tc>
          <w:tcPr>
            <w:tcW w:w="35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58.0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Long-Term Finance Receivables</w:t>
            </w:r>
          </w:p>
        </w:tc>
        <w:tc>
          <w:tcPr>
            <w:tcW w:w="35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5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13.5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Total Real Estate Assets</w:t>
            </w:r>
          </w:p>
        </w:tc>
        <w:tc>
          <w:tcPr>
            <w:tcW w:w="39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$89.8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bl>
    <w:p>
      <w:pPr>
        <w:spacing w:after="0" w:line="4"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primarily of a shopping center.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Finance receivables, which are collateralized by land, have maturities ranging up to ten years, accrue interest at market-based rates and are net of an allowance for doubtful accounts of $0.2 million at December 31, 2006 ($0.6 million at December 31, 2005). Minority interest associated with real estate operations was $7.4 million at December 31, 2006 ($6.0 million at December 31, 2005).</w:t>
      </w:r>
    </w:p>
    <w:p>
      <w:pPr>
        <w:spacing w:after="0" w:line="327"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INVESTMENT IN ATC. We have an equity ownership interest in ATC, a Wisconsin-based public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pursuant to EITF 03-16, "Accounting for Investments in Limited Liability Companies."</w:t>
      </w:r>
    </w:p>
    <w:p>
      <w:pPr>
        <w:sectPr>
          <w:pgSz w:w="11900" w:h="16838" w:orient="portrait"/>
          <w:cols w:equalWidth="0" w:num="1">
            <w:col w:w="10600"/>
          </w:cols>
          <w:pgMar w:left="220" w:top="616" w:right="1079" w:bottom="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bl>
    <w:p>
      <w:pPr>
        <w:sectPr>
          <w:pgSz w:w="11900" w:h="16838" w:orient="portrait"/>
          <w:cols w:equalWidth="0" w:num="1">
            <w:col w:w="10239"/>
          </w:cols>
          <w:pgMar w:left="220" w:top="141" w:right="1440" w:bottom="1440" w:gutter="0" w:footer="0" w:header="0"/>
        </w:sectPr>
      </w:pPr>
    </w:p>
    <w:bookmarkStart w:id="87" w:name="page88"/>
    <w:bookmarkEnd w:id="87"/>
    <w:p>
      <w:pPr>
        <w:spacing w:after="0" w:line="4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INVESTMENTS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ALLETE'S INTEREST IN ATC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DECEMBER 31, 2006</w:t>
      </w:r>
    </w:p>
    <w:p>
      <w:pPr>
        <w:spacing w:after="0" w:line="7"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Equity in Earnings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Accumulated Equity in Undistributed Earnings</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Equity Investment Balance</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Equity Ownership</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investments in privately-held companies under the cost method because of our ownership percentage. The total carrying value of our emerging technology portfolio was $9.2 million at December 31, 2006, and December 31, 2005.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both December 31, 2006, and December 31, 2005. We did not record any impairments in 2006. In 2005, we recorded $5.1 million ($3.3 million after tax) of impairments related to our direct investments in certain privately-held, start-up companies whose future business prospects had significantly diminished. Developments at these companies indicated that future commercial viability was unlikely, as was new financing necessary to continue development. In 2004, we recorded $6.5 million ($4.1 million after tax) of impairments.</w:t>
      </w:r>
    </w:p>
    <w:p>
      <w:pPr>
        <w:spacing w:after="0" w:line="33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FAIR VALUE OF FINANCIAL INSTRUMENTS. With the exception of the items listed below, the estimated fair value of all financial instruments approximates the carrying amount. The fair value for the items below were based on quoted market prices for the same or similar instruments.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7" w:lineRule="exact"/>
        <w:rPr>
          <w:sz w:val="20"/>
          <w:szCs w:val="20"/>
          <w:color w:val="auto"/>
        </w:rPr>
      </w:pPr>
    </w:p>
    <w:p>
      <w:pPr>
        <w:spacing w:after="0"/>
        <w:tabs>
          <w:tab w:leader="none" w:pos="4560" w:val="left"/>
          <w:tab w:leader="none" w:pos="680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CARRYING AMOUNT</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Long-Term Debt</w:t>
            </w:r>
          </w:p>
        </w:tc>
        <w:tc>
          <w:tcPr>
            <w:tcW w:w="3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060" w:type="dxa"/>
            <w:vAlign w:val="bottom"/>
          </w:tcPr>
          <w:p>
            <w:pPr>
              <w:jc w:val="right"/>
              <w:ind w:right="2288"/>
              <w:spacing w:after="0"/>
              <w:rPr>
                <w:sz w:val="20"/>
                <w:szCs w:val="20"/>
                <w:color w:val="auto"/>
              </w:rPr>
            </w:pPr>
            <w:r>
              <w:rPr>
                <w:rFonts w:ascii="Courier New" w:cs="Courier New" w:eastAsia="Courier New" w:hAnsi="Courier New"/>
                <w:sz w:val="14"/>
                <w:szCs w:val="14"/>
                <w:color w:val="auto"/>
              </w:rPr>
              <w:t>2006</w:t>
            </w:r>
          </w:p>
        </w:tc>
        <w:tc>
          <w:tcPr>
            <w:tcW w:w="3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$389.5</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$387.6</w:t>
            </w:r>
          </w:p>
        </w:tc>
      </w:tr>
      <w:tr>
        <w:trPr>
          <w:trHeight w:val="166"/>
        </w:trPr>
        <w:tc>
          <w:tcPr>
            <w:tcW w:w="3060" w:type="dxa"/>
            <w:vAlign w:val="bottom"/>
          </w:tcPr>
          <w:p>
            <w:pPr>
              <w:jc w:val="right"/>
              <w:ind w:right="2288"/>
              <w:spacing w:after="0"/>
              <w:rPr>
                <w:sz w:val="20"/>
                <w:szCs w:val="20"/>
                <w:color w:val="auto"/>
              </w:rPr>
            </w:pPr>
            <w:r>
              <w:rPr>
                <w:rFonts w:ascii="Courier New" w:cs="Courier New" w:eastAsia="Courier New" w:hAnsi="Courier New"/>
                <w:sz w:val="14"/>
                <w:szCs w:val="14"/>
                <w:color w:val="auto"/>
              </w:rPr>
              <w:t>2005</w:t>
            </w:r>
          </w:p>
        </w:tc>
        <w:tc>
          <w:tcPr>
            <w:tcW w:w="3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$390.5</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$392.5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CONCENTRATION OF CREDIT RISK. Financial instruments that subject us to concentrations of credit risk consist primarily of accounts receivable. Minnesota Power sells electricity to 12 Large Power Customers. Receivables from these customers totaled approximately $9 million at December 31, 2006 ($10 million at December 31, 2005). Minnesota Power does not obtain collateral to support utility receivables, but monitors the credit standing of major customers. In addition, our taconite-producing Large Power Customers are on a weekly billing cycle, which allows us to closely manage collection of amounts due.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SHORT-TERM DEBT. Total short-term debt outstanding at December 31, 2006, was $29.7 million ($2.7 million at December 31, 2005) and consisted of Long-Term Debt Due Within One Year.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of December 31, 2006, we had bank lines of credit aggregating $170.0 million ($120.0 million at December 31, 2005), the majority of which expire in January 2012. These bank lines of credit made financing available through short-term bank loans and provided credit support for commercial paper. At December 31, 2006, $2.9 million ($1.1 million at December 31, 2005) was drawn on our lines of credit leaving a $167.1 million balance available for use ($118.9 million at December 31, 2005). The drawn amounts at December 31, 2006 and 2005, related to an $8.5 million revolving development loan with CypressCoquina Bank that we entered into in March 2005. The revolving development loan has an interest rate equal to the prime rate, with an initial term of 36 months. The term of the loan may be extended 24 months if certain conditions are met. The loan is guaranteed by Lehigh Acquisition Corporation. There was no commercial paper issued as of December 31, 2006, or December 31, 2005.</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January 2006, we renewed, increased and extended a committed, syndicated, unsecured revolving credit facility (Line) with LaSalle Bank National Association, as Agent, for $150 million ($100 million at December 31, 2005). The Line was subsequently extended for an additional year in December 2006 and currently matures in January 2012. At our request and subject to certain conditions, the Line may be increased to $200 million and extended for two additional 12-month periods. The Line may be used for general corporate purposes and working capital, and to provide liquidity in support of our commercial paper program. We may prepay amounts outstanding under the Line in whole or in part at our discretion without premium or penalty. Additionally, we may irrevocably</w:t>
      </w:r>
    </w:p>
    <w:p>
      <w:pPr>
        <w:sectPr>
          <w:pgSz w:w="11900" w:h="16886" w:orient="portrait"/>
          <w:cols w:equalWidth="0" w:num="1">
            <w:col w:w="10239"/>
          </w:cols>
          <w:pgMar w:left="220" w:top="616" w:right="1440" w:bottom="0" w:gutter="0" w:footer="0" w:header="0"/>
        </w:sectPr>
      </w:pPr>
    </w:p>
    <w:bookmarkStart w:id="88" w:name="page89"/>
    <w:bookmarkEnd w:id="88"/>
    <w:p>
      <w:pPr>
        <w:ind w:right="3339"/>
        <w:spacing w:after="0" w:line="255" w:lineRule="auto"/>
        <w:rPr>
          <w:sz w:val="20"/>
          <w:szCs w:val="20"/>
          <w:color w:val="auto"/>
        </w:rPr>
      </w:pPr>
      <w:r>
        <w:rPr>
          <w:rFonts w:ascii="Courier New" w:cs="Courier New" w:eastAsia="Courier New" w:hAnsi="Courier New"/>
          <w:sz w:val="14"/>
          <w:szCs w:val="14"/>
          <w:color w:val="auto"/>
        </w:rPr>
        <w:t>terminate or reduce the size of the Line prior to maturity without premium or penalty. No funds were drawn under this Line at December 31, 2006.</w:t>
      </w:r>
    </w:p>
    <w:p>
      <w:pPr>
        <w:spacing w:after="0" w:line="16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141" w:right="1440" w:bottom="1440" w:gutter="0" w:footer="0" w:header="0"/>
        </w:sectPr>
      </w:pPr>
    </w:p>
    <w:bookmarkStart w:id="89" w:name="page90"/>
    <w:bookmarkEnd w:id="89"/>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SHORT-TERM AND LONG-TERM DEBT (CONTINUED)</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LONG-TERM DEBT. The aggregate amount of long-term debt maturing during 2007 is $29.7 million ($7.0 million in 2008; $10.2 million in 2009; $4.5 million in 2010; $0.9 million in 2011; and $337.2 million thereafter). Substantially all of our electric plant is subject to the lien of the mortgages collateralizing various first mortgage bonds.</w:t>
      </w:r>
    </w:p>
    <w:p>
      <w:pPr>
        <w:spacing w:after="0" w:line="165"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In March 2006, we issued $50 million in principal amount of First Mortgage Bonds, 5.69% Series due March 1, 2036, in the private placement market. Proceeds were used to redeem $50 million in principal amount of First Mortgage Bonds, 7% Series due March 1, 2008.</w:t>
      </w:r>
    </w:p>
    <w:p>
      <w:pPr>
        <w:spacing w:after="0" w:line="162"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In July 2006, the Collier County Industrial Development Authority (Authority or Issuer) issued $27.8 million of Industrial Development Variable Rate Demand Refunding Revenue Bonds Series 2006 due 2025 (Refunding Bonds) on behalf of ALLETE. The interest rate on these bonds was 3.94% at December 31, 2006. Pursuant to a financing agreement between the Authority and ALLETE dated as of July 1, 2006, ALLETE is obligated to make payments to the Issuer sufficient to pay all principal and interest on the Refunding Bonds. ALLETE's obligations under the financing agreement are supported by a direct pay letter of credit. Proceeds from the Refunding Bonds and internally generated funds were used to redeem $29.1 million of outstanding Collier County Industrial Development Refunding Revenue Bonds 6.5% Series 1996 due 2025 on August 9, 2006. As a result of an early redemption premium, we recognized a $0.6 million pre-tax charge to other expense in the third quarter of 2006.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February 1, 2007, we issued $60 million in principal amount of First Mortgage</w:t>
      </w:r>
    </w:p>
    <w:p>
      <w:pPr>
        <w:spacing w:after="0" w:line="7" w:lineRule="exact"/>
        <w:rPr>
          <w:sz w:val="20"/>
          <w:szCs w:val="20"/>
          <w:color w:val="auto"/>
        </w:rPr>
      </w:pPr>
    </w:p>
    <w:p>
      <w:pPr>
        <w:spacing w:after="0"/>
        <w:tabs>
          <w:tab w:leader="none" w:pos="680" w:val="left"/>
          <w:tab w:leader="none" w:pos="1280" w:val="left"/>
          <w:tab w:leader="none" w:pos="2320" w:val="left"/>
          <w:tab w:leader="none" w:pos="3960" w:val="left"/>
          <w:tab w:leader="none" w:pos="5320" w:val="left"/>
          <w:tab w:leader="none" w:pos="6280" w:val="left"/>
        </w:tabs>
        <w:rPr>
          <w:sz w:val="20"/>
          <w:szCs w:val="20"/>
          <w:color w:val="auto"/>
        </w:rPr>
      </w:pPr>
      <w:r>
        <w:rPr>
          <w:rFonts w:ascii="Courier New" w:cs="Courier New" w:eastAsia="Courier New" w:hAnsi="Courier New"/>
          <w:sz w:val="14"/>
          <w:szCs w:val="14"/>
          <w:color w:val="auto"/>
        </w:rPr>
        <w:t>Bonds,</w:t>
        <w:tab/>
        <w:t>5.99%</w:t>
        <w:tab/>
        <w:t>Series due</w:t>
        <w:tab/>
        <w:t>February 1, 2027,</w:t>
        <w:tab/>
        <w:t>in the private</w:t>
        <w:tab/>
        <w:t>placement</w:t>
        <w:tab/>
        <w:t>market.</w:t>
      </w:r>
    </w:p>
    <w:p>
      <w:pPr>
        <w:spacing w:after="0" w:line="7" w:lineRule="exact"/>
        <w:rPr>
          <w:sz w:val="20"/>
          <w:szCs w:val="20"/>
          <w:color w:val="auto"/>
        </w:rPr>
      </w:pPr>
    </w:p>
    <w:p>
      <w:pPr>
        <w:spacing w:after="0"/>
        <w:tabs>
          <w:tab w:leader="none" w:pos="4720" w:val="left"/>
          <w:tab w:leader="none" w:pos="6200" w:val="left"/>
        </w:tabs>
        <w:rPr>
          <w:sz w:val="20"/>
          <w:szCs w:val="20"/>
          <w:color w:val="auto"/>
        </w:rPr>
      </w:pPr>
      <w:r>
        <w:rPr>
          <w:rFonts w:ascii="Courier New" w:cs="Courier New" w:eastAsia="Courier New" w:hAnsi="Courier New"/>
          <w:sz w:val="14"/>
          <w:szCs w:val="14"/>
          <w:color w:val="auto"/>
        </w:rPr>
        <w:t>Proceeds were used to retire $60 million in principal</w:t>
        <w:tab/>
        <w:t>amount of First</w:t>
        <w:tab/>
        <w:t>Mortgage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Bonds, 7% Series on February 15, 2007.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First Mortgage Bonds</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6.68%</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Series Due 2007</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$ 20.0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$ 20.0</w:t>
            </w: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Series Due 2007</w:t>
            </w:r>
          </w:p>
        </w:tc>
        <w:tc>
          <w:tcPr>
            <w:tcW w:w="2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w:t>
            </w: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Series Due 2008</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5.28%</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Series Due 2020</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35.0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4.95%</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Pollution Control Series F Due 2022</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111.0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111.0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5.69%</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Series Due 2036</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Variable Demand Revenue Refunding Bonds</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Series 1997 A, B, C and D Due 2007 - 2020</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39.0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Development Revenue Bonds 6.5% Due 2025</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4940" w:type="dxa"/>
            <w:vAlign w:val="bottom"/>
          </w:tcPr>
          <w:p>
            <w:pPr>
              <w:ind w:left="40"/>
              <w:spacing w:after="0"/>
              <w:rPr>
                <w:sz w:val="20"/>
                <w:szCs w:val="20"/>
                <w:color w:val="auto"/>
              </w:rPr>
            </w:pPr>
            <w:r>
              <w:rPr>
                <w:rFonts w:ascii="Courier New" w:cs="Courier New" w:eastAsia="Courier New" w:hAnsi="Courier New"/>
                <w:sz w:val="14"/>
                <w:szCs w:val="14"/>
                <w:color w:val="auto"/>
              </w:rPr>
              <w:t>Development Variable Rate Demand Refunding</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Revenue Bonds Series 2006 Due 2025</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Debt, 2.0% - 8.5% Due 2007 - 2025</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40.4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Total Long-Term Debt</w:t>
            </w:r>
          </w:p>
        </w:tc>
        <w:tc>
          <w:tcPr>
            <w:tcW w:w="3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389.5</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390.5</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Less Due Within One Year</w:t>
            </w:r>
          </w:p>
        </w:tc>
        <w:tc>
          <w:tcPr>
            <w:tcW w:w="3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Net Long-Term Debt</w:t>
            </w:r>
          </w:p>
        </w:tc>
        <w:tc>
          <w:tcPr>
            <w:tcW w:w="3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$359.8</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$387.8</w:t>
            </w:r>
          </w:p>
        </w:tc>
      </w:tr>
    </w:tbl>
    <w:p>
      <w:pPr>
        <w:spacing w:after="0" w:line="4"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Retired on February 15, 2007.</w:t>
      </w:r>
    </w:p>
    <w:p>
      <w:pPr>
        <w:spacing w:after="0" w:line="200" w:lineRule="exact"/>
        <w:rPr>
          <w:sz w:val="20"/>
          <w:szCs w:val="20"/>
          <w:color w:val="auto"/>
        </w:rPr>
      </w:pPr>
    </w:p>
    <w:p>
      <w:pPr>
        <w:spacing w:after="0" w:line="304"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The 6.68% Series Due 2007 cannot be redeemed prior to November 15, 2007. The remaining debt may be redeemed in whole or in part at our option, according to the terms of the obligations.</w:t>
      </w:r>
    </w:p>
    <w:p>
      <w:pPr>
        <w:spacing w:after="0" w:line="16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FINANCIAL COVENANTS. Our lines of credit and letters of credit supporting certain long-term debt arrangements contain financial covenants. The most restrictive covenant requires ALLETE to maintain a quarterly ratio of its funded debt to total capital of less than or equal to .65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bl>
    <w:p>
      <w:pPr>
        <w:sectPr>
          <w:pgSz w:w="11900" w:h="16838" w:orient="portrait"/>
          <w:cols w:equalWidth="0" w:num="1">
            <w:col w:w="10440"/>
          </w:cols>
          <w:pgMar w:left="220" w:top="616" w:right="1239" w:bottom="1440" w:gutter="0" w:footer="0" w:header="0"/>
        </w:sectPr>
      </w:pPr>
    </w:p>
    <w:bookmarkStart w:id="90" w:name="page91"/>
    <w:bookmarkEnd w:id="90"/>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OFF-BALANCE SHEET ARRANGEMENTS. 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was entitled to approximately 71% of the Unit's output under the Agreement prior to 2006. Beginning in 2006, Minnkota Power exercised its option to reduce Minnesota Power's entitlement by approximately 5% annually, to 66%. We received notices from Minnkota Power that they further reduced our output entitlement by approximately 5% annually to 60% on January 1, 2007, 55% on January 1, 2008, and 50% on January 1, 2009, and thereafter. Minnkota Power has no further option to reduce Minnesota Power's entitlement below 50%.</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December 31, 2006, Square Butte had total debt outstanding of $303.7 million. Total annual debt service for Square Butte is expected to be approximately $26 million in each of the years 2007 through 2011. Variable operating costs include the price of coal purchased from BNI Coal, our subsidiary, under a long-term contract.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Power's cost of power purchased from Square Butte during 2006 was $57.9 million ($56.4 million in 2005; $56.1 million in 2004). This reflects Minnesota Power's pro rata share of total Square Butte costs, based on the 66% output entitlement in 2006 and the 71% output entitlement in 2005 and 2004. Included in this amount was Minnesota Power's pro rata share of interest expense of $12.6 million in 2006 ($13.6 million in 2005; $12.6 million in 2004). Minnesota Power's payments to Square Butte are approved as a purchased power expense for ratemaking purposes by both the MPUC and the FERC.</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BNI Coal is obligated to make lease payments for a dragline totaling $2.8 million annually for the lease term which expires in 2027. 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$8.2 million in 2007, $7.6 million in 2008, $7.0 million in 2009, $6.5 million in 2010, $6.0 million in 2011 and $51.2 million thereafter. Total rent expense was $6.8 million in 2006 ($6.2 million in 2005; $3.8 million in 2004).</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2008 to December 2009. We also have rail and shipping agreements for the transportation of all of our coal, with various expiration dates ranging from December 2007 to December 2011. Our minimum annual payment obligations under these coal, rail and shipping agreements are currently $37.8 million in 2007, $11.2 million in 2008, $5.8 million in 2009 and no specific commitments beyond 2009. Our minimum annual payment obligations will increase when annual nominations are made for coal deliveries in future years.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FUEL CLAUSE RECOVERY OF MISO DAY 2 COSTS. Minnesota Power filed a petition with the MPUC in February 2005 to amend its fuel clause to accommodate costs and revenue related to the MISO Day 2 energy market, the market through which Minnesota Power engages in wholesale energy transactions in MISO's day-ahead and real-time markets (MISO Day 2). In April 2005, the MPUC approved interim accounting treatment of MISO Day 2 costs to be accounted for on a net basis and recovered through the fuel clause, subject to refund with interest. This interim treatment has continued while the MPUC has addressed the cost recovery petitions from Xcel Energy Inc., Otter Tail Power Company, Alliant Energy Corporation and Minnesota Power.</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December 2005, the MPUC issued an order which denied recovery through the fuel clause of uplift charges, congestion revenue and expenses, and administrative costs related to Minnesota Power's MISO Day 2 market activities. This denial created a refund obligation. Minnesota Power requested rehearing of the order in a filing made with the MPUC in January 2006. The other three utilities affected by the order also filed for rehearing, as did the DOC and MISO. In February 2006, the MPUC granted rehearing of the MISO Day 2 docket and suspended the refund obligation for charges recovered through the fuel clause denied in the December 2005 order. The MPUC also ordered review of MISO Day 2 costs to determine which costs should be recovered on a current basis through the fuel clause and which costs are more appropriately deferred for potential recovery through base rates. The Company worked with other Minnesota utilities, the DOC and other stakeholders to review MISO Day 2 costs and to prepare a joint report and recommendations. The joint report and recommendations were filed with the MPUC in June 2006. A technical conference on the report was held with the MPUC on October 31, 2006. At a hearing November 9, 2006, the MPUC approved current recovery of nearly all MISO Day 2 charges.</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591" w:gutter="0" w:footer="0" w:header="0"/>
        </w:sectPr>
      </w:pPr>
    </w:p>
    <w:bookmarkStart w:id="91" w:name="page92"/>
    <w:bookmarkEnd w:id="91"/>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On December 20, 2006, the MPUC issued an order allowing Minnesota Power and the other utilities involved in the MISO Day 2 proceeding to continue recovering MISO Day 2 charges through the Minnesota retail fuel clause except for MISO Day 2 administrative charges. On January 8, 2007, this order was challenged by the Minnesota OAG, which has sought reconsideration. The rehearing has been opposed by Minnesota Power and the other utilities, as well as MISO. The reconsideration request is currently pending before the MPUC. The MPUC has until March 9, 2007, to act on the Minnesota OAG's request. The order, if upheld, grants deferred accounting treatment for three MISO Day 2 charge types that were determined to be administrative charges. Under the order, Minnesota Power would refund through customer bills approximately $2 million of administrative charges previously collected through the fuel clause between April 1, 2005, and December 31, 2006, and record these administrative charges as a regulatory asset. Minnesota Power would be permitted to continue accumulating MISO Day 2 administrative charges after December 31, 2006, as a regulatory asset until it files its next rate case, at which time recovery for such charges will be determined. This order would remove the subject to refund requirement of the two interim orders, and include extensive fuel clause reporting requirements that would be reviewed in Minnesota Power's monthly and annual fuel clause filings with the MPUC. There would be no impact on earnings as a result of this ruling. The Company is unable to predict the outcome of this matter.</w:t>
      </w:r>
    </w:p>
    <w:p>
      <w:pPr>
        <w:spacing w:after="0" w:line="17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We have committed to make additional investments in certain emerging technology venture capital funds. The total future commitment was $2.5 million at December 31, 2006 ($3.1 million at December 31, 2005), and will be invested in 2007. We do not have plans to make any additional investments beyond this commitment.</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In December 2005, we entered into an agreement with Wisconsin Public Service Corporation and WPS Investments, LLC that provides for our Wisconsin subsidiary, Rainy River Energy Corporation - Wisconsin, to invest $60 million in ATC. In May 2006, the PSCW reviewed and approved the request that allows us to invest in ATC. During 2006, we invested $51.4 million in ATC. We plan to invest an additional $8.6 million in ATC in early 2007 to reach our $60 million investment commitment and estimated 8% ownership interest. As of December 31, 2006, our equity investment balance in ATC was $53.7 million, representing approximately a 7% ownership interest. (See Note 6.)</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ENVIRONMENTAL MATTERS.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In February 2003, SWL&amp;P submitted a Phase II environmental site investigation report to the WDNR. This report identified some MGP-like chemicals that were found in the soil near the former plant site. The investigation continued through the fall of 2006. It is anticipated that the final report for this portion of the investigation will be completed during the first quarter of 2007. Although it is not possible to quantify the total potential clean-up costs until the investigation is completed, a $0.5 million liability was recorded in December 2003 based on initial studies to address the known areas of contamination. The Company has recorded a corresponding amount as a regulatory asset.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at the time SWL&amp;P filed its 2006 rate request. In December 2006, the PSCW approved the recovery of an additional $186,000 of site investigation costs that were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bl>
    <w:p>
      <w:pPr>
        <w:sectPr>
          <w:pgSz w:w="11900" w:h="16838" w:orient="portrait"/>
          <w:cols w:equalWidth="0" w:num="1">
            <w:col w:w="10239"/>
          </w:cols>
          <w:pgMar w:left="220" w:top="616" w:right="1440" w:bottom="1440" w:gutter="0" w:footer="0" w:header="0"/>
        </w:sectPr>
      </w:pPr>
    </w:p>
    <w:bookmarkStart w:id="92" w:name="page93"/>
    <w:bookmarkEnd w:id="92"/>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and NOX in the eastern United States. The CAIR includes Minnesota as one of the 28 states it considers an "eastern" state. The EPA also announced the final Clean Air Mercury Rule (CAMR) that reduces and permanently caps electric utility mercury emissions nationwide. The CAIR and the CAMR regulations have been challenged in the federal court system, which may delay implementation or modify provisions. Minnesota Power is participating in a legal challenge to the CAIR, but is not participating in a challenge to the CAMR. However, if the CAMR and the CAIR do go into effect, Minnesota Power expects to be required to: (1) make emissions reductions; (2) purchase mercury, SO2 and NOX allowances through the EPA's cap-and-trade system; or (3) use a combination of both.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petitioned the EPA to review their CAIR determinations affecting Minnesota. In July 2005, Minnesota Power also filed a Petition for Review with the U.S. Court of Appeals for the District of Columbia Circuit (Court of Appeals). In November 2005, the EPA agreed to reconsider certain aspects of the CAIR, including the Minnesota Power petition addressing modeling used to determine Minnesota's inclusion in the CAIR region and our claims about inequities in the SO2 allowance methodology. In March 2006, the EPA announced that it would not make any changes to the CAIR as a result of the petitions for reconsideration. Petitions for Review, including Minnesota Power's, remain pending at the Court of Appeals. If the Petitions for Review filed with the Court of Appeals are successful, we expect to incur lower compliance costs, consistent with the rules applicable to those states considered "western" states under the CAIR. Resolution of the CAIR Petition for Review with the Court of Appeals is anticipated in 2008.</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COMMUNITY DEVELOPMENT DISTRICT OBLIGATIONS. TOWN CENTER. In March 2005, the Town Center District issued $26.4 million of tax-exempt, 6% Capital Improvement Revenue Bonds, Series 2005, which are payable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beginning in November 2006. To the extent that we still own land at the time of the assessment, in accordance with EITF 91-10, we recognize the cost of our portion of these assessments, based upon our ownership of benefited property. At December 31, 2006, we owned approximately 73% of the assessable land in the Town Center District.</w:t>
      </w:r>
    </w:p>
    <w:p>
      <w:pPr>
        <w:spacing w:after="0" w:line="17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PALM COAST PARK. In May 2006, the Palm Coast Park District issued $31.8 million of tax-exempt, 5.7% Special Assessment Bonds, Series 2006, which are payable over 31 years (by May 1, 2037). The bond proceeds (less capitalized interest, a debt service reserve fund and cost of issuance) are being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billed to Palm Coast Park landowners beginning in November 2007. To the extent that we still own land at the time of the assessment, in accordance with EITF 91-10, we will recognize the cost of our portion of these assessments, based upon our ownership of benefited property. At December 31, 2006, we owned 97% of the assessable land in the Palm Coast Park District.</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616" w:right="1440" w:bottom="1440" w:gutter="0" w:footer="0" w:header="0"/>
        </w:sectPr>
      </w:pPr>
    </w:p>
    <w:bookmarkStart w:id="93" w:name="page94"/>
    <w:bookmarkEnd w:id="93"/>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COMMON STOCK AND EARNINGS PER SHARE</w:t>
      </w:r>
    </w:p>
    <w:p>
      <w:pPr>
        <w:spacing w:after="0" w:line="17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Our Articles of Incorporation and mortgages contain provisions that, under certain circumstances, would restrict the payment of common stock dividends. As of December 31, 2006, no retained earnings were restricted as a result of these provisions.</w:t>
      </w:r>
    </w:p>
    <w:p>
      <w:pPr>
        <w:spacing w:after="0" w:line="162"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REVERSE COMMON STOCK SPLIT. On September 20, 2004, our one-for-three reverse common stock split became effective. All common share and per share amounts have been adjusted for all periods to reflect the one-for-three reverse stock split.</w:t>
      </w:r>
    </w:p>
    <w:p>
      <w:pPr>
        <w:spacing w:after="0" w:line="200" w:lineRule="exact"/>
        <w:rPr>
          <w:sz w:val="20"/>
          <w:szCs w:val="20"/>
          <w:color w:val="auto"/>
        </w:rPr>
      </w:pPr>
    </w:p>
    <w:p>
      <w:pPr>
        <w:spacing w:after="0" w:line="294" w:lineRule="exact"/>
        <w:rPr>
          <w:sz w:val="20"/>
          <w:szCs w:val="20"/>
          <w:color w:val="auto"/>
        </w:rPr>
      </w:pPr>
    </w:p>
    <w:p>
      <w:pPr>
        <w:spacing w:after="0"/>
        <w:tabs>
          <w:tab w:leader="none" w:pos="7400" w:val="left"/>
          <w:tab w:leader="none" w:pos="9380" w:val="left"/>
        </w:tabs>
        <w:rPr>
          <w:sz w:val="20"/>
          <w:szCs w:val="20"/>
          <w:color w:val="auto"/>
        </w:rPr>
      </w:pPr>
      <w:r>
        <w:rPr>
          <w:rFonts w:ascii="Courier New" w:cs="Courier New" w:eastAsia="Courier New" w:hAnsi="Courier New"/>
          <w:sz w:val="14"/>
          <w:szCs w:val="14"/>
          <w:color w:val="auto"/>
        </w:rPr>
        <w:t>SUMMARY OF COMMON STOCK</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300" w:type="dxa"/>
            <w:vAlign w:val="bottom"/>
          </w:tcPr>
          <w:p>
            <w:pPr>
              <w:ind w:left="1920"/>
              <w:spacing w:after="0"/>
              <w:rPr>
                <w:sz w:val="20"/>
                <w:szCs w:val="20"/>
                <w:color w:val="auto"/>
              </w:rPr>
            </w:pPr>
            <w:r>
              <w:rPr>
                <w:rFonts w:ascii="Courier New" w:cs="Courier New" w:eastAsia="Courier New" w:hAnsi="Courier New"/>
                <w:sz w:val="14"/>
                <w:szCs w:val="14"/>
                <w:color w:val="auto"/>
              </w:rPr>
              <w:t>THOUSANDS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MILLIONS</w:t>
            </w:r>
          </w:p>
        </w:tc>
      </w:tr>
      <w:tr>
        <w:trPr>
          <w:trHeight w:val="331"/>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2003</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29,099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840" w:type="dxa"/>
            <w:vAlign w:val="bottom"/>
          </w:tcPr>
          <w:p>
            <w:pPr>
              <w:ind w:left="220"/>
              <w:spacing w:after="0"/>
              <w:rPr>
                <w:sz w:val="20"/>
                <w:szCs w:val="20"/>
                <w:color w:val="auto"/>
              </w:rPr>
            </w:pPr>
            <w:r>
              <w:rPr>
                <w:rFonts w:ascii="Courier New" w:cs="Courier New" w:eastAsia="Courier New" w:hAnsi="Courier New"/>
                <w:sz w:val="14"/>
                <w:szCs w:val="14"/>
                <w:color w:val="auto"/>
              </w:rPr>
              <w:t>Employee Stock Purchase Plan</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560" w:type="dxa"/>
            <w:vAlign w:val="bottom"/>
          </w:tcPr>
          <w:p>
            <w:pPr>
              <w:spacing w:after="0"/>
              <w:rPr>
                <w:sz w:val="14"/>
                <w:szCs w:val="14"/>
                <w:color w:val="auto"/>
              </w:rPr>
            </w:pPr>
          </w:p>
        </w:tc>
        <w:tc>
          <w:tcPr>
            <w:tcW w:w="4840" w:type="dxa"/>
            <w:vAlign w:val="bottom"/>
          </w:tcPr>
          <w:p>
            <w:pPr>
              <w:ind w:left="220"/>
              <w:spacing w:after="0"/>
              <w:rPr>
                <w:sz w:val="20"/>
                <w:szCs w:val="20"/>
                <w:color w:val="auto"/>
              </w:rPr>
            </w:pPr>
            <w:r>
              <w:rPr>
                <w:rFonts w:ascii="Courier New" w:cs="Courier New" w:eastAsia="Courier New" w:hAnsi="Courier New"/>
                <w:sz w:val="14"/>
                <w:szCs w:val="14"/>
                <w:color w:val="auto"/>
              </w:rPr>
              <w:t>Invest Direct</w:t>
            </w:r>
          </w:p>
        </w:tc>
        <w:tc>
          <w:tcPr>
            <w:tcW w:w="3300" w:type="dxa"/>
            <w:vAlign w:val="bottom"/>
          </w:tcPr>
          <w:p>
            <w:pPr>
              <w:ind w:left="1940"/>
              <w:spacing w:after="0"/>
              <w:rPr>
                <w:sz w:val="20"/>
                <w:szCs w:val="20"/>
                <w:color w:val="auto"/>
              </w:rPr>
            </w:pPr>
            <w:r>
              <w:rPr>
                <w:rFonts w:ascii="Courier New" w:cs="Courier New" w:eastAsia="Courier New" w:hAnsi="Courier New"/>
                <w:sz w:val="14"/>
                <w:szCs w:val="14"/>
                <w:color w:val="auto"/>
              </w:rPr>
              <w:t>247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w:t>
            </w:r>
          </w:p>
        </w:tc>
      </w:tr>
      <w:tr>
        <w:trPr>
          <w:trHeight w:val="166"/>
        </w:trPr>
        <w:tc>
          <w:tcPr>
            <w:tcW w:w="560" w:type="dxa"/>
            <w:vAlign w:val="bottom"/>
          </w:tcPr>
          <w:p>
            <w:pPr>
              <w:spacing w:after="0"/>
              <w:rPr>
                <w:sz w:val="14"/>
                <w:szCs w:val="14"/>
                <w:color w:val="auto"/>
              </w:rPr>
            </w:pPr>
          </w:p>
        </w:tc>
        <w:tc>
          <w:tcPr>
            <w:tcW w:w="4840" w:type="dxa"/>
            <w:vAlign w:val="bottom"/>
          </w:tcPr>
          <w:p>
            <w:pPr>
              <w:ind w:left="220"/>
              <w:spacing w:after="0"/>
              <w:rPr>
                <w:sz w:val="20"/>
                <w:szCs w:val="20"/>
                <w:color w:val="auto"/>
              </w:rPr>
            </w:pPr>
            <w:r>
              <w:rPr>
                <w:rFonts w:ascii="Courier New" w:cs="Courier New" w:eastAsia="Courier New" w:hAnsi="Courier New"/>
                <w:sz w:val="14"/>
                <w:szCs w:val="14"/>
                <w:color w:val="auto"/>
              </w:rPr>
              <w:t>ADESA IPO (See Note 13)</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w:t>
            </w:r>
          </w:p>
        </w:tc>
      </w:tr>
      <w:tr>
        <w:trPr>
          <w:trHeight w:val="166"/>
        </w:trPr>
        <w:tc>
          <w:tcPr>
            <w:tcW w:w="560" w:type="dxa"/>
            <w:vAlign w:val="bottom"/>
          </w:tcPr>
          <w:p>
            <w:pPr>
              <w:spacing w:after="0"/>
              <w:rPr>
                <w:sz w:val="14"/>
                <w:szCs w:val="14"/>
                <w:color w:val="auto"/>
              </w:rPr>
            </w:pPr>
          </w:p>
        </w:tc>
        <w:tc>
          <w:tcPr>
            <w:tcW w:w="4840" w:type="dxa"/>
            <w:vAlign w:val="bottom"/>
          </w:tcPr>
          <w:p>
            <w:pPr>
              <w:ind w:left="220"/>
              <w:spacing w:after="0"/>
              <w:rPr>
                <w:sz w:val="20"/>
                <w:szCs w:val="20"/>
                <w:color w:val="auto"/>
              </w:rPr>
            </w:pPr>
            <w:r>
              <w:rPr>
                <w:rFonts w:ascii="Courier New" w:cs="Courier New" w:eastAsia="Courier New" w:hAnsi="Courier New"/>
                <w:sz w:val="14"/>
                <w:szCs w:val="14"/>
                <w:color w:val="auto"/>
              </w:rPr>
              <w:t>Spin-Off of ADESA (See Note 13)</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(600.2)</w:t>
            </w:r>
          </w:p>
        </w:tc>
      </w:tr>
      <w:tr>
        <w:trPr>
          <w:trHeight w:val="166"/>
        </w:trPr>
        <w:tc>
          <w:tcPr>
            <w:tcW w:w="560" w:type="dxa"/>
            <w:vAlign w:val="bottom"/>
          </w:tcPr>
          <w:p>
            <w:pPr>
              <w:spacing w:after="0"/>
              <w:rPr>
                <w:sz w:val="14"/>
                <w:szCs w:val="14"/>
                <w:color w:val="auto"/>
              </w:rPr>
            </w:pPr>
          </w:p>
        </w:tc>
        <w:tc>
          <w:tcPr>
            <w:tcW w:w="4840" w:type="dxa"/>
            <w:vAlign w:val="bottom"/>
          </w:tcPr>
          <w:p>
            <w:pPr>
              <w:ind w:left="220"/>
              <w:spacing w:after="0"/>
              <w:rPr>
                <w:sz w:val="20"/>
                <w:szCs w:val="20"/>
                <w:color w:val="auto"/>
              </w:rPr>
            </w:pPr>
            <w:r>
              <w:rPr>
                <w:rFonts w:ascii="Courier New" w:cs="Courier New" w:eastAsia="Courier New" w:hAnsi="Courier New"/>
                <w:sz w:val="14"/>
                <w:szCs w:val="14"/>
                <w:color w:val="auto"/>
              </w:rPr>
              <w:t>Receipt of ADESA Stock by ESOP</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560" w:type="dxa"/>
            <w:vAlign w:val="bottom"/>
          </w:tcPr>
          <w:p>
            <w:pPr>
              <w:spacing w:after="0"/>
              <w:rPr>
                <w:sz w:val="14"/>
                <w:szCs w:val="14"/>
                <w:color w:val="auto"/>
              </w:rPr>
            </w:pPr>
          </w:p>
        </w:tc>
        <w:tc>
          <w:tcPr>
            <w:tcW w:w="4840" w:type="dxa"/>
            <w:vAlign w:val="bottom"/>
          </w:tcPr>
          <w:p>
            <w:pPr>
              <w:ind w:left="220"/>
              <w:spacing w:after="0"/>
              <w:rPr>
                <w:sz w:val="20"/>
                <w:szCs w:val="20"/>
                <w:color w:val="auto"/>
              </w:rPr>
            </w:pPr>
            <w:r>
              <w:rPr>
                <w:rFonts w:ascii="Courier New" w:cs="Courier New" w:eastAsia="Courier New" w:hAnsi="Courier New"/>
                <w:sz w:val="14"/>
                <w:szCs w:val="14"/>
                <w:color w:val="auto"/>
              </w:rPr>
              <w:t>Reacquired</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560" w:type="dxa"/>
            <w:vAlign w:val="bottom"/>
          </w:tcPr>
          <w:p>
            <w:pPr>
              <w:spacing w:after="0"/>
              <w:rPr>
                <w:sz w:val="14"/>
                <w:szCs w:val="14"/>
                <w:color w:val="auto"/>
              </w:rPr>
            </w:pPr>
          </w:p>
        </w:tc>
        <w:tc>
          <w:tcPr>
            <w:tcW w:w="4840" w:type="dxa"/>
            <w:vAlign w:val="bottom"/>
          </w:tcPr>
          <w:p>
            <w:pPr>
              <w:ind w:left="220"/>
              <w:spacing w:after="0"/>
              <w:rPr>
                <w:sz w:val="20"/>
                <w:szCs w:val="20"/>
                <w:color w:val="auto"/>
              </w:rPr>
            </w:pPr>
            <w:r>
              <w:rPr>
                <w:rFonts w:ascii="Courier New" w:cs="Courier New" w:eastAsia="Courier New" w:hAnsi="Courier New"/>
                <w:sz w:val="14"/>
                <w:szCs w:val="14"/>
                <w:color w:val="auto"/>
              </w:rPr>
              <w:t>Options and Stock Awards</w:t>
            </w:r>
          </w:p>
        </w:tc>
        <w:tc>
          <w:tcPr>
            <w:tcW w:w="33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361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3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29,651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400.1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Employee Stock</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Purchase Plan</w:t>
            </w:r>
          </w:p>
        </w:tc>
        <w:tc>
          <w:tcPr>
            <w:tcW w:w="3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56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Invest Direct</w:t>
            </w:r>
          </w:p>
        </w:tc>
        <w:tc>
          <w:tcPr>
            <w:tcW w:w="3220" w:type="dxa"/>
            <w:vAlign w:val="bottom"/>
          </w:tcPr>
          <w:p>
            <w:pPr>
              <w:spacing w:after="0"/>
              <w:rPr>
                <w:sz w:val="14"/>
                <w:szCs w:val="14"/>
                <w:color w:val="auto"/>
              </w:rPr>
            </w:pPr>
          </w:p>
        </w:tc>
        <w:tc>
          <w:tcPr>
            <w:tcW w:w="33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238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60" w:type="dxa"/>
            <w:vAlign w:val="bottom"/>
          </w:tcPr>
          <w:p>
            <w:pPr>
              <w:spacing w:after="0"/>
              <w:rPr>
                <w:sz w:val="14"/>
                <w:szCs w:val="14"/>
                <w:color w:val="auto"/>
              </w:rPr>
            </w:pPr>
          </w:p>
        </w:tc>
        <w:tc>
          <w:tcPr>
            <w:tcW w:w="4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Options and Stock Awards</w:t>
            </w:r>
          </w:p>
        </w:tc>
        <w:tc>
          <w:tcPr>
            <w:tcW w:w="3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2005</w:t>
            </w:r>
          </w:p>
        </w:tc>
        <w:tc>
          <w:tcPr>
            <w:tcW w:w="3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30,143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421.1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Employee Stock</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Purchase Plan</w:t>
            </w:r>
          </w:p>
        </w:tc>
        <w:tc>
          <w:tcPr>
            <w:tcW w:w="3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56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Invest Direct</w:t>
            </w:r>
          </w:p>
        </w:tc>
        <w:tc>
          <w:tcPr>
            <w:tcW w:w="3220" w:type="dxa"/>
            <w:vAlign w:val="bottom"/>
          </w:tcPr>
          <w:p>
            <w:pPr>
              <w:spacing w:after="0"/>
              <w:rPr>
                <w:sz w:val="14"/>
                <w:szCs w:val="14"/>
                <w:color w:val="auto"/>
              </w:rPr>
            </w:pPr>
          </w:p>
        </w:tc>
        <w:tc>
          <w:tcPr>
            <w:tcW w:w="33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218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60" w:type="dxa"/>
            <w:vAlign w:val="bottom"/>
          </w:tcPr>
          <w:p>
            <w:pPr>
              <w:spacing w:after="0"/>
              <w:rPr>
                <w:sz w:val="14"/>
                <w:szCs w:val="14"/>
                <w:color w:val="auto"/>
              </w:rPr>
            </w:pPr>
          </w:p>
        </w:tc>
        <w:tc>
          <w:tcPr>
            <w:tcW w:w="4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Options and Stock Awards</w:t>
            </w:r>
          </w:p>
        </w:tc>
        <w:tc>
          <w:tcPr>
            <w:tcW w:w="3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Balance at December 31, 2006</w:t>
            </w:r>
          </w:p>
        </w:tc>
        <w:tc>
          <w:tcPr>
            <w:tcW w:w="37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30,436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$438.7</w:t>
            </w:r>
          </w:p>
        </w:tc>
      </w:tr>
    </w:tbl>
    <w:p>
      <w:pPr>
        <w:spacing w:after="0" w:line="4"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 Direct is ALLETE's direct stock purchase and dividend reinvestment plan.</w:t>
      </w:r>
    </w:p>
    <w:p>
      <w:pPr>
        <w:spacing w:after="0" w:line="200" w:lineRule="exact"/>
        <w:rPr>
          <w:sz w:val="20"/>
          <w:szCs w:val="20"/>
          <w:color w:val="auto"/>
        </w:rPr>
      </w:pPr>
    </w:p>
    <w:p>
      <w:pPr>
        <w:spacing w:after="0" w:line="304"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SHAREHOLDER RIGHTS PLAN. In 1996, we adopted a rights plan that provides for a dividend distribution of one preferred share purchase right (Right) to be attached to each share of common stock. In July 2006, we amended the rights plan to extend the expiration of the Rights to July 11, 2009. The amendment also provides that the Company may not consolidate, merge, or sell a majority of its assets or earning power if doing so would be counter to the intended benefits of the Rights or would result in the distribution of Rights to the shareholders of the other parties to the transaction. Finally, the amendment provides for the creation of a committee of independent directors to annually review the terms and conditions of the amended rights plan (Rights Plan), as well as to consider whether termination or modification of the Rights Plan would be in the best interests of the shareholders and to make a recommendation based on such review to the Board of Directors.</w:t>
      </w:r>
    </w:p>
    <w:p>
      <w:pPr>
        <w:spacing w:after="0" w:line="163" w:lineRule="exact"/>
        <w:rPr>
          <w:sz w:val="20"/>
          <w:szCs w:val="20"/>
          <w:color w:val="auto"/>
        </w:rPr>
      </w:pPr>
    </w:p>
    <w:p>
      <w:pPr>
        <w:jc w:val="both"/>
        <w:ind w:right="3780"/>
        <w:spacing w:after="0" w:line="250" w:lineRule="auto"/>
        <w:rPr>
          <w:sz w:val="20"/>
          <w:szCs w:val="20"/>
          <w:color w:val="auto"/>
        </w:rPr>
      </w:pPr>
      <w:r>
        <w:rPr>
          <w:rFonts w:ascii="Courier New" w:cs="Courier New" w:eastAsia="Courier New" w:hAnsi="Courier New"/>
          <w:sz w:val="14"/>
          <w:szCs w:val="14"/>
          <w:color w:val="auto"/>
        </w:rPr>
        <w:t>The Rights, which are currently not exercisable or transferable apart from our common stock, entitle the holder to purchase one-and-a-half one-hundredths (three two-hundredths) of a share of ALLETE's Junior Serial Preferred Stock A, without par value. The purchase price, as defined in the Rights Plan, remains at $90. These Rights would become exercisable if a person or group acquires beneficial ownership of 15% or more of our common stock or announces a tender offer which would increase the person's or group's beneficial ownership interest to 15% or more of our common stock, subject to certain exceptions. If the 15% threshold is met, each Right entitles the holder (other than the acquiring person or group) to receive, upon payment of the purchase price, the number of shares of common stock (or, in certain circumstances, cash, property or other securities of ours) having a market value equal to twice the exercise price of the Right. If we are acquired in a merger or business combination, or more than 50% of our assets or earning power are sold, each exercisable Right entitles the holder to receive, upon payment of the purchase price, the number of shares of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339" w:lineRule="exact"/>
        <w:rPr>
          <w:sz w:val="20"/>
          <w:szCs w:val="20"/>
          <w:color w:val="auto"/>
        </w:rPr>
      </w:pPr>
    </w:p>
    <w:p>
      <w:pPr>
        <w:spacing w:after="0"/>
        <w:tabs>
          <w:tab w:leader="none" w:pos="420" w:val="left"/>
          <w:tab w:leader="none" w:pos="1460" w:val="left"/>
          <w:tab w:leader="none" w:pos="2400" w:val="left"/>
          <w:tab w:leader="none" w:pos="3440" w:val="left"/>
          <w:tab w:leader="none" w:pos="4300" w:val="left"/>
        </w:tabs>
        <w:rPr>
          <w:sz w:val="20"/>
          <w:szCs w:val="20"/>
          <w:color w:val="auto"/>
        </w:rPr>
      </w:pPr>
      <w:r>
        <w:rPr>
          <w:rFonts w:ascii="Courier New" w:cs="Courier New" w:eastAsia="Courier New" w:hAnsi="Courier New"/>
          <w:sz w:val="14"/>
          <w:szCs w:val="14"/>
          <w:color w:val="auto"/>
        </w:rPr>
        <w:t>The</w:t>
        <w:tab/>
        <w:t>Rights are</w:t>
        <w:tab/>
        <w:t>nonvoting</w:t>
        <w:tab/>
        <w:t>and may be</w:t>
        <w:tab/>
        <w:t>redeemed</w:t>
        <w:tab/>
        <w:t>by us at a price of $0.005 per</w:t>
      </w:r>
    </w:p>
    <w:p>
      <w:pPr>
        <w:spacing w:after="0" w:line="7"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Right at any time they are not exercisable.</w:t>
        <w:tab/>
        <w:t>One million shares of Junior Serial</w:t>
      </w:r>
    </w:p>
    <w:p>
      <w:pPr>
        <w:spacing w:after="0" w:line="7" w:lineRule="exact"/>
        <w:rPr>
          <w:sz w:val="20"/>
          <w:szCs w:val="20"/>
          <w:color w:val="auto"/>
        </w:rPr>
      </w:pPr>
    </w:p>
    <w:p>
      <w:pPr>
        <w:spacing w:after="0"/>
        <w:tabs>
          <w:tab w:leader="none" w:pos="940" w:val="left"/>
          <w:tab w:leader="none" w:pos="2580" w:val="left"/>
        </w:tabs>
        <w:rPr>
          <w:sz w:val="20"/>
          <w:szCs w:val="20"/>
          <w:color w:val="auto"/>
        </w:rPr>
      </w:pPr>
      <w:r>
        <w:rPr>
          <w:rFonts w:ascii="Courier New" w:cs="Courier New" w:eastAsia="Courier New" w:hAnsi="Courier New"/>
          <w:sz w:val="14"/>
          <w:szCs w:val="14"/>
          <w:color w:val="auto"/>
        </w:rPr>
        <w:t>Preferred</w:t>
        <w:tab/>
        <w:t>Stock A have been</w:t>
        <w:tab/>
        <w:t>authorized and are reserved for issuance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bl>
    <w:p>
      <w:pPr>
        <w:sectPr>
          <w:pgSz w:w="11900" w:h="16838" w:orient="portrait"/>
          <w:cols w:equalWidth="0" w:num="1">
            <w:col w:w="10680"/>
          </w:cols>
          <w:pgMar w:left="220" w:top="616" w:right="999" w:bottom="1440" w:gutter="0" w:footer="0" w:header="0"/>
        </w:sectPr>
      </w:pPr>
    </w:p>
    <w:bookmarkStart w:id="94" w:name="page95"/>
    <w:bookmarkEnd w:id="94"/>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COMMON STOCK AND EARNINGS PER SHARE (CONTINUED)</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EARNINGS PER SHARE. The difference between basic and diluted earnings per share arises from outstanding stock options and performance share awards granted under our Executive and Director Long-Term Incentive Compensation Plans. For 2006 and 2005, no options to purchase shares of common stock were excluded from the computation of diluted earnings per share because they were anti-dilutive due to the option exercise prices being greater than the average market price of the common shares during the period (0.1 shares were excluded for 2004).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BASIC AND DILUTED</w:t>
      </w:r>
    </w:p>
    <w:p>
      <w:pPr>
        <w:spacing w:after="0" w:line="7"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5680" w:val="left"/>
          <w:tab w:leader="none" w:pos="7400" w:val="left"/>
          <w:tab w:leader="none" w:pos="946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$77.3</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$77.3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27.8</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$2.78</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$17.6</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27.3</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$0.65</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Before Change in Accounting Principle</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$38.5</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28.3</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$1.37</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KENDALL COUNTY CHARGE</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On April 1, 2005, Rainy River Energy, a wholly-owned subsidiary of ALLETE,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that remains in effect through mid-September 2017. The federal tax benefits of the payment were realized through a $24.3 million capital loss carryback refund in the third quarter of 2006. In addition, consent, advisory and closing costs of $4.9 million were incurred to complete the transaction. As a result of this transaction, ALLETE incurred a charge to operating expenses totaling $77.9 million ($50.4 million after tax, or $1.84 per diluted share) in the second quarter of 2005.</w:t>
      </w:r>
    </w:p>
    <w:p>
      <w:pPr>
        <w:spacing w:after="0" w:line="16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780"/>
          </w:cols>
          <w:pgMar w:left="220" w:top="616" w:right="899" w:bottom="1440" w:gutter="0" w:footer="0" w:header="0"/>
        </w:sectPr>
      </w:pPr>
    </w:p>
    <w:bookmarkStart w:id="95" w:name="page96"/>
    <w:bookmarkEnd w:id="95"/>
    <w:p>
      <w:pPr>
        <w:spacing w:after="0"/>
        <w:tabs>
          <w:tab w:leader="none" w:pos="94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OTHER INCOME (EXPENSE)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5"/>
          </w:tcPr>
          <w:p>
            <w:pPr>
              <w:spacing w:after="0"/>
              <w:rPr>
                <w:sz w:val="20"/>
                <w:szCs w:val="20"/>
                <w:color w:val="auto"/>
              </w:rPr>
            </w:pPr>
            <w:r>
              <w:rPr>
                <w:rFonts w:ascii="Courier New" w:cs="Courier New" w:eastAsia="Courier New" w:hAnsi="Courier New"/>
                <w:sz w:val="14"/>
                <w:szCs w:val="14"/>
                <w:color w:val="auto"/>
              </w:rPr>
              <w:t>Loss on Emerging Technology Investments</w:t>
            </w: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(8.6)</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Income from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Investment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in ATC (See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Note</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202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Prepayment Premium and Unamortized</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Debt</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Issuance Costs</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Gain</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on ESOP's Sale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ADESA Stock</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(See Note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17)</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r>
        <w:trPr>
          <w:trHeight w:val="0"/>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Investments</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Other Income</w:t>
            </w: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13.4</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080" w:val="left"/>
          <w:tab w:leader="none" w:pos="9640" w:val="left"/>
        </w:tabs>
        <w:rPr>
          <w:sz w:val="20"/>
          <w:szCs w:val="20"/>
          <w:color w:val="auto"/>
        </w:rPr>
      </w:pPr>
      <w:r>
        <w:rPr>
          <w:rFonts w:ascii="Courier New" w:cs="Courier New" w:eastAsia="Courier New" w:hAnsi="Courier New"/>
          <w:sz w:val="14"/>
          <w:szCs w:val="14"/>
          <w:color w:val="auto"/>
        </w:rPr>
        <w:t>Total Other Income (Expense)</w:t>
      </w:r>
      <w:r>
        <w:rPr>
          <w:sz w:val="20"/>
          <w:szCs w:val="20"/>
          <w:color w:val="auto"/>
        </w:rPr>
        <w:tab/>
      </w:r>
      <w:r>
        <w:rPr>
          <w:rFonts w:ascii="Courier New" w:cs="Courier New" w:eastAsia="Courier New" w:hAnsi="Courier New"/>
          <w:sz w:val="14"/>
          <w:szCs w:val="14"/>
          <w:color w:val="auto"/>
        </w:rPr>
        <w:t>$14.9</w:t>
      </w:r>
      <w:r>
        <w:rPr>
          <w:sz w:val="20"/>
          <w:szCs w:val="20"/>
          <w:color w:val="auto"/>
        </w:rPr>
        <w:tab/>
      </w:r>
      <w:r>
        <w:rPr>
          <w:rFonts w:ascii="Courier New" w:cs="Courier New" w:eastAsia="Courier New" w:hAnsi="Courier New"/>
          <w:sz w:val="14"/>
          <w:szCs w:val="14"/>
          <w:color w:val="auto"/>
        </w:rPr>
        <w:t>$ 1.1</w:t>
      </w:r>
      <w:r>
        <w:rPr>
          <w:sz w:val="20"/>
          <w:szCs w:val="20"/>
          <w:color w:val="auto"/>
        </w:rPr>
        <w:tab/>
      </w:r>
      <w:r>
        <w:rPr>
          <w:rFonts w:ascii="Courier New" w:cs="Courier New" w:eastAsia="Courier New" w:hAnsi="Courier New"/>
          <w:sz w:val="14"/>
          <w:szCs w:val="14"/>
          <w:color w:val="auto"/>
        </w:rPr>
        <w:t>$(12.2)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August 2006, we redeemed $29.1 million of outstanding Collier County Industrial Development Refunding Revenue Bonds 6.5% Series 1996 due 2025 with proceeds from the issuance of $27.8 million of Collier County Industrial Development Variable Rate Demand Refunding Revenue Bonds Series 2006 due 2025 and internally generated funds. As a result of an early redemption premium, we recognized an expense of $0.6 million in the third quarter of 2006.</w:t>
      </w:r>
    </w:p>
    <w:p>
      <w:pPr>
        <w:spacing w:after="0" w:line="164"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July 2004, we repaid $125 million in principal amount of 7.80% Senior Notes due 2008. Proceeds from the sale of our water assets and proceeds received from ADESA were used to repay this debt. As a result of the redemption, we recognized an expense of $18.5 million in the third quarter of 2004 comprised of an early redemption premium and the write-off of unamortized debt issuance costs.</w:t>
      </w: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INCOME TAX EXPENSE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3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2006</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3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$ 8.9</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27.2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Current Tax Expense</w:t>
            </w:r>
          </w:p>
        </w:tc>
        <w:tc>
          <w:tcPr>
            <w:tcW w:w="2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18.5</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2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2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(26.4)</w:t>
            </w:r>
          </w:p>
        </w:tc>
        <w:tc>
          <w:tcPr>
            <w:tcW w:w="1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2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Deferred Tax Expense (Benefit)</w:t>
            </w:r>
          </w:p>
        </w:tc>
        <w:tc>
          <w:tcPr>
            <w:tcW w:w="24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30.0</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31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31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for Continuing Operations</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46.3</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16.4</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for Discontinued Operations</w:t>
            </w:r>
          </w:p>
        </w:tc>
        <w:tc>
          <w:tcPr>
            <w:tcW w:w="2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57.6</w:t>
            </w:r>
          </w:p>
        </w:tc>
      </w:tr>
      <w:tr>
        <w:trPr>
          <w:trHeight w:val="170"/>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w w:val="99"/>
              </w:rPr>
              <w:t>(5.5)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540" w:val="left"/>
          <w:tab w:leader="none" w:pos="8420" w:val="left"/>
          <w:tab w:leader="none" w:pos="9720" w:val="left"/>
        </w:tabs>
        <w:rPr>
          <w:sz w:val="20"/>
          <w:szCs w:val="20"/>
          <w:color w:val="auto"/>
        </w:rPr>
      </w:pPr>
      <w:r>
        <w:rPr>
          <w:rFonts w:ascii="Courier New" w:cs="Courier New" w:eastAsia="Courier New" w:hAnsi="Courier New"/>
          <w:sz w:val="14"/>
          <w:szCs w:val="14"/>
          <w:color w:val="auto"/>
        </w:rPr>
        <w:t>Total Income Tax Expense</w:t>
      </w:r>
      <w:r>
        <w:rPr>
          <w:sz w:val="20"/>
          <w:szCs w:val="20"/>
          <w:color w:val="auto"/>
        </w:rPr>
        <w:tab/>
      </w:r>
      <w:r>
        <w:rPr>
          <w:rFonts w:ascii="Courier New" w:cs="Courier New" w:eastAsia="Courier New" w:hAnsi="Courier New"/>
          <w:sz w:val="14"/>
          <w:szCs w:val="14"/>
          <w:color w:val="auto"/>
        </w:rPr>
        <w:t>$45.7</w:t>
      </w:r>
      <w:r>
        <w:rPr>
          <w:sz w:val="20"/>
          <w:szCs w:val="20"/>
          <w:color w:val="auto"/>
        </w:rPr>
        <w:tab/>
      </w: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$68.5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50" w:lineRule="auto"/>
        <w:rPr>
          <w:sz w:val="20"/>
          <w:szCs w:val="20"/>
          <w:color w:val="auto"/>
        </w:rPr>
      </w:pPr>
      <w:r>
        <w:rPr>
          <w:rFonts w:ascii="Courier New" w:cs="Courier New" w:eastAsia="Courier New" w:hAnsi="Courier New"/>
          <w:sz w:val="14"/>
          <w:szCs w:val="14"/>
          <w:color w:val="auto"/>
        </w:rPr>
        <w:t>Included a current federal tax benefit of $24.3 million and a deferred federal tax expense of $24.3 million related to the refund from the Kendall County capital loss carryback. (See Note 10.)</w:t>
      </w:r>
    </w:p>
    <w:p>
      <w:pPr>
        <w:spacing w:after="0" w:line="1" w:lineRule="exact"/>
        <w:rPr>
          <w:sz w:val="20"/>
          <w:szCs w:val="20"/>
          <w:color w:val="auto"/>
        </w:rPr>
      </w:pPr>
    </w:p>
    <w:p>
      <w:pPr>
        <w:ind w:left="440" w:right="520" w:hanging="344"/>
        <w:spacing w:after="0" w:line="255" w:lineRule="auto"/>
        <w:rPr>
          <w:sz w:val="20"/>
          <w:szCs w:val="20"/>
          <w:color w:val="auto"/>
        </w:rPr>
      </w:pPr>
      <w:r>
        <w:rPr>
          <w:rFonts w:ascii="Courier New" w:cs="Courier New" w:eastAsia="Courier New" w:hAnsi="Courier New"/>
          <w:sz w:val="14"/>
          <w:szCs w:val="14"/>
          <w:color w:val="auto"/>
        </w:rPr>
        <w:t>Included a current federal tax benefit of $1.3 million, current state tax benefit of $0.4 million and deferred federal tax benefit of $25.8 million related to the Kendall County charge. (See Note 10.)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bl>
    <w:p>
      <w:pPr>
        <w:sectPr>
          <w:pgSz w:w="11900" w:h="16838" w:orient="portrait"/>
          <w:cols w:equalWidth="0" w:num="1">
            <w:col w:w="10780"/>
          </w:cols>
          <w:pgMar w:left="220" w:top="616" w:right="89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NOTE 12.</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TAX EXPENSE (CONTINUED)</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RECONCILIATION OF</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TAXES FROM FEDERAL STATUTORY</w:t>
            </w: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RATE</w:t>
            </w:r>
          </w:p>
        </w:tc>
        <w:tc>
          <w:tcPr>
            <w:tcW w:w="5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TOTAL INCOME TAX EXPENSE FOR CONTINUING OPERATIONS</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4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Income from</w:t>
            </w:r>
          </w:p>
        </w:tc>
        <w:tc>
          <w:tcPr>
            <w:tcW w:w="4300" w:type="dxa"/>
            <w:vAlign w:val="bottom"/>
          </w:tcPr>
          <w:p>
            <w:pPr>
              <w:jc w:val="right"/>
              <w:ind w:right="2368"/>
              <w:spacing w:after="0"/>
              <w:rPr>
                <w:sz w:val="20"/>
                <w:szCs w:val="20"/>
                <w:color w:val="auto"/>
              </w:rPr>
            </w:pPr>
            <w:r>
              <w:rPr>
                <w:rFonts w:ascii="Courier New" w:cs="Courier New" w:eastAsia="Courier New" w:hAnsi="Courier New"/>
                <w:sz w:val="14"/>
                <w:szCs w:val="14"/>
                <w:color w:val="auto"/>
              </w:rPr>
              <w:t>Continuing Operations</w:t>
            </w: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430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Minority Interest and Income Taxes</w:t>
            </w:r>
          </w:p>
        </w:tc>
        <w:tc>
          <w:tcPr>
            <w:tcW w:w="2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$128.2</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331"/>
        </w:trPr>
        <w:tc>
          <w:tcPr>
            <w:tcW w:w="5300" w:type="dxa"/>
            <w:vAlign w:val="bottom"/>
            <w:gridSpan w:val="2"/>
          </w:tcPr>
          <w:p>
            <w:pPr>
              <w:jc w:val="right"/>
              <w:ind w:right="2368"/>
              <w:spacing w:after="0"/>
              <w:rPr>
                <w:sz w:val="20"/>
                <w:szCs w:val="20"/>
                <w:color w:val="auto"/>
              </w:rPr>
            </w:pPr>
            <w:r>
              <w:rPr>
                <w:rFonts w:ascii="Courier New" w:cs="Courier New" w:eastAsia="Courier New" w:hAnsi="Courier New"/>
                <w:sz w:val="14"/>
                <w:szCs w:val="14"/>
                <w:color w:val="auto"/>
              </w:rPr>
              <w:t>Statutory Federal Income Tax Rate</w:t>
            </w:r>
          </w:p>
        </w:tc>
        <w:tc>
          <w:tcPr>
            <w:tcW w:w="2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Income Taxes Computed at 35% Statutory Federal Rate</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44.9</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(Decrease) in Tax Due to:</w:t>
            </w: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Investment Tax Credits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State Income Taxes - Net of Federal Income Tax Benefit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Depletion</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Employee Benefits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Domestic Manufacturing Deduction</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Regulatory Differences for Utility Plant</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Positive Resolution of Audit Issues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Sale of ADESA Stock by ESOP</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0"/>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180" w:val="left"/>
          <w:tab w:leader="none" w:pos="9720" w:val="left"/>
        </w:tabs>
        <w:rPr>
          <w:sz w:val="20"/>
          <w:szCs w:val="20"/>
          <w:color w:val="auto"/>
        </w:rPr>
      </w:pPr>
      <w:r>
        <w:rPr>
          <w:rFonts w:ascii="Courier New" w:cs="Courier New" w:eastAsia="Courier New" w:hAnsi="Courier New"/>
          <w:sz w:val="14"/>
          <w:szCs w:val="14"/>
          <w:color w:val="auto"/>
        </w:rPr>
        <w:t>Total Income Tax Expense (Benefit) for Continuing Operations</w:t>
      </w:r>
      <w:r>
        <w:rPr>
          <w:sz w:val="20"/>
          <w:szCs w:val="20"/>
          <w:color w:val="auto"/>
        </w:rPr>
        <w:tab/>
      </w:r>
      <w:r>
        <w:rPr>
          <w:rFonts w:ascii="Courier New" w:cs="Courier New" w:eastAsia="Courier New" w:hAnsi="Courier New"/>
          <w:sz w:val="14"/>
          <w:szCs w:val="14"/>
          <w:color w:val="auto"/>
        </w:rPr>
        <w:t>$ 46.3</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$16.4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980" w:type="dxa"/>
            <w:vAlign w:val="bottom"/>
            <w:gridSpan w:val="4"/>
          </w:tcPr>
          <w:p>
            <w:pPr>
              <w:spacing w:after="0"/>
              <w:rPr>
                <w:sz w:val="20"/>
                <w:szCs w:val="20"/>
                <w:color w:val="auto"/>
              </w:rPr>
            </w:pPr>
            <w:r>
              <w:rPr>
                <w:rFonts w:ascii="Courier New" w:cs="Courier New" w:eastAsia="Courier New" w:hAnsi="Courier New"/>
                <w:sz w:val="14"/>
                <w:szCs w:val="14"/>
                <w:color w:val="auto"/>
              </w:rPr>
              <w:t>effective tax rate on income from</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continuing</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36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before  minority</w:t>
            </w:r>
          </w:p>
        </w:tc>
        <w:tc>
          <w:tcPr>
            <w:tcW w:w="940" w:type="dxa"/>
            <w:vAlign w:val="bottom"/>
          </w:tcPr>
          <w:p>
            <w:pPr>
              <w:spacing w:after="0"/>
              <w:rPr>
                <w:sz w:val="14"/>
                <w:szCs w:val="14"/>
                <w:color w:val="auto"/>
              </w:rPr>
            </w:pP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8400" w:type="dxa"/>
            <w:vAlign w:val="bottom"/>
            <w:gridSpan w:val="6"/>
          </w:tcPr>
          <w:p>
            <w:pPr>
              <w:jc w:val="right"/>
              <w:ind w:right="2168"/>
              <w:spacing w:after="0"/>
              <w:rPr>
                <w:sz w:val="20"/>
                <w:szCs w:val="20"/>
                <w:color w:val="auto"/>
              </w:rPr>
            </w:pPr>
            <w:r>
              <w:rPr>
                <w:rFonts w:ascii="Courier New" w:cs="Courier New" w:eastAsia="Courier New" w:hAnsi="Courier New"/>
                <w:sz w:val="14"/>
                <w:szCs w:val="14"/>
                <w:color w:val="auto"/>
              </w:rPr>
              <w:t>was a 36.1% expense for 2006; (2.5% benefit for 2005; 28.8% expense for</w:t>
            </w:r>
          </w:p>
        </w:tc>
        <w:tc>
          <w:tcPr>
            <w:tcW w:w="940" w:type="dxa"/>
            <w:vAlign w:val="bottom"/>
          </w:tcPr>
          <w:p>
            <w:pPr>
              <w:spacing w:after="0"/>
              <w:rPr>
                <w:sz w:val="14"/>
                <w:szCs w:val="14"/>
                <w:color w:val="auto"/>
              </w:rPr>
            </w:pPr>
          </w:p>
        </w:tc>
      </w:tr>
      <w:tr>
        <w:trPr>
          <w:trHeight w:val="166"/>
        </w:trPr>
        <w:tc>
          <w:tcPr>
            <w:tcW w:w="9140" w:type="dxa"/>
            <w:vAlign w:val="bottom"/>
            <w:gridSpan w:val="8"/>
          </w:tcPr>
          <w:p>
            <w:pPr>
              <w:spacing w:after="0"/>
              <w:rPr>
                <w:sz w:val="20"/>
                <w:szCs w:val="20"/>
                <w:color w:val="auto"/>
              </w:rPr>
            </w:pPr>
            <w:r>
              <w:rPr>
                <w:rFonts w:ascii="Courier New" w:cs="Courier New" w:eastAsia="Courier New" w:hAnsi="Courier New"/>
                <w:sz w:val="14"/>
                <w:szCs w:val="14"/>
                <w:color w:val="auto"/>
              </w:rPr>
              <w:t>2004).  The  2006  effective  rate  was  impacted  by  investment  tax  credits,</w:t>
            </w:r>
          </w:p>
        </w:tc>
        <w:tc>
          <w:tcPr>
            <w:tcW w:w="940" w:type="dxa"/>
            <w:vAlign w:val="bottom"/>
          </w:tcPr>
          <w:p>
            <w:pPr>
              <w:spacing w:after="0"/>
              <w:rPr>
                <w:sz w:val="14"/>
                <w:szCs w:val="14"/>
                <w:color w:val="auto"/>
              </w:rPr>
            </w:pPr>
          </w:p>
        </w:tc>
      </w:tr>
      <w:tr>
        <w:trPr>
          <w:trHeight w:val="166"/>
        </w:trPr>
        <w:tc>
          <w:tcPr>
            <w:tcW w:w="2080" w:type="dxa"/>
            <w:vAlign w:val="bottom"/>
            <w:gridSpan w:val="3"/>
          </w:tcPr>
          <w:p>
            <w:pPr>
              <w:spacing w:after="0"/>
              <w:rPr>
                <w:sz w:val="20"/>
                <w:szCs w:val="20"/>
                <w:color w:val="auto"/>
              </w:rPr>
            </w:pPr>
            <w:r>
              <w:rPr>
                <w:rFonts w:ascii="Courier New" w:cs="Courier New" w:eastAsia="Courier New" w:hAnsi="Courier New"/>
                <w:sz w:val="14"/>
                <w:szCs w:val="14"/>
                <w:color w:val="auto"/>
              </w:rPr>
              <w:t>deductions  for Medicare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health</w:t>
            </w:r>
          </w:p>
        </w:tc>
        <w:tc>
          <w:tcPr>
            <w:tcW w:w="6200" w:type="dxa"/>
            <w:vAlign w:val="bottom"/>
            <w:gridSpan w:val="4"/>
          </w:tcPr>
          <w:p>
            <w:pPr>
              <w:jc w:val="right"/>
              <w:ind w:right="2168"/>
              <w:spacing w:after="0"/>
              <w:rPr>
                <w:sz w:val="20"/>
                <w:szCs w:val="20"/>
                <w:color w:val="auto"/>
              </w:rPr>
            </w:pPr>
            <w:r>
              <w:rPr>
                <w:rFonts w:ascii="Courier New" w:cs="Courier New" w:eastAsia="Courier New" w:hAnsi="Courier New"/>
                <w:sz w:val="14"/>
                <w:szCs w:val="14"/>
                <w:color w:val="auto"/>
              </w:rPr>
              <w:t>subsidies,  depletion  and the expected use of</w:t>
            </w:r>
          </w:p>
        </w:tc>
        <w:tc>
          <w:tcPr>
            <w:tcW w:w="940" w:type="dxa"/>
            <w:vAlign w:val="bottom"/>
          </w:tcPr>
          <w:p>
            <w:pPr>
              <w:spacing w:after="0"/>
              <w:rPr>
                <w:sz w:val="14"/>
                <w:szCs w:val="14"/>
                <w:color w:val="auto"/>
              </w:rPr>
            </w:pPr>
          </w:p>
        </w:tc>
      </w:tr>
      <w:tr>
        <w:trPr>
          <w:trHeight w:val="166"/>
        </w:trPr>
        <w:tc>
          <w:tcPr>
            <w:tcW w:w="2940" w:type="dxa"/>
            <w:vAlign w:val="bottom"/>
            <w:gridSpan w:val="4"/>
          </w:tcPr>
          <w:p>
            <w:pPr>
              <w:spacing w:after="0"/>
              <w:rPr>
                <w:sz w:val="20"/>
                <w:szCs w:val="20"/>
                <w:color w:val="auto"/>
              </w:rPr>
            </w:pPr>
            <w:r>
              <w:rPr>
                <w:rFonts w:ascii="Courier New" w:cs="Courier New" w:eastAsia="Courier New" w:hAnsi="Courier New"/>
                <w:sz w:val="14"/>
                <w:szCs w:val="14"/>
                <w:color w:val="auto"/>
              </w:rPr>
              <w:t>state capital loss  carryforwards,</w:t>
            </w:r>
          </w:p>
        </w:tc>
        <w:tc>
          <w:tcPr>
            <w:tcW w:w="6200" w:type="dxa"/>
            <w:vAlign w:val="bottom"/>
            <w:gridSpan w:val="4"/>
          </w:tcPr>
          <w:p>
            <w:pPr>
              <w:jc w:val="right"/>
              <w:ind w:right="2168"/>
              <w:spacing w:after="0"/>
              <w:rPr>
                <w:sz w:val="20"/>
                <w:szCs w:val="20"/>
                <w:color w:val="auto"/>
              </w:rPr>
            </w:pPr>
            <w:r>
              <w:rPr>
                <w:rFonts w:ascii="Courier New" w:cs="Courier New" w:eastAsia="Courier New" w:hAnsi="Courier New"/>
                <w:sz w:val="14"/>
                <w:szCs w:val="14"/>
                <w:color w:val="auto"/>
              </w:rPr>
              <w:t>of which a $1.1 million benefit was included</w:t>
            </w:r>
          </w:p>
        </w:tc>
        <w:tc>
          <w:tcPr>
            <w:tcW w:w="940" w:type="dxa"/>
            <w:vAlign w:val="bottom"/>
          </w:tcPr>
          <w:p>
            <w:pPr>
              <w:spacing w:after="0"/>
              <w:rPr>
                <w:sz w:val="14"/>
                <w:szCs w:val="14"/>
                <w:color w:val="auto"/>
              </w:rPr>
            </w:pPr>
          </w:p>
        </w:tc>
      </w:tr>
      <w:tr>
        <w:trPr>
          <w:trHeight w:val="166"/>
        </w:trPr>
        <w:tc>
          <w:tcPr>
            <w:tcW w:w="9140" w:type="dxa"/>
            <w:vAlign w:val="bottom"/>
            <w:gridSpan w:val="8"/>
          </w:tcPr>
          <w:p>
            <w:pPr>
              <w:spacing w:after="0"/>
              <w:rPr>
                <w:sz w:val="20"/>
                <w:szCs w:val="20"/>
                <w:color w:val="auto"/>
              </w:rPr>
            </w:pPr>
            <w:r>
              <w:rPr>
                <w:rFonts w:ascii="Courier New" w:cs="Courier New" w:eastAsia="Courier New" w:hAnsi="Courier New"/>
                <w:sz w:val="14"/>
                <w:szCs w:val="14"/>
                <w:color w:val="auto"/>
              </w:rPr>
              <w:t>in the state tax provision.  The 2005 effective rate was impacted by three major</w:t>
            </w:r>
          </w:p>
        </w:tc>
        <w:tc>
          <w:tcPr>
            <w:tcW w:w="94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items</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8400" w:type="dxa"/>
            <w:vAlign w:val="bottom"/>
            <w:gridSpan w:val="6"/>
          </w:tcPr>
          <w:p>
            <w:pPr>
              <w:jc w:val="right"/>
              <w:ind w:right="2168"/>
              <w:spacing w:after="0"/>
              <w:rPr>
                <w:sz w:val="20"/>
                <w:szCs w:val="20"/>
                <w:color w:val="auto"/>
              </w:rPr>
            </w:pPr>
            <w:r>
              <w:rPr>
                <w:rFonts w:ascii="Courier New" w:cs="Courier New" w:eastAsia="Courier New" w:hAnsi="Courier New"/>
                <w:sz w:val="14"/>
                <w:szCs w:val="14"/>
                <w:color w:val="auto"/>
              </w:rPr>
              <w:t>$2.5 million deferred tax adjustment to reflect comprehensive state tax</w:t>
            </w:r>
          </w:p>
        </w:tc>
        <w:tc>
          <w:tcPr>
            <w:tcW w:w="940" w:type="dxa"/>
            <w:vAlign w:val="bottom"/>
          </w:tcPr>
          <w:p>
            <w:pPr>
              <w:spacing w:after="0"/>
              <w:rPr>
                <w:sz w:val="14"/>
                <w:szCs w:val="14"/>
                <w:color w:val="auto"/>
              </w:rPr>
            </w:pP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planning</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initiatives,</w:t>
            </w:r>
          </w:p>
        </w:tc>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a $3.7  million</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current tax</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adjustment</w:t>
            </w:r>
          </w:p>
        </w:tc>
        <w:tc>
          <w:tcPr>
            <w:tcW w:w="36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to reflect the</w:t>
            </w:r>
          </w:p>
        </w:tc>
        <w:tc>
          <w:tcPr>
            <w:tcW w:w="940" w:type="dxa"/>
            <w:vAlign w:val="bottom"/>
          </w:tcPr>
          <w:p>
            <w:pPr>
              <w:spacing w:after="0"/>
              <w:rPr>
                <w:sz w:val="14"/>
                <w:szCs w:val="14"/>
                <w:color w:val="auto"/>
              </w:rPr>
            </w:pPr>
          </w:p>
        </w:tc>
      </w:tr>
      <w:tr>
        <w:trPr>
          <w:trHeight w:val="166"/>
        </w:trPr>
        <w:tc>
          <w:tcPr>
            <w:tcW w:w="9140" w:type="dxa"/>
            <w:vAlign w:val="bottom"/>
            <w:gridSpan w:val="8"/>
          </w:tcPr>
          <w:p>
            <w:pPr>
              <w:spacing w:after="0"/>
              <w:rPr>
                <w:sz w:val="20"/>
                <w:szCs w:val="20"/>
                <w:color w:val="auto"/>
              </w:rPr>
            </w:pPr>
            <w:r>
              <w:rPr>
                <w:rFonts w:ascii="Courier New" w:cs="Courier New" w:eastAsia="Courier New" w:hAnsi="Courier New"/>
                <w:sz w:val="14"/>
                <w:szCs w:val="14"/>
                <w:color w:val="auto"/>
              </w:rPr>
              <w:t>receipt of a positive audit report and an increase in taxes due to the inability</w:t>
            </w:r>
          </w:p>
        </w:tc>
        <w:tc>
          <w:tcPr>
            <w:tcW w:w="940" w:type="dxa"/>
            <w:vAlign w:val="bottom"/>
          </w:tcPr>
          <w:p>
            <w:pPr>
              <w:spacing w:after="0"/>
              <w:rPr>
                <w:sz w:val="14"/>
                <w:szCs w:val="14"/>
                <w:color w:val="auto"/>
              </w:rPr>
            </w:pPr>
          </w:p>
        </w:tc>
      </w:tr>
      <w:tr>
        <w:trPr>
          <w:trHeight w:val="166"/>
        </w:trPr>
        <w:tc>
          <w:tcPr>
            <w:tcW w:w="9140" w:type="dxa"/>
            <w:vAlign w:val="bottom"/>
            <w:gridSpan w:val="8"/>
          </w:tcPr>
          <w:p>
            <w:pPr>
              <w:spacing w:after="0"/>
              <w:rPr>
                <w:sz w:val="20"/>
                <w:szCs w:val="20"/>
                <w:color w:val="auto"/>
              </w:rPr>
            </w:pPr>
            <w:r>
              <w:rPr>
                <w:rFonts w:ascii="Courier New" w:cs="Courier New" w:eastAsia="Courier New" w:hAnsi="Courier New"/>
                <w:sz w:val="14"/>
                <w:szCs w:val="14"/>
                <w:color w:val="auto"/>
              </w:rPr>
              <w:t>to recognize certain state benefits for capital loss carryforwards.</w:t>
            </w:r>
          </w:p>
        </w:tc>
        <w:tc>
          <w:tcPr>
            <w:tcW w:w="940" w:type="dxa"/>
            <w:vAlign w:val="bottom"/>
          </w:tcPr>
          <w:p>
            <w:pPr>
              <w:spacing w:after="0"/>
              <w:rPr>
                <w:sz w:val="14"/>
                <w:szCs w:val="14"/>
                <w:color w:val="auto"/>
              </w:rPr>
            </w:pPr>
          </w:p>
        </w:tc>
      </w:tr>
      <w:tr>
        <w:trPr>
          <w:trHeight w:val="663"/>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DEFERRED</w:t>
            </w:r>
          </w:p>
        </w:tc>
        <w:tc>
          <w:tcPr>
            <w:tcW w:w="2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TAX ASSETS AND LIABILITIES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DECEMBER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3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Employee Benefits and Compensation</w:t>
            </w:r>
          </w:p>
        </w:tc>
        <w:tc>
          <w:tcPr>
            <w:tcW w:w="3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$ 95.5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$ 58.0</w:t>
            </w:r>
          </w:p>
        </w:tc>
      </w:tr>
      <w:tr>
        <w:trPr>
          <w:trHeight w:val="166"/>
        </w:trPr>
        <w:tc>
          <w:tcPr>
            <w:tcW w:w="5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Related</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6"/>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Kendall County</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Capital Loss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r>
      <w:tr>
        <w:trPr>
          <w:trHeight w:val="166"/>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Investment Tax</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Credits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5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Excess of Tax Value Over Book Value</w:t>
            </w:r>
          </w:p>
        </w:tc>
        <w:tc>
          <w:tcPr>
            <w:tcW w:w="3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w:t>
            </w:r>
          </w:p>
        </w:tc>
      </w:tr>
      <w:tr>
        <w:trPr>
          <w:trHeight w:val="166"/>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920" w:type="dxa"/>
            <w:vAlign w:val="bottom"/>
          </w:tcPr>
          <w:p>
            <w:pPr>
              <w:spacing w:after="0"/>
              <w:rPr>
                <w:sz w:val="14"/>
                <w:szCs w:val="14"/>
                <w:color w:val="auto"/>
              </w:rPr>
            </w:pP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ind w:left="780"/>
              <w:spacing w:after="0"/>
              <w:rPr>
                <w:sz w:val="20"/>
                <w:szCs w:val="20"/>
                <w:color w:val="auto"/>
              </w:rPr>
            </w:pPr>
            <w:r>
              <w:rPr>
                <w:rFonts w:ascii="Courier New" w:cs="Courier New" w:eastAsia="Courier New" w:hAnsi="Courier New"/>
                <w:sz w:val="14"/>
                <w:szCs w:val="14"/>
                <w:color w:val="auto"/>
              </w:rPr>
              <w:t>Gross Deferred Tax Assets</w:t>
            </w:r>
          </w:p>
        </w:tc>
        <w:tc>
          <w:tcPr>
            <w:tcW w:w="3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147.0</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Deferred Tax Asset Valuation Allowance</w:t>
            </w:r>
          </w:p>
        </w:tc>
        <w:tc>
          <w:tcPr>
            <w:tcW w:w="3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3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Property Related</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Regulatory Asset for Benefit Obligations</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Investment Tax Credits</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Employee Benefits and Compensation</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Fuel Clause Adjustment</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3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Accumulated Deferred Income Taxes</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Recorded as:</w:t>
            </w:r>
          </w:p>
        </w:tc>
        <w:tc>
          <w:tcPr>
            <w:tcW w:w="3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Current Deferred Tax Assets</w:t>
            </w:r>
          </w:p>
        </w:tc>
        <w:tc>
          <w:tcPr>
            <w:tcW w:w="3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0.3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$ 31.0</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Long-Term Deferred Tax Liabilities</w:t>
            </w:r>
          </w:p>
        </w:tc>
        <w:tc>
          <w:tcPr>
            <w:tcW w:w="3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Deferred Tax Liabilities</w:t>
            </w:r>
          </w:p>
        </w:tc>
        <w:tc>
          <w:tcPr>
            <w:tcW w:w="3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$107.4</w:t>
            </w:r>
          </w:p>
        </w:tc>
      </w:tr>
    </w:tbl>
    <w:p>
      <w:pPr>
        <w:spacing w:after="0" w:line="4"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Unfunded Employee Benefits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impairments related to the emerging technology portfolio.</w:t>
      </w:r>
    </w:p>
    <w:p>
      <w:pPr>
        <w:sectPr>
          <w:pgSz w:w="11900" w:h="16838" w:orient="portrait"/>
          <w:cols w:equalWidth="0" w:num="1">
            <w:col w:w="10780"/>
          </w:cols>
          <w:pgMar w:left="220" w:top="616" w:right="899" w:bottom="94" w:gutter="0" w:footer="0" w:header="0"/>
        </w:sectPr>
      </w:pPr>
    </w:p>
    <w:bookmarkStart w:id="97" w:name="page98"/>
    <w:bookmarkEnd w:id="97"/>
    <w:p>
      <w:pPr>
        <w:spacing w:after="0"/>
        <w:tabs>
          <w:tab w:leader="none" w:pos="508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141" w:right="1440" w:bottom="1440" w:gutter="0" w:footer="0" w:header="0"/>
        </w:sectPr>
      </w:pPr>
    </w:p>
    <w:bookmarkStart w:id="98" w:name="page99"/>
    <w:bookmarkEnd w:id="98"/>
    <w:p>
      <w:pPr>
        <w:spacing w:after="0"/>
        <w:tabs>
          <w:tab w:leader="none" w:pos="94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ENVENTIS TELECOM. On December 30, 2005, we sold all the stock of our telecommunications subsidiary, Enventis Telecom, to Hickory Tech Corporation of Mankato, Minnesota, for $35.5 million. The transaction resulted in an after-tax loss of $3.6 million, which was included in our 2005 loss from discontinued operations. Net cash proceeds realized from the sale were approximately $29 million after transaction costs, repayment of debt and payment of income taxes. In accordance with SFAS 144, "Accounting for the Impairment or Disposal of Long-Lived Assets," we have reported our telecommunications business in discontinued operations for all periods presented.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AUTOMOTIVE SERVICES. On September 20, 2004, the spin-off of Automotive Services was completed by distributing to ALLETE shareholders all of ALLETE's shares of ADESA common stock. One share of ADESA common stock was distributed for each outstanding share of ALLETE common stock held at the close of business on September 13, 2004, the record date. The distribution was made from ALLETE's retained earnings to the extent of ADESA's undistributed earnings ($363.4 million), with the remainder made from common stock ($600.2 million).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June 2004, ADESA issued 6.3 million shares of common stock through an IPO priced at $24.00 per share, which netted proceeds of $136.0 million after transaction costs, issued $125 million of senior notes and borrowed $275 million under a new $525 million credit facility. With these funds, ADESA repaid previously existing debt and all intercompany debt outstanding to ALLETE. The IPO represented 6.6% of ADESA's 94.9 million shares then outstanding. As a result of the IPO, ALLETE recorded a $70.1 million increase to Common Stock with no gain recognized pursuant to SEC Staff Accounting Bulletin Topic 5H, "Accounting for Sales of Stock by a Subsidiary." We accounted for the 6.6% public ownership of ADESA as a minority interest and continued to own and consolidate the remaining portion of ADESA until the spin-off was completed on September 20, 2004.</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accordance with SFAS 144, "Accounting for the Impairment or Disposal of Long-Lived Assets," we have reported our Automotive Services business in Discontinued Operations.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WATER SERVICES. During 2003, we sold, under condemnation or imminent threat of condemnation, substantially all of our water assets in Florida for a total sales price of approximately $445 million. Income from discontinued operations for 2003 included a $71.6 million after-tax gain on the sale of substantially all our Water Services businesses. The gain was net of all selling, transaction and employee termination benefit expenses, as well as impairments on certain remaining assets.</w:t>
      </w:r>
    </w:p>
    <w:p>
      <w:pPr>
        <w:spacing w:after="0" w:line="33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June 2004, we essentially concluded our strategy to exit our Water Services businesses when we completed the sale of our North Carolina water assets and the sale of the remaining 72 water and wastewater systems in Florida. Aqua Utilities Florida, Inc. (Aqua Utilities) purchased our North Carolina water assets for $48 million and assumed approximately $28 million in debt. Aqua Utilities also purchased 63 of our water and wastewater systems in Florida for $14 million. Seminole County purchased the remaining 9 Florida systems for a total of $4 million. The FPSC approved the Seminole County transaction in September 2004. On December 20, 2005, the FPSC ordered a $1.7 million reduction to plant investment, which the Company reserved for in 2005, and approved the transfer of the remaining 63 water and wastewater systems from Florida Water to Aqua Utilities. On March 15, 2006, the Company paid Aqua Utilities the adjustment refund amount of $1.7 million. Gains in 2004 from the sale of our North Carolina assets and the remaining systems in Florida were offset by an adjustment to gains reported in 2003, resulting in an overall net loss of $0.5 million in 2004. The adjustment to gains reported in 2003 resulted primarily from an arbitration award in December 2004 relating to a gain-sharing provision on a system sold in 2003; $5.1 million was recorded in 2004.</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February 2005, we completed the exit from our Water Services businesses with the sale of our wastewater assets in Georgia for an immaterial gain. In 2005, we also incurred administrative and other expenses to support Florida Water transfer proceedings and recorded the $1.7 million rate-base settlement charge related to the sale of 63 of Florida Water systems to Aqua Utilities mentioned above.</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net cash proceeds from the sale of all water assets in 2003 and 2004, after transaction costs, retirement of most Florida Water debt and payment of income taxes, were approximately $300 million. These net proceeds were used to retire debt at ALLETE.</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accordance with SFAS 144, "Accounting for the Impairment or Disposal of Long-Lived Assets," we suspended depreciating our Water Services assets when they were classified as held-for-sale in 2001. If we had not suspended depreciation, depreciation expense at our Water Services businesses would have been $2.6 million in 2004.</w:t>
      </w:r>
    </w:p>
    <w:p>
      <w:pPr>
        <w:spacing w:after="0" w:line="165"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Financial results for 2006 reflected additional legal and administrative expenses incurred by the Company to exit the Water Services businesses.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bl>
    <w:p>
      <w:pPr>
        <w:sectPr>
          <w:pgSz w:w="11900" w:h="16838" w:orient="portrait"/>
          <w:cols w:equalWidth="0" w:num="1">
            <w:col w:w="10239"/>
          </w:cols>
          <w:pgMar w:left="220" w:top="616" w:right="1440"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NOTE 13.   DISCONTINUED OPERATIONS (CONTINUED)</w:t>
            </w:r>
          </w:p>
        </w:tc>
        <w:tc>
          <w:tcPr>
            <w:tcW w:w="2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w:t>
            </w:r>
          </w:p>
        </w:tc>
        <w:tc>
          <w:tcPr>
            <w:tcW w:w="2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SUMMARY</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INCOME STATEMENT</w:t>
            </w:r>
          </w:p>
        </w:tc>
        <w:tc>
          <w:tcPr>
            <w:tcW w:w="2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FOR THE</w:t>
            </w:r>
          </w:p>
        </w:tc>
        <w:tc>
          <w:tcPr>
            <w:tcW w:w="4680" w:type="dxa"/>
            <w:vAlign w:val="bottom"/>
          </w:tcPr>
          <w:p>
            <w:pPr>
              <w:ind w:left="40"/>
              <w:spacing w:after="0"/>
              <w:rPr>
                <w:sz w:val="20"/>
                <w:szCs w:val="20"/>
                <w:color w:val="auto"/>
              </w:rPr>
            </w:pPr>
            <w:r>
              <w:rPr>
                <w:rFonts w:ascii="Courier New" w:cs="Courier New" w:eastAsia="Courier New" w:hAnsi="Courier New"/>
                <w:sz w:val="14"/>
                <w:szCs w:val="14"/>
                <w:color w:val="auto"/>
              </w:rPr>
              <w:t>YEAR ENDED DECEMBER 31</w:t>
            </w:r>
          </w:p>
        </w:tc>
        <w:tc>
          <w:tcPr>
            <w:tcW w:w="2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$681.7</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3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960" w:val="left"/>
          <w:tab w:leader="none" w:pos="8180" w:val="left"/>
          <w:tab w:leader="none" w:pos="9720" w:val="left"/>
        </w:tabs>
        <w:rPr>
          <w:sz w:val="20"/>
          <w:szCs w:val="20"/>
          <w:color w:val="auto"/>
        </w:rPr>
      </w:pPr>
      <w:r>
        <w:rPr>
          <w:rFonts w:ascii="Courier New" w:cs="Courier New" w:eastAsia="Courier New" w:hAnsi="Courier New"/>
          <w:sz w:val="14"/>
          <w:szCs w:val="14"/>
          <w:color w:val="auto"/>
        </w:rPr>
        <w:t>Total Operating Revenue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$50.7</w:t>
      </w:r>
      <w:r>
        <w:rPr>
          <w:sz w:val="20"/>
          <w:szCs w:val="20"/>
          <w:color w:val="auto"/>
        </w:rPr>
        <w:tab/>
      </w:r>
      <w:r>
        <w:rPr>
          <w:rFonts w:ascii="Courier New" w:cs="Courier New" w:eastAsia="Courier New" w:hAnsi="Courier New"/>
          <w:sz w:val="14"/>
          <w:szCs w:val="14"/>
          <w:color w:val="auto"/>
        </w:rPr>
        <w:t>$747.5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Pre-Tax Income (Loss) from Operations</w:t>
            </w:r>
          </w:p>
        </w:tc>
        <w:tc>
          <w:tcPr>
            <w:tcW w:w="2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$132.5</w:t>
            </w: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980" w:type="dxa"/>
        <w:tblCellMar>
          <w:top w:w="0" w:type="dxa"/>
          <w:left w:w="0" w:type="dxa"/>
          <w:bottom w:w="0" w:type="dxa"/>
          <w:right w:w="0" w:type="dxa"/>
        </w:tblCellMar>
      </w:tblPr>
      <w:tr>
        <w:trPr>
          <w:trHeight w:val="162"/>
        </w:trPr>
        <w:tc>
          <w:tcPr>
            <w:tcW w:w="7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3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Water</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3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3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980" w:type="dxa"/>
        <w:tblCellMar>
          <w:top w:w="0" w:type="dxa"/>
          <w:left w:w="0" w:type="dxa"/>
          <w:bottom w:w="0" w:type="dxa"/>
          <w:right w:w="0" w:type="dxa"/>
        </w:tblCellMar>
      </w:tblPr>
      <w:tr>
        <w:trPr>
          <w:trHeight w:val="162"/>
        </w:trPr>
        <w:tc>
          <w:tcPr>
            <w:tcW w:w="7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4"/>
              </w:rPr>
              <w:t>-</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6960" w:val="left"/>
          <w:tab w:leader="none" w:pos="8340" w:val="left"/>
          <w:tab w:leader="none" w:pos="9900" w:val="left"/>
        </w:tabs>
        <w:rPr>
          <w:sz w:val="20"/>
          <w:szCs w:val="20"/>
          <w:color w:val="auto"/>
        </w:rPr>
      </w:pPr>
      <w:r>
        <w:rPr>
          <w:rFonts w:ascii="Courier New" w:cs="Courier New" w:eastAsia="Courier New" w:hAnsi="Courier New"/>
          <w:sz w:val="14"/>
          <w:szCs w:val="14"/>
          <w:color w:val="auto"/>
        </w:rPr>
        <w:t>Total Income from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78.3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Loss on Disposal</w:t>
            </w:r>
          </w:p>
        </w:tc>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3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3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33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260" w:val="left"/>
          <w:tab w:leader="none" w:pos="990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3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Water</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3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6"/>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340" w:val="left"/>
          <w:tab w:leader="none" w:pos="9980" w:val="left"/>
        </w:tabs>
        <w:rPr>
          <w:sz w:val="20"/>
          <w:szCs w:val="20"/>
          <w:color w:val="auto"/>
        </w:rPr>
      </w:pP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6700" w:val="left"/>
          <w:tab w:leader="none" w:pos="8260" w:val="left"/>
          <w:tab w:leader="none" w:pos="9900" w:val="left"/>
        </w:tabs>
        <w:rPr>
          <w:sz w:val="20"/>
          <w:szCs w:val="20"/>
          <w:color w:val="auto"/>
        </w:rPr>
      </w:pPr>
      <w:r>
        <w:rPr>
          <w:rFonts w:ascii="Courier New" w:cs="Courier New" w:eastAsia="Courier New" w:hAnsi="Courier New"/>
          <w:sz w:val="14"/>
          <w:szCs w:val="14"/>
          <w:color w:val="auto"/>
        </w:rPr>
        <w:t>Net Loss on Disposal</w:t>
      </w:r>
      <w:r>
        <w:rPr>
          <w:sz w:val="20"/>
          <w:szCs w:val="20"/>
          <w:color w:val="auto"/>
        </w:rPr>
        <w:tab/>
      </w:r>
      <w:r>
        <w:rPr>
          <w:rFonts w:ascii="Courier New" w:cs="Courier New" w:eastAsia="Courier New" w:hAnsi="Courier New"/>
          <w:sz w:val="14"/>
          <w:szCs w:val="14"/>
          <w:color w:val="auto"/>
        </w:rPr>
        <w:t>(0.9)</w:t>
      </w:r>
      <w:r>
        <w:rPr>
          <w:sz w:val="20"/>
          <w:szCs w:val="20"/>
          <w:color w:val="auto"/>
        </w:rPr>
        <w:tab/>
      </w: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180" w:val="left"/>
          <w:tab w:leader="none" w:pos="9720" w:val="left"/>
        </w:tabs>
        <w:rPr>
          <w:sz w:val="20"/>
          <w:szCs w:val="20"/>
          <w:color w:val="auto"/>
        </w:rPr>
      </w:pPr>
      <w:r>
        <w:rPr>
          <w:rFonts w:ascii="Courier New" w:cs="Courier New" w:eastAsia="Courier New" w:hAnsi="Courier New"/>
          <w:sz w:val="14"/>
          <w:szCs w:val="14"/>
          <w:color w:val="auto"/>
        </w:rPr>
        <w:t>Income (Loss) from Discontinued Operations</w:t>
      </w:r>
      <w:r>
        <w:rPr>
          <w:sz w:val="20"/>
          <w:szCs w:val="20"/>
          <w:color w:val="auto"/>
        </w:rPr>
        <w:tab/>
      </w:r>
      <w:r>
        <w:rPr>
          <w:rFonts w:ascii="Courier New" w:cs="Courier New" w:eastAsia="Courier New" w:hAnsi="Courier New"/>
          <w:sz w:val="14"/>
          <w:szCs w:val="14"/>
          <w:color w:val="auto"/>
        </w:rPr>
        <w:t>$(0.9)</w:t>
      </w:r>
      <w:r>
        <w:rPr>
          <w:sz w:val="20"/>
          <w:szCs w:val="20"/>
          <w:color w:val="auto"/>
        </w:rPr>
        <w:tab/>
      </w: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$ 73.7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02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SUMMARY BALANCE SHEET INFORMATION</w:t>
            </w:r>
          </w:p>
        </w:tc>
        <w:tc>
          <w:tcPr>
            <w:tcW w:w="302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Assets of Discontinued Operations</w:t>
            </w:r>
          </w:p>
        </w:tc>
        <w:tc>
          <w:tcPr>
            <w:tcW w:w="2880" w:type="dxa"/>
            <w:vAlign w:val="bottom"/>
          </w:tcPr>
          <w:p>
            <w:pPr>
              <w:spacing w:after="0"/>
              <w:rPr>
                <w:sz w:val="14"/>
                <w:szCs w:val="14"/>
                <w:color w:val="auto"/>
              </w:rPr>
            </w:pPr>
          </w:p>
        </w:tc>
      </w:tr>
      <w:tr>
        <w:trPr>
          <w:trHeight w:val="166"/>
        </w:trPr>
        <w:tc>
          <w:tcPr>
            <w:tcW w:w="5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Current Assets</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Property,</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Liabilities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2880" w:type="dxa"/>
            <w:vAlign w:val="bottom"/>
          </w:tcPr>
          <w:p>
            <w:pPr>
              <w:spacing w:after="0"/>
              <w:rPr>
                <w:sz w:val="24"/>
                <w:szCs w:val="24"/>
                <w:color w:val="auto"/>
              </w:rPr>
            </w:pPr>
          </w:p>
        </w:tc>
      </w:tr>
      <w:tr>
        <w:trPr>
          <w:trHeight w:val="166"/>
        </w:trPr>
        <w:tc>
          <w:tcPr>
            <w:tcW w:w="5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600"/>
          </w:cols>
          <w:pgMar w:left="220" w:top="782" w:right="1079"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NOTE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OTHER COMPREHENSIVE INCOME (LOSS)</w:t>
      </w:r>
    </w:p>
    <w:p>
      <w:pPr>
        <w:spacing w:after="0" w:line="200" w:lineRule="exact"/>
        <w:rPr>
          <w:sz w:val="20"/>
          <w:szCs w:val="20"/>
          <w:color w:val="auto"/>
        </w:rPr>
      </w:pPr>
    </w:p>
    <w:p>
      <w:pPr>
        <w:sectPr>
          <w:pgSz w:w="11900" w:h="16838" w:orient="portrait"/>
          <w:cols w:equalWidth="0" w:num="2">
            <w:col w:w="700" w:space="260"/>
            <w:col w:w="9640"/>
          </w:cols>
          <w:pgMar w:left="220" w:top="616" w:right="1079" w:bottom="1440" w:gutter="0" w:footer="0" w:header="0"/>
        </w:sectPr>
      </w:pPr>
    </w:p>
    <w:p>
      <w:pPr>
        <w:spacing w:after="0" w:line="304" w:lineRule="exact"/>
        <w:rPr>
          <w:sz w:val="20"/>
          <w:szCs w:val="20"/>
          <w:color w:val="auto"/>
        </w:rPr>
      </w:pPr>
    </w:p>
    <w:p>
      <w:pPr>
        <w:ind w:right="600"/>
        <w:spacing w:after="0" w:line="247" w:lineRule="auto"/>
        <w:rPr>
          <w:sz w:val="20"/>
          <w:szCs w:val="20"/>
          <w:color w:val="auto"/>
        </w:rPr>
      </w:pPr>
      <w:r>
        <w:rPr>
          <w:rFonts w:ascii="Courier New" w:cs="Courier New" w:eastAsia="Courier New" w:hAnsi="Courier New"/>
          <w:sz w:val="14"/>
          <w:szCs w:val="14"/>
          <w:color w:val="auto"/>
        </w:rPr>
        <w:t>OTHER COMPREHENSIVE INCOME (LOSS) PRE-TAX TAX EXPENSE NET-OF-TAX YEAR ENDED DECEMBER 31 AMOUNT (BENEFIT) AMOUNT</w:t>
      </w:r>
    </w:p>
    <w:p>
      <w:pPr>
        <w:sectPr>
          <w:pgSz w:w="11900" w:h="16838" w:orient="portrait"/>
          <w:cols w:equalWidth="0" w:num="1">
            <w:col w:w="10600"/>
          </w:cols>
          <w:pgMar w:left="220" w:top="616" w:right="1079" w:bottom="1440" w:gutter="0" w:footer="0" w:header="0"/>
          <w:type w:val="continuous"/>
        </w:sectPr>
      </w:pPr>
    </w:p>
    <w:p>
      <w:pPr>
        <w:spacing w:after="0" w:line="168"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Unrealized Gain on Securities During the Year</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$ 2.5</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Additional Pension Liability</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2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$13.5</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bl>
    <w:p>
      <w:pPr>
        <w:spacing w:after="0" w:line="4"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Gain on</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Securities During the Year</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$ 1.3</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$ 0.7</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$ 0.6</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Pension</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20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w:t>
            </w:r>
          </w:p>
        </w:tc>
        <w:tc>
          <w:tcPr>
            <w:tcW w:w="1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29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$(2.1)</w:t>
            </w:r>
          </w:p>
        </w:tc>
        <w:tc>
          <w:tcPr>
            <w:tcW w:w="1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Unrealized Gain on Securities</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Gain During the Year</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$ 13.1</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$ 0.9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$ 12.2</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Less: Gain Included in Net Income</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11.5</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Net Unrealized Gain</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on Securities</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0.9</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(23.5)</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Additional Pension Liability</w:t>
            </w:r>
          </w:p>
        </w:tc>
        <w:tc>
          <w:tcPr>
            <w:tcW w:w="2080" w:type="dxa"/>
            <w:vAlign w:val="bottom"/>
          </w:tcPr>
          <w:p>
            <w:pPr>
              <w:spacing w:after="0" w:line="20" w:lineRule="exact"/>
              <w:rPr>
                <w:sz w:val="1"/>
                <w:szCs w:val="1"/>
                <w:color w:val="auto"/>
              </w:rPr>
            </w:pP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(5.7)</w:t>
            </w: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320" w:val="left"/>
          <w:tab w:leader="none" w:pos="7400" w:val="left"/>
          <w:tab w:leader="none" w:pos="9300" w:val="left"/>
        </w:tabs>
        <w:rPr>
          <w:sz w:val="20"/>
          <w:szCs w:val="20"/>
          <w:color w:val="auto"/>
        </w:rPr>
      </w:pPr>
      <w:r>
        <w:rPr>
          <w:rFonts w:ascii="Courier New" w:cs="Courier New" w:eastAsia="Courier New" w:hAnsi="Courier New"/>
          <w:sz w:val="14"/>
          <w:szCs w:val="14"/>
          <w:color w:val="auto"/>
        </w:rPr>
        <w:t>Other Comprehensive Loss</w:t>
      </w:r>
      <w:r>
        <w:rPr>
          <w:sz w:val="20"/>
          <w:szCs w:val="20"/>
          <w:color w:val="auto"/>
        </w:rPr>
        <w:tab/>
      </w:r>
      <w:r>
        <w:rPr>
          <w:rFonts w:ascii="Courier New" w:cs="Courier New" w:eastAsia="Courier New" w:hAnsi="Courier New"/>
          <w:sz w:val="14"/>
          <w:szCs w:val="14"/>
          <w:color w:val="auto"/>
        </w:rPr>
        <w:t>$(27.6)</w:t>
      </w:r>
      <w:r>
        <w:rPr>
          <w:sz w:val="20"/>
          <w:szCs w:val="20"/>
          <w:color w:val="auto"/>
        </w:rPr>
        <w:tab/>
      </w: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$(25.9)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OTHER COMPREHENSIVE INCOME (LOSS)</w:t>
      </w:r>
    </w:p>
    <w:p>
      <w:pPr>
        <w:spacing w:after="0" w:line="7" w:lineRule="exact"/>
        <w:rPr>
          <w:sz w:val="20"/>
          <w:szCs w:val="20"/>
          <w:color w:val="auto"/>
        </w:rPr>
      </w:pPr>
    </w:p>
    <w:p>
      <w:pPr>
        <w:spacing w:after="0"/>
        <w:tabs>
          <w:tab w:leader="none" w:pos="6440" w:val="left"/>
          <w:tab w:leader="none" w:pos="834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Gain on Securities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4.0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2.1</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Defined Benefit Pension and Other Postretirement Plans</w:t>
            </w:r>
          </w:p>
        </w:tc>
        <w:tc>
          <w:tcPr>
            <w:tcW w:w="21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0"/>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360" w:val="left"/>
          <w:tab w:leader="none" w:pos="8260" w:val="left"/>
        </w:tabs>
        <w:rPr>
          <w:sz w:val="20"/>
          <w:szCs w:val="20"/>
          <w:color w:val="auto"/>
        </w:rPr>
      </w:pPr>
      <w:r>
        <w:rPr>
          <w:rFonts w:ascii="Courier New" w:cs="Courier New" w:eastAsia="Courier New" w:hAnsi="Courier New"/>
          <w:sz w:val="14"/>
          <w:szCs w:val="14"/>
          <w:color w:val="auto"/>
        </w:rPr>
        <w:t>Total Accumulated Other Comprehensive Loss</w:t>
      </w:r>
      <w:r>
        <w:rPr>
          <w:sz w:val="20"/>
          <w:szCs w:val="20"/>
          <w:color w:val="auto"/>
        </w:rPr>
        <w:tab/>
      </w:r>
      <w:r>
        <w:rPr>
          <w:rFonts w:ascii="Courier New" w:cs="Courier New" w:eastAsia="Courier New" w:hAnsi="Courier New"/>
          <w:sz w:val="14"/>
          <w:szCs w:val="14"/>
          <w:color w:val="auto"/>
        </w:rPr>
        <w:t>$ (8.8)</w:t>
      </w:r>
      <w:r>
        <w:rPr>
          <w:sz w:val="20"/>
          <w:szCs w:val="20"/>
          <w:color w:val="auto"/>
        </w:rPr>
        <w:tab/>
      </w:r>
      <w:r>
        <w:rPr>
          <w:rFonts w:ascii="Courier New" w:cs="Courier New" w:eastAsia="Courier New" w:hAnsi="Courier New"/>
          <w:sz w:val="14"/>
          <w:szCs w:val="14"/>
          <w:color w:val="auto"/>
        </w:rPr>
        <w:t>$(12.8)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15.</w:t>
      </w:r>
      <w:r>
        <w:rPr>
          <w:sz w:val="20"/>
          <w:szCs w:val="20"/>
          <w:color w:val="auto"/>
        </w:rPr>
        <w:tab/>
      </w:r>
      <w:r>
        <w:rPr>
          <w:rFonts w:ascii="Courier New" w:cs="Courier New" w:eastAsia="Courier New" w:hAnsi="Courier New"/>
          <w:sz w:val="14"/>
          <w:szCs w:val="14"/>
          <w:color w:val="auto"/>
        </w:rPr>
        <w:t>CHANGE IN ACCOUNTING PRINCIPLE</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In the third quarter of 2004 we adopted EITF 03-16, "Accounting for Investments in Limited Liability Companies," which requires the use of the equity method of accounting for investments in all limited liability companies, including investments we have in venture capital funds within our emerging technology portfolio. We had previously accounted for these investments under the cost method of accounting. EITF 03-16 is effective for reporting periods beginning after June 15, 2004. Pursuant to EITF 03-16, the effect of adoption is reported as the cumulative effect of a change in accounting principle. The cumulative effect of this change on prior years was a loss of $13.3 million ($7.8 million after-tax), which was recorded as a change in accounting principle and reflected in income for the year ended December 31, 2004. During 2006, $0.2 million of current losses after-tax under the equity method were recognized ($0 in 2005; $1.6 million loss in 2004).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bl>
    <w:p>
      <w:pPr>
        <w:sectPr>
          <w:pgSz w:w="11900" w:h="16838" w:orient="portrait"/>
          <w:cols w:equalWidth="0" w:num="1">
            <w:col w:w="10600"/>
          </w:cols>
          <w:pgMar w:left="220" w:top="616" w:right="1079" w:bottom="1440" w:gutter="0" w:footer="0" w:header="0"/>
          <w:type w:val="continuous"/>
        </w:sectPr>
      </w:pPr>
    </w:p>
    <w:bookmarkStart w:id="101" w:name="page102"/>
    <w:bookmarkEnd w:id="101"/>
    <w:p>
      <w:pPr>
        <w:spacing w:after="0"/>
        <w:tabs>
          <w:tab w:leader="none" w:pos="940" w:val="left"/>
        </w:tabs>
        <w:rPr>
          <w:sz w:val="20"/>
          <w:szCs w:val="20"/>
          <w:color w:val="auto"/>
        </w:rPr>
      </w:pPr>
      <w:r>
        <w:rPr>
          <w:rFonts w:ascii="Courier New" w:cs="Courier New" w:eastAsia="Courier New" w:hAnsi="Courier New"/>
          <w:sz w:val="14"/>
          <w:szCs w:val="14"/>
          <w:color w:val="auto"/>
        </w:rPr>
        <w:t>NOTE 16.</w:t>
      </w:r>
      <w:r>
        <w:rPr>
          <w:sz w:val="20"/>
          <w:szCs w:val="20"/>
          <w:color w:val="auto"/>
        </w:rPr>
        <w:tab/>
      </w:r>
      <w:r>
        <w:rPr>
          <w:rFonts w:ascii="Courier New" w:cs="Courier New" w:eastAsia="Courier New" w:hAnsi="Courier New"/>
          <w:sz w:val="14"/>
          <w:szCs w:val="14"/>
          <w:color w:val="auto"/>
        </w:rPr>
        <w:t>PENSION AND OTHER POSTRETIREMENT BENEFIT PLANS</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We have noncontributory defined benefit pension plans covering eligible employees. The plans provide defined benefits based on years of service and final average pay. We also have defined contribution pension plans covering substantially all employees; employer contributions are made through our employee stock ownership plan (see Note 17), except for BNI Coal, which made cash contributions of $0.7 million in 2006 ($0.7 million in 2005; $0.6 million in 2004). In July 2006, we made an $8.3 million contribution to ALLETE's defined benefit plan.</w:t>
      </w:r>
    </w:p>
    <w:p>
      <w:pPr>
        <w:spacing w:after="0" w:line="330"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On August 9, 2006, ALLETE's Board of Directors approved amendments to the Minnesota Power and Affiliated Companies Retirement Plan A (Retirement Plan A) and the Minnesota Power and Affiliated Companies Retirement Savings and Stock Ownership Plan (RSOP). Retirement Plan A was amended to suspend further crediting service pursuant to the plan, effective as of September 30, 2006, and to close Retirement Plan A to new participants. Participants will continue to accrue benefits under the plan for future pay increases. In conjunction with this change, the Board of Directors took action to increase benefits employees will receive under the RSOP. The modification of Retirement Plan A required us to re-measure our pension expense as of August 9, 2006. As a result of the re-measurement, Retirement Plan A pension expense for 2006 was reduced by $0.2 million.</w:t>
      </w:r>
    </w:p>
    <w:p>
      <w:pPr>
        <w:spacing w:after="0" w:line="329"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We have postretirement health care and life insurance plans covering eligible employees.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Contributions deductible for income tax purposes are made directly to the VEBAs; nondeductible contributions are made to the irrevocable grantor trust. Amounts are transferred from the irrevocable grantor trust to the VEBAs when they become deductible for income tax purposes. In December 2006, after the measurement date, $3.6 million was transferred from the grantor trust to the VEBAs ($11.4 million in 2005).</w:t>
      </w:r>
    </w:p>
    <w:p>
      <w:pPr>
        <w:spacing w:after="0" w:line="16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September 2006, the FASB issued SFAS 158, "Employers' Accounting for Defined Benefit Pension and Other Postretirement Plans" (SFAS 158). SFAS 158 requires that employers recognize on a prospective basis the funded status of their defined benefit pension and other postretirement plans on their consolidated balance sheet and recognize as a component of other comprehensive income, net of tax, the gains or losses and prior service costs or credits that arise during the period but that are not recognized as components of net periodic benefit cost. SFAS 158 also requires additional disclosures in the notes to financial statements. SFAS 158 is effective for fiscal years ending after December 15, 2006.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INCREMENTAL EFFECT OF APPLYING SFAS 158</w:t>
            </w:r>
          </w:p>
        </w:tc>
        <w:tc>
          <w:tcPr>
            <w:tcW w:w="2420" w:type="dxa"/>
            <w:vAlign w:val="bottom"/>
          </w:tcPr>
          <w:p>
            <w:pPr>
              <w:spacing w:after="0"/>
              <w:rPr>
                <w:sz w:val="14"/>
                <w:szCs w:val="14"/>
                <w:color w:val="auto"/>
              </w:rPr>
            </w:pPr>
          </w:p>
        </w:tc>
        <w:tc>
          <w:tcPr>
            <w:tcW w:w="1680" w:type="dxa"/>
            <w:vAlign w:val="bottom"/>
          </w:tcPr>
          <w:p>
            <w:pPr>
              <w:ind w:left="460"/>
              <w:spacing w:after="0"/>
              <w:rPr>
                <w:sz w:val="20"/>
                <w:szCs w:val="20"/>
                <w:color w:val="auto"/>
              </w:rPr>
            </w:pPr>
            <w:r>
              <w:rPr>
                <w:rFonts w:ascii="Courier New" w:cs="Courier New" w:eastAsia="Courier New" w:hAnsi="Courier New"/>
                <w:sz w:val="14"/>
                <w:szCs w:val="14"/>
                <w:color w:val="auto"/>
              </w:rPr>
              <w:t>SFAS 158</w:t>
            </w:r>
          </w:p>
        </w:tc>
        <w:tc>
          <w:tcPr>
            <w:tcW w:w="102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ON INDIVIDUAL LINE ITEMS IN THE BALANCE SHEET</w:t>
            </w:r>
          </w:p>
        </w:tc>
        <w:tc>
          <w:tcPr>
            <w:tcW w:w="2420" w:type="dxa"/>
            <w:vAlign w:val="bottom"/>
          </w:tcPr>
          <w:p>
            <w:pPr>
              <w:jc w:val="center"/>
              <w:ind w:left="868"/>
              <w:spacing w:after="0"/>
              <w:rPr>
                <w:sz w:val="20"/>
                <w:szCs w:val="20"/>
                <w:color w:val="auto"/>
              </w:rPr>
            </w:pPr>
            <w:r>
              <w:rPr>
                <w:rFonts w:ascii="Courier New" w:cs="Courier New" w:eastAsia="Courier New" w:hAnsi="Courier New"/>
                <w:sz w:val="14"/>
                <w:szCs w:val="14"/>
                <w:color w:val="auto"/>
              </w:rPr>
              <w:t>PRE-</w:t>
            </w:r>
          </w:p>
        </w:tc>
        <w:tc>
          <w:tcPr>
            <w:tcW w:w="1680" w:type="dxa"/>
            <w:vAlign w:val="bottom"/>
          </w:tcPr>
          <w:p>
            <w:pPr>
              <w:ind w:left="460"/>
              <w:spacing w:after="0"/>
              <w:rPr>
                <w:sz w:val="20"/>
                <w:szCs w:val="20"/>
                <w:color w:val="auto"/>
              </w:rPr>
            </w:pPr>
            <w:r>
              <w:rPr>
                <w:rFonts w:ascii="Courier New" w:cs="Courier New" w:eastAsia="Courier New" w:hAnsi="Courier New"/>
                <w:sz w:val="14"/>
                <w:szCs w:val="14"/>
                <w:color w:val="auto"/>
              </w:rPr>
              <w:t>ADOPTION</w:t>
            </w:r>
          </w:p>
        </w:tc>
        <w:tc>
          <w:tcPr>
            <w:tcW w:w="1020" w:type="dxa"/>
            <w:vAlign w:val="bottom"/>
          </w:tcPr>
          <w:p>
            <w:pPr>
              <w:ind w:left="500"/>
              <w:spacing w:after="0"/>
              <w:rPr>
                <w:sz w:val="20"/>
                <w:szCs w:val="20"/>
                <w:color w:val="auto"/>
              </w:rPr>
            </w:pPr>
            <w:r>
              <w:rPr>
                <w:rFonts w:ascii="Courier New" w:cs="Courier New" w:eastAsia="Courier New" w:hAnsi="Courier New"/>
                <w:sz w:val="14"/>
                <w:szCs w:val="14"/>
                <w:color w:val="auto"/>
              </w:rPr>
              <w:t>POST-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YEAR ENDED DECEMBER 31, 2006</w:t>
            </w:r>
          </w:p>
        </w:tc>
        <w:tc>
          <w:tcPr>
            <w:tcW w:w="2420" w:type="dxa"/>
            <w:vAlign w:val="bottom"/>
          </w:tcPr>
          <w:p>
            <w:pPr>
              <w:jc w:val="center"/>
              <w:ind w:left="868"/>
              <w:spacing w:after="0"/>
              <w:rPr>
                <w:sz w:val="20"/>
                <w:szCs w:val="20"/>
                <w:color w:val="auto"/>
              </w:rPr>
            </w:pPr>
            <w:r>
              <w:rPr>
                <w:rFonts w:ascii="Courier New" w:cs="Courier New" w:eastAsia="Courier New" w:hAnsi="Courier New"/>
                <w:sz w:val="14"/>
                <w:szCs w:val="14"/>
                <w:color w:val="auto"/>
              </w:rPr>
              <w:t>SFAS 158</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ADJUSTMENTS</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SFAS 158</w:t>
            </w:r>
          </w:p>
        </w:tc>
      </w:tr>
    </w:tbl>
    <w:p>
      <w:pPr>
        <w:spacing w:after="0" w:line="4"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Prepayments and Other Current Assets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$1,449.4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$1,533.4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Deferred Income Tax Liabilities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$133.5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$779.6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Loss - Net of Tax</w:t>
            </w:r>
          </w:p>
        </w:tc>
        <w:tc>
          <w:tcPr>
            <w:tcW w:w="2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$670.1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Approximately 84% of the defined benefit pension and 71% of the postretirement health and life benefit costs recognized annually by our regulated companies are recovered through rates filed with our regulatory jurisdictions. It is expected that these costs will continue to be recovered in future rates in accordance with the requirements of SFAS 71. As a result, these amounts that are required to otherwise be recognized in accumulated other comprehensive income under the provisions of SFAS 158 have been recognized as a long-term regulatory asset on our consolidated balance sheet. The remaining 16% of the defined benefit pension and 29% of the postretirement health and life benefit costs relate to costs associated with our nonregulated operations and, accordingly, have been recognized as a charge to accumulated other comprehensive income at December 31, 2006.</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780"/>
          </w:cols>
          <w:pgMar w:left="220" w:top="616" w:right="899" w:bottom="1440" w:gutter="0" w:footer="0" w:header="0"/>
        </w:sectPr>
      </w:pPr>
    </w:p>
    <w:bookmarkStart w:id="102" w:name="page103"/>
    <w:bookmarkEnd w:id="102"/>
    <w:p>
      <w:pPr>
        <w:spacing w:after="0"/>
        <w:tabs>
          <w:tab w:leader="none" w:pos="940" w:val="left"/>
        </w:tabs>
        <w:rPr>
          <w:sz w:val="20"/>
          <w:szCs w:val="20"/>
          <w:color w:val="auto"/>
        </w:rPr>
      </w:pPr>
      <w:r>
        <w:rPr>
          <w:rFonts w:ascii="Courier New" w:cs="Courier New" w:eastAsia="Courier New" w:hAnsi="Courier New"/>
          <w:sz w:val="14"/>
          <w:szCs w:val="14"/>
          <w:color w:val="auto"/>
        </w:rPr>
        <w:t>NOTE 16.</w:t>
      </w:r>
      <w:r>
        <w:rPr>
          <w:sz w:val="20"/>
          <w:szCs w:val="20"/>
          <w:color w:val="auto"/>
        </w:rPr>
        <w:tab/>
      </w:r>
      <w:r>
        <w:rPr>
          <w:rFonts w:ascii="Courier New" w:cs="Courier New" w:eastAsia="Courier New" w:hAnsi="Courier New"/>
          <w:sz w:val="14"/>
          <w:szCs w:val="14"/>
          <w:color w:val="auto"/>
        </w:rPr>
        <w:t>PENSION AND OTHER POSTRETIREMENT BENEFIT PLANS (CONTINUED)</w:t>
      </w:r>
    </w:p>
    <w:p>
      <w:pPr>
        <w:spacing w:after="0" w:line="173"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We use a September 30 measurement date for the pension and postretirement health and life plans. Pursuant to SFAS 158, we are required to change our measurement date to December 31 during the year ending December 31, 2008.</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PENSION OBLIGATION AND FUNDED STATUS</w:t>
            </w:r>
          </w:p>
        </w:tc>
        <w:tc>
          <w:tcPr>
            <w:tcW w:w="3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33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3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Obligation, Beginning of Year</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$412.4</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9.1</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Interest Cost</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22.2</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Actuarial Loss (Gain)</w:t>
            </w:r>
          </w:p>
        </w:tc>
        <w:tc>
          <w:tcPr>
            <w:tcW w:w="3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(12.2)</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3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(19.8)</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6.0</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Obligation, End of Year</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417.7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Fair Value, Beginning of Year</w:t>
            </w:r>
          </w:p>
        </w:tc>
        <w:tc>
          <w:tcPr>
            <w:tcW w:w="35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337.1</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310.1</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Actual Return on Assets</w:t>
            </w:r>
          </w:p>
        </w:tc>
        <w:tc>
          <w:tcPr>
            <w:tcW w:w="35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32.5</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Employer Contribution</w:t>
            </w:r>
          </w:p>
        </w:tc>
        <w:tc>
          <w:tcPr>
            <w:tcW w:w="35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8.9</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35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5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6.0</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Fair Value, End of Year</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364.7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337.1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3720" w:type="dxa"/>
            <w:vAlign w:val="bottom"/>
          </w:tcPr>
          <w:p>
            <w:pPr>
              <w:ind w:left="2200"/>
              <w:spacing w:after="0"/>
              <w:rPr>
                <w:sz w:val="20"/>
                <w:szCs w:val="20"/>
                <w:color w:val="auto"/>
              </w:rPr>
            </w:pPr>
            <w:r>
              <w:rPr>
                <w:rFonts w:ascii="Courier New" w:cs="Courier New" w:eastAsia="Courier New" w:hAnsi="Courier New"/>
                <w:sz w:val="14"/>
                <w:szCs w:val="14"/>
                <w:color w:val="auto"/>
              </w:rPr>
              <w:t>$(53.0)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(75.3)</w:t>
            </w:r>
          </w:p>
        </w:tc>
      </w:tr>
      <w:tr>
        <w:trPr>
          <w:trHeight w:val="166"/>
        </w:trPr>
        <w:tc>
          <w:tcPr>
            <w:tcW w:w="4780" w:type="dxa"/>
            <w:vAlign w:val="bottom"/>
          </w:tcPr>
          <w:p>
            <w:pPr>
              <w:spacing w:after="0"/>
              <w:rPr>
                <w:sz w:val="14"/>
                <w:szCs w:val="14"/>
                <w:color w:val="auto"/>
              </w:rPr>
            </w:pPr>
          </w:p>
        </w:tc>
        <w:tc>
          <w:tcPr>
            <w:tcW w:w="3720" w:type="dxa"/>
            <w:vAlign w:val="bottom"/>
          </w:tcPr>
          <w:p>
            <w:pPr>
              <w:ind w:left="22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Amounts</w:t>
            </w:r>
          </w:p>
        </w:tc>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780" w:type="dxa"/>
            <w:vAlign w:val="bottom"/>
          </w:tcPr>
          <w:p>
            <w:pPr>
              <w:ind w:left="780"/>
              <w:spacing w:after="0"/>
              <w:rPr>
                <w:sz w:val="20"/>
                <w:szCs w:val="20"/>
                <w:color w:val="auto"/>
              </w:rPr>
            </w:pPr>
            <w:r>
              <w:rPr>
                <w:rFonts w:ascii="Courier New" w:cs="Courier New" w:eastAsia="Courier New" w:hAnsi="Courier New"/>
                <w:sz w:val="14"/>
                <w:szCs w:val="14"/>
                <w:color w:val="auto"/>
              </w:rPr>
              <w:t>Net Loss</w:t>
            </w:r>
          </w:p>
        </w:tc>
        <w:tc>
          <w:tcPr>
            <w:tcW w:w="372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90.6</w:t>
            </w:r>
          </w:p>
        </w:tc>
      </w:tr>
      <w:tr>
        <w:trPr>
          <w:trHeight w:val="166"/>
        </w:trPr>
        <w:tc>
          <w:tcPr>
            <w:tcW w:w="4780" w:type="dxa"/>
            <w:vAlign w:val="bottom"/>
          </w:tcPr>
          <w:p>
            <w:pPr>
              <w:ind w:left="780"/>
              <w:spacing w:after="0"/>
              <w:rPr>
                <w:sz w:val="20"/>
                <w:szCs w:val="20"/>
                <w:color w:val="auto"/>
              </w:rPr>
            </w:pPr>
            <w:r>
              <w:rPr>
                <w:rFonts w:ascii="Courier New" w:cs="Courier New" w:eastAsia="Courier New" w:hAnsi="Courier New"/>
                <w:sz w:val="14"/>
                <w:szCs w:val="14"/>
                <w:color w:val="auto"/>
              </w:rPr>
              <w:t>Prior Service Cost</w:t>
            </w:r>
          </w:p>
        </w:tc>
        <w:tc>
          <w:tcPr>
            <w:tcW w:w="372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4780" w:type="dxa"/>
            <w:vAlign w:val="bottom"/>
          </w:tcPr>
          <w:p>
            <w:pPr>
              <w:ind w:left="780"/>
              <w:spacing w:after="0"/>
              <w:rPr>
                <w:sz w:val="20"/>
                <w:szCs w:val="20"/>
                <w:color w:val="auto"/>
              </w:rPr>
            </w:pPr>
            <w:r>
              <w:rPr>
                <w:rFonts w:ascii="Courier New" w:cs="Courier New" w:eastAsia="Courier New" w:hAnsi="Courier New"/>
                <w:sz w:val="14"/>
                <w:szCs w:val="14"/>
                <w:color w:val="auto"/>
              </w:rPr>
              <w:t>Transition Obligation</w:t>
            </w:r>
          </w:p>
        </w:tc>
        <w:tc>
          <w:tcPr>
            <w:tcW w:w="37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Assets Recognized</w:t>
            </w:r>
          </w:p>
        </w:tc>
        <w:tc>
          <w:tcPr>
            <w:tcW w:w="4260" w:type="dxa"/>
            <w:vAlign w:val="bottom"/>
          </w:tcPr>
          <w:p>
            <w:pPr>
              <w:jc w:val="right"/>
              <w:spacing w:after="0"/>
              <w:rPr>
                <w:sz w:val="20"/>
                <w:szCs w:val="20"/>
                <w:color w:val="auto"/>
              </w:rPr>
            </w:pPr>
            <w:r>
              <w:rPr>
                <w:rFonts w:ascii="Courier New" w:cs="Courier New" w:eastAsia="Courier New" w:hAnsi="Courier New"/>
                <w:sz w:val="14"/>
                <w:szCs w:val="14"/>
                <w:color w:val="auto"/>
              </w:rPr>
              <w:t>$ 19.7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gridSpan w:val="2"/>
          </w:tcPr>
          <w:p>
            <w:pPr>
              <w:spacing w:after="0"/>
              <w:rPr>
                <w:sz w:val="20"/>
                <w:szCs w:val="20"/>
                <w:color w:val="auto"/>
              </w:rPr>
            </w:pPr>
            <w:r>
              <w:rPr>
                <w:rFonts w:ascii="Courier New" w:cs="Courier New" w:eastAsia="Courier New" w:hAnsi="Courier New"/>
                <w:sz w:val="14"/>
                <w:szCs w:val="14"/>
                <w:color w:val="auto"/>
              </w:rPr>
              <w:t>Amounts Recognized in Consolidated Balance Sheet Consist of:</w:t>
            </w:r>
          </w:p>
        </w:tc>
        <w:tc>
          <w:tcPr>
            <w:tcW w:w="2640" w:type="dxa"/>
            <w:vAlign w:val="bottom"/>
          </w:tcPr>
          <w:p>
            <w:pPr>
              <w:spacing w:after="0"/>
              <w:rPr>
                <w:sz w:val="14"/>
                <w:szCs w:val="1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Prepaid Pension</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2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Accrued Benefit</w:t>
            </w:r>
          </w:p>
        </w:tc>
        <w:tc>
          <w:tcPr>
            <w:tcW w:w="550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(42.3)</w:t>
            </w:r>
          </w:p>
        </w:tc>
      </w:tr>
      <w:tr>
        <w:trPr>
          <w:trHeight w:val="166"/>
        </w:trPr>
        <w:tc>
          <w:tcPr>
            <w:tcW w:w="7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Intangible Assets</w:t>
            </w:r>
          </w:p>
        </w:tc>
        <w:tc>
          <w:tcPr>
            <w:tcW w:w="2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6"/>
        </w:trPr>
        <w:tc>
          <w:tcPr>
            <w:tcW w:w="7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Accumulated Other Comprehensive Income</w:t>
            </w:r>
          </w:p>
        </w:tc>
        <w:tc>
          <w:tcPr>
            <w:tcW w:w="2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Net Assets Recognized</w:t>
            </w:r>
          </w:p>
        </w:tc>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The pension costs reported on our consolidated balance sheet as regulatory long-term assets and accumulated other comprehensive income consist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PENSION COSTS</w:t>
            </w:r>
          </w:p>
        </w:tc>
        <w:tc>
          <w:tcPr>
            <w:tcW w:w="4120" w:type="dxa"/>
            <w:vAlign w:val="bottom"/>
          </w:tcPr>
          <w:p>
            <w:pPr>
              <w:spacing w:after="0"/>
              <w:rPr>
                <w:sz w:val="14"/>
                <w:szCs w:val="14"/>
                <w:color w:val="auto"/>
              </w:rPr>
            </w:pPr>
          </w:p>
        </w:tc>
      </w:tr>
      <w:tr>
        <w:trPr>
          <w:trHeight w:val="166"/>
        </w:trPr>
        <w:tc>
          <w:tcPr>
            <w:tcW w:w="57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41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tabs>
          <w:tab w:leader="none" w:pos="938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$69.9</w:t>
      </w:r>
    </w:p>
    <w:p>
      <w:pPr>
        <w:spacing w:after="0" w:line="7" w:lineRule="exact"/>
        <w:rPr>
          <w:sz w:val="20"/>
          <w:szCs w:val="20"/>
          <w:color w:val="auto"/>
        </w:rPr>
      </w:pPr>
    </w:p>
    <w:p>
      <w:pPr>
        <w:spacing w:after="0"/>
        <w:tabs>
          <w:tab w:leader="none" w:pos="9540" w:val="left"/>
        </w:tabs>
        <w:rPr>
          <w:sz w:val="20"/>
          <w:szCs w:val="20"/>
          <w:color w:val="auto"/>
        </w:rPr>
      </w:pPr>
      <w:r>
        <w:rPr>
          <w:rFonts w:ascii="Courier New" w:cs="Courier New" w:eastAsia="Courier New" w:hAnsi="Courier New"/>
          <w:sz w:val="14"/>
          <w:szCs w:val="14"/>
          <w:color w:val="auto"/>
        </w:rPr>
        <w:t>Prior Service Cost</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9460" w:val="left"/>
        </w:tabs>
        <w:rPr>
          <w:sz w:val="20"/>
          <w:szCs w:val="20"/>
          <w:color w:val="auto"/>
        </w:rPr>
      </w:pPr>
      <w:r>
        <w:rPr>
          <w:rFonts w:ascii="Courier New" w:cs="Courier New" w:eastAsia="Courier New" w:hAnsi="Courier New"/>
          <w:sz w:val="14"/>
          <w:szCs w:val="14"/>
          <w:color w:val="auto"/>
        </w:rPr>
        <w:t>Transition Obligation</w:t>
      </w:r>
      <w:r>
        <w:rPr>
          <w:sz w:val="20"/>
          <w:szCs w:val="20"/>
          <w:color w:val="auto"/>
        </w:rPr>
        <w:tab/>
      </w:r>
      <w:r>
        <w:rPr>
          <w:rFonts w:ascii="Courier New" w:cs="Courier New" w:eastAsia="Courier New" w:hAnsi="Courier New"/>
          <w:sz w:val="14"/>
          <w:szCs w:val="14"/>
          <w:color w:val="auto"/>
        </w:rPr>
        <w:t>(0.1)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$73.7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6700" w:val="left"/>
        </w:tabs>
        <w:rPr>
          <w:sz w:val="20"/>
          <w:szCs w:val="20"/>
          <w:color w:val="auto"/>
        </w:rPr>
      </w:pPr>
      <w:r>
        <w:rPr>
          <w:rFonts w:ascii="Courier New" w:cs="Courier New" w:eastAsia="Courier New" w:hAnsi="Courier New"/>
          <w:sz w:val="14"/>
          <w:szCs w:val="14"/>
          <w:color w:val="auto"/>
        </w:rPr>
        <w:t>ALLETE 2006 Form 10-K</w:t>
      </w:r>
      <w:r>
        <w:rPr>
          <w:sz w:val="20"/>
          <w:szCs w:val="20"/>
          <w:color w:val="auto"/>
        </w:rPr>
        <w:tab/>
      </w:r>
      <w:r>
        <w:rPr>
          <w:rFonts w:ascii="Courier New" w:cs="Courier New" w:eastAsia="Courier New" w:hAnsi="Courier New"/>
          <w:sz w:val="14"/>
          <w:szCs w:val="14"/>
          <w:color w:val="auto"/>
        </w:rPr>
        <w:t>86</w:t>
      </w:r>
    </w:p>
    <w:p>
      <w:pPr>
        <w:sectPr>
          <w:pgSz w:w="11900" w:h="16838" w:orient="portrait"/>
          <w:cols w:equalWidth="0" w:num="1">
            <w:col w:w="10260"/>
          </w:cols>
          <w:pgMar w:left="220" w:top="782" w:right="14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16.</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PENSION AND</w:t>
            </w:r>
          </w:p>
        </w:tc>
        <w:tc>
          <w:tcPr>
            <w:tcW w:w="564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OTHER POSTRETIREMENT BENEFIT PLANS (CONTINUED)</w:t>
            </w: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COMPONENTS</w:t>
            </w:r>
          </w:p>
        </w:tc>
        <w:tc>
          <w:tcPr>
            <w:tcW w:w="6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NET PERIODIC PENSION EXPENSE (INCOME)</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5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3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$ 9.1</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$ 8.7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3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22.2</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Amortized Amounts</w:t>
            </w:r>
          </w:p>
        </w:tc>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Loss</w:t>
            </w:r>
          </w:p>
        </w:tc>
        <w:tc>
          <w:tcPr>
            <w:tcW w:w="3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Prior Service Cost</w:t>
            </w:r>
          </w:p>
        </w:tc>
        <w:tc>
          <w:tcPr>
            <w:tcW w:w="3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0"/>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Transition Obligation</w:t>
            </w:r>
          </w:p>
        </w:tc>
        <w:tc>
          <w:tcPr>
            <w:tcW w:w="3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180" w:val="left"/>
          <w:tab w:leader="none" w:pos="9720" w:val="left"/>
        </w:tabs>
        <w:rPr>
          <w:sz w:val="20"/>
          <w:szCs w:val="20"/>
          <w:color w:val="auto"/>
        </w:rPr>
      </w:pPr>
      <w:r>
        <w:rPr>
          <w:rFonts w:ascii="Courier New" w:cs="Courier New" w:eastAsia="Courier New" w:hAnsi="Courier New"/>
          <w:sz w:val="14"/>
          <w:szCs w:val="14"/>
          <w:color w:val="auto"/>
        </w:rPr>
        <w:t>Net Pension Expense</w:t>
      </w:r>
      <w:r>
        <w:rPr>
          <w:sz w:val="20"/>
          <w:szCs w:val="20"/>
          <w:color w:val="auto"/>
        </w:rPr>
        <w:tab/>
      </w:r>
      <w:r>
        <w:rPr>
          <w:rFonts w:ascii="Courier New" w:cs="Courier New" w:eastAsia="Courier New" w:hAnsi="Courier New"/>
          <w:sz w:val="14"/>
          <w:szCs w:val="14"/>
          <w:color w:val="auto"/>
        </w:rPr>
        <w:t>$ 7.9</w:t>
      </w:r>
      <w:r>
        <w:rPr>
          <w:sz w:val="20"/>
          <w:szCs w:val="20"/>
          <w:color w:val="auto"/>
        </w:rPr>
        <w:tab/>
      </w:r>
      <w:r>
        <w:rPr>
          <w:rFonts w:ascii="Courier New" w:cs="Courier New" w:eastAsia="Courier New" w:hAnsi="Courier New"/>
          <w:sz w:val="14"/>
          <w:szCs w:val="14"/>
          <w:color w:val="auto"/>
        </w:rPr>
        <w:t>$ 5.7</w:t>
      </w:r>
      <w:r>
        <w:rPr>
          <w:sz w:val="20"/>
          <w:szCs w:val="20"/>
          <w:color w:val="auto"/>
        </w:rPr>
        <w:tab/>
      </w:r>
      <w:r>
        <w:rPr>
          <w:rFonts w:ascii="Courier New" w:cs="Courier New" w:eastAsia="Courier New" w:hAnsi="Courier New"/>
          <w:sz w:val="14"/>
          <w:szCs w:val="14"/>
          <w:color w:val="auto"/>
        </w:rPr>
        <w:t>$ 4.2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FOR PENSION PLANS WITH AN</w:t>
            </w:r>
          </w:p>
        </w:tc>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BENEFIT OBLIGATION IN EXCESS OF PLAN ASSETS</w:t>
            </w:r>
          </w:p>
        </w:tc>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AT SEPTEMBER 30</w:t>
            </w:r>
          </w:p>
        </w:tc>
        <w:tc>
          <w:tcPr>
            <w:tcW w:w="25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3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$180.4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$177.5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3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Fair Value of Plan Assets</w:t>
            </w:r>
          </w:p>
        </w:tc>
        <w:tc>
          <w:tcPr>
            <w:tcW w:w="3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$130.9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PENSION INFORMATION</w:t>
            </w:r>
          </w:p>
        </w:tc>
        <w:tc>
          <w:tcPr>
            <w:tcW w:w="3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3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Increase (Decrease) in Additional Pension Liability</w:t>
            </w: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Included in Other Comprehensive Income</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880"/>
        <w:spacing w:after="0" w:line="255" w:lineRule="auto"/>
        <w:rPr>
          <w:sz w:val="20"/>
          <w:szCs w:val="20"/>
          <w:color w:val="auto"/>
        </w:rPr>
      </w:pPr>
      <w:r>
        <w:rPr>
          <w:rFonts w:ascii="Courier New" w:cs="Courier New" w:eastAsia="Courier New" w:hAnsi="Courier New"/>
          <w:sz w:val="14"/>
          <w:szCs w:val="14"/>
          <w:color w:val="auto"/>
        </w:rPr>
        <w:t>The accumulated benefit obligation for all defined benefit pension plans was $376.1 million and $369.5 million at September 30, 2006 and 2005, respectively.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POSTRETIREMENT HEALTH AND LIFE OBLIGATION AND FUNDED STATUS</w:t>
            </w:r>
          </w:p>
        </w:tc>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23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2006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Obligation, Beginning of Year</w:t>
            </w:r>
          </w:p>
        </w:tc>
        <w:tc>
          <w:tcPr>
            <w:tcW w:w="35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$136.9</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35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4.4</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Interest Cost</w:t>
            </w:r>
          </w:p>
        </w:tc>
        <w:tc>
          <w:tcPr>
            <w:tcW w:w="35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7.4</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Actuarial Loss (Gain)</w:t>
            </w:r>
          </w:p>
        </w:tc>
        <w:tc>
          <w:tcPr>
            <w:tcW w:w="35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(4.7)</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Participation Contributions</w:t>
            </w:r>
          </w:p>
        </w:tc>
        <w:tc>
          <w:tcPr>
            <w:tcW w:w="35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1.4</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35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(6.4)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Amendments</w:t>
            </w:r>
          </w:p>
        </w:tc>
        <w:tc>
          <w:tcPr>
            <w:tcW w:w="35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(0.1)</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Obligation, End of Year</w:t>
            </w:r>
          </w:p>
        </w:tc>
        <w:tc>
          <w:tcPr>
            <w:tcW w:w="37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138.9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Fair Value, Beginning of Year</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60.9</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Actual Return on Assets</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5.8</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Employer Contribution</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17.2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Participation Contributions</w:t>
            </w:r>
          </w:p>
        </w:tc>
        <w:tc>
          <w:tcPr>
            <w:tcW w:w="35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35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(6.4)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Fair Value, End of Year</w:t>
            </w:r>
          </w:p>
        </w:tc>
        <w:tc>
          <w:tcPr>
            <w:tcW w:w="37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78.9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3760" w:type="dxa"/>
            <w:vAlign w:val="bottom"/>
          </w:tcPr>
          <w:p>
            <w:pPr>
              <w:ind w:left="2200"/>
              <w:spacing w:after="0"/>
              <w:rPr>
                <w:sz w:val="20"/>
                <w:szCs w:val="20"/>
                <w:color w:val="auto"/>
              </w:rPr>
            </w:pPr>
            <w:r>
              <w:rPr>
                <w:rFonts w:ascii="Courier New" w:cs="Courier New" w:eastAsia="Courier New" w:hAnsi="Courier New"/>
                <w:sz w:val="14"/>
                <w:szCs w:val="14"/>
                <w:color w:val="auto"/>
              </w:rPr>
              <w:t>$(60.0)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r>
      <w:tr>
        <w:trPr>
          <w:trHeight w:val="166"/>
        </w:trPr>
        <w:tc>
          <w:tcPr>
            <w:tcW w:w="4780" w:type="dxa"/>
            <w:vAlign w:val="bottom"/>
          </w:tcPr>
          <w:p>
            <w:pPr>
              <w:spacing w:after="0"/>
              <w:rPr>
                <w:sz w:val="14"/>
                <w:szCs w:val="14"/>
                <w:color w:val="auto"/>
              </w:rPr>
            </w:pPr>
          </w:p>
        </w:tc>
        <w:tc>
          <w:tcPr>
            <w:tcW w:w="3760" w:type="dxa"/>
            <w:vAlign w:val="bottom"/>
          </w:tcPr>
          <w:p>
            <w:pPr>
              <w:ind w:left="22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Amounts</w:t>
            </w:r>
          </w:p>
        </w:tc>
        <w:tc>
          <w:tcPr>
            <w:tcW w:w="3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780" w:type="dxa"/>
            <w:vAlign w:val="bottom"/>
          </w:tcPr>
          <w:p>
            <w:pPr>
              <w:ind w:left="780"/>
              <w:spacing w:after="0"/>
              <w:rPr>
                <w:sz w:val="20"/>
                <w:szCs w:val="20"/>
                <w:color w:val="auto"/>
              </w:rPr>
            </w:pPr>
            <w:r>
              <w:rPr>
                <w:rFonts w:ascii="Courier New" w:cs="Courier New" w:eastAsia="Courier New" w:hAnsi="Courier New"/>
                <w:sz w:val="14"/>
                <w:szCs w:val="14"/>
                <w:color w:val="auto"/>
              </w:rPr>
              <w:t>Net Loss</w:t>
            </w:r>
          </w:p>
        </w:tc>
        <w:tc>
          <w:tcPr>
            <w:tcW w:w="376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r>
      <w:tr>
        <w:trPr>
          <w:trHeight w:val="0"/>
        </w:trPr>
        <w:tc>
          <w:tcPr>
            <w:tcW w:w="4780" w:type="dxa"/>
            <w:vAlign w:val="bottom"/>
          </w:tcPr>
          <w:p>
            <w:pPr>
              <w:ind w:left="780"/>
              <w:spacing w:after="0"/>
              <w:rPr>
                <w:sz w:val="20"/>
                <w:szCs w:val="20"/>
                <w:color w:val="auto"/>
              </w:rPr>
            </w:pPr>
            <w:r>
              <w:rPr>
                <w:rFonts w:ascii="Courier New" w:cs="Courier New" w:eastAsia="Courier New" w:hAnsi="Courier New"/>
                <w:sz w:val="14"/>
                <w:szCs w:val="14"/>
                <w:color w:val="auto"/>
              </w:rPr>
              <w:t>Transition Obligation</w:t>
            </w:r>
          </w:p>
        </w:tc>
        <w:tc>
          <w:tcPr>
            <w:tcW w:w="3760" w:type="dxa"/>
            <w:vAlign w:val="bottom"/>
          </w:tcPr>
          <w:p>
            <w:pPr>
              <w:spacing w:after="0" w:line="20" w:lineRule="exact"/>
              <w:rPr>
                <w:sz w:val="1"/>
                <w:szCs w:val="1"/>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9380" w:val="left"/>
        </w:tabs>
        <w:rPr>
          <w:sz w:val="20"/>
          <w:szCs w:val="20"/>
          <w:color w:val="auto"/>
        </w:rPr>
      </w:pPr>
      <w:r>
        <w:rPr>
          <w:rFonts w:ascii="Courier New" w:cs="Courier New" w:eastAsia="Courier New" w:hAnsi="Courier New"/>
          <w:sz w:val="14"/>
          <w:szCs w:val="14"/>
          <w:color w:val="auto"/>
        </w:rPr>
        <w:t>Net Liabilities Recognized</w:t>
      </w:r>
      <w:r>
        <w:rPr>
          <w:sz w:val="20"/>
          <w:szCs w:val="20"/>
          <w:color w:val="auto"/>
        </w:rPr>
        <w:tab/>
      </w:r>
      <w:r>
        <w:rPr>
          <w:rFonts w:ascii="Courier New" w:cs="Courier New" w:eastAsia="Courier New" w:hAnsi="Courier New"/>
          <w:sz w:val="14"/>
          <w:szCs w:val="14"/>
          <w:color w:val="auto"/>
        </w:rPr>
        <w:t>$(32.8)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80"/>
          </w:cols>
          <w:pgMar w:left="220" w:top="616" w:right="899" w:bottom="94"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ectPr>
          <w:pgSz w:w="11900" w:h="16838" w:orient="portrait"/>
          <w:cols w:equalWidth="0" w:num="2">
            <w:col w:w="4380" w:space="720"/>
            <w:col w:w="5680"/>
          </w:cols>
          <w:pgMar w:left="220" w:top="616" w:right="899" w:bottom="94" w:gutter="0" w:footer="0" w:header="0"/>
          <w:type w:val="continuous"/>
        </w:sectPr>
      </w:pPr>
    </w:p>
    <w:bookmarkStart w:id="104" w:name="page105"/>
    <w:bookmarkEnd w:id="104"/>
    <w:p>
      <w:pPr>
        <w:spacing w:after="0"/>
        <w:tabs>
          <w:tab w:leader="none" w:pos="940" w:val="left"/>
        </w:tabs>
        <w:rPr>
          <w:sz w:val="20"/>
          <w:szCs w:val="20"/>
          <w:color w:val="auto"/>
        </w:rPr>
      </w:pPr>
      <w:r>
        <w:rPr>
          <w:rFonts w:ascii="Courier New" w:cs="Courier New" w:eastAsia="Courier New" w:hAnsi="Courier New"/>
          <w:sz w:val="14"/>
          <w:szCs w:val="14"/>
          <w:color w:val="auto"/>
        </w:rPr>
        <w:t>NOTE 16.</w:t>
      </w:r>
      <w:r>
        <w:rPr>
          <w:sz w:val="20"/>
          <w:szCs w:val="20"/>
          <w:color w:val="auto"/>
        </w:rPr>
        <w:tab/>
      </w:r>
      <w:r>
        <w:rPr>
          <w:rFonts w:ascii="Courier New" w:cs="Courier New" w:eastAsia="Courier New" w:hAnsi="Courier New"/>
          <w:sz w:val="14"/>
          <w:szCs w:val="14"/>
          <w:color w:val="auto"/>
        </w:rPr>
        <w:t>PENSION AND OTHER POSTRETIREMENT BENEFIT PLANS (CONTINUED)</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Under SFAS 106, "Employers' Accounting for Postretirement Benefits Other Than Pensions," only assets in the VEBAs are treated as plan assets in the previous table for the purpose of determining funded status. In addition to the postretirement health and life assets reported in the previous table, we had $25.6 million in an irrevocable grantor trust at December 31, 2006 ($22.6 million at December 31, 2005). We consolidate the irrevocable grantor trust and it is included in Investments on our consolidated balance sheet.</w:t>
      </w:r>
    </w:p>
    <w:p>
      <w:pPr>
        <w:spacing w:after="0" w:line="164"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The postretirement health and life costs reported on our consolidated balance sheet as regulatory long-term assets and accumulated other comprehensive income consist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Courier New" w:cs="Courier New" w:eastAsia="Courier New" w:hAnsi="Courier New"/>
                <w:sz w:val="14"/>
                <w:szCs w:val="14"/>
                <w:color w:val="auto"/>
              </w:rPr>
              <w:t>POSTRETIREMENT HEALTH AND LIFE COSTS</w:t>
            </w:r>
          </w:p>
        </w:tc>
        <w:tc>
          <w:tcPr>
            <w:tcW w:w="3480" w:type="dxa"/>
            <w:vAlign w:val="bottom"/>
          </w:tcPr>
          <w:p>
            <w:pPr>
              <w:spacing w:after="0"/>
              <w:rPr>
                <w:sz w:val="14"/>
                <w:szCs w:val="1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Prior Service Cost</w:t>
            </w:r>
          </w:p>
        </w:tc>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0"/>
        </w:trPr>
        <w:tc>
          <w:tcPr>
            <w:tcW w:w="5600" w:type="dxa"/>
            <w:vAlign w:val="bottom"/>
          </w:tcPr>
          <w:p>
            <w:pPr>
              <w:spacing w:after="0"/>
              <w:rPr>
                <w:sz w:val="20"/>
                <w:szCs w:val="20"/>
                <w:color w:val="auto"/>
              </w:rPr>
            </w:pPr>
            <w:r>
              <w:rPr>
                <w:rFonts w:ascii="Courier New" w:cs="Courier New" w:eastAsia="Courier New" w:hAnsi="Courier New"/>
                <w:sz w:val="14"/>
                <w:szCs w:val="14"/>
                <w:color w:val="auto"/>
              </w:rPr>
              <w:t>Transition Obligation</w:t>
            </w:r>
          </w:p>
        </w:tc>
        <w:tc>
          <w:tcPr>
            <w:tcW w:w="4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400"/>
        <w:spacing w:after="0"/>
        <w:rPr>
          <w:sz w:val="20"/>
          <w:szCs w:val="20"/>
          <w:color w:val="auto"/>
        </w:rPr>
      </w:pPr>
      <w:r>
        <w:rPr>
          <w:rFonts w:ascii="Courier New" w:cs="Courier New" w:eastAsia="Courier New" w:hAnsi="Courier New"/>
          <w:sz w:val="14"/>
          <w:szCs w:val="14"/>
          <w:color w:val="auto"/>
        </w:rPr>
        <w:t>$34.1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NET PERIODIC POSTRETIREMENT HEALTH AND LIFE EXPENSE</w:t>
      </w:r>
    </w:p>
    <w:p>
      <w:pPr>
        <w:spacing w:after="0" w:line="7" w:lineRule="exact"/>
        <w:rPr>
          <w:sz w:val="20"/>
          <w:szCs w:val="20"/>
          <w:color w:val="auto"/>
        </w:rPr>
      </w:pPr>
    </w:p>
    <w:p>
      <w:pPr>
        <w:spacing w:after="0"/>
        <w:tabs>
          <w:tab w:leader="none" w:pos="6700" w:val="left"/>
          <w:tab w:leader="none" w:pos="8260" w:val="left"/>
          <w:tab w:leader="none" w:pos="9720" w:val="left"/>
        </w:tabs>
        <w:rPr>
          <w:sz w:val="20"/>
          <w:szCs w:val="20"/>
          <w:color w:val="auto"/>
        </w:rPr>
      </w:pPr>
      <w:r>
        <w:rPr>
          <w:rFonts w:ascii="Courier New" w:cs="Courier New" w:eastAsia="Courier New" w:hAnsi="Courier New"/>
          <w:sz w:val="14"/>
          <w:szCs w:val="14"/>
          <w:color w:val="auto"/>
        </w:rPr>
        <w:t>YEAR ENDED DECEMBER 31</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3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$ 4.4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3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3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Amortized Amounts</w:t>
            </w: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Loss</w:t>
            </w:r>
          </w:p>
        </w:tc>
        <w:tc>
          <w:tcPr>
            <w:tcW w:w="3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0"/>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Transition Obligation</w:t>
            </w:r>
          </w:p>
        </w:tc>
        <w:tc>
          <w:tcPr>
            <w:tcW w:w="3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260" w:val="left"/>
          <w:tab w:leader="none" w:pos="9640" w:val="left"/>
        </w:tabs>
        <w:rPr>
          <w:sz w:val="20"/>
          <w:szCs w:val="20"/>
          <w:color w:val="auto"/>
        </w:rPr>
      </w:pPr>
      <w:r>
        <w:rPr>
          <w:rFonts w:ascii="Courier New" w:cs="Courier New" w:eastAsia="Courier New" w:hAnsi="Courier New"/>
          <w:sz w:val="14"/>
          <w:szCs w:val="14"/>
          <w:color w:val="auto"/>
        </w:rPr>
        <w:t>Net Expense</w:t>
      </w:r>
      <w:r>
        <w:rPr>
          <w:sz w:val="20"/>
          <w:szCs w:val="20"/>
          <w:color w:val="auto"/>
        </w:rPr>
        <w:tab/>
      </w: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$9.0</w:t>
      </w:r>
      <w:r>
        <w:rPr>
          <w:sz w:val="20"/>
          <w:szCs w:val="20"/>
          <w:color w:val="auto"/>
        </w:rPr>
        <w:tab/>
      </w:r>
      <w:r>
        <w:rPr>
          <w:rFonts w:ascii="Courier New" w:cs="Courier New" w:eastAsia="Courier New" w:hAnsi="Courier New"/>
          <w:sz w:val="14"/>
          <w:szCs w:val="14"/>
          <w:color w:val="auto"/>
        </w:rPr>
        <w:t>$8.7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spacing w:after="0"/>
        <w:tabs>
          <w:tab w:leader="none" w:pos="6960" w:val="left"/>
          <w:tab w:leader="none" w:pos="8860" w:val="left"/>
        </w:tabs>
        <w:rPr>
          <w:sz w:val="20"/>
          <w:szCs w:val="20"/>
          <w:color w:val="auto"/>
        </w:rPr>
      </w:pPr>
      <w:r>
        <w:rPr>
          <w:rFonts w:ascii="Courier New" w:cs="Courier New" w:eastAsia="Courier New" w:hAnsi="Courier New"/>
          <w:sz w:val="14"/>
          <w:szCs w:val="14"/>
          <w:color w:val="auto"/>
        </w:rPr>
        <w:t>ESTIMATED FUTURE BENEFIT PAYMENTS</w:t>
      </w:r>
      <w:r>
        <w:rPr>
          <w:sz w:val="20"/>
          <w:szCs w:val="20"/>
          <w:color w:val="auto"/>
        </w:rPr>
        <w:tab/>
      </w: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Years 2012 - 2016</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$138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The pension and postretirement health and life costs recorded in other long-term assets and accumulated other comprehensive income expected to be recognized as a component of net pension and postretirement benefit costs for the year ending December 31, 2007, are as follows:</w:t>
      </w:r>
    </w:p>
    <w:p>
      <w:pPr>
        <w:spacing w:after="0" w:line="200" w:lineRule="exact"/>
        <w:rPr>
          <w:sz w:val="20"/>
          <w:szCs w:val="20"/>
          <w:color w:val="auto"/>
        </w:rPr>
      </w:pPr>
    </w:p>
    <w:p>
      <w:pPr>
        <w:spacing w:after="0" w:line="293"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ind w:left="6980"/>
        <w:spacing w:after="0"/>
        <w:tabs>
          <w:tab w:leader="none" w:pos="886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Loss (Gain)</w:t>
            </w:r>
          </w:p>
        </w:tc>
        <w:tc>
          <w:tcPr>
            <w:tcW w:w="40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Prior Service Costs</w:t>
            </w:r>
          </w:p>
        </w:tc>
        <w:tc>
          <w:tcPr>
            <w:tcW w:w="40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$0.7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Transition Obligations</w:t>
            </w:r>
          </w:p>
        </w:tc>
        <w:tc>
          <w:tcPr>
            <w:tcW w:w="40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bl>
    <w:p>
      <w:pPr>
        <w:sectPr>
          <w:pgSz w:w="11900" w:h="16838" w:orient="portrait"/>
          <w:cols w:equalWidth="0" w:num="1">
            <w:col w:w="10780"/>
          </w:cols>
          <w:pgMar w:left="220" w:top="616" w:right="89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16.   PENSION AND OTHER POSTRETIREMENT BENEFIT PLANS (CONTINUED)</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63"/>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ASSUMPTIONS</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USED</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TO DETERMINE BENEFIT OBLIGATION</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AT SEPTEMBER 30</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5.75%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3.5 - 4.5%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3.5 - 4.5%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Health Care Trend Rates</w:t>
            </w: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Trend Rate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Ultimate Trend Rate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Year Ultimate Trend Rate Effective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2011</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2010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ASSUMPTIONS</w:t>
            </w:r>
          </w:p>
        </w:tc>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USED</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TO DETERMINE NET PERIODIC BENEFIT COSTS</w:t>
            </w:r>
          </w:p>
        </w:tc>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w:t>
            </w:r>
          </w:p>
        </w:tc>
        <w:tc>
          <w:tcPr>
            <w:tcW w:w="22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2006</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5.50%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5.75%</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6.00%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Expected Long-Term Return on Plan Assets</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Pension</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Postretirement Health and Life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establishing the expected long-term return on plan assets,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w:t>
      </w:r>
    </w:p>
    <w:p>
      <w:pPr>
        <w:spacing w:after="0" w:line="165"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Currently for plan valuation purposes, the discount rate is determined considering high-quality long-term corporate bond rates at the valuation date. The discount rate is compared to the Citigroup Pension Discount Curve adjusted for ALLETE's specific cash flows.</w:t>
      </w:r>
    </w:p>
    <w:p>
      <w:pPr>
        <w:spacing w:after="0" w:line="200" w:lineRule="exact"/>
        <w:rPr>
          <w:sz w:val="20"/>
          <w:szCs w:val="20"/>
          <w:color w:val="auto"/>
        </w:rPr>
      </w:pPr>
    </w:p>
    <w:p>
      <w:pPr>
        <w:spacing w:after="0" w:line="293" w:lineRule="exact"/>
        <w:rPr>
          <w:sz w:val="20"/>
          <w:szCs w:val="20"/>
          <w:color w:val="auto"/>
        </w:rPr>
      </w:pPr>
    </w:p>
    <w:p>
      <w:pPr>
        <w:ind w:right="780"/>
        <w:spacing w:after="0" w:line="247" w:lineRule="auto"/>
        <w:rPr>
          <w:sz w:val="20"/>
          <w:szCs w:val="20"/>
          <w:color w:val="auto"/>
        </w:rPr>
      </w:pPr>
      <w:r>
        <w:rPr>
          <w:rFonts w:ascii="Courier New" w:cs="Courier New" w:eastAsia="Courier New" w:hAnsi="Courier New"/>
          <w:sz w:val="14"/>
          <w:szCs w:val="14"/>
          <w:color w:val="auto"/>
        </w:rPr>
        <w:t>SENSITIVITY OF A ONE-PERCENTAGE-POINT ONE PERCENT ONE PERCENT CHANGE IN HEALTH CARE TREND RATES INCREASE DECREASE</w:t>
      </w:r>
    </w:p>
    <w:p>
      <w:pPr>
        <w:spacing w:after="0" w:line="168"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Total of Postretirement Health</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and Life Service and Interest Cost</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Postretirement Health and Life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Obligation</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POSTRETIREMENT</w:t>
            </w:r>
          </w:p>
        </w:tc>
        <w:tc>
          <w:tcPr>
            <w:tcW w:w="36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PENSION</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HEALTH AND LIFE</w:t>
            </w:r>
          </w:p>
        </w:tc>
        <w:tc>
          <w:tcPr>
            <w:tcW w:w="36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PLAN ASSET ALLOCATIONS</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2006</w:t>
            </w:r>
          </w:p>
        </w:tc>
        <w:tc>
          <w:tcPr>
            <w:tcW w:w="22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2005</w:t>
            </w:r>
          </w:p>
        </w:tc>
        <w:tc>
          <w:tcPr>
            <w:tcW w:w="2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2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65.1%</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64.9%</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29.6</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29.6</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1.3</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Venture Capital</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2.9</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1.3</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0"/>
        <w:spacing w:after="0"/>
        <w:tabs>
          <w:tab w:leader="none" w:pos="5760" w:val="left"/>
          <w:tab w:leader="none" w:pos="8000" w:val="left"/>
          <w:tab w:leader="none" w:pos="9460" w:val="left"/>
        </w:tabs>
        <w:rPr>
          <w:sz w:val="20"/>
          <w:szCs w:val="20"/>
          <w:color w:val="auto"/>
        </w:rPr>
      </w:pP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p>
    <w:p>
      <w:pPr>
        <w:spacing w:after="0" w:line="7"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VEBAs and irrevocable grantor trust.</w:t>
      </w:r>
    </w:p>
    <w:p>
      <w:pPr>
        <w:spacing w:after="0" w:line="200" w:lineRule="exact"/>
        <w:rPr>
          <w:sz w:val="20"/>
          <w:szCs w:val="20"/>
          <w:color w:val="auto"/>
        </w:rPr>
      </w:pPr>
    </w:p>
    <w:p>
      <w:pPr>
        <w:spacing w:after="0" w:line="304" w:lineRule="exact"/>
        <w:rPr>
          <w:sz w:val="20"/>
          <w:szCs w:val="20"/>
          <w:color w:val="auto"/>
        </w:rPr>
      </w:pPr>
    </w:p>
    <w:p>
      <w:pPr>
        <w:jc w:val="both"/>
        <w:ind w:right="3880"/>
        <w:spacing w:after="0" w:line="255" w:lineRule="auto"/>
        <w:rPr>
          <w:sz w:val="20"/>
          <w:szCs w:val="20"/>
          <w:color w:val="auto"/>
        </w:rPr>
      </w:pPr>
      <w:r>
        <w:rPr>
          <w:rFonts w:ascii="Courier New" w:cs="Courier New" w:eastAsia="Courier New" w:hAnsi="Courier New"/>
          <w:sz w:val="14"/>
          <w:szCs w:val="14"/>
          <w:color w:val="auto"/>
        </w:rPr>
        <w:t>Pension plan equity securities did not include ALLETE common stock at September 30, 2006, or September 30, 2005.</w:t>
      </w:r>
    </w:p>
    <w:p>
      <w:pPr>
        <w:spacing w:after="0" w:line="160"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In addition, all debt securities must have a Standard &amp; Poor's credit rating of A or higher.</w:t>
      </w:r>
    </w:p>
    <w:p>
      <w:pPr>
        <w:spacing w:after="0" w:line="16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780"/>
          </w:cols>
          <w:pgMar w:left="220" w:top="616" w:right="899" w:bottom="1088" w:gutter="0" w:footer="0" w:header="0"/>
        </w:sectPr>
      </w:pPr>
    </w:p>
    <w:bookmarkStart w:id="106" w:name="page107"/>
    <w:bookmarkEnd w:id="106"/>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AND OTHER POSTRETIREMENT BENEFIT PLANS (CONTINUED)</w:t>
      </w:r>
    </w:p>
    <w:p>
      <w:pPr>
        <w:spacing w:after="0" w:line="200" w:lineRule="exact"/>
        <w:rPr>
          <w:sz w:val="20"/>
          <w:szCs w:val="20"/>
          <w:color w:val="auto"/>
        </w:rPr>
      </w:pPr>
    </w:p>
    <w:p>
      <w:pPr>
        <w:sectPr>
          <w:pgSz w:w="11900" w:h="16877" w:orient="portrait"/>
          <w:cols w:equalWidth="0" w:num="2">
            <w:col w:w="700" w:space="260"/>
            <w:col w:w="9820"/>
          </w:cols>
          <w:pgMar w:left="220" w:top="616" w:right="899" w:bottom="0" w:gutter="0" w:footer="0" w:header="0"/>
        </w:sectPr>
      </w:pPr>
    </w:p>
    <w:p>
      <w:pPr>
        <w:spacing w:after="0" w:line="304" w:lineRule="exact"/>
        <w:rPr>
          <w:sz w:val="20"/>
          <w:szCs w:val="20"/>
          <w:color w:val="auto"/>
        </w:rPr>
      </w:pPr>
    </w:p>
    <w:p>
      <w:pPr>
        <w:ind w:left="854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spacing w:after="0"/>
        <w:tabs>
          <w:tab w:leader="none" w:pos="5840" w:val="left"/>
          <w:tab w:leader="none" w:pos="8340" w:val="left"/>
        </w:tabs>
        <w:rPr>
          <w:sz w:val="20"/>
          <w:szCs w:val="20"/>
          <w:color w:val="auto"/>
        </w:rPr>
      </w:pPr>
      <w:r>
        <w:rPr>
          <w:rFonts w:ascii="Courier New" w:cs="Courier New" w:eastAsia="Courier New" w:hAnsi="Courier New"/>
          <w:sz w:val="14"/>
          <w:szCs w:val="14"/>
          <w:color w:val="auto"/>
        </w:rPr>
        <w:t>PLAN ASSET TARGET ALLOCATIONS</w:t>
      </w:r>
      <w:r>
        <w:rPr>
          <w:sz w:val="20"/>
          <w:szCs w:val="20"/>
          <w:color w:val="auto"/>
        </w:rPr>
        <w:tab/>
      </w: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ectPr>
          <w:pgSz w:w="11900" w:h="16877" w:orient="portrait"/>
          <w:cols w:equalWidth="0" w:num="1">
            <w:col w:w="10780"/>
          </w:cols>
          <w:pgMar w:left="220" w:top="616" w:right="89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60%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24</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9</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Venture Capital</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6</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960"/>
        <w:spacing w:after="0"/>
        <w:tabs>
          <w:tab w:leader="none" w:pos="8940" w:val="left"/>
        </w:tabs>
        <w:rPr>
          <w:sz w:val="20"/>
          <w:szCs w:val="20"/>
          <w:color w:val="auto"/>
        </w:rPr>
      </w:pP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VEBAs and irrevocable grantor trust.</w:t>
      </w:r>
    </w:p>
    <w:p>
      <w:pPr>
        <w:spacing w:after="0" w:line="200" w:lineRule="exact"/>
        <w:rPr>
          <w:sz w:val="20"/>
          <w:szCs w:val="20"/>
          <w:color w:val="auto"/>
        </w:rPr>
      </w:pPr>
    </w:p>
    <w:p>
      <w:pPr>
        <w:spacing w:after="0" w:line="304"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We expect to contribute approximately $6 million to our postretirement health and life plans in 2007. We are not required to make any contributions to our defined benefit pension plans in 2007.</w:t>
      </w:r>
    </w:p>
    <w:p>
      <w:pPr>
        <w:spacing w:after="0" w:line="16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have concluded that our prescription drug benefits will qualify us for the federal subsidy to be provided for under the Act. We adopted FSP 106-2 in the third quarter of 2004. The deduction for Medicare health subsidies reduced our after-tax postretirement medical expense by $2.4 million for 2006 ($3.5 million in 2005; $1.6 million for 2004).</w:t>
      </w:r>
    </w:p>
    <w:p>
      <w:pPr>
        <w:spacing w:after="0" w:line="163"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In 2005, we determined that our postretirement health care plans meet the requirements of the Centers for Medicare and Medicaid Services' (CMS) regulations, and enrolled with the CMS to begin recovering the subsidy. We expect to receive the first subsidy payment in mid-2007 for 2006 credits.</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17.</w:t>
      </w:r>
      <w:r>
        <w:rPr>
          <w:sz w:val="20"/>
          <w:szCs w:val="20"/>
          <w:color w:val="auto"/>
        </w:rPr>
        <w:tab/>
      </w:r>
      <w:r>
        <w:rPr>
          <w:rFonts w:ascii="Courier New" w:cs="Courier New" w:eastAsia="Courier New" w:hAnsi="Courier New"/>
          <w:sz w:val="14"/>
          <w:szCs w:val="14"/>
          <w:color w:val="auto"/>
        </w:rPr>
        <w:t>EMPLOYEE STOCK AND INCENTIVE PLANS</w:t>
      </w:r>
    </w:p>
    <w:p>
      <w:pPr>
        <w:spacing w:after="0" w:line="173" w:lineRule="exact"/>
        <w:rPr>
          <w:sz w:val="20"/>
          <w:szCs w:val="20"/>
          <w:color w:val="auto"/>
        </w:rPr>
      </w:pPr>
    </w:p>
    <w:p>
      <w:pPr>
        <w:jc w:val="both"/>
        <w:ind w:right="3880"/>
        <w:spacing w:after="0" w:line="250" w:lineRule="auto"/>
        <w:rPr>
          <w:sz w:val="20"/>
          <w:szCs w:val="20"/>
          <w:color w:val="auto"/>
        </w:rPr>
      </w:pPr>
      <w:r>
        <w:rPr>
          <w:rFonts w:ascii="Courier New" w:cs="Courier New" w:eastAsia="Courier New" w:hAnsi="Courier New"/>
          <w:sz w:val="14"/>
          <w:szCs w:val="14"/>
          <w:color w:val="auto"/>
        </w:rPr>
        <w:t>EMPLOYEE STOCK OWNERSHIP PLAN. We sponsor a leveraged employee stock ownership plan (ESOP) within the Retirement Savings and Stock Ownership Plan (RSOP) that covers certain eligible employees. In 1989, the ESOP used the proceeds from a $16.5 million third-party loan, guaranteed by us, to purchase 0.6 million shares (0.4 million shares adjusted for stock splits) of our common stock on the open market. This loan was fully repaid in 2004, and all shares originally purchased with loan proceeds have been allocated to participants. In 1990, the ESOP issued a $75 million note (term not to exceed 25 years at 10.25%) to us as consideration for 2.8 million shares (1.9 million shares adjusted for stock splits) of our newly issued common stock. The note was refinanced in 2006 at 6%. The Company makes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collateral and allocated to participants based on the proportion of debt service paid in the year. As shares are released from collateral, the Company reports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$4.6 million in 2006 ($5.5 million in 2005; $5.0 million in 2004).</w:t>
      </w:r>
    </w:p>
    <w:p>
      <w:pPr>
        <w:spacing w:after="0" w:line="175"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As a result of the September 2004 spin-off of ADESA, the ESOP received 3.3 million shares of ADESA common stock related to unearned ESOP shares that had not been allocated to participants. The ESOP was required to sell the ADESA common stock and use the proceeds to purchase ALLETE common stock on the open market. At December 31, 2004, the ESOP had sold all of these ADESA shares. The 3.3 million ADESA shares sold by the ESOP in 2004 resulted in total proceeds of $65.9 million and an after-tax gain of $11.5 million, which we recognized in the fourth quarter of 2004. (See Note 11.) Under the direction of an independent trustee, the ESOP used the proceeds to purchase shares of ALLETE common stock in late 2004 and early 2005, which were recorded using the treasury method as Unearned ESOP Shares within Shareholders' Equity as presented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6620" w:val="left"/>
          <w:tab w:leader="none" w:pos="8860" w:val="left"/>
        </w:tabs>
        <w:rPr>
          <w:sz w:val="20"/>
          <w:szCs w:val="20"/>
          <w:color w:val="auto"/>
        </w:rPr>
      </w:pPr>
      <w:r>
        <w:rPr>
          <w:rFonts w:ascii="Courier New" w:cs="Courier New" w:eastAsia="Courier New" w:hAnsi="Courier New"/>
          <w:sz w:val="14"/>
          <w:szCs w:val="14"/>
          <w:color w:val="auto"/>
        </w:rPr>
        <w:t>SUMMARY OF ALLETE COMMON STOCK PURCHASES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SHARES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October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$ 2.7</w:t>
            </w:r>
          </w:p>
        </w:tc>
      </w:tr>
      <w:tr>
        <w:trPr>
          <w:trHeight w:val="166"/>
        </w:trPr>
        <w:tc>
          <w:tcPr>
            <w:tcW w:w="52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November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669,578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52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262,600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544,797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166"/>
        </w:trPr>
        <w:tc>
          <w:tcPr>
            <w:tcW w:w="52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February</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214,928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460"/>
        <w:spacing w:after="0"/>
        <w:tabs>
          <w:tab w:leader="none" w:pos="8940" w:val="left"/>
        </w:tabs>
        <w:rPr>
          <w:sz w:val="20"/>
          <w:szCs w:val="20"/>
          <w:color w:val="auto"/>
        </w:rPr>
      </w:pPr>
      <w:r>
        <w:rPr>
          <w:rFonts w:ascii="Courier New" w:cs="Courier New" w:eastAsia="Courier New" w:hAnsi="Courier New"/>
          <w:sz w:val="14"/>
          <w:szCs w:val="14"/>
          <w:color w:val="auto"/>
        </w:rPr>
        <w:t>1,772,503</w:t>
      </w:r>
      <w:r>
        <w:rPr>
          <w:sz w:val="20"/>
          <w:szCs w:val="20"/>
          <w:color w:val="auto"/>
        </w:rPr>
        <w:tab/>
      </w:r>
      <w:r>
        <w:rPr>
          <w:rFonts w:ascii="Courier New" w:cs="Courier New" w:eastAsia="Courier New" w:hAnsi="Courier New"/>
          <w:sz w:val="14"/>
          <w:szCs w:val="14"/>
          <w:color w:val="auto"/>
        </w:rPr>
        <w:t>$65.9</w:t>
      </w:r>
    </w:p>
    <w:p>
      <w:pPr>
        <w:sectPr>
          <w:pgSz w:w="11900" w:h="16877" w:orient="portrait"/>
          <w:cols w:equalWidth="0" w:num="1">
            <w:col w:w="10780"/>
          </w:cols>
          <w:pgMar w:left="220" w:top="616" w:right="899" w:bottom="0" w:gutter="0" w:footer="0" w:header="0"/>
          <w:type w:val="continuous"/>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6700" w:val="left"/>
        </w:tabs>
        <w:rPr>
          <w:sz w:val="20"/>
          <w:szCs w:val="20"/>
          <w:color w:val="auto"/>
        </w:rPr>
      </w:pPr>
      <w:r>
        <w:rPr>
          <w:rFonts w:ascii="Courier New" w:cs="Courier New" w:eastAsia="Courier New" w:hAnsi="Courier New"/>
          <w:sz w:val="14"/>
          <w:szCs w:val="14"/>
          <w:color w:val="auto"/>
        </w:rPr>
        <w:t>ALLETE 2006 Form 10-K</w:t>
      </w:r>
      <w:r>
        <w:rPr>
          <w:sz w:val="20"/>
          <w:szCs w:val="20"/>
          <w:color w:val="auto"/>
        </w:rPr>
        <w:tab/>
      </w:r>
      <w:r>
        <w:rPr>
          <w:rFonts w:ascii="Courier New" w:cs="Courier New" w:eastAsia="Courier New" w:hAnsi="Courier New"/>
          <w:sz w:val="14"/>
          <w:szCs w:val="14"/>
          <w:color w:val="auto"/>
        </w:rPr>
        <w:t>90</w:t>
      </w:r>
    </w:p>
    <w:p>
      <w:pPr>
        <w:sectPr>
          <w:pgSz w:w="11900" w:h="16838" w:orient="portrait"/>
          <w:cols w:equalWidth="0" w:num="1">
            <w:col w:w="10440"/>
          </w:cols>
          <w:pgMar w:left="220" w:top="141" w:right="1239" w:bottom="1440" w:gutter="0" w:footer="0" w:header="0"/>
        </w:sectPr>
      </w:pPr>
    </w:p>
    <w:bookmarkStart w:id="108" w:name="page109"/>
    <w:bookmarkEnd w:id="108"/>
    <w:p>
      <w:pPr>
        <w:spacing w:after="0"/>
        <w:tabs>
          <w:tab w:leader="none" w:pos="940" w:val="left"/>
        </w:tabs>
        <w:rPr>
          <w:sz w:val="20"/>
          <w:szCs w:val="20"/>
          <w:color w:val="auto"/>
        </w:rPr>
      </w:pPr>
      <w:r>
        <w:rPr>
          <w:rFonts w:ascii="Courier New" w:cs="Courier New" w:eastAsia="Courier New" w:hAnsi="Courier New"/>
          <w:sz w:val="14"/>
          <w:szCs w:val="14"/>
          <w:color w:val="auto"/>
        </w:rPr>
        <w:t>NOTE 17.</w:t>
      </w:r>
      <w:r>
        <w:rPr>
          <w:sz w:val="20"/>
          <w:szCs w:val="20"/>
          <w:color w:val="auto"/>
        </w:rPr>
        <w:tab/>
      </w:r>
      <w:r>
        <w:rPr>
          <w:rFonts w:ascii="Courier New" w:cs="Courier New" w:eastAsia="Courier New" w:hAnsi="Courier New"/>
          <w:sz w:val="14"/>
          <w:szCs w:val="14"/>
          <w:color w:val="auto"/>
        </w:rPr>
        <w:t>EMPLOYEE STOCK AND INCENTIVE PLANS (CONTINUED)</w:t>
      </w: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September 2005, the ESOP's independent trustee directed the sale of approximately 1.4 million shares of ADESA common stock that remained invested in the RSOP participants' ADESA common stock funds at September 1, 2005. Proceeds from the sale of the ADESA common stock were $30.4 million, of which the majority was used to purchase ALLETE common stock as required by the terms of the RSOP. The process was completed on October 26, 2005. Proceeds totaling $28.5 million were used to purchase a total of 644,450 shares of ALLETE common stock (289,900 shares in September 2005; 354,550 shares in October 2005).</w:t>
      </w:r>
    </w:p>
    <w:p>
      <w:pPr>
        <w:spacing w:after="0" w:line="164"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2006</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ESOP Shares</w:t>
            </w:r>
          </w:p>
        </w:tc>
        <w:tc>
          <w:tcPr>
            <w:tcW w:w="3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Allocated</w:t>
            </w:r>
          </w:p>
        </w:tc>
        <w:tc>
          <w:tcPr>
            <w:tcW w:w="36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Unallocated</w:t>
            </w:r>
          </w:p>
        </w:tc>
        <w:tc>
          <w:tcPr>
            <w:tcW w:w="36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tabs>
          <w:tab w:leader="none" w:pos="6880" w:val="left"/>
          <w:tab w:leader="none" w:pos="8420" w:val="left"/>
          <w:tab w:leader="none" w:pos="99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180" w:val="left"/>
          <w:tab w:leader="none" w:pos="9720" w:val="left"/>
        </w:tabs>
        <w:rPr>
          <w:sz w:val="20"/>
          <w:szCs w:val="20"/>
          <w:color w:val="auto"/>
        </w:rPr>
      </w:pPr>
      <w:r>
        <w:rPr>
          <w:rFonts w:ascii="Courier New" w:cs="Courier New" w:eastAsia="Courier New" w:hAnsi="Courier New"/>
          <w:sz w:val="14"/>
          <w:szCs w:val="14"/>
          <w:color w:val="auto"/>
        </w:rPr>
        <w:t>Fair Value of Unallocated Shares</w:t>
      </w:r>
      <w:r>
        <w:rPr>
          <w:sz w:val="20"/>
          <w:szCs w:val="20"/>
          <w:color w:val="auto"/>
        </w:rPr>
        <w:tab/>
      </w:r>
      <w:r>
        <w:rPr>
          <w:rFonts w:ascii="Courier New" w:cs="Courier New" w:eastAsia="Courier New" w:hAnsi="Courier New"/>
          <w:sz w:val="14"/>
          <w:szCs w:val="14"/>
          <w:color w:val="auto"/>
        </w:rPr>
        <w:t>$115.2</w:t>
      </w:r>
      <w:r>
        <w:rPr>
          <w:sz w:val="20"/>
          <w:szCs w:val="20"/>
          <w:color w:val="auto"/>
        </w:rPr>
        <w:tab/>
      </w:r>
      <w:r>
        <w:rPr>
          <w:rFonts w:ascii="Courier New" w:cs="Courier New" w:eastAsia="Courier New" w:hAnsi="Courier New"/>
          <w:sz w:val="14"/>
          <w:szCs w:val="14"/>
          <w:color w:val="auto"/>
        </w:rPr>
        <w:t>$115.0</w:t>
      </w:r>
      <w:r>
        <w:rPr>
          <w:sz w:val="20"/>
          <w:szCs w:val="20"/>
          <w:color w:val="auto"/>
        </w:rPr>
        <w:tab/>
      </w:r>
      <w:r>
        <w:rPr>
          <w:rFonts w:ascii="Courier New" w:cs="Courier New" w:eastAsia="Courier New" w:hAnsi="Courier New"/>
          <w:sz w:val="14"/>
          <w:szCs w:val="14"/>
          <w:color w:val="auto"/>
        </w:rPr>
        <w:t>$72.7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STOCK-BASED COMPENSATION. Effective January 1, 2006, we adopted the fair value recognition provisions of SFAS 123R, "Share-Based Payment," using the modified prospective transition method. Under this method, we recognize compensation expense for all share-based payments granted after January 1, 2006, and those granted prior to but not yet vested as of January 1, 2006. Under the fair value recognition provisions of SFAS 123R, we recognize stock-based compensation net of an estimated forfeiture rate and only recognize compensation expense for those shares expected to vest over the required service period of the award. Prior to our adoption of SFAS 123R, we accounted for share-based payments under Accounting Principles Board Opinion No. 25, "Accounting for Stock Issued to Employees" and related interpretations.</w:t>
      </w:r>
    </w:p>
    <w:p>
      <w:pPr>
        <w:spacing w:after="0" w:line="16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STOCK INCENTIVE PLAN. Under our Executive Long-Term Incentive Compensation Plan (Executive Plan), share-based awards may be issued to key employees via a broad range of methods, including non-qualified and incentive stock options, performance shares, performance units, restricted stock, stock appreciation rights and other awards. There are 3.2 million shares of common stock reserved for issuance under the Executive Plan, with 1.5 million of these shares available for issuance as of December 31, 2006.</w:t>
      </w:r>
    </w:p>
    <w:p>
      <w:pPr>
        <w:spacing w:after="0" w:line="164"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We had a Director Long-Term Stock Incentive Plan (Director Plan) which expired on January 1, 2006. No grants have been made since 2003 under the Director Plan. Approximately 9,000 options were outstanding under the Director Plan at December 31, 2006.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currently have the following types of share-based awards outstanding:</w:t>
      </w:r>
    </w:p>
    <w:p>
      <w:pPr>
        <w:spacing w:after="0" w:line="173" w:lineRule="exact"/>
        <w:rPr>
          <w:sz w:val="20"/>
          <w:szCs w:val="20"/>
          <w:color w:val="auto"/>
        </w:rPr>
      </w:pPr>
    </w:p>
    <w:p>
      <w:pPr>
        <w:jc w:val="both"/>
        <w:ind w:left="440" w:right="3880"/>
        <w:spacing w:after="0" w:line="250" w:lineRule="auto"/>
        <w:rPr>
          <w:sz w:val="20"/>
          <w:szCs w:val="20"/>
          <w:color w:val="auto"/>
        </w:rPr>
      </w:pPr>
      <w:r>
        <w:rPr>
          <w:rFonts w:ascii="Courier New" w:cs="Courier New" w:eastAsia="Courier New" w:hAnsi="Courier New"/>
          <w:sz w:val="14"/>
          <w:szCs w:val="14"/>
          <w:color w:val="auto"/>
        </w:rPr>
        <w:t>NON-QUALIFIED STOCK OPTIONS. The options allow for the purchase of shares of common stock at a price equal to the market value of our common stock at the date of grant. Options become exercisable beginning one year after the grant date, with one-third vesting each year over three years. Options may be exercised up to ten years following the date of grant. In the case of qualified retirement, death or disability, options vest immediately and the period over which the options can be exercised is three years. Employees have up to three months to exercise vested options upon voluntary termination or involuntary termination without cause. All options are cancelled upon termination for cause. All options vest immediately upon retirement, death, disability or a change of control, as defined in the award agreement. We determine the fair value of options using the Black-Scholes option-pricing model. The estimated fair value of options, including the effect of estimated forfeitures, is recognized as expense on the straight-line basis over the options' vesting periods, or the accelerated vesting period if the employee is retirement eligible.</w:t>
      </w:r>
    </w:p>
    <w:p>
      <w:pPr>
        <w:spacing w:after="0" w:line="173" w:lineRule="exact"/>
        <w:rPr>
          <w:sz w:val="20"/>
          <w:szCs w:val="20"/>
          <w:color w:val="auto"/>
        </w:rPr>
      </w:pPr>
    </w:p>
    <w:p>
      <w:pPr>
        <w:jc w:val="both"/>
        <w:ind w:left="440" w:right="3880"/>
        <w:spacing w:after="0" w:line="255" w:lineRule="auto"/>
        <w:rPr>
          <w:sz w:val="20"/>
          <w:szCs w:val="20"/>
          <w:color w:val="auto"/>
        </w:rPr>
      </w:pPr>
      <w:r>
        <w:rPr>
          <w:rFonts w:ascii="Courier New" w:cs="Courier New" w:eastAsia="Courier New" w:hAnsi="Courier New"/>
          <w:sz w:val="14"/>
          <w:szCs w:val="14"/>
          <w:color w:val="auto"/>
        </w:rPr>
        <w:t>The following assumptions were used in determining the fair value of stock options granted during 2006, under the Black-Scholes option-pricing model:</w:t>
      </w:r>
    </w:p>
    <w:p>
      <w:pPr>
        <w:spacing w:after="0" w:line="200" w:lineRule="exact"/>
        <w:rPr>
          <w:sz w:val="20"/>
          <w:szCs w:val="20"/>
          <w:color w:val="auto"/>
        </w:rPr>
      </w:pPr>
    </w:p>
    <w:p>
      <w:pPr>
        <w:spacing w:after="0" w:line="291"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780"/>
          </w:cols>
          <w:pgMar w:left="220" w:top="616" w:right="899" w:bottom="0" w:gutter="0" w:footer="0" w:header="0"/>
        </w:sectPr>
      </w:pPr>
    </w:p>
    <w:bookmarkStart w:id="109" w:name="page110"/>
    <w:bookmarkEnd w:id="109"/>
    <w:p>
      <w:pPr>
        <w:spacing w:after="0"/>
        <w:tabs>
          <w:tab w:leader="none" w:pos="940" w:val="left"/>
        </w:tabs>
        <w:rPr>
          <w:sz w:val="20"/>
          <w:szCs w:val="20"/>
          <w:color w:val="auto"/>
        </w:rPr>
      </w:pPr>
      <w:r>
        <w:rPr>
          <w:rFonts w:ascii="Courier New" w:cs="Courier New" w:eastAsia="Courier New" w:hAnsi="Courier New"/>
          <w:sz w:val="14"/>
          <w:szCs w:val="14"/>
          <w:color w:val="auto"/>
        </w:rPr>
        <w:t>NOTE 17.</w:t>
      </w:r>
      <w:r>
        <w:rPr>
          <w:sz w:val="20"/>
          <w:szCs w:val="20"/>
          <w:color w:val="auto"/>
        </w:rPr>
        <w:tab/>
      </w:r>
      <w:r>
        <w:rPr>
          <w:rFonts w:ascii="Courier New" w:cs="Courier New" w:eastAsia="Courier New" w:hAnsi="Courier New"/>
          <w:sz w:val="14"/>
          <w:szCs w:val="14"/>
          <w:color w:val="auto"/>
        </w:rPr>
        <w:t>EMPLOYEE STOCK AND INCENTIVE PLANS (CONTINUED)</w:t>
      </w:r>
    </w:p>
    <w:p>
      <w:pPr>
        <w:spacing w:after="0" w:line="173" w:lineRule="exact"/>
        <w:rPr>
          <w:sz w:val="20"/>
          <w:szCs w:val="20"/>
          <w:color w:val="auto"/>
        </w:rPr>
      </w:pPr>
    </w:p>
    <w:p>
      <w:pPr>
        <w:jc w:val="both"/>
        <w:ind w:left="440" w:right="3540"/>
        <w:spacing w:after="0" w:line="251" w:lineRule="auto"/>
        <w:rPr>
          <w:sz w:val="20"/>
          <w:szCs w:val="20"/>
          <w:color w:val="auto"/>
        </w:rPr>
      </w:pPr>
      <w:r>
        <w:rPr>
          <w:rFonts w:ascii="Courier New" w:cs="Courier New" w:eastAsia="Courier New" w:hAnsi="Courier New"/>
          <w:sz w:val="14"/>
          <w:szCs w:val="14"/>
          <w:color w:val="auto"/>
        </w:rPr>
        <w:t>The risk-free interest rate for periods within the contractual life of the option is based on the U.S. Treasury yield curve in effect at the grant date. Expected volatility is estimated based on the historic volatility of our stock and the stock of our peer group companies. We utilize historical option exercise and employee pre-vesting termination data to estimate the option life. The dividend growth rate is based upon historic growth rates in our dividends.</w:t>
      </w:r>
    </w:p>
    <w:p>
      <w:pPr>
        <w:spacing w:after="0" w:line="164" w:lineRule="exact"/>
        <w:rPr>
          <w:sz w:val="20"/>
          <w:szCs w:val="20"/>
          <w:color w:val="auto"/>
        </w:rPr>
      </w:pPr>
    </w:p>
    <w:p>
      <w:pPr>
        <w:jc w:val="both"/>
        <w:ind w:left="440" w:right="3540"/>
        <w:spacing w:after="0" w:line="251" w:lineRule="auto"/>
        <w:rPr>
          <w:sz w:val="20"/>
          <w:szCs w:val="20"/>
          <w:color w:val="auto"/>
        </w:rPr>
      </w:pPr>
      <w:r>
        <w:rPr>
          <w:rFonts w:ascii="Courier New" w:cs="Courier New" w:eastAsia="Courier New" w:hAnsi="Courier New"/>
          <w:sz w:val="14"/>
          <w:szCs w:val="14"/>
          <w:color w:val="auto"/>
        </w:rPr>
        <w:t>PERFORMANCE SHARES. Under these awards, the number of shares earned is contingent upon attaining specific performance targets over a three-year performance period. In the case of qualified retirement, death or disability during a performance period, a pro-rata portion of the award will be earned at the conclusion of the performance period based on the performance goals achieved. In the case of termination of employment for any reason other than qualified retirement, death or disability, no award will be earned. If there is a change in control, a pro-rata portion of the award will be paid based on the greater of actual performance up to the date of the change in control or target performance. The fair value of these awards is equal to the grant date fair value which is estimated based upon the assumed share-based payment three years from the date of grant. Compensation cost is recognized over the three-year performance period based on our estimate of the number of shares which will be earned by the award recipients.</w:t>
      </w:r>
    </w:p>
    <w:p>
      <w:pPr>
        <w:spacing w:after="0" w:line="328"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EMPLOYEE STOCK PURCHASE PLAN (ESPP). Under our ESPP, eligible employees may purchase ALLETE common stock at a 5% discount from the market price. Because the discount is not greater than 5%, we are not required by SFAS 123R to apply fair value accounting to these awards.</w:t>
      </w:r>
    </w:p>
    <w:p>
      <w:pPr>
        <w:spacing w:after="0" w:line="162" w:lineRule="exact"/>
        <w:rPr>
          <w:sz w:val="20"/>
          <w:szCs w:val="20"/>
          <w:color w:val="auto"/>
        </w:rPr>
      </w:pPr>
    </w:p>
    <w:p>
      <w:pPr>
        <w:jc w:val="both"/>
        <w:ind w:right="3540"/>
        <w:spacing w:after="0" w:line="253" w:lineRule="auto"/>
        <w:rPr>
          <w:sz w:val="20"/>
          <w:szCs w:val="20"/>
          <w:color w:val="auto"/>
        </w:rPr>
      </w:pPr>
      <w:r>
        <w:rPr>
          <w:rFonts w:ascii="Courier New" w:cs="Courier New" w:eastAsia="Courier New" w:hAnsi="Courier New"/>
          <w:sz w:val="14"/>
          <w:szCs w:val="14"/>
          <w:color w:val="auto"/>
        </w:rPr>
        <w:t>RSOP. Shares held in our RSOP are excluded from SFAS 123R and are accounted for in accordance with the American Institute of Certified Public Accountants' Statement of Position No. 93-6, "Employers' Accounting for Employee Stock Ownership Plans."</w:t>
      </w:r>
    </w:p>
    <w:p>
      <w:pPr>
        <w:spacing w:after="0" w:line="327"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The following share-based compensation expense amounts were recognized in our consolidated statement of income for the periods presented since our adoption of SFAS 123R.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SHARE-BASED COMPENSATION EXPENSE</w:t>
            </w:r>
          </w:p>
        </w:tc>
        <w:tc>
          <w:tcPr>
            <w:tcW w:w="3800" w:type="dxa"/>
            <w:vAlign w:val="bottom"/>
          </w:tcPr>
          <w:p>
            <w:pPr>
              <w:spacing w:after="0"/>
              <w:rPr>
                <w:sz w:val="14"/>
                <w:szCs w:val="14"/>
                <w:color w:val="auto"/>
              </w:rPr>
            </w:pP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80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bl>
    <w:p>
      <w:pPr>
        <w:spacing w:after="0" w:line="4" w:lineRule="exact"/>
        <w:rPr>
          <w:sz w:val="20"/>
          <w:szCs w:val="20"/>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440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Performance Shares</w:t>
            </w:r>
          </w:p>
        </w:tc>
        <w:tc>
          <w:tcPr>
            <w:tcW w:w="44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20"/>
                <w:szCs w:val="20"/>
                <w:color w:val="auto"/>
              </w:rPr>
            </w:pPr>
            <w:r>
              <w:rPr>
                <w:rFonts w:ascii="Courier New" w:cs="Courier New" w:eastAsia="Courier New" w:hAnsi="Courier New"/>
                <w:sz w:val="14"/>
                <w:szCs w:val="14"/>
                <w:color w:val="auto"/>
              </w:rPr>
              <w:t>Total Share-Based Compensation Expense</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44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were no capitalized stock-based compensation costs at December 31, 2006.</w:t>
      </w:r>
    </w:p>
    <w:p>
      <w:pPr>
        <w:spacing w:after="0" w:line="173" w:lineRule="exact"/>
        <w:rPr>
          <w:sz w:val="20"/>
          <w:szCs w:val="20"/>
          <w:color w:val="auto"/>
        </w:rPr>
      </w:pPr>
    </w:p>
    <w:p>
      <w:pPr>
        <w:jc w:val="both"/>
        <w:ind w:right="3540"/>
        <w:spacing w:after="0" w:line="253" w:lineRule="auto"/>
        <w:rPr>
          <w:sz w:val="20"/>
          <w:szCs w:val="20"/>
          <w:color w:val="auto"/>
        </w:rPr>
      </w:pPr>
      <w:r>
        <w:rPr>
          <w:rFonts w:ascii="Courier New" w:cs="Courier New" w:eastAsia="Courier New" w:hAnsi="Courier New"/>
          <w:sz w:val="14"/>
          <w:szCs w:val="14"/>
          <w:color w:val="auto"/>
        </w:rPr>
        <w:t>As of December 31, 2006, the total unrecognized compensation cost for performance share awards not yet recognized in our statements of income was $1.3 million. This amount is expected to be recognized over a weighted-average period of 1.31 years.</w:t>
      </w:r>
    </w:p>
    <w:p>
      <w:pPr>
        <w:spacing w:after="0" w:line="327"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The following table presents the pro forma effect of stock-based compensation had we applied the provisions of SFAS 123 for the years ended December 31, 2005 and 2004.</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 FORMA EFFECT OF SFAS 123</w:t>
            </w: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ACCOUNTING FOR STOCK-BASED COMPENSATION</w:t>
            </w:r>
          </w:p>
        </w:tc>
        <w:tc>
          <w:tcPr>
            <w:tcW w:w="3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jc w:val="right"/>
              <w:ind w:right="4808"/>
              <w:spacing w:after="0"/>
              <w:rPr>
                <w:sz w:val="20"/>
                <w:szCs w:val="20"/>
                <w:color w:val="auto"/>
              </w:rPr>
            </w:pPr>
            <w:r>
              <w:rPr>
                <w:rFonts w:ascii="Courier New" w:cs="Courier New" w:eastAsia="Courier New" w:hAnsi="Courier New"/>
                <w:sz w:val="14"/>
                <w:szCs w:val="14"/>
                <w:color w:val="auto"/>
                <w:w w:val="99"/>
              </w:rPr>
              <w:t>Net Income</w:t>
            </w:r>
          </w:p>
        </w:tc>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740" w:type="dxa"/>
            <w:vAlign w:val="bottom"/>
          </w:tcPr>
          <w:p>
            <w:pPr>
              <w:jc w:val="right"/>
              <w:ind w:right="4448"/>
              <w:spacing w:after="0"/>
              <w:rPr>
                <w:sz w:val="20"/>
                <w:szCs w:val="20"/>
                <w:color w:val="auto"/>
              </w:rPr>
            </w:pPr>
            <w:r>
              <w:rPr>
                <w:rFonts w:ascii="Courier New" w:cs="Courier New" w:eastAsia="Courier New" w:hAnsi="Courier New"/>
                <w:sz w:val="14"/>
                <w:szCs w:val="14"/>
                <w:color w:val="auto"/>
              </w:rPr>
              <w:t>As Reported</w:t>
            </w: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$104.4</w:t>
            </w:r>
          </w:p>
        </w:tc>
      </w:tr>
      <w:tr>
        <w:trPr>
          <w:trHeight w:val="166"/>
        </w:trPr>
        <w:tc>
          <w:tcPr>
            <w:tcW w:w="574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Less: Employee Stock Compensation Expense</w:t>
            </w:r>
          </w:p>
        </w:tc>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74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Determined Under SFAS 123 - Net of Tax</w:t>
            </w: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574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Plus: Employee Stock Compensation Expense</w:t>
            </w:r>
          </w:p>
        </w:tc>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74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Included in Net Income - Net of Tax</w:t>
            </w: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3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$0.49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$3.69</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$0.49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As Reported</w:t>
            </w:r>
          </w:p>
        </w:tc>
        <w:tc>
          <w:tcPr>
            <w:tcW w:w="3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$0.48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Pro Forma</w:t>
            </w:r>
          </w:p>
        </w:tc>
        <w:tc>
          <w:tcPr>
            <w:tcW w:w="3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$0.48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440"/>
          </w:cols>
          <w:pgMar w:left="220" w:top="616" w:right="1239"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bl>
    <w:p>
      <w:pPr>
        <w:sectPr>
          <w:pgSz w:w="11900" w:h="16838" w:orient="portrait"/>
          <w:cols w:equalWidth="0" w:num="1">
            <w:col w:w="10239"/>
          </w:cols>
          <w:pgMar w:left="220" w:top="141" w:right="1440" w:bottom="1440" w:gutter="0" w:footer="0" w:header="0"/>
        </w:sectPr>
      </w:pPr>
    </w:p>
    <w:bookmarkStart w:id="111" w:name="page112"/>
    <w:bookmarkEnd w:id="111"/>
    <w:p>
      <w:pPr>
        <w:spacing w:after="0"/>
        <w:tabs>
          <w:tab w:leader="none" w:pos="940" w:val="left"/>
        </w:tabs>
        <w:rPr>
          <w:sz w:val="20"/>
          <w:szCs w:val="20"/>
          <w:color w:val="auto"/>
        </w:rPr>
      </w:pPr>
      <w:r>
        <w:rPr>
          <w:rFonts w:ascii="Courier New" w:cs="Courier New" w:eastAsia="Courier New" w:hAnsi="Courier New"/>
          <w:sz w:val="14"/>
          <w:szCs w:val="14"/>
          <w:color w:val="auto"/>
        </w:rPr>
        <w:t>NOTE 17.</w:t>
      </w:r>
      <w:r>
        <w:rPr>
          <w:sz w:val="20"/>
          <w:szCs w:val="20"/>
          <w:color w:val="auto"/>
        </w:rPr>
        <w:tab/>
      </w:r>
      <w:r>
        <w:rPr>
          <w:rFonts w:ascii="Courier New" w:cs="Courier New" w:eastAsia="Courier New" w:hAnsi="Courier New"/>
          <w:sz w:val="14"/>
          <w:szCs w:val="14"/>
          <w:color w:val="auto"/>
        </w:rPr>
        <w:t>EMPLOYEE STOCK AND INCENTIVE PLANS (CONTINUED)</w:t>
      </w:r>
    </w:p>
    <w:p>
      <w:pPr>
        <w:spacing w:after="0" w:line="17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In the previous table, the pro forma expense determined under SFAS 123 for employee stock options granted was calculated using the Black-Scholes option-pricing model with the following assumptions:</w:t>
      </w:r>
    </w:p>
    <w:p>
      <w:pPr>
        <w:spacing w:after="0" w:line="200" w:lineRule="exact"/>
        <w:rPr>
          <w:sz w:val="20"/>
          <w:szCs w:val="20"/>
          <w:color w:val="auto"/>
        </w:rPr>
      </w:pPr>
    </w:p>
    <w:p>
      <w:pPr>
        <w:spacing w:after="0" w:line="294" w:lineRule="exact"/>
        <w:rPr>
          <w:sz w:val="20"/>
          <w:szCs w:val="20"/>
          <w:color w:val="auto"/>
        </w:rPr>
      </w:pPr>
    </w:p>
    <w:p>
      <w:pPr>
        <w:ind w:left="7420"/>
        <w:spacing w:after="0"/>
        <w:tabs>
          <w:tab w:leader="none" w:pos="95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4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w:t>
            </w:r>
          </w:p>
        </w:tc>
        <w:tc>
          <w:tcPr>
            <w:tcW w:w="4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 Years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 Years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4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40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780"/>
        <w:spacing w:after="0" w:line="255" w:lineRule="auto"/>
        <w:rPr>
          <w:sz w:val="20"/>
          <w:szCs w:val="20"/>
          <w:color w:val="auto"/>
        </w:rPr>
      </w:pPr>
      <w:r>
        <w:rPr>
          <w:rFonts w:ascii="Courier New" w:cs="Courier New" w:eastAsia="Courier New" w:hAnsi="Courier New"/>
          <w:sz w:val="14"/>
          <w:szCs w:val="14"/>
          <w:color w:val="auto"/>
        </w:rPr>
        <w:t>The following table presents information regarding our outstanding stock options for the year ended December 31, 2006.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88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10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WEIGHTED-AVERAGE</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17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REMAINING</w:t>
            </w:r>
          </w:p>
        </w:tc>
      </w:tr>
      <w:tr>
        <w:trPr>
          <w:trHeight w:val="166"/>
        </w:trPr>
        <w:tc>
          <w:tcPr>
            <w:tcW w:w="10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NUMBER OF</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EXERCISE</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INTRINSIC</w:t>
            </w:r>
          </w:p>
        </w:tc>
        <w:tc>
          <w:tcPr>
            <w:tcW w:w="174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CONTRACTUAL</w:t>
            </w:r>
          </w:p>
        </w:tc>
      </w:tr>
      <w:tr>
        <w:trPr>
          <w:trHeight w:val="166"/>
        </w:trPr>
        <w:tc>
          <w:tcPr>
            <w:tcW w:w="10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OPTIONS</w:t>
            </w: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PRICE</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VALUE</w:t>
            </w:r>
          </w:p>
        </w:tc>
        <w:tc>
          <w:tcPr>
            <w:tcW w:w="17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TERM</w:t>
            </w:r>
          </w:p>
        </w:tc>
      </w:tr>
    </w:tbl>
    <w:p>
      <w:pPr>
        <w:spacing w:after="0" w:line="4" w:lineRule="exact"/>
        <w:rPr>
          <w:sz w:val="20"/>
          <w:szCs w:val="20"/>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2005</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357,827</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$34.29</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$3.5</w:t>
            </w:r>
          </w:p>
        </w:tc>
        <w:tc>
          <w:tcPr>
            <w:tcW w:w="1420" w:type="dxa"/>
            <w:vAlign w:val="bottom"/>
          </w:tcPr>
          <w:p>
            <w:pPr>
              <w:ind w:left="640"/>
              <w:spacing w:after="0"/>
              <w:rPr>
                <w:sz w:val="20"/>
                <w:szCs w:val="20"/>
                <w:color w:val="auto"/>
              </w:rPr>
            </w:pPr>
            <w:r>
              <w:rPr>
                <w:rFonts w:ascii="Courier New" w:cs="Courier New" w:eastAsia="Courier New" w:hAnsi="Courier New"/>
                <w:sz w:val="14"/>
                <w:szCs w:val="14"/>
                <w:color w:val="auto"/>
              </w:rPr>
              <w:t>7.4 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115,653</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$44.15</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(28,896)</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$26.47</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(6,233)</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$38.25</w:t>
            </w: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960" w:val="left"/>
          <w:tab w:leader="none" w:pos="5680" w:val="left"/>
          <w:tab w:leader="none" w:pos="7480" w:val="left"/>
          <w:tab w:leader="none" w:pos="9120" w:val="left"/>
        </w:tabs>
        <w:rPr>
          <w:sz w:val="20"/>
          <w:szCs w:val="20"/>
          <w:color w:val="auto"/>
        </w:rPr>
      </w:pPr>
      <w:r>
        <w:rPr>
          <w:rFonts w:ascii="Courier New" w:cs="Courier New" w:eastAsia="Courier New" w:hAnsi="Courier New"/>
          <w:sz w:val="14"/>
          <w:szCs w:val="14"/>
          <w:color w:val="auto"/>
        </w:rPr>
        <w:t>Outstanding at December 31, 2006</w:t>
      </w:r>
      <w:r>
        <w:rPr>
          <w:sz w:val="20"/>
          <w:szCs w:val="20"/>
          <w:color w:val="auto"/>
        </w:rPr>
        <w:tab/>
      </w:r>
      <w:r>
        <w:rPr>
          <w:rFonts w:ascii="Courier New" w:cs="Courier New" w:eastAsia="Courier New" w:hAnsi="Courier New"/>
          <w:sz w:val="14"/>
          <w:szCs w:val="14"/>
          <w:color w:val="auto"/>
        </w:rPr>
        <w:t>438,351</w:t>
      </w:r>
      <w:r>
        <w:rPr>
          <w:sz w:val="20"/>
          <w:szCs w:val="20"/>
          <w:color w:val="auto"/>
        </w:rPr>
        <w:tab/>
      </w:r>
      <w:r>
        <w:rPr>
          <w:rFonts w:ascii="Courier New" w:cs="Courier New" w:eastAsia="Courier New" w:hAnsi="Courier New"/>
          <w:sz w:val="14"/>
          <w:szCs w:val="14"/>
          <w:color w:val="auto"/>
        </w:rPr>
        <w:t>$37.35</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7.2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960" w:val="left"/>
          <w:tab w:leader="none" w:pos="5680" w:val="left"/>
          <w:tab w:leader="none" w:pos="7480" w:val="left"/>
          <w:tab w:leader="none" w:pos="9120" w:val="left"/>
        </w:tabs>
        <w:rPr>
          <w:sz w:val="20"/>
          <w:szCs w:val="20"/>
          <w:color w:val="auto"/>
        </w:rPr>
      </w:pPr>
      <w:r>
        <w:rPr>
          <w:rFonts w:ascii="Courier New" w:cs="Courier New" w:eastAsia="Courier New" w:hAnsi="Courier New"/>
          <w:sz w:val="14"/>
          <w:szCs w:val="14"/>
          <w:color w:val="auto"/>
        </w:rPr>
        <w:t>Exercisable at December 31, 2006</w:t>
      </w:r>
      <w:r>
        <w:rPr>
          <w:sz w:val="20"/>
          <w:szCs w:val="20"/>
          <w:color w:val="auto"/>
        </w:rPr>
        <w:tab/>
      </w:r>
      <w:r>
        <w:rPr>
          <w:rFonts w:ascii="Courier New" w:cs="Courier New" w:eastAsia="Courier New" w:hAnsi="Courier New"/>
          <w:sz w:val="14"/>
          <w:szCs w:val="14"/>
          <w:color w:val="auto"/>
        </w:rPr>
        <w:t>238,640</w:t>
      </w:r>
      <w:r>
        <w:rPr>
          <w:sz w:val="20"/>
          <w:szCs w:val="20"/>
          <w:color w:val="auto"/>
        </w:rPr>
        <w:tab/>
      </w:r>
      <w:r>
        <w:rPr>
          <w:rFonts w:ascii="Courier New" w:cs="Courier New" w:eastAsia="Courier New" w:hAnsi="Courier New"/>
          <w:sz w:val="14"/>
          <w:szCs w:val="14"/>
          <w:color w:val="auto"/>
        </w:rPr>
        <w:t>$33.18</w:t>
      </w:r>
      <w:r>
        <w:rPr>
          <w:sz w:val="20"/>
          <w:szCs w:val="20"/>
          <w:color w:val="auto"/>
        </w:rPr>
        <w:tab/>
      </w: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6.2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Options</w:t>
      </w:r>
    </w:p>
    <w:p>
      <w:pPr>
        <w:spacing w:after="0" w:line="7" w:lineRule="exact"/>
        <w:rPr>
          <w:sz w:val="20"/>
          <w:szCs w:val="20"/>
          <w:color w:val="auto"/>
        </w:rPr>
      </w:pPr>
    </w:p>
    <w:p>
      <w:pPr>
        <w:ind w:left="440"/>
        <w:spacing w:after="0"/>
        <w:tabs>
          <w:tab w:leader="none" w:pos="4120" w:val="left"/>
        </w:tabs>
        <w:rPr>
          <w:sz w:val="20"/>
          <w:szCs w:val="20"/>
          <w:color w:val="auto"/>
        </w:rPr>
      </w:pPr>
      <w:r>
        <w:rPr>
          <w:rFonts w:ascii="Courier New" w:cs="Courier New" w:eastAsia="Courier New" w:hAnsi="Courier New"/>
          <w:sz w:val="14"/>
          <w:szCs w:val="14"/>
          <w:color w:val="auto"/>
        </w:rPr>
        <w:t>Granted During the Year</w:t>
      </w:r>
      <w:r>
        <w:rPr>
          <w:sz w:val="20"/>
          <w:szCs w:val="20"/>
          <w:color w:val="auto"/>
        </w:rPr>
        <w:tab/>
      </w:r>
      <w:r>
        <w:rPr>
          <w:rFonts w:ascii="Courier New" w:cs="Courier New" w:eastAsia="Courier New" w:hAnsi="Courier New"/>
          <w:sz w:val="14"/>
          <w:szCs w:val="14"/>
          <w:color w:val="auto"/>
        </w:rPr>
        <w:t>$7.28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The weighted-average grant-date fair value of options was $6.48 for 2006. The intrinsic value of a stock award is the amount by which the fair value of the underlying stock exceeds the exercise price of the award. The total intrinsic value of options exercised was $0.6 million during 2006.</w:t>
      </w:r>
    </w:p>
    <w:p>
      <w:pPr>
        <w:spacing w:after="0" w:line="162"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At December 31, 2006, options outstanding consisted of less than 0.1 million with exercise prices ranging from $15.88 to $19.21, 0.1 million with exercise prices ranging from $23.79 to $27.40 and 0.3 million with exercise prices ranging from $35.78 to $41.35. The options with exercise prices ranging from $23.79 to $27.40 have an average remaining contractual life of 4.8 years, with 0.1 million exercisable on December 31, 2006, at a weighted average price of $25.32. The options with exercise prices ranging from $35.78 to $41.35 have an average remaining contractual life of 7.7 years, with 0.2 million exercisable on December 31, 2006, at a weighted average price of $39.29.</w:t>
      </w:r>
    </w:p>
    <w:p>
      <w:pPr>
        <w:spacing w:after="0" w:line="200" w:lineRule="exact"/>
        <w:rPr>
          <w:sz w:val="20"/>
          <w:szCs w:val="20"/>
          <w:color w:val="auto"/>
        </w:rPr>
      </w:pPr>
    </w:p>
    <w:p>
      <w:pPr>
        <w:spacing w:after="0" w:line="295"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2005</w:t>
      </w:r>
    </w:p>
    <w:p>
      <w:pPr>
        <w:spacing w:after="0" w:line="7"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8340" w:val="left"/>
          <w:tab w:leader="none" w:pos="964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Outstanding, Beginning of Year</w:t>
            </w:r>
          </w:p>
        </w:tc>
        <w:tc>
          <w:tcPr>
            <w:tcW w:w="3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437,965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$28.94</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119,077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$41.35</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(199,215)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$26.74</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3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20" w:type="dxa"/>
            <w:vAlign w:val="bottom"/>
          </w:tcPr>
          <w:p>
            <w:pPr>
              <w:spacing w:after="0"/>
              <w:rPr>
                <w:sz w:val="20"/>
                <w:szCs w:val="20"/>
                <w:color w:val="auto"/>
              </w:rPr>
            </w:pPr>
            <w:r>
              <w:rPr>
                <w:rFonts w:ascii="Courier New" w:cs="Courier New" w:eastAsia="Courier New" w:hAnsi="Courier New"/>
                <w:sz w:val="14"/>
                <w:szCs w:val="14"/>
                <w:color w:val="auto"/>
              </w:rPr>
              <w:t>Outstanding, End of Year</w:t>
            </w: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357,827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$34.29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80"/>
          </w:cols>
          <w:pgMar w:left="220" w:top="782" w:right="999" w:bottom="425"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End of Year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178,332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4"/>
          <w:szCs w:val="14"/>
          <w:color w:val="auto"/>
        </w:rPr>
        <w:t>$28.35</w:t>
      </w:r>
    </w:p>
    <w:p>
      <w:pPr>
        <w:spacing w:after="0" w:line="173" w:lineRule="exact"/>
        <w:rPr>
          <w:sz w:val="20"/>
          <w:szCs w:val="20"/>
          <w:color w:val="auto"/>
        </w:rPr>
      </w:pPr>
    </w:p>
    <w:p>
      <w:pPr>
        <w:sectPr>
          <w:pgSz w:w="11900" w:h="16838" w:orient="portrait"/>
          <w:cols w:equalWidth="0" w:num="3">
            <w:col w:w="7640" w:space="720"/>
            <w:col w:w="600" w:space="600"/>
            <w:col w:w="1120"/>
          </w:cols>
          <w:pgMar w:left="220" w:top="782" w:right="999" w:bottom="425" w:gutter="0" w:footer="0" w:header="0"/>
          <w:type w:val="continuous"/>
        </w:sectPr>
      </w:pPr>
    </w:p>
    <w:p>
      <w:pPr>
        <w:spacing w:after="0"/>
        <w:tabs>
          <w:tab w:leader="none" w:pos="8520" w:val="left"/>
        </w:tabs>
        <w:rPr>
          <w:sz w:val="20"/>
          <w:szCs w:val="20"/>
          <w:color w:val="auto"/>
        </w:rPr>
      </w:pPr>
      <w:r>
        <w:rPr>
          <w:rFonts w:ascii="Courier New" w:cs="Courier New" w:eastAsia="Courier New" w:hAnsi="Courier New"/>
          <w:sz w:val="14"/>
          <w:szCs w:val="14"/>
          <w:color w:val="auto"/>
        </w:rPr>
        <w:t>Fair Value of Options Granted During the Year</w:t>
      </w:r>
      <w:r>
        <w:rPr>
          <w:sz w:val="20"/>
          <w:szCs w:val="20"/>
          <w:color w:val="auto"/>
        </w:rPr>
        <w:tab/>
      </w:r>
      <w:r>
        <w:rPr>
          <w:rFonts w:ascii="Courier New" w:cs="Courier New" w:eastAsia="Courier New" w:hAnsi="Courier New"/>
          <w:sz w:val="14"/>
          <w:szCs w:val="14"/>
          <w:color w:val="auto"/>
        </w:rPr>
        <w:t>$6.51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80"/>
          </w:cols>
          <w:pgMar w:left="220" w:top="782" w:right="999" w:bottom="42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2006 Form 10-K</w:t>
      </w:r>
    </w:p>
    <w:p>
      <w:pPr>
        <w:sectPr>
          <w:pgSz w:w="11900" w:h="16838" w:orient="portrait"/>
          <w:cols w:equalWidth="0" w:num="2">
            <w:col w:w="4380" w:space="720"/>
            <w:col w:w="5580"/>
          </w:cols>
          <w:pgMar w:left="220" w:top="782" w:right="999" w:bottom="425" w:gutter="0" w:footer="0" w:header="0"/>
          <w:type w:val="continuous"/>
        </w:sectPr>
      </w:pPr>
    </w:p>
    <w:bookmarkStart w:id="112" w:name="page113"/>
    <w:bookmarkEnd w:id="112"/>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AND INCENTIVE PLANS (CONTINUED)</w:t>
      </w:r>
    </w:p>
    <w:p>
      <w:pPr>
        <w:spacing w:after="0" w:line="200" w:lineRule="exact"/>
        <w:rPr>
          <w:sz w:val="20"/>
          <w:szCs w:val="20"/>
          <w:color w:val="auto"/>
        </w:rPr>
      </w:pPr>
    </w:p>
    <w:p>
      <w:pPr>
        <w:sectPr>
          <w:pgSz w:w="11900" w:h="16886" w:orient="portrait"/>
          <w:cols w:equalWidth="0" w:num="2">
            <w:col w:w="700" w:space="260"/>
            <w:col w:w="9720"/>
          </w:cols>
          <w:pgMar w:left="220" w:top="616" w:right="999" w:bottom="0" w:gutter="0" w:footer="0" w:header="0"/>
        </w:sectPr>
      </w:pPr>
    </w:p>
    <w:p>
      <w:pPr>
        <w:spacing w:after="0" w:line="304"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8000" w:val="left"/>
          <w:tab w:leader="none" w:pos="930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ectPr>
          <w:pgSz w:w="11900" w:h="16886" w:orient="portrait"/>
          <w:cols w:equalWidth="0" w:num="1">
            <w:col w:w="10680"/>
          </w:cols>
          <w:pgMar w:left="220" w:top="616" w:right="99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Outstanding, Beginning of Period</w:t>
            </w:r>
          </w:p>
        </w:tc>
        <w:tc>
          <w:tcPr>
            <w:tcW w:w="3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760,026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$64.47</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39,759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$97.65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3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(295,359)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$67.14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3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$63.06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Outstanding, End</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4520" w:type="dxa"/>
            <w:vAlign w:val="bottom"/>
          </w:tcPr>
          <w:p>
            <w:pPr>
              <w:ind w:left="60"/>
              <w:spacing w:after="0"/>
              <w:rPr>
                <w:sz w:val="20"/>
                <w:szCs w:val="20"/>
                <w:color w:val="auto"/>
              </w:rPr>
            </w:pPr>
            <w:r>
              <w:rPr>
                <w:rFonts w:ascii="Courier New" w:cs="Courier New" w:eastAsia="Courier New" w:hAnsi="Courier New"/>
                <w:sz w:val="14"/>
                <w:szCs w:val="14"/>
                <w:color w:val="auto"/>
              </w:rPr>
              <w:t>Period</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497,030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$69.85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Exercisable, End</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4520" w:type="dxa"/>
            <w:vAlign w:val="bottom"/>
          </w:tcPr>
          <w:p>
            <w:pPr>
              <w:ind w:left="60"/>
              <w:spacing w:after="0"/>
              <w:rPr>
                <w:sz w:val="20"/>
                <w:szCs w:val="20"/>
                <w:color w:val="auto"/>
              </w:rPr>
            </w:pPr>
            <w:r>
              <w:rPr>
                <w:rFonts w:ascii="Courier New" w:cs="Courier New" w:eastAsia="Courier New" w:hAnsi="Courier New"/>
                <w:sz w:val="14"/>
                <w:szCs w:val="14"/>
                <w:color w:val="auto"/>
              </w:rPr>
              <w:t>Period</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gridSpan w:val="4"/>
          </w:tcPr>
          <w:p>
            <w:pPr>
              <w:spacing w:after="0"/>
              <w:rPr>
                <w:sz w:val="20"/>
                <w:szCs w:val="20"/>
                <w:color w:val="auto"/>
              </w:rPr>
            </w:pPr>
            <w:r>
              <w:rPr>
                <w:rFonts w:ascii="Courier New" w:cs="Courier New" w:eastAsia="Courier New" w:hAnsi="Courier New"/>
                <w:sz w:val="14"/>
                <w:szCs w:val="14"/>
                <w:color w:val="auto"/>
              </w:rPr>
              <w:t>Fair Value of Options Granted During the Period</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spacing w:after="0"/>
              <w:rPr>
                <w:sz w:val="24"/>
                <w:szCs w:val="24"/>
                <w:color w:val="auto"/>
              </w:rPr>
            </w:pPr>
          </w:p>
        </w:tc>
      </w:tr>
    </w:tbl>
    <w:p>
      <w:pPr>
        <w:spacing w:after="0" w:line="4" w:lineRule="exact"/>
        <w:rPr>
          <w:sz w:val="20"/>
          <w:szCs w:val="20"/>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160" w:hanging="34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above are prior to the ADESA spin-off and the historical option and weighted average exercise prices have been adjusted for the one-for-three reverse stock split on September 20, 2004. The 2004 amounts are up to the September 20, 2004, spin-off of ADESA.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8000" w:val="left"/>
          <w:tab w:leader="none" w:pos="930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Courier New" w:cs="Courier New" w:eastAsia="Courier New" w:hAnsi="Courier New"/>
                <w:sz w:val="14"/>
                <w:szCs w:val="14"/>
                <w:color w:val="auto"/>
              </w:rPr>
              <w:t>Outstanding as of September 20, 2004, after spin-off</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478,054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$28.56</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(40,089)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$24.40</w:t>
            </w:r>
          </w:p>
        </w:tc>
      </w:tr>
      <w:tr>
        <w:trPr>
          <w:trHeight w:val="0"/>
        </w:trPr>
        <w:tc>
          <w:tcPr>
            <w:tcW w:w="642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8340" w:val="left"/>
          <w:tab w:leader="none" w:pos="9540" w:val="left"/>
        </w:tabs>
        <w:rPr>
          <w:sz w:val="20"/>
          <w:szCs w:val="20"/>
          <w:color w:val="auto"/>
        </w:rPr>
      </w:pPr>
      <w:r>
        <w:rPr>
          <w:rFonts w:ascii="Courier New" w:cs="Courier New" w:eastAsia="Courier New" w:hAnsi="Courier New"/>
          <w:sz w:val="14"/>
          <w:szCs w:val="14"/>
          <w:color w:val="auto"/>
        </w:rPr>
        <w:t>Outstanding, End of Year</w:t>
      </w:r>
      <w:r>
        <w:rPr>
          <w:sz w:val="20"/>
          <w:szCs w:val="20"/>
          <w:color w:val="auto"/>
        </w:rPr>
        <w:tab/>
      </w:r>
      <w:r>
        <w:rPr>
          <w:rFonts w:ascii="Courier New" w:cs="Courier New" w:eastAsia="Courier New" w:hAnsi="Courier New"/>
          <w:sz w:val="14"/>
          <w:szCs w:val="14"/>
          <w:color w:val="auto"/>
        </w:rPr>
        <w:t>437,965</w:t>
      </w:r>
      <w:r>
        <w:rPr>
          <w:sz w:val="20"/>
          <w:szCs w:val="20"/>
          <w:color w:val="auto"/>
        </w:rPr>
        <w:tab/>
      </w:r>
      <w:r>
        <w:rPr>
          <w:rFonts w:ascii="Courier New" w:cs="Courier New" w:eastAsia="Courier New" w:hAnsi="Courier New"/>
          <w:sz w:val="14"/>
          <w:szCs w:val="14"/>
          <w:color w:val="auto"/>
        </w:rPr>
        <w:t>$28.94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8340" w:val="left"/>
          <w:tab w:leader="none" w:pos="9540" w:val="left"/>
        </w:tabs>
        <w:rPr>
          <w:sz w:val="20"/>
          <w:szCs w:val="20"/>
          <w:color w:val="auto"/>
        </w:rPr>
      </w:pPr>
      <w:r>
        <w:rPr>
          <w:rFonts w:ascii="Courier New" w:cs="Courier New" w:eastAsia="Courier New" w:hAnsi="Courier New"/>
          <w:sz w:val="14"/>
          <w:szCs w:val="14"/>
          <w:color w:val="auto"/>
        </w:rPr>
        <w:t>Exercisable, End of Year</w:t>
      </w:r>
      <w:r>
        <w:rPr>
          <w:sz w:val="20"/>
          <w:szCs w:val="20"/>
          <w:color w:val="auto"/>
        </w:rPr>
        <w:tab/>
      </w:r>
      <w:r>
        <w:rPr>
          <w:rFonts w:ascii="Courier New" w:cs="Courier New" w:eastAsia="Courier New" w:hAnsi="Courier New"/>
          <w:sz w:val="14"/>
          <w:szCs w:val="14"/>
          <w:color w:val="auto"/>
        </w:rPr>
        <w:t>287,711</w:t>
      </w:r>
      <w:r>
        <w:rPr>
          <w:sz w:val="20"/>
          <w:szCs w:val="20"/>
          <w:color w:val="auto"/>
        </w:rPr>
        <w:tab/>
      </w:r>
      <w:r>
        <w:rPr>
          <w:rFonts w:ascii="Courier New" w:cs="Courier New" w:eastAsia="Courier New" w:hAnsi="Courier New"/>
          <w:sz w:val="14"/>
          <w:szCs w:val="14"/>
          <w:color w:val="auto"/>
        </w:rPr>
        <w:t>$26.57</w:t>
      </w:r>
    </w:p>
    <w:p>
      <w:pPr>
        <w:spacing w:after="0" w:line="7" w:lineRule="exact"/>
        <w:rPr>
          <w:sz w:val="20"/>
          <w:szCs w:val="20"/>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subsequent to the ADESA spin-off.</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The employee</w:t>
            </w:r>
          </w:p>
        </w:tc>
        <w:tc>
          <w:tcPr>
            <w:tcW w:w="1420" w:type="dxa"/>
            <w:vAlign w:val="bottom"/>
          </w:tcPr>
          <w:p>
            <w:pPr>
              <w:ind w:left="140"/>
              <w:spacing w:after="0"/>
              <w:rPr>
                <w:sz w:val="20"/>
                <w:szCs w:val="20"/>
                <w:color w:val="auto"/>
              </w:rPr>
            </w:pPr>
            <w:r>
              <w:rPr>
                <w:rFonts w:ascii="Courier New" w:cs="Courier New" w:eastAsia="Courier New" w:hAnsi="Courier New"/>
                <w:sz w:val="14"/>
                <w:szCs w:val="14"/>
                <w:color w:val="auto"/>
              </w:rPr>
              <w:t>stock options</w:t>
            </w:r>
          </w:p>
        </w:tc>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the date</w:t>
            </w:r>
          </w:p>
        </w:tc>
        <w:tc>
          <w:tcPr>
            <w:tcW w:w="3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of the ADESA spin-off were</w:t>
            </w:r>
          </w:p>
        </w:tc>
        <w:tc>
          <w:tcPr>
            <w:tcW w:w="1780" w:type="dxa"/>
            <w:vAlign w:val="bottom"/>
          </w:tcPr>
          <w:p>
            <w:pPr>
              <w:spacing w:after="0"/>
              <w:rPr>
                <w:sz w:val="14"/>
                <w:szCs w:val="14"/>
                <w:color w:val="auto"/>
              </w:rPr>
            </w:pPr>
          </w:p>
        </w:tc>
      </w:tr>
      <w:tr>
        <w:trPr>
          <w:trHeight w:val="166"/>
        </w:trPr>
        <w:tc>
          <w:tcPr>
            <w:tcW w:w="3240" w:type="dxa"/>
            <w:vAlign w:val="bottom"/>
            <w:gridSpan w:val="3"/>
          </w:tcPr>
          <w:p>
            <w:pPr>
              <w:spacing w:after="0"/>
              <w:rPr>
                <w:sz w:val="20"/>
                <w:szCs w:val="20"/>
                <w:color w:val="auto"/>
              </w:rPr>
            </w:pPr>
            <w:r>
              <w:rPr>
                <w:rFonts w:ascii="Courier New" w:cs="Courier New" w:eastAsia="Courier New" w:hAnsi="Courier New"/>
                <w:sz w:val="14"/>
                <w:szCs w:val="14"/>
                <w:color w:val="auto"/>
              </w:rPr>
              <w:t>converted to reflect the spin-off and</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one-for-three</w:t>
            </w:r>
          </w:p>
        </w:tc>
        <w:tc>
          <w:tcPr>
            <w:tcW w:w="3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reverse stock split.  This</w:t>
            </w:r>
          </w:p>
        </w:tc>
        <w:tc>
          <w:tcPr>
            <w:tcW w:w="1780" w:type="dxa"/>
            <w:vAlign w:val="bottom"/>
          </w:tcPr>
          <w:p>
            <w:pPr>
              <w:spacing w:after="0"/>
              <w:rPr>
                <w:sz w:val="14"/>
                <w:szCs w:val="14"/>
                <w:color w:val="auto"/>
              </w:rPr>
            </w:pPr>
          </w:p>
        </w:tc>
      </w:tr>
      <w:tr>
        <w:trPr>
          <w:trHeight w:val="166"/>
        </w:trPr>
        <w:tc>
          <w:tcPr>
            <w:tcW w:w="4580" w:type="dxa"/>
            <w:vAlign w:val="bottom"/>
            <w:gridSpan w:val="4"/>
          </w:tcPr>
          <w:p>
            <w:pPr>
              <w:spacing w:after="0"/>
              <w:rPr>
                <w:sz w:val="20"/>
                <w:szCs w:val="20"/>
                <w:color w:val="auto"/>
              </w:rPr>
            </w:pPr>
            <w:r>
              <w:rPr>
                <w:rFonts w:ascii="Courier New" w:cs="Courier New" w:eastAsia="Courier New" w:hAnsi="Courier New"/>
                <w:sz w:val="14"/>
                <w:szCs w:val="14"/>
                <w:color w:val="auto"/>
              </w:rPr>
              <w:t>conversion was done to preserve the noncompensatory</w:t>
            </w:r>
          </w:p>
        </w:tc>
        <w:tc>
          <w:tcPr>
            <w:tcW w:w="3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nature of the options under</w:t>
            </w:r>
          </w:p>
        </w:tc>
        <w:tc>
          <w:tcPr>
            <w:tcW w:w="1780" w:type="dxa"/>
            <w:vAlign w:val="bottom"/>
          </w:tcPr>
          <w:p>
            <w:pPr>
              <w:spacing w:after="0"/>
              <w:rPr>
                <w:sz w:val="14"/>
                <w:szCs w:val="14"/>
                <w:color w:val="auto"/>
              </w:rPr>
            </w:pPr>
          </w:p>
        </w:tc>
      </w:tr>
      <w:tr>
        <w:trPr>
          <w:trHeight w:val="166"/>
        </w:trPr>
        <w:tc>
          <w:tcPr>
            <w:tcW w:w="8400" w:type="dxa"/>
            <w:vAlign w:val="bottom"/>
            <w:gridSpan w:val="5"/>
          </w:tcPr>
          <w:p>
            <w:pPr>
              <w:spacing w:after="0"/>
              <w:rPr>
                <w:sz w:val="20"/>
                <w:szCs w:val="20"/>
                <w:color w:val="auto"/>
              </w:rPr>
            </w:pPr>
            <w:r>
              <w:rPr>
                <w:rFonts w:ascii="Courier New" w:cs="Courier New" w:eastAsia="Courier New" w:hAnsi="Courier New"/>
                <w:sz w:val="14"/>
                <w:szCs w:val="14"/>
                <w:color w:val="auto"/>
              </w:rPr>
              <w:t>FASB Interpretation No. 44, "Accounting for Certain Transactions Involving Stock</w:t>
            </w:r>
          </w:p>
        </w:tc>
        <w:tc>
          <w:tcPr>
            <w:tcW w:w="178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Compensation."</w:t>
            </w: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 February</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2007, we granted</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5160" w:type="dxa"/>
            <w:vAlign w:val="bottom"/>
            <w:gridSpan w:val="2"/>
          </w:tcPr>
          <w:p>
            <w:pPr>
              <w:jc w:val="right"/>
              <w:ind w:right="1428"/>
              <w:spacing w:after="0"/>
              <w:rPr>
                <w:sz w:val="20"/>
                <w:szCs w:val="20"/>
                <w:color w:val="auto"/>
              </w:rPr>
            </w:pPr>
            <w:r>
              <w:rPr>
                <w:rFonts w:ascii="Courier New" w:cs="Courier New" w:eastAsia="Courier New" w:hAnsi="Courier New"/>
                <w:sz w:val="14"/>
                <w:szCs w:val="14"/>
                <w:color w:val="auto"/>
              </w:rPr>
              <w:t>options to purchase 0.1 million  shares of</w:t>
            </w:r>
          </w:p>
        </w:tc>
        <w:tc>
          <w:tcPr>
            <w:tcW w:w="1780" w:type="dxa"/>
            <w:vAlign w:val="bottom"/>
          </w:tcPr>
          <w:p>
            <w:pPr>
              <w:spacing w:after="0"/>
              <w:rPr>
                <w:sz w:val="24"/>
                <w:szCs w:val="24"/>
                <w:color w:val="auto"/>
              </w:rPr>
            </w:pPr>
          </w:p>
        </w:tc>
      </w:tr>
      <w:tr>
        <w:trPr>
          <w:trHeight w:val="166"/>
        </w:trPr>
        <w:tc>
          <w:tcPr>
            <w:tcW w:w="4580" w:type="dxa"/>
            <w:vAlign w:val="bottom"/>
            <w:gridSpan w:val="4"/>
          </w:tcPr>
          <w:p>
            <w:pPr>
              <w:spacing w:after="0"/>
              <w:rPr>
                <w:sz w:val="20"/>
                <w:szCs w:val="20"/>
                <w:color w:val="auto"/>
              </w:rPr>
            </w:pPr>
            <w:r>
              <w:rPr>
                <w:rFonts w:ascii="Courier New" w:cs="Courier New" w:eastAsia="Courier New" w:hAnsi="Courier New"/>
                <w:sz w:val="14"/>
                <w:szCs w:val="14"/>
                <w:color w:val="auto"/>
              </w:rPr>
              <w:t>common stock (exercise price of $48.65 per share).</w:t>
            </w:r>
          </w:p>
        </w:tc>
        <w:tc>
          <w:tcPr>
            <w:tcW w:w="38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4580" w:type="dxa"/>
            <w:vAlign w:val="bottom"/>
            <w:gridSpan w:val="4"/>
          </w:tcPr>
          <w:p>
            <w:pPr>
              <w:spacing w:after="0"/>
              <w:rPr>
                <w:sz w:val="20"/>
                <w:szCs w:val="20"/>
                <w:color w:val="auto"/>
              </w:rPr>
            </w:pPr>
            <w:r>
              <w:rPr>
                <w:rFonts w:ascii="Courier New" w:cs="Courier New" w:eastAsia="Courier New" w:hAnsi="Courier New"/>
                <w:sz w:val="14"/>
                <w:szCs w:val="14"/>
                <w:color w:val="auto"/>
              </w:rPr>
              <w:t>PERFORMANCE  SHARES.  The following  table  presents</w:t>
            </w:r>
          </w:p>
        </w:tc>
        <w:tc>
          <w:tcPr>
            <w:tcW w:w="38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information  regarding our</w:t>
            </w:r>
          </w:p>
        </w:tc>
        <w:tc>
          <w:tcPr>
            <w:tcW w:w="1780" w:type="dxa"/>
            <w:vAlign w:val="bottom"/>
          </w:tcPr>
          <w:p>
            <w:pPr>
              <w:spacing w:after="0"/>
              <w:rPr>
                <w:sz w:val="24"/>
                <w:szCs w:val="24"/>
                <w:color w:val="auto"/>
              </w:rPr>
            </w:pPr>
          </w:p>
        </w:tc>
      </w:tr>
      <w:tr>
        <w:trPr>
          <w:trHeight w:val="166"/>
        </w:trPr>
        <w:tc>
          <w:tcPr>
            <w:tcW w:w="8400" w:type="dxa"/>
            <w:vAlign w:val="bottom"/>
            <w:gridSpan w:val="5"/>
          </w:tcPr>
          <w:p>
            <w:pPr>
              <w:spacing w:after="0"/>
              <w:rPr>
                <w:sz w:val="20"/>
                <w:szCs w:val="20"/>
                <w:color w:val="auto"/>
              </w:rPr>
            </w:pPr>
            <w:r>
              <w:rPr>
                <w:rFonts w:ascii="Courier New" w:cs="Courier New" w:eastAsia="Courier New" w:hAnsi="Courier New"/>
                <w:sz w:val="14"/>
                <w:szCs w:val="14"/>
                <w:color w:val="auto"/>
              </w:rPr>
              <w:t>nonvested performance shares for the year ended December 31, 2006.</w:t>
            </w:r>
          </w:p>
        </w:tc>
        <w:tc>
          <w:tcPr>
            <w:tcW w:w="1780" w:type="dxa"/>
            <w:vAlign w:val="bottom"/>
          </w:tcPr>
          <w:p>
            <w:pPr>
              <w:spacing w:after="0"/>
              <w:rPr>
                <w:sz w:val="14"/>
                <w:szCs w:val="14"/>
                <w:color w:val="auto"/>
              </w:rPr>
            </w:pPr>
          </w:p>
        </w:tc>
      </w:tr>
      <w:tr>
        <w:trPr>
          <w:trHeight w:val="663"/>
        </w:trPr>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WEIGHTED-AVERAGE</w:t>
            </w:r>
          </w:p>
        </w:tc>
      </w:tr>
      <w:tr>
        <w:trPr>
          <w:trHeight w:val="166"/>
        </w:trPr>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GRANT DATE</w:t>
            </w:r>
          </w:p>
        </w:tc>
      </w:tr>
      <w:tr>
        <w:trPr>
          <w:trHeight w:val="166"/>
        </w:trPr>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SHARES</w:t>
            </w:r>
          </w:p>
        </w:tc>
        <w:tc>
          <w:tcPr>
            <w:tcW w:w="178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FAIR 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Nonvested at December 31, 2005</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97,884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$38.63</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26,967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$43.87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Awarded</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(49,076)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$37.76</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3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Nonvested at December 31, 2006</w:t>
            </w:r>
          </w:p>
        </w:tc>
        <w:tc>
          <w:tcPr>
            <w:tcW w:w="3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71,004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Less than 0.1 million performance share grants were awarded in February 2006 for performance periods ending in 2008. The ultimate issuance is contingent upon the attainment of certain future performance goals of ALLETE during the performance periods. The grant date fair value of the performance share awards was $1.0 million.</w:t>
      </w:r>
    </w:p>
    <w:p>
      <w:pPr>
        <w:spacing w:after="0" w:line="165"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Less than 0.1 million performance share grants were awarded in February 2005 for the performance periods ending in 2007. The grant date fair value of the share awards was $1.0 million. Performance share grants related to the 2006 period</w:t>
      </w:r>
    </w:p>
    <w:p>
      <w:pPr>
        <w:sectPr>
          <w:pgSz w:w="11900" w:h="16886" w:orient="portrait"/>
          <w:cols w:equalWidth="0" w:num="1">
            <w:col w:w="10680"/>
          </w:cols>
          <w:pgMar w:left="220" w:top="616" w:right="999" w:bottom="0"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4"/>
          <w:szCs w:val="14"/>
          <w:color w:val="auto"/>
        </w:rPr>
        <w:t>will be issued in early 2007.</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EMPLOYEE STOCK PURCHASE PLAN. We have an Employee Stock Purchase Plan that permits eligible employees to buy up to $23,750 per year of our common stock at 95% of the market price. At December 31, 2006, 0.5 million shares had been issued under the plan and 0.1 million shares were held in reserve for future issuance.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bl>
    <w:p>
      <w:pPr>
        <w:sectPr>
          <w:pgSz w:w="11900" w:h="16838" w:orient="portrait"/>
          <w:cols w:equalWidth="0" w:num="1">
            <w:col w:w="10239"/>
          </w:cols>
          <w:pgMar w:left="220" w:top="141" w:right="1440" w:bottom="1440" w:gutter="0" w:footer="0" w:header="0"/>
        </w:sectPr>
      </w:pPr>
    </w:p>
    <w:bookmarkStart w:id="114" w:name="page115"/>
    <w:bookmarkEnd w:id="114"/>
    <w:p>
      <w:pPr>
        <w:spacing w:after="0"/>
        <w:tabs>
          <w:tab w:leader="none" w:pos="940" w:val="left"/>
        </w:tabs>
        <w:rPr>
          <w:sz w:val="20"/>
          <w:szCs w:val="20"/>
          <w:color w:val="auto"/>
        </w:rPr>
      </w:pPr>
      <w:r>
        <w:rPr>
          <w:rFonts w:ascii="Courier New" w:cs="Courier New" w:eastAsia="Courier New" w:hAnsi="Courier New"/>
          <w:sz w:val="14"/>
          <w:szCs w:val="14"/>
          <w:color w:val="auto"/>
        </w:rPr>
        <w:t>NOTE 18.</w:t>
      </w:r>
      <w:r>
        <w:rPr>
          <w:sz w:val="20"/>
          <w:szCs w:val="20"/>
          <w:color w:val="auto"/>
        </w:rPr>
        <w:tab/>
      </w:r>
      <w:r>
        <w:rPr>
          <w:rFonts w:ascii="Courier New" w:cs="Courier New" w:eastAsia="Courier New" w:hAnsi="Courier New"/>
          <w:sz w:val="14"/>
          <w:szCs w:val="14"/>
          <w:color w:val="auto"/>
        </w:rPr>
        <w:t>QUARTERLY FINANCIAL DATA (UNAUDITED)</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Information for any one quarterly period is not necessarily indicative of the results which may be expected for the year. Financial results for the second quarter of 2005 included a $50.4 million, or $1.84 per share, charge related to the assignment of the Kendall County purchase power agreement. (See Note 10.) Financial results for the fourth quarter of 2005 included a $2.5 million, or $0.09 per share, deferred tax benefit due to comprehensive state tax planning initiatives and a $3.7 million, or $0.13 per share, current tax benefit due to a positive resolution of income tax audit issues.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160" w:val="left"/>
          <w:tab w:leader="none" w:pos="6620" w:val="left"/>
          <w:tab w:leader="none" w:pos="8080" w:val="left"/>
          <w:tab w:leader="none" w:pos="95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MAR. 31</w:t>
      </w:r>
      <w:r>
        <w:rPr>
          <w:sz w:val="20"/>
          <w:szCs w:val="20"/>
          <w:color w:val="auto"/>
        </w:rPr>
        <w:tab/>
      </w:r>
      <w:r>
        <w:rPr>
          <w:rFonts w:ascii="Courier New" w:cs="Courier New" w:eastAsia="Courier New" w:hAnsi="Courier New"/>
          <w:sz w:val="14"/>
          <w:szCs w:val="14"/>
          <w:color w:val="auto"/>
        </w:rPr>
        <w:t>JUN. 30</w:t>
      </w:r>
      <w:r>
        <w:rPr>
          <w:sz w:val="20"/>
          <w:szCs w:val="20"/>
          <w:color w:val="auto"/>
        </w:rPr>
        <w:tab/>
      </w:r>
      <w:r>
        <w:rPr>
          <w:rFonts w:ascii="Courier New" w:cs="Courier New" w:eastAsia="Courier New" w:hAnsi="Courier New"/>
          <w:sz w:val="14"/>
          <w:szCs w:val="14"/>
          <w:color w:val="auto"/>
        </w:rPr>
        <w:t>SEPT. 30</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EARNINGS PER SHARE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2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$192.5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$178.3</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$26.3</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w:t>
            </w:r>
          </w:p>
        </w:tc>
      </w:tr>
      <w:tr>
        <w:trPr>
          <w:trHeight w:val="166"/>
        </w:trPr>
        <w:tc>
          <w:tcPr>
            <w:tcW w:w="1300" w:type="dxa"/>
            <w:vAlign w:val="bottom"/>
          </w:tcPr>
          <w:p>
            <w:pPr>
              <w:spacing w:after="0"/>
              <w:rPr>
                <w:sz w:val="14"/>
                <w:szCs w:val="14"/>
                <w:color w:val="auto"/>
              </w:rPr>
            </w:pPr>
          </w:p>
        </w:tc>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Per Share of Common Stock</w:t>
            </w:r>
          </w:p>
        </w:tc>
        <w:tc>
          <w:tcPr>
            <w:tcW w:w="1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Continuing Operations</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$0.68</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$0.50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$0.78</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$0.82</w:t>
            </w:r>
          </w:p>
        </w:tc>
      </w:tr>
      <w:tr>
        <w:trPr>
          <w:trHeight w:val="166"/>
        </w:trPr>
        <w:tc>
          <w:tcPr>
            <w:tcW w:w="1180" w:type="dxa"/>
            <w:vAlign w:val="bottom"/>
          </w:tcPr>
          <w:p>
            <w:pPr>
              <w:spacing w:after="0"/>
              <w:rPr>
                <w:sz w:val="14"/>
                <w:szCs w:val="14"/>
                <w:color w:val="auto"/>
              </w:rPr>
            </w:pP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Discontinued Operations</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(0.02)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6800" w:val="left"/>
          <w:tab w:leader="none" w:pos="8260" w:val="left"/>
          <w:tab w:leader="none" w:pos="9720" w:val="left"/>
        </w:tabs>
        <w:rPr>
          <w:sz w:val="20"/>
          <w:szCs w:val="20"/>
          <w:color w:val="auto"/>
        </w:rPr>
      </w:pPr>
      <w:r>
        <w:rPr>
          <w:rFonts w:ascii="Courier New" w:cs="Courier New" w:eastAsia="Courier New" w:hAnsi="Courier New"/>
          <w:sz w:val="14"/>
          <w:szCs w:val="14"/>
          <w:color w:val="auto"/>
        </w:rPr>
        <w:t>$0.68</w:t>
      </w:r>
      <w:r>
        <w:rPr>
          <w:sz w:val="20"/>
          <w:szCs w:val="20"/>
          <w:color w:val="auto"/>
        </w:rPr>
        <w:tab/>
      </w: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$0.78</w:t>
      </w:r>
      <w:r>
        <w:rPr>
          <w:sz w:val="20"/>
          <w:szCs w:val="20"/>
          <w:color w:val="auto"/>
        </w:rPr>
        <w:tab/>
      </w:r>
      <w:r>
        <w:rPr>
          <w:rFonts w:ascii="Courier New" w:cs="Courier New" w:eastAsia="Courier New" w:hAnsi="Courier New"/>
          <w:sz w:val="14"/>
          <w:szCs w:val="14"/>
          <w:color w:val="auto"/>
        </w:rPr>
        <w:t>$0.81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Diluted</w:t>
            </w: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Continuing Operations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$0.68</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$0.49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$0.78</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$0.82</w:t>
            </w:r>
          </w:p>
        </w:tc>
      </w:tr>
      <w:tr>
        <w:trPr>
          <w:trHeight w:val="166"/>
        </w:trPr>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Discontinued Operations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(0.02)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(0.01)</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$0.68</w:t>
            </w:r>
          </w:p>
        </w:tc>
        <w:tc>
          <w:tcPr>
            <w:tcW w:w="1540" w:type="dxa"/>
            <w:vAlign w:val="bottom"/>
          </w:tcPr>
          <w:p>
            <w:pPr>
              <w:ind w:left="560"/>
              <w:spacing w:after="0"/>
              <w:rPr>
                <w:sz w:val="20"/>
                <w:szCs w:val="20"/>
                <w:color w:val="auto"/>
              </w:rPr>
            </w:pPr>
            <w:r>
              <w:rPr>
                <w:rFonts w:ascii="Courier New" w:cs="Courier New" w:eastAsia="Courier New" w:hAnsi="Courier New"/>
                <w:sz w:val="14"/>
                <w:szCs w:val="14"/>
                <w:color w:val="auto"/>
              </w:rPr>
              <w:t>$0.47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$0.78</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$0.81</w:t>
            </w:r>
          </w:p>
        </w:tc>
      </w:tr>
    </w:tbl>
    <w:p>
      <w:pPr>
        <w:spacing w:after="0" w:line="4" w:lineRule="exact"/>
        <w:rPr>
          <w:sz w:val="20"/>
          <w:szCs w:val="20"/>
          <w:color w:val="auto"/>
        </w:rPr>
      </w:pPr>
    </w:p>
    <w:p>
      <w:pPr>
        <w:ind w:left="180" w:hanging="172"/>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$174.4</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$177.4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$41.1</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$(39.8)</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w:t>
            </w:r>
          </w:p>
        </w:tc>
      </w:tr>
      <w:tr>
        <w:trPr>
          <w:trHeight w:val="166"/>
        </w:trPr>
        <w:tc>
          <w:tcPr>
            <w:tcW w:w="1300" w:type="dxa"/>
            <w:vAlign w:val="bottom"/>
          </w:tcPr>
          <w:p>
            <w:pPr>
              <w:spacing w:after="0"/>
              <w:rPr>
                <w:sz w:val="14"/>
                <w:szCs w:val="14"/>
                <w:color w:val="auto"/>
              </w:rPr>
            </w:pPr>
          </w:p>
        </w:tc>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(0.5)</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Per Share of Common Stock</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Continuing Operations</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$0.64</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w:t>
            </w: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$0.58</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$0.89</w:t>
            </w:r>
          </w:p>
        </w:tc>
      </w:tr>
      <w:tr>
        <w:trPr>
          <w:trHeight w:val="166"/>
        </w:trPr>
        <w:tc>
          <w:tcPr>
            <w:tcW w:w="1180" w:type="dxa"/>
            <w:vAlign w:val="bottom"/>
          </w:tcPr>
          <w:p>
            <w:pPr>
              <w:spacing w:after="0"/>
              <w:rPr>
                <w:sz w:val="14"/>
                <w:szCs w:val="14"/>
                <w:color w:val="auto"/>
              </w:rPr>
            </w:pPr>
          </w:p>
        </w:tc>
        <w:tc>
          <w:tcPr>
            <w:tcW w:w="3220" w:type="dxa"/>
            <w:vAlign w:val="bottom"/>
          </w:tcPr>
          <w:p>
            <w:pPr>
              <w:ind w:left="300"/>
              <w:spacing w:after="0"/>
              <w:rPr>
                <w:sz w:val="20"/>
                <w:szCs w:val="20"/>
                <w:color w:val="auto"/>
              </w:rPr>
            </w:pPr>
            <w:r>
              <w:rPr>
                <w:rFonts w:ascii="Courier New" w:cs="Courier New" w:eastAsia="Courier New" w:hAnsi="Courier New"/>
                <w:sz w:val="14"/>
                <w:szCs w:val="14"/>
                <w:color w:val="auto"/>
              </w:rPr>
              <w:t>Discontinued Operations</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(0.02)</w:t>
            </w: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(0.12)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6700" w:val="left"/>
          <w:tab w:leader="none" w:pos="8260" w:val="left"/>
          <w:tab w:leader="none" w:pos="972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$0.77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Continuing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$0.64</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$(1.46)</w:t>
            </w: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$0.58</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rPr>
              <w:t>$0.88</w:t>
            </w:r>
          </w:p>
        </w:tc>
      </w:tr>
      <w:tr>
        <w:trPr>
          <w:trHeight w:val="0"/>
        </w:trPr>
        <w:tc>
          <w:tcPr>
            <w:tcW w:w="820" w:type="dxa"/>
            <w:vAlign w:val="bottom"/>
          </w:tcPr>
          <w:p>
            <w:pPr>
              <w:spacing w:after="0" w:line="20" w:lineRule="exact"/>
              <w:rPr>
                <w:sz w:val="1"/>
                <w:szCs w:val="1"/>
                <w:color w:val="auto"/>
              </w:rPr>
            </w:pP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Discontinued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(0.02)</w:t>
            </w:r>
          </w:p>
        </w:tc>
        <w:tc>
          <w:tcPr>
            <w:tcW w:w="1460" w:type="dxa"/>
            <w:vAlign w:val="bottom"/>
          </w:tcPr>
          <w:p>
            <w:pPr>
              <w:ind w:left="480"/>
              <w:spacing w:after="0"/>
              <w:rPr>
                <w:sz w:val="20"/>
                <w:szCs w:val="20"/>
                <w:color w:val="auto"/>
              </w:rPr>
            </w:pPr>
            <w:r>
              <w:rPr>
                <w:rFonts w:ascii="Courier New" w:cs="Courier New" w:eastAsia="Courier New" w:hAnsi="Courier New"/>
                <w:sz w:val="14"/>
                <w:szCs w:val="14"/>
                <w:color w:val="auto"/>
              </w:rPr>
              <w:t>(0.02)</w:t>
            </w:r>
          </w:p>
        </w:tc>
        <w:tc>
          <w:tcPr>
            <w:tcW w:w="1000" w:type="dxa"/>
            <w:vAlign w:val="bottom"/>
          </w:tcPr>
          <w:p>
            <w:pPr>
              <w:ind w:left="480"/>
              <w:spacing w:after="0"/>
              <w:rPr>
                <w:sz w:val="20"/>
                <w:szCs w:val="20"/>
                <w:color w:val="auto"/>
              </w:rPr>
            </w:pPr>
            <w:r>
              <w:rPr>
                <w:rFonts w:ascii="Courier New" w:cs="Courier New" w:eastAsia="Courier New" w:hAnsi="Courier New"/>
                <w:sz w:val="14"/>
                <w:szCs w:val="14"/>
                <w:color w:val="auto"/>
                <w:w w:val="99"/>
              </w:rPr>
              <w:t>(0.12)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6700" w:val="left"/>
          <w:tab w:leader="none" w:pos="8260" w:val="left"/>
          <w:tab w:leader="none" w:pos="972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$0.76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680"/>
          </w:cols>
          <w:pgMar w:left="220" w:top="782" w:right="999" w:bottom="1440" w:gutter="0" w:footer="0" w:header="0"/>
        </w:sectPr>
      </w:pPr>
    </w:p>
    <w:bookmarkStart w:id="115" w:name="page116"/>
    <w:bookmarkEnd w:id="115"/>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AND QUALIFYING ACCOUNTS AND RESERVES</w:t>
      </w:r>
    </w:p>
    <w:p>
      <w:pPr>
        <w:spacing w:after="0" w:line="200" w:lineRule="exact"/>
        <w:rPr>
          <w:sz w:val="20"/>
          <w:szCs w:val="20"/>
          <w:color w:val="auto"/>
        </w:rPr>
      </w:pPr>
    </w:p>
    <w:p>
      <w:pPr>
        <w:spacing w:after="0" w:line="304" w:lineRule="exact"/>
        <w:rPr>
          <w:sz w:val="20"/>
          <w:szCs w:val="20"/>
          <w:color w:val="auto"/>
        </w:rPr>
      </w:pPr>
    </w:p>
    <w:p>
      <w:pPr>
        <w:ind w:left="4580"/>
        <w:spacing w:after="0"/>
        <w:tabs>
          <w:tab w:leader="none" w:pos="6280" w:val="left"/>
          <w:tab w:leader="none" w:pos="8080" w:val="left"/>
          <w:tab w:leader="none" w:pos="92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4660"/>
        <w:spacing w:after="0"/>
        <w:tabs>
          <w:tab w:leader="none" w:pos="5840" w:val="left"/>
          <w:tab w:leader="none" w:pos="7060" w:val="left"/>
          <w:tab w:leader="none" w:pos="8340" w:val="left"/>
          <w:tab w:leader="none" w:pos="9380" w:val="left"/>
        </w:tabs>
        <w:rPr>
          <w:sz w:val="20"/>
          <w:szCs w:val="20"/>
          <w:color w:val="auto"/>
        </w:rPr>
      </w:pPr>
      <w:r>
        <w:rPr>
          <w:rFonts w:ascii="Courier New" w:cs="Courier New" w:eastAsia="Courier New" w:hAnsi="Courier New"/>
          <w:sz w:val="14"/>
          <w:szCs w:val="14"/>
          <w:color w:val="auto"/>
        </w:rPr>
        <w:t>BEGINNING</w:t>
      </w:r>
      <w:r>
        <w:rPr>
          <w:sz w:val="20"/>
          <w:szCs w:val="20"/>
          <w:color w:val="auto"/>
        </w:rPr>
        <w:tab/>
      </w:r>
      <w:r>
        <w:rPr>
          <w:rFonts w:ascii="Courier New" w:cs="Courier New" w:eastAsia="Courier New" w:hAnsi="Courier New"/>
          <w:sz w:val="14"/>
          <w:szCs w:val="14"/>
          <w:color w:val="auto"/>
        </w:rPr>
        <w:t>CHARGED</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FROM</w:t>
      </w:r>
      <w:r>
        <w:rPr>
          <w:sz w:val="20"/>
          <w:szCs w:val="20"/>
          <w:color w:val="auto"/>
        </w:rPr>
        <w:tab/>
      </w:r>
      <w:r>
        <w:rPr>
          <w:rFonts w:ascii="Courier New" w:cs="Courier New" w:eastAsia="Courier New" w:hAnsi="Courier New"/>
          <w:sz w:val="14"/>
          <w:szCs w:val="14"/>
          <w:color w:val="auto"/>
        </w:rPr>
        <w:t>END OF</w:t>
      </w:r>
    </w:p>
    <w:p>
      <w:pPr>
        <w:spacing w:after="0" w:line="7" w:lineRule="exact"/>
        <w:rPr>
          <w:sz w:val="20"/>
          <w:szCs w:val="20"/>
          <w:color w:val="auto"/>
        </w:rPr>
      </w:pPr>
    </w:p>
    <w:p>
      <w:pPr>
        <w:spacing w:after="0"/>
        <w:tabs>
          <w:tab w:leader="none" w:pos="4720" w:val="left"/>
          <w:tab w:leader="none" w:pos="5760" w:val="left"/>
          <w:tab w:leader="none" w:pos="6960" w:val="left"/>
          <w:tab w:leader="none" w:pos="8000" w:val="left"/>
          <w:tab w:leader="none" w:pos="904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TO INCOME</w:t>
      </w:r>
      <w:r>
        <w:rPr>
          <w:sz w:val="20"/>
          <w:szCs w:val="20"/>
          <w:color w:val="auto"/>
        </w:rPr>
        <w:tab/>
      </w:r>
      <w:r>
        <w:rPr>
          <w:rFonts w:ascii="Courier New" w:cs="Courier New" w:eastAsia="Courier New" w:hAnsi="Courier New"/>
          <w:sz w:val="14"/>
          <w:szCs w:val="14"/>
          <w:color w:val="auto"/>
        </w:rPr>
        <w:t>CHANGES</w:t>
      </w:r>
      <w:r>
        <w:rPr>
          <w:sz w:val="20"/>
          <w:szCs w:val="20"/>
          <w:color w:val="auto"/>
        </w:rPr>
        <w:tab/>
      </w:r>
      <w:r>
        <w:rPr>
          <w:rFonts w:ascii="Courier New" w:cs="Courier New" w:eastAsia="Courier New" w:hAnsi="Courier New"/>
          <w:sz w:val="14"/>
          <w:szCs w:val="14"/>
          <w:color w:val="auto"/>
        </w:rPr>
        <w:t>RESERVES</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ind w:left="180" w:hanging="172"/>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Deducted from Related Assets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Reserve For Uncollectible Accounts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w:t>
            </w: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Trade Accounts Receivable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0" w:type="dxa"/>
            <w:vAlign w:val="bottom"/>
          </w:tcPr>
          <w:p>
            <w:pPr>
              <w:spacing w:after="0"/>
              <w:rPr>
                <w:sz w:val="14"/>
                <w:szCs w:val="14"/>
                <w:color w:val="auto"/>
              </w:rPr>
            </w:pP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Finance Receivables - Long-Term</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Trade Accounts Receivable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80" w:type="dxa"/>
            <w:vAlign w:val="bottom"/>
          </w:tcPr>
          <w:p>
            <w:pPr>
              <w:spacing w:after="0"/>
              <w:rPr>
                <w:sz w:val="14"/>
                <w:szCs w:val="14"/>
                <w:color w:val="auto"/>
              </w:rPr>
            </w:pP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Finance Receivables - Long-Term</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Trade Accounts Receivable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80" w:type="dxa"/>
            <w:vAlign w:val="bottom"/>
          </w:tcPr>
          <w:p>
            <w:pPr>
              <w:spacing w:after="0"/>
              <w:rPr>
                <w:sz w:val="14"/>
                <w:szCs w:val="14"/>
                <w:color w:val="auto"/>
              </w:rPr>
            </w:pP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Finance Receivables - Long-Term</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331"/>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Deferred Asset Valuation Allowance</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w:t>
            </w: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Deferred Tax Assets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Deferred Tax Assets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3220" w:type="dxa"/>
            <w:vAlign w:val="bottom"/>
          </w:tcPr>
          <w:p>
            <w:pPr>
              <w:ind w:left="160"/>
              <w:spacing w:after="0"/>
              <w:rPr>
                <w:sz w:val="20"/>
                <w:szCs w:val="20"/>
                <w:color w:val="auto"/>
              </w:rPr>
            </w:pPr>
            <w:r>
              <w:rPr>
                <w:rFonts w:ascii="Courier New" w:cs="Courier New" w:eastAsia="Courier New" w:hAnsi="Courier New"/>
                <w:sz w:val="14"/>
                <w:szCs w:val="14"/>
                <w:color w:val="auto"/>
              </w:rPr>
              <w:t>Deferred Tax Assets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ind w:left="180" w:hanging="172"/>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uncollectible accounts written off.</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ALLETE 2006 Form 10-K</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bl>
    <w:p>
      <w:pPr>
        <w:sectPr>
          <w:pgSz w:w="11900" w:h="16838" w:orient="portrait"/>
          <w:cols w:equalWidth="0" w:num="1">
            <w:col w:w="10680"/>
          </w:cols>
          <w:pgMar w:left="220" w:top="782" w:right="999" w:bottom="1440" w:gutter="0" w:footer="0" w:header="0"/>
        </w:sectPr>
      </w:pPr>
    </w:p>
    <w:bookmarkStart w:id="116" w:name="page117"/>
    <w:bookmarkEnd w:id="116"/>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EXHIBIT NUMBER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97"/>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4(a)3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Twenty-Sixth</w:t>
            </w:r>
          </w:p>
        </w:tc>
        <w:tc>
          <w:tcPr>
            <w:tcW w:w="116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Supplemental</w:t>
            </w:r>
          </w:p>
        </w:tc>
        <w:tc>
          <w:tcPr>
            <w:tcW w:w="20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Indenture, dated as of</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1,</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2006,</w:t>
            </w: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8"/>
              </w:rPr>
              <w:t>between</w:t>
            </w:r>
          </w:p>
        </w:tc>
        <w:tc>
          <w:tcPr>
            <w:tcW w:w="41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ALLETE and The Bank of New York and Douglas J.</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MacInnes, as Trustees.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10(d)3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Second</w:t>
            </w:r>
          </w:p>
        </w:tc>
        <w:tc>
          <w:tcPr>
            <w:tcW w:w="16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Amendment</w:t>
            </w:r>
          </w:p>
        </w:tc>
        <w:tc>
          <w:tcPr>
            <w:tcW w:w="480" w:type="dxa"/>
            <w:vAlign w:val="bottom"/>
          </w:tcPr>
          <w:p>
            <w:pPr>
              <w:jc w:val="center"/>
              <w:spacing w:after="0"/>
              <w:rPr>
                <w:sz w:val="20"/>
                <w:szCs w:val="20"/>
                <w:color w:val="auto"/>
              </w:rPr>
            </w:pPr>
            <w:r>
              <w:rPr>
                <w:rFonts w:ascii="Courier New" w:cs="Courier New" w:eastAsia="Courier New" w:hAnsi="Courier New"/>
                <w:sz w:val="14"/>
                <w:szCs w:val="14"/>
                <w:color w:val="auto"/>
                <w:w w:val="94"/>
              </w:rPr>
              <w:t>to</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Fourth</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Amended</w:t>
            </w:r>
          </w:p>
        </w:tc>
        <w:tc>
          <w:tcPr>
            <w:tcW w:w="2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and Restated Committed</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Facility</w:t>
            </w:r>
          </w:p>
        </w:tc>
        <w:tc>
          <w:tcPr>
            <w:tcW w:w="1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Letter dated</w:t>
            </w:r>
          </w:p>
        </w:tc>
        <w:tc>
          <w:tcPr>
            <w:tcW w:w="3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December 14, 2006, by and among ALLETE</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and LaSalle Bank</w:t>
            </w:r>
          </w:p>
        </w:tc>
        <w:tc>
          <w:tcPr>
            <w:tcW w:w="2680" w:type="dxa"/>
            <w:vAlign w:val="bottom"/>
            <w:gridSpan w:val="5"/>
          </w:tcPr>
          <w:p>
            <w:pPr>
              <w:spacing w:after="0"/>
              <w:rPr>
                <w:sz w:val="20"/>
                <w:szCs w:val="20"/>
                <w:color w:val="auto"/>
              </w:rPr>
            </w:pPr>
            <w:r>
              <w:rPr>
                <w:rFonts w:ascii="Courier New" w:cs="Courier New" w:eastAsia="Courier New" w:hAnsi="Courier New"/>
                <w:sz w:val="14"/>
                <w:szCs w:val="14"/>
                <w:color w:val="auto"/>
              </w:rPr>
              <w:t>National Association, as Agent.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January</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2007</w:t>
            </w:r>
          </w:p>
        </w:tc>
        <w:tc>
          <w:tcPr>
            <w:tcW w:w="2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Amendment</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2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ALLETE  Executive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Incentive Plan.</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10(h)7</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160" w:type="dxa"/>
            <w:vAlign w:val="bottom"/>
          </w:tcPr>
          <w:p>
            <w:pPr>
              <w:spacing w:after="0"/>
              <w:rPr>
                <w:sz w:val="20"/>
                <w:szCs w:val="20"/>
                <w:color w:val="auto"/>
              </w:rPr>
            </w:pPr>
            <w:r>
              <w:rPr>
                <w:rFonts w:ascii="Courier New" w:cs="Courier New" w:eastAsia="Courier New" w:hAnsi="Courier New"/>
                <w:sz w:val="14"/>
                <w:szCs w:val="14"/>
                <w:color w:val="auto"/>
                <w:w w:val="83"/>
              </w:rPr>
              <w:t>of</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ALLETE</w:t>
            </w: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Executive</w:t>
            </w: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Annual</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Incentive</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Plan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Effective 2007.</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December</w:t>
            </w:r>
          </w:p>
        </w:tc>
        <w:tc>
          <w:tcPr>
            <w:tcW w:w="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2006</w:t>
            </w: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Amendments</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w w:val="83"/>
              </w:rPr>
              <w:t>to</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the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ALLETE</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Affiliated</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2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Companies Supplemental Executive Retirement Plan.</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Form of ALLETE Executive Long-Term Incentive Compensation Plan</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Nonqualified Stock Option Grant Effective 2007.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10(m)7</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Form of ALLETE Executive Long-Term Incentive Compensation Plan</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Performance Share Grant Effective 2007.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10(m)8</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Form of ALLETE Executive Long-Term Incentive Compensation Plan</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Long-Term Cash Incentive Award Effective 2007.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10(m)9</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Form of ALLETE Executive Long-Term Incentive Compensation Plan</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Stock Grant Effective 2007.</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10(n)4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January 2007 Amendment to the ALLETE Director Stock Plan.</w:t>
            </w: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10(n)6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62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ALLETE Non-Management Director Compensation Summary</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Effective</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February 15, 2007.</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62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Computation of Ratios of Earnings to Fixed Charges.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Subsidiaries of the Registrant.</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23(a)</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Consent of Independent Registered Public Accounting Firm.</w:t>
            </w: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23(b)</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Consent of General Counsel.</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31(a)</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Rule</w:t>
            </w:r>
          </w:p>
        </w:tc>
        <w:tc>
          <w:tcPr>
            <w:tcW w:w="48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13a-14(a)/15d-14(a) Certification by the Chief Executive</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4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Officer Pursuant to Section 302</w:t>
            </w:r>
          </w:p>
        </w:tc>
        <w:tc>
          <w:tcPr>
            <w:tcW w:w="2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of the Sarbanes-Oxley Act of</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2002.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31(b)</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Rule</w:t>
            </w:r>
          </w:p>
        </w:tc>
        <w:tc>
          <w:tcPr>
            <w:tcW w:w="48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13a-14(a)/15d-14(a) Certification by the Chief Financial</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80" w:type="dxa"/>
            <w:vAlign w:val="bottom"/>
            <w:gridSpan w:val="11"/>
          </w:tcPr>
          <w:p>
            <w:pPr>
              <w:ind w:left="180"/>
              <w:spacing w:after="0"/>
              <w:rPr>
                <w:sz w:val="20"/>
                <w:szCs w:val="20"/>
                <w:color w:val="auto"/>
              </w:rPr>
            </w:pPr>
            <w:r>
              <w:rPr>
                <w:rFonts w:ascii="Courier New" w:cs="Courier New" w:eastAsia="Courier New" w:hAnsi="Courier New"/>
                <w:sz w:val="14"/>
                <w:szCs w:val="14"/>
                <w:color w:val="auto"/>
              </w:rPr>
              <w:t>Officer Pursuant to Section 302 of the Sarbanes-Oxley</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2002.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70" w:lineRule="exact"/>
        <w:rPr>
          <w:sz w:val="20"/>
          <w:szCs w:val="20"/>
          <w:color w:val="auto"/>
        </w:rPr>
      </w:pPr>
    </w:p>
    <w:p>
      <w:pPr>
        <w:ind w:left="1560" w:right="3339" w:hanging="949"/>
        <w:spacing w:after="0" w:line="252" w:lineRule="auto"/>
        <w:tabs>
          <w:tab w:leader="none" w:pos="112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Annual Report by the Chief Executive Officer and Chief Financial Officer Pursuant to Section 906 of the Sarbanes-Oxley Act of 2002.</w:t>
      </w:r>
    </w:p>
    <w:p>
      <w:pPr>
        <w:spacing w:after="0" w:line="163" w:lineRule="exact"/>
        <w:rPr>
          <w:sz w:val="20"/>
          <w:szCs w:val="20"/>
          <w:color w:val="auto"/>
        </w:rPr>
      </w:pPr>
    </w:p>
    <w:p>
      <w:pPr>
        <w:ind w:left="1560" w:right="3339" w:hanging="949"/>
        <w:spacing w:after="0" w:line="251" w:lineRule="auto"/>
        <w:tabs>
          <w:tab w:leader="none" w:pos="112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February 16, 2007, announcing 2006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9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ectPr>
          <w:pgSz w:w="11900" w:h="16838" w:orient="portrait"/>
          <w:cols w:equalWidth="0" w:num="1">
            <w:col w:w="10239"/>
          </w:cols>
          <w:pgMar w:left="220" w:top="451" w:right="1440" w:bottom="1440" w:gutter="0" w:footer="0" w:header="0"/>
        </w:sectPr>
      </w:pPr>
    </w:p>
    <w:bookmarkStart w:id="117" w:name="page118"/>
    <w:bookmarkEnd w:id="117"/>
    <w:p>
      <w:pPr>
        <w:ind w:left="5780"/>
        <w:spacing w:after="0"/>
        <w:rPr>
          <w:sz w:val="20"/>
          <w:szCs w:val="20"/>
          <w:color w:val="auto"/>
        </w:rPr>
      </w:pPr>
      <w:r>
        <w:rPr>
          <w:rFonts w:ascii="Courier New" w:cs="Courier New" w:eastAsia="Courier New" w:hAnsi="Courier New"/>
          <w:sz w:val="14"/>
          <w:szCs w:val="14"/>
          <w:color w:val="auto"/>
        </w:rPr>
        <w:t>EXHIBIT 4(a)3</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ALLETE 2006 FORM 10-K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(formerly Minnesota Power &amp; Light Company</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 formerly Minnesota Power,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(formerly Irving Trust Company)</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DOUGLAS J. MACINNES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(successor to Richard H. West, J. A. Austin,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E.J. McCabe, D.W. May, J.A. Vaughan and W.T. Cunningham)</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As Trustees under ALLETE, Inc.'s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Mortgage and Deed of Trust dated as of</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September 1, 1945</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Twenty-sixth Supplemental Indenture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Providing among other things for</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First Mortgage Bonds, 5.99% Series due February 1, 2027</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(Thirty-second Series)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DATED AS OF OCTOBER 1,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07" w:right="1440" w:bottom="1440" w:gutter="0" w:footer="0" w:header="0"/>
        </w:sectPr>
      </w:pPr>
    </w:p>
    <w:bookmarkStart w:id="118" w:name="page119"/>
    <w:bookmarkEnd w:id="118"/>
    <w:p>
      <w:pPr>
        <w:ind w:left="1980"/>
        <w:spacing w:after="0"/>
        <w:rPr>
          <w:sz w:val="20"/>
          <w:szCs w:val="20"/>
          <w:color w:val="auto"/>
        </w:rPr>
      </w:pPr>
      <w:r>
        <w:rPr>
          <w:rFonts w:ascii="Courier New" w:cs="Courier New" w:eastAsia="Courier New" w:hAnsi="Courier New"/>
          <w:sz w:val="14"/>
          <w:szCs w:val="14"/>
          <w:color w:val="auto"/>
        </w:rPr>
        <w:t>TWENTY-SIXTH SUPPLEMENTAL INDENTURE</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THIS INDENTURE, dated as of October 1, 2006, by and between ALLETE, INC. (formerly Minnesota Power &amp; Light Company and formerly Minnesota Power, Inc.), a corporation of the State of Minnesota, whose post office address is 30 West Superior Street, Duluth, Minnesota 55802 (hereinafter sometimes called the "Company"), and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"Twenty-sixth Supplemental Indenture") being supplemental thereto:</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WHEREAS, the Mortgage was filed and recorded in various official records in the State of Minnesota; and</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under the Sixth Supplemental Indenture, dated as of August 1, 1975, to which reference is hereinafter made, D. W. May in turn succeeded E. J. McCabe as Co-Trustee under the Mortgage; and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ectPr>
          <w:pgSz w:w="11900" w:h="16838" w:orient="portrait"/>
          <w:cols w:equalWidth="0" w:num="1">
            <w:col w:w="10239"/>
          </w:cols>
          <w:pgMar w:left="220" w:top="616" w:right="1440" w:bottom="1440" w:gutter="0" w:footer="0" w:header="0"/>
        </w:sectPr>
      </w:pPr>
    </w:p>
    <w:bookmarkStart w:id="119" w:name="page120"/>
    <w:bookmarkEnd w:id="119"/>
    <w:p>
      <w:pPr>
        <w:ind w:left="33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on May 8, 2001, the Company filed Amended and Restated Articles of Incorporation with the Secretary of State of the State of Minnesota changing its name from Minnesota Power, Inc. to ALLETE, Inc.; and</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64" w:lineRule="exact"/>
        <w:rPr>
          <w:sz w:val="20"/>
          <w:szCs w:val="20"/>
          <w:color w:val="auto"/>
        </w:rPr>
      </w:pPr>
    </w:p>
    <w:p>
      <w:pPr>
        <w:ind w:left="440"/>
        <w:spacing w:after="0"/>
        <w:tabs>
          <w:tab w:leader="none" w:pos="1280" w:val="left"/>
          <w:tab w:leader="none" w:pos="1720" w:val="left"/>
          <w:tab w:leader="none" w:pos="2220" w:val="left"/>
          <w:tab w:leader="none" w:pos="3180" w:val="left"/>
          <w:tab w:leader="none" w:pos="3780" w:val="left"/>
          <w:tab w:leader="none" w:pos="4560" w:val="left"/>
          <w:tab w:leader="none" w:pos="4980" w:val="left"/>
          <w:tab w:leader="none" w:pos="5760" w:val="left"/>
          <w:tab w:leader="none" w:pos="6620" w:val="left"/>
        </w:tabs>
        <w:rPr>
          <w:sz w:val="20"/>
          <w:szCs w:val="20"/>
          <w:color w:val="auto"/>
        </w:rPr>
      </w:pPr>
      <w:r>
        <w:rPr>
          <w:rFonts w:ascii="Courier New" w:cs="Courier New" w:eastAsia="Courier New" w:hAnsi="Courier New"/>
          <w:sz w:val="14"/>
          <w:szCs w:val="14"/>
          <w:color w:val="auto"/>
        </w:rPr>
        <w:t>WHEREAS,</w:t>
        <w:tab/>
        <w:t>for</w:t>
        <w:tab/>
        <w:t>said</w:t>
        <w:tab/>
        <w:t>purposes,</w:t>
        <w:tab/>
        <w:t>among</w:t>
        <w:tab/>
        <w:t>others,</w:t>
        <w:tab/>
        <w:t>the</w:t>
        <w:tab/>
        <w:t>Company</w:t>
        <w:tab/>
        <w:t>executed</w:t>
        <w:tab/>
        <w:t>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delivered the following indentures supplemental to the Mortgage:</w:t>
      </w:r>
    </w:p>
    <w:p>
      <w:pPr>
        <w:spacing w:after="0" w:line="173" w:lineRule="exact"/>
        <w:rPr>
          <w:sz w:val="20"/>
          <w:szCs w:val="20"/>
          <w:color w:val="auto"/>
        </w:rPr>
      </w:pPr>
    </w:p>
    <w:p>
      <w:pPr>
        <w:ind w:left="1040"/>
        <w:spacing w:after="0"/>
        <w:tabs>
          <w:tab w:leader="none" w:pos="5160" w:val="left"/>
        </w:tabs>
        <w:rPr>
          <w:sz w:val="20"/>
          <w:szCs w:val="20"/>
          <w:color w:val="auto"/>
        </w:rPr>
      </w:pPr>
      <w:r>
        <w:rPr>
          <w:rFonts w:ascii="Courier New" w:cs="Courier New" w:eastAsia="Courier New" w:hAnsi="Courier New"/>
          <w:sz w:val="14"/>
          <w:szCs w:val="14"/>
          <w:color w:val="auto"/>
        </w:rPr>
        <w:t>DESIGNATION</w:t>
      </w:r>
      <w:r>
        <w:rPr>
          <w:sz w:val="20"/>
          <w:szCs w:val="20"/>
          <w:color w:val="auto"/>
        </w:rPr>
        <w:tab/>
      </w:r>
      <w:r>
        <w:rPr>
          <w:rFonts w:ascii="Courier New" w:cs="Courier New" w:eastAsia="Courier New" w:hAnsi="Courier New"/>
          <w:sz w:val="14"/>
          <w:szCs w:val="14"/>
          <w:color w:val="auto"/>
        </w:rPr>
        <w:t>DATED AS OF</w:t>
      </w:r>
    </w:p>
    <w:p>
      <w:pPr>
        <w:spacing w:after="0" w:line="7" w:lineRule="exact"/>
        <w:rPr>
          <w:sz w:val="20"/>
          <w:szCs w:val="20"/>
          <w:color w:val="auto"/>
        </w:rPr>
      </w:pPr>
    </w:p>
    <w:p>
      <w:pPr>
        <w:ind w:left="1040"/>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First Supplemental Indenture</w:t>
      </w:r>
      <w:r>
        <w:rPr>
          <w:sz w:val="20"/>
          <w:szCs w:val="20"/>
          <w:color w:val="auto"/>
        </w:rPr>
        <w:tab/>
      </w:r>
      <w:r>
        <w:rPr>
          <w:rFonts w:ascii="Courier New" w:cs="Courier New" w:eastAsia="Courier New" w:hAnsi="Courier New"/>
          <w:sz w:val="14"/>
          <w:szCs w:val="14"/>
          <w:color w:val="auto"/>
        </w:rPr>
        <w:t>March 1, 1949</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Second Supplemental Indenture</w:t>
      </w:r>
      <w:r>
        <w:rPr>
          <w:sz w:val="20"/>
          <w:szCs w:val="20"/>
          <w:color w:val="auto"/>
        </w:rPr>
        <w:tab/>
      </w:r>
      <w:r>
        <w:rPr>
          <w:rFonts w:ascii="Courier New" w:cs="Courier New" w:eastAsia="Courier New" w:hAnsi="Courier New"/>
          <w:sz w:val="14"/>
          <w:szCs w:val="14"/>
          <w:color w:val="auto"/>
        </w:rPr>
        <w:t>July 1, 1951</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Third Supplemental Indenture</w:t>
      </w:r>
      <w:r>
        <w:rPr>
          <w:sz w:val="20"/>
          <w:szCs w:val="20"/>
          <w:color w:val="auto"/>
        </w:rPr>
        <w:tab/>
      </w:r>
      <w:r>
        <w:rPr>
          <w:rFonts w:ascii="Courier New" w:cs="Courier New" w:eastAsia="Courier New" w:hAnsi="Courier New"/>
          <w:sz w:val="14"/>
          <w:szCs w:val="14"/>
          <w:color w:val="auto"/>
        </w:rPr>
        <w:t>March 1, 1957</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Fourth Supplemental Indenture</w:t>
      </w:r>
      <w:r>
        <w:rPr>
          <w:sz w:val="20"/>
          <w:szCs w:val="20"/>
          <w:color w:val="auto"/>
        </w:rPr>
        <w:tab/>
      </w:r>
      <w:r>
        <w:rPr>
          <w:rFonts w:ascii="Courier New" w:cs="Courier New" w:eastAsia="Courier New" w:hAnsi="Courier New"/>
          <w:sz w:val="14"/>
          <w:szCs w:val="14"/>
          <w:color w:val="auto"/>
        </w:rPr>
        <w:t>January 1, 1968</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Fifth Supplemental Indenture</w:t>
      </w:r>
      <w:r>
        <w:rPr>
          <w:sz w:val="20"/>
          <w:szCs w:val="20"/>
          <w:color w:val="auto"/>
        </w:rPr>
        <w:tab/>
      </w:r>
      <w:r>
        <w:rPr>
          <w:rFonts w:ascii="Courier New" w:cs="Courier New" w:eastAsia="Courier New" w:hAnsi="Courier New"/>
          <w:sz w:val="14"/>
          <w:szCs w:val="14"/>
          <w:color w:val="auto"/>
        </w:rPr>
        <w:t>April 1, 1971</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Sixth Supplemental Indenture</w:t>
      </w:r>
      <w:r>
        <w:rPr>
          <w:sz w:val="20"/>
          <w:szCs w:val="20"/>
          <w:color w:val="auto"/>
        </w:rPr>
        <w:tab/>
      </w:r>
      <w:r>
        <w:rPr>
          <w:rFonts w:ascii="Courier New" w:cs="Courier New" w:eastAsia="Courier New" w:hAnsi="Courier New"/>
          <w:sz w:val="14"/>
          <w:szCs w:val="14"/>
          <w:color w:val="auto"/>
        </w:rPr>
        <w:t>August 1, 1975</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Seventh Supplemental Indenture</w:t>
      </w:r>
      <w:r>
        <w:rPr>
          <w:sz w:val="20"/>
          <w:szCs w:val="20"/>
          <w:color w:val="auto"/>
        </w:rPr>
        <w:tab/>
      </w:r>
      <w:r>
        <w:rPr>
          <w:rFonts w:ascii="Courier New" w:cs="Courier New" w:eastAsia="Courier New" w:hAnsi="Courier New"/>
          <w:sz w:val="14"/>
          <w:szCs w:val="14"/>
          <w:color w:val="auto"/>
        </w:rPr>
        <w:t>September 1, 1976</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Eighth Supplemental Indenture</w:t>
      </w:r>
      <w:r>
        <w:rPr>
          <w:sz w:val="20"/>
          <w:szCs w:val="20"/>
          <w:color w:val="auto"/>
        </w:rPr>
        <w:tab/>
      </w:r>
      <w:r>
        <w:rPr>
          <w:rFonts w:ascii="Courier New" w:cs="Courier New" w:eastAsia="Courier New" w:hAnsi="Courier New"/>
          <w:sz w:val="14"/>
          <w:szCs w:val="14"/>
          <w:color w:val="auto"/>
        </w:rPr>
        <w:t>September 1, 1977</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Ninth Supplemental Indenture</w:t>
      </w:r>
      <w:r>
        <w:rPr>
          <w:sz w:val="20"/>
          <w:szCs w:val="20"/>
          <w:color w:val="auto"/>
        </w:rPr>
        <w:tab/>
      </w:r>
      <w:r>
        <w:rPr>
          <w:rFonts w:ascii="Courier New" w:cs="Courier New" w:eastAsia="Courier New" w:hAnsi="Courier New"/>
          <w:sz w:val="14"/>
          <w:szCs w:val="14"/>
          <w:color w:val="auto"/>
        </w:rPr>
        <w:t>April 1, 1978</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Tenth Supplemental Indenture</w:t>
      </w:r>
      <w:r>
        <w:rPr>
          <w:sz w:val="20"/>
          <w:szCs w:val="20"/>
          <w:color w:val="auto"/>
        </w:rPr>
        <w:tab/>
      </w:r>
      <w:r>
        <w:rPr>
          <w:rFonts w:ascii="Courier New" w:cs="Courier New" w:eastAsia="Courier New" w:hAnsi="Courier New"/>
          <w:sz w:val="14"/>
          <w:szCs w:val="14"/>
          <w:color w:val="auto"/>
        </w:rPr>
        <w:t>August 1, 1978</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Eleventh Supplemental Indenture</w:t>
      </w:r>
      <w:r>
        <w:rPr>
          <w:sz w:val="20"/>
          <w:szCs w:val="20"/>
          <w:color w:val="auto"/>
        </w:rPr>
        <w:tab/>
      </w:r>
      <w:r>
        <w:rPr>
          <w:rFonts w:ascii="Courier New" w:cs="Courier New" w:eastAsia="Courier New" w:hAnsi="Courier New"/>
          <w:sz w:val="14"/>
          <w:szCs w:val="14"/>
          <w:color w:val="auto"/>
        </w:rPr>
        <w:t>December 1, 1982</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Twelfth Supplemental Indenture</w:t>
      </w:r>
      <w:r>
        <w:rPr>
          <w:sz w:val="20"/>
          <w:szCs w:val="20"/>
          <w:color w:val="auto"/>
        </w:rPr>
        <w:tab/>
      </w:r>
      <w:r>
        <w:rPr>
          <w:rFonts w:ascii="Courier New" w:cs="Courier New" w:eastAsia="Courier New" w:hAnsi="Courier New"/>
          <w:sz w:val="14"/>
          <w:szCs w:val="14"/>
          <w:color w:val="auto"/>
        </w:rPr>
        <w:t>April 1, 1987</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Thirteenth Supplemental Indenture</w:t>
      </w:r>
      <w:r>
        <w:rPr>
          <w:sz w:val="20"/>
          <w:szCs w:val="20"/>
          <w:color w:val="auto"/>
        </w:rPr>
        <w:tab/>
      </w:r>
      <w:r>
        <w:rPr>
          <w:rFonts w:ascii="Courier New" w:cs="Courier New" w:eastAsia="Courier New" w:hAnsi="Courier New"/>
          <w:sz w:val="14"/>
          <w:szCs w:val="14"/>
          <w:color w:val="auto"/>
        </w:rPr>
        <w:t>March 1, 1992</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Fourteenth Supplemental Indenture</w:t>
      </w:r>
      <w:r>
        <w:rPr>
          <w:sz w:val="20"/>
          <w:szCs w:val="20"/>
          <w:color w:val="auto"/>
        </w:rPr>
        <w:tab/>
      </w:r>
      <w:r>
        <w:rPr>
          <w:rFonts w:ascii="Courier New" w:cs="Courier New" w:eastAsia="Courier New" w:hAnsi="Courier New"/>
          <w:sz w:val="14"/>
          <w:szCs w:val="14"/>
          <w:color w:val="auto"/>
        </w:rPr>
        <w:t>June 1, 1992</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Fifteenth Supplemental Indenture</w:t>
      </w:r>
      <w:r>
        <w:rPr>
          <w:sz w:val="20"/>
          <w:szCs w:val="20"/>
          <w:color w:val="auto"/>
        </w:rPr>
        <w:tab/>
      </w:r>
      <w:r>
        <w:rPr>
          <w:rFonts w:ascii="Courier New" w:cs="Courier New" w:eastAsia="Courier New" w:hAnsi="Courier New"/>
          <w:sz w:val="14"/>
          <w:szCs w:val="14"/>
          <w:color w:val="auto"/>
        </w:rPr>
        <w:t>July 1, 1992</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Sixteenth Supplemental Indenture</w:t>
      </w:r>
      <w:r>
        <w:rPr>
          <w:sz w:val="20"/>
          <w:szCs w:val="20"/>
          <w:color w:val="auto"/>
        </w:rPr>
        <w:tab/>
      </w:r>
      <w:r>
        <w:rPr>
          <w:rFonts w:ascii="Courier New" w:cs="Courier New" w:eastAsia="Courier New" w:hAnsi="Courier New"/>
          <w:sz w:val="14"/>
          <w:szCs w:val="14"/>
          <w:color w:val="auto"/>
        </w:rPr>
        <w:t>July 1, 1992</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Seventeenth Supplemental Indenture</w:t>
      </w:r>
      <w:r>
        <w:rPr>
          <w:sz w:val="20"/>
          <w:szCs w:val="20"/>
          <w:color w:val="auto"/>
        </w:rPr>
        <w:tab/>
      </w:r>
      <w:r>
        <w:rPr>
          <w:rFonts w:ascii="Courier New" w:cs="Courier New" w:eastAsia="Courier New" w:hAnsi="Courier New"/>
          <w:sz w:val="14"/>
          <w:szCs w:val="14"/>
          <w:color w:val="auto"/>
        </w:rPr>
        <w:t>February 1, 1993</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Eighteenth Supplemental Indenture</w:t>
      </w:r>
      <w:r>
        <w:rPr>
          <w:sz w:val="20"/>
          <w:szCs w:val="20"/>
          <w:color w:val="auto"/>
        </w:rPr>
        <w:tab/>
      </w:r>
      <w:r>
        <w:rPr>
          <w:rFonts w:ascii="Courier New" w:cs="Courier New" w:eastAsia="Courier New" w:hAnsi="Courier New"/>
          <w:sz w:val="14"/>
          <w:szCs w:val="14"/>
          <w:color w:val="auto"/>
        </w:rPr>
        <w:t>July 1, 1993</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Nineteenth Supplemental Indenture</w:t>
      </w:r>
      <w:r>
        <w:rPr>
          <w:sz w:val="20"/>
          <w:szCs w:val="20"/>
          <w:color w:val="auto"/>
        </w:rPr>
        <w:tab/>
      </w:r>
      <w:r>
        <w:rPr>
          <w:rFonts w:ascii="Courier New" w:cs="Courier New" w:eastAsia="Courier New" w:hAnsi="Courier New"/>
          <w:sz w:val="14"/>
          <w:szCs w:val="14"/>
          <w:color w:val="auto"/>
        </w:rPr>
        <w:t>February 1, 1997</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Twentieth Supplemental Indenture</w:t>
      </w:r>
      <w:r>
        <w:rPr>
          <w:sz w:val="20"/>
          <w:szCs w:val="20"/>
          <w:color w:val="auto"/>
        </w:rPr>
        <w:tab/>
      </w:r>
      <w:r>
        <w:rPr>
          <w:rFonts w:ascii="Courier New" w:cs="Courier New" w:eastAsia="Courier New" w:hAnsi="Courier New"/>
          <w:sz w:val="14"/>
          <w:szCs w:val="14"/>
          <w:color w:val="auto"/>
        </w:rPr>
        <w:t>November 1, 1997</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Twenty-first Supplemental Indenture</w:t>
      </w:r>
      <w:r>
        <w:rPr>
          <w:sz w:val="20"/>
          <w:szCs w:val="20"/>
          <w:color w:val="auto"/>
        </w:rPr>
        <w:tab/>
      </w:r>
      <w:r>
        <w:rPr>
          <w:rFonts w:ascii="Courier New" w:cs="Courier New" w:eastAsia="Courier New" w:hAnsi="Courier New"/>
          <w:sz w:val="14"/>
          <w:szCs w:val="14"/>
          <w:color w:val="auto"/>
        </w:rPr>
        <w:t>October 1, 2000</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Twenty-second Supplemental Indenture</w:t>
      </w:r>
      <w:r>
        <w:rPr>
          <w:sz w:val="20"/>
          <w:szCs w:val="20"/>
          <w:color w:val="auto"/>
        </w:rPr>
        <w:tab/>
      </w:r>
      <w:r>
        <w:rPr>
          <w:rFonts w:ascii="Courier New" w:cs="Courier New" w:eastAsia="Courier New" w:hAnsi="Courier New"/>
          <w:sz w:val="14"/>
          <w:szCs w:val="14"/>
          <w:color w:val="auto"/>
        </w:rPr>
        <w:t>July 1, 2003</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Twenty-third Supplemental Indenture</w:t>
      </w:r>
      <w:r>
        <w:rPr>
          <w:sz w:val="20"/>
          <w:szCs w:val="20"/>
          <w:color w:val="auto"/>
        </w:rPr>
        <w:tab/>
      </w:r>
      <w:r>
        <w:rPr>
          <w:rFonts w:ascii="Courier New" w:cs="Courier New" w:eastAsia="Courier New" w:hAnsi="Courier New"/>
          <w:sz w:val="14"/>
          <w:szCs w:val="14"/>
          <w:color w:val="auto"/>
        </w:rPr>
        <w:t>August 1, 2004</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Twenty-fourth Supplemental Indenture</w:t>
      </w:r>
      <w:r>
        <w:rPr>
          <w:sz w:val="20"/>
          <w:szCs w:val="20"/>
          <w:color w:val="auto"/>
        </w:rPr>
        <w:tab/>
      </w:r>
      <w:r>
        <w:rPr>
          <w:rFonts w:ascii="Courier New" w:cs="Courier New" w:eastAsia="Courier New" w:hAnsi="Courier New"/>
          <w:sz w:val="14"/>
          <w:szCs w:val="14"/>
          <w:color w:val="auto"/>
        </w:rPr>
        <w:t>March 1, 2005</w:t>
      </w:r>
    </w:p>
    <w:p>
      <w:pPr>
        <w:spacing w:after="0" w:line="7" w:lineRule="exact"/>
        <w:rPr>
          <w:sz w:val="20"/>
          <w:szCs w:val="20"/>
          <w:color w:val="auto"/>
        </w:rPr>
      </w:pPr>
    </w:p>
    <w:p>
      <w:pPr>
        <w:ind w:left="440"/>
        <w:spacing w:after="0"/>
        <w:tabs>
          <w:tab w:leader="dot" w:pos="5160" w:val="left"/>
        </w:tabs>
        <w:rPr>
          <w:sz w:val="20"/>
          <w:szCs w:val="20"/>
          <w:color w:val="auto"/>
        </w:rPr>
      </w:pPr>
      <w:r>
        <w:rPr>
          <w:rFonts w:ascii="Courier New" w:cs="Courier New" w:eastAsia="Courier New" w:hAnsi="Courier New"/>
          <w:sz w:val="14"/>
          <w:szCs w:val="14"/>
          <w:color w:val="auto"/>
        </w:rPr>
        <w:t>Twenty-fifth Supplemental Indenture</w:t>
      </w:r>
      <w:r>
        <w:rPr>
          <w:sz w:val="20"/>
          <w:szCs w:val="20"/>
          <w:color w:val="auto"/>
        </w:rPr>
        <w:tab/>
      </w:r>
      <w:r>
        <w:rPr>
          <w:rFonts w:ascii="Courier New" w:cs="Courier New" w:eastAsia="Courier New" w:hAnsi="Courier New"/>
          <w:sz w:val="14"/>
          <w:szCs w:val="14"/>
          <w:color w:val="auto"/>
        </w:rPr>
        <w:t>December 1, 2005</w:t>
      </w:r>
    </w:p>
    <w:p>
      <w:pPr>
        <w:sectPr>
          <w:pgSz w:w="11900" w:h="16838" w:orient="portrait"/>
          <w:cols w:equalWidth="0" w:num="1">
            <w:col w:w="10239"/>
          </w:cols>
          <w:pgMar w:left="220" w:top="616" w:right="1440" w:bottom="1440" w:gutter="0" w:footer="0" w:header="0"/>
        </w:sectPr>
      </w:pPr>
    </w:p>
    <w:bookmarkStart w:id="120" w:name="page121"/>
    <w:bookmarkEnd w:id="120"/>
    <w:p>
      <w:pPr>
        <w:jc w:val="center"/>
        <w:ind w:right="341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which supplemental indentures were filed and recorded in various official records in the State of Minnesota; and</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the Company has heretofore issued, in accordance with the provisions of the Mortgage, as heretofore supplemented, the following series of First Mortgage Bonds: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SERIES</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PRINCIPAL</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ISSUED</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r>
      <w:tr>
        <w:trPr>
          <w:trHeight w:val="166"/>
        </w:trPr>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1975.......................</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1979.......................</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3-5/8%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1981.......................</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4-3/4%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6-1/2%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1998.......................</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8-1/8%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2001.......................</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10-1/2% Series due 2005</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8.70% Series due 2006........................</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8.35% Series due 2007........................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9-1/4%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2008.......................</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Series A...................</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Series A..............</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Series B..............</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Series C..............</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Series B...................</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Series C...................</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Series D...................</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1, 1997..............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June</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1, 2007...............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7-1/2%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1, 2007 ............</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Series E...................</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 Series due</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March 1,</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2008..................</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6-1/4%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July</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1, 2003...............</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 Series due</w:t>
            </w:r>
          </w:p>
        </w:tc>
        <w:tc>
          <w:tcPr>
            <w:tcW w:w="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February</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15, 2007..............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60,000,000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60,000,000</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6.68% Series due November 15, 2007...........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20,000,000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20,000,000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Floating Rate</w:t>
            </w: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Series due October 20, 2003....</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Collateral Series</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255,000,000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Series F...................</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111,000,000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111,000,000</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5.28% Series due August 1, 2020..............</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35,000,000</w:t>
            </w:r>
          </w:p>
        </w:tc>
      </w:tr>
      <w:tr>
        <w:trPr>
          <w:trHeight w:val="166"/>
        </w:trPr>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5.69% Series due March</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1, 2036...............</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50,000,000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50,000,000</w:t>
            </w:r>
          </w:p>
        </w:tc>
      </w:tr>
      <w:tr>
        <w:trPr>
          <w:trHeight w:val="331"/>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which  bonds are also hereinafter  sometimes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called bonds of the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First through</w:t>
            </w:r>
          </w:p>
        </w:tc>
      </w:tr>
      <w:tr>
        <w:trPr>
          <w:trHeight w:val="166"/>
        </w:trPr>
        <w:tc>
          <w:tcPr>
            <w:tcW w:w="3920" w:type="dxa"/>
            <w:vAlign w:val="bottom"/>
            <w:gridSpan w:val="4"/>
          </w:tcPr>
          <w:p>
            <w:pPr>
              <w:spacing w:after="0"/>
              <w:rPr>
                <w:sz w:val="20"/>
                <w:szCs w:val="20"/>
                <w:color w:val="auto"/>
              </w:rPr>
            </w:pPr>
            <w:r>
              <w:rPr>
                <w:rFonts w:ascii="Courier New" w:cs="Courier New" w:eastAsia="Courier New" w:hAnsi="Courier New"/>
                <w:sz w:val="14"/>
                <w:szCs w:val="14"/>
                <w:color w:val="auto"/>
              </w:rPr>
              <w:t>Thirty-first Series, respectively; and</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w:t>
      </w:r>
    </w:p>
    <w:p>
      <w:pPr>
        <w:sectPr>
          <w:pgSz w:w="11900" w:h="16838" w:orient="portrait"/>
          <w:cols w:equalWidth="0" w:num="1">
            <w:col w:w="10239"/>
          </w:cols>
          <w:pgMar w:left="220" w:top="616" w:right="1440" w:bottom="1440" w:gutter="0" w:footer="0" w:header="0"/>
        </w:sectPr>
      </w:pPr>
    </w:p>
    <w:bookmarkStart w:id="121" w:name="page122"/>
    <w:bookmarkEnd w:id="121"/>
    <w:p>
      <w:pPr>
        <w:jc w:val="center"/>
        <w:ind w:right="341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WHEREAS, the Company now desires to create a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WHEREAS, the execution and delivery by the Company of this Twenty-sixth Supplemental Indenture, and the terms of the bonds of the Thirty-second Series, hereinafter referred to, have been duly authorized by the Board of Directors of the Company by appropriate resolutions of said Board of Directors;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and DOUGLAS J. MACINNES,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w:t>
      </w:r>
    </w:p>
    <w:p>
      <w:pPr>
        <w:sectPr>
          <w:pgSz w:w="11900" w:h="16838" w:orient="portrait"/>
          <w:cols w:equalWidth="0" w:num="1">
            <w:col w:w="10239"/>
          </w:cols>
          <w:pgMar w:left="220" w:top="616" w:right="1440" w:bottom="1440" w:gutter="0" w:footer="0" w:header="0"/>
        </w:sectPr>
      </w:pPr>
    </w:p>
    <w:bookmarkStart w:id="122" w:name="page123"/>
    <w:bookmarkEnd w:id="122"/>
    <w:p>
      <w:pPr>
        <w:jc w:val="center"/>
        <w:ind w:right="3419"/>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Twenty-sixth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34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PROVIDED that the following are not and are not intended to be now or hereafter granted, bargained, sold, released, conveyed, assigned, transferred, mortgaged, hypothecated, affected,</w:t>
      </w:r>
    </w:p>
    <w:p>
      <w:pPr>
        <w:sectPr>
          <w:pgSz w:w="11900" w:h="16838" w:orient="portrait"/>
          <w:cols w:equalWidth="0" w:num="1">
            <w:col w:w="10239"/>
          </w:cols>
          <w:pgMar w:left="220" w:top="616" w:right="1440" w:bottom="1440" w:gutter="0" w:footer="0" w:header="0"/>
        </w:sectPr>
      </w:pPr>
    </w:p>
    <w:bookmarkStart w:id="123" w:name="page124"/>
    <w:bookmarkEnd w:id="123"/>
    <w:p>
      <w:pPr>
        <w:jc w:val="center"/>
        <w:ind w:right="341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pledged, set over or confirmed hereunder and are hereby expressly excepted from the lien and operation of this Twenty-sixth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Twenty-sixth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34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 TRUST NEVERTHELESS, for the same purposes and upon the same terms, trusts and conditions and subject to and with the same provisos and covenants as are set forth in the Mortgage, as supplemented, this Twenty-sixth Supplemental Indenture being supplemental thereto.</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Company further covenants and agrees to and with the Trustees and their successors in said trust under the Mortgage as follows:</w:t>
      </w:r>
    </w:p>
    <w:p>
      <w:pPr>
        <w:sectPr>
          <w:pgSz w:w="11900" w:h="16838" w:orient="portrait"/>
          <w:cols w:equalWidth="0" w:num="1">
            <w:col w:w="10239"/>
          </w:cols>
          <w:pgMar w:left="220" w:top="616" w:right="1440" w:bottom="1440" w:gutter="0" w:footer="0" w:header="0"/>
        </w:sectPr>
      </w:pPr>
    </w:p>
    <w:bookmarkStart w:id="124" w:name="page125"/>
    <w:bookmarkEnd w:id="124"/>
    <w:p>
      <w:pPr>
        <w:ind w:left="33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THIRTY-SECOND SERIES OF BONDS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SECTION 1. There shall be a series of bonds designated "5.99% Series due February 1, 2027" (herein sometimes referred to as the "Thirty-second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Thirty-second Series shall be dated as in Section 10 of the Mortgage provided, mature on February 1, 2027, be issued as fully registered bonds in denominations of One Thousand Dollars and, at the option of the Company, in any multiple or multiples of One Thousand Dollars (the exercise of such option to be evidenced by the execution and delivery thereof) and bear interest from February 1, 2007 at the rate of 5.99% per annum, payable semi-annually on February 1 and August 1 of each year, commencing August 1, 2007,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3" w:lineRule="exact"/>
        <w:rPr>
          <w:sz w:val="20"/>
          <w:szCs w:val="20"/>
          <w:color w:val="auto"/>
        </w:rPr>
      </w:pPr>
    </w:p>
    <w:p>
      <w:pPr>
        <w:jc w:val="both"/>
        <w:ind w:right="3339" w:firstLine="439"/>
        <w:spacing w:after="0" w:line="250" w:lineRule="auto"/>
        <w:tabs>
          <w:tab w:leader="none" w:pos="103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PREPAYMENT. The Company may, at its option, upon notice as provided below, prepay at any time all, or from time to time any part of, the bonds of the Thirty-second Series at 100% of the principal amount so prepaid, and the Make-Whole Amount determined for the Settlement Date specified by the Company in such notice with respect to such principal amount. The Company will give each registered owner of Bonds of the Thirty-second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Thirty-second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Thirty-second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Thirty-second Series are not otherwise subject to voluntary or optional prepayment.</w:t>
      </w:r>
    </w:p>
    <w:p>
      <w:pPr>
        <w:sectPr>
          <w:pgSz w:w="11900" w:h="16838" w:orient="portrait"/>
          <w:cols w:equalWidth="0" w:num="1">
            <w:col w:w="10239"/>
          </w:cols>
          <w:pgMar w:left="220" w:top="616" w:right="1440" w:bottom="1440" w:gutter="0" w:footer="0" w:header="0"/>
        </w:sectPr>
      </w:pPr>
    </w:p>
    <w:bookmarkStart w:id="125" w:name="page126"/>
    <w:bookmarkEnd w:id="125"/>
    <w:p>
      <w:pPr>
        <w:ind w:left="33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firstLine="439"/>
        <w:spacing w:after="0" w:line="251" w:lineRule="auto"/>
        <w:tabs>
          <w:tab w:leader="none" w:pos="103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PARTIAL PREPAYMENTS. In the case of each partial prepayment of the bonds of the Thirty-second Series, the principal amount of the Bonds of the Thirty-second Series to be prepaid shall be allocated by the Company among all of the Bonds of the Thirty-second Series at the time outstanding in proportion, as nearly as practicable, to the respective unpaid principal amounts thereof not theretofore called for prepayment.</w:t>
      </w:r>
    </w:p>
    <w:p>
      <w:pPr>
        <w:spacing w:after="0" w:line="164" w:lineRule="exact"/>
        <w:rPr>
          <w:sz w:val="20"/>
          <w:szCs w:val="20"/>
          <w:color w:val="auto"/>
        </w:rPr>
      </w:pPr>
    </w:p>
    <w:p>
      <w:pPr>
        <w:jc w:val="both"/>
        <w:ind w:right="3339" w:firstLine="439"/>
        <w:spacing w:after="0" w:line="250" w:lineRule="auto"/>
        <w:tabs>
          <w:tab w:leader="none" w:pos="1034"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SURRENDER, ETC. In the case of each notice of prepayment of bonds of the Thirty-second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Thirty-second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Corporate Trustee before payment of such cash by the Corporate Trustee, for a substitute bond in the principal amount remaining unpaid.</w:t>
      </w:r>
    </w:p>
    <w:p>
      <w:pPr>
        <w:spacing w:after="0" w:line="344"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(IV)</w:t>
      </w:r>
      <w:r>
        <w:rPr>
          <w:sz w:val="20"/>
          <w:szCs w:val="20"/>
          <w:color w:val="auto"/>
        </w:rPr>
        <w:tab/>
      </w:r>
      <w:r>
        <w:rPr>
          <w:rFonts w:ascii="Courier New" w:cs="Courier New" w:eastAsia="Courier New" w:hAnsi="Courier New"/>
          <w:sz w:val="14"/>
          <w:szCs w:val="14"/>
          <w:color w:val="auto"/>
        </w:rPr>
        <w:t>MAKE-WHOLE AMOUNT.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"Make-Whole Amount" means, with respect to any bond of the Thirty-second Series, an amount equal to the excess, if any, of the Discounted Value of the Remaining Scheduled Payments with respect to the Called Principal of such bond of the Thirty-second Series over the amount of such Called Principal, provided that the Make-Whole Amount may in no event be less than zero. For the purposes of determining the Make-Whole Amount, the following terms have the following meanings:</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"Business Day" means any day other than a Saturday, a Sunday or a day on which commercial banks in New York City are required or authorized to be closed.</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"Called Principal" means, with respect to any bond of the Thirty-second Series, the principal of such bond that is to be prepaid pursuant to subsection (I) of this section.</w:t>
      </w:r>
    </w:p>
    <w:p>
      <w:pPr>
        <w:sectPr>
          <w:pgSz w:w="11900" w:h="16838" w:orient="portrait"/>
          <w:cols w:equalWidth="0" w:num="1">
            <w:col w:w="10239"/>
          </w:cols>
          <w:pgMar w:left="220" w:top="616" w:right="1440" w:bottom="1440" w:gutter="0" w:footer="0" w:header="0"/>
        </w:sectPr>
      </w:pPr>
    </w:p>
    <w:bookmarkStart w:id="126" w:name="page127"/>
    <w:bookmarkEnd w:id="126"/>
    <w:p>
      <w:pPr>
        <w:ind w:left="33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"Discounted Value" means, with respect to the Called Principal of any bond of the Thirty-second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Thirty-second Series is payable) equal to the Reinvestment Yield with respect to such Called Principal.</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"Reinvestment Yield" means, with respect to the Called Principal of any bond of the Thirty-second Series, 0.5% over the yield to maturity implied by (i) the yields reported as of 10:00 a.m. (New York City time) on the second Business Day preceding the Settlement Date with respect to such Called Principal, on the display designated as "Page PX1" (or such other display as may replace Page PX1 on Bloomberg Financial Markets ("Bloomberg") or, if Page PX1 (or its successor screen on Bloomberg) is unavailable, the Telerate Access Service screen which corresponds most closely to Page PX1 for the most recently issued actively traded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actively traded U.S. Treasury security with the maturity closest to and greater than such Remaining Average Life and (2) the actively traded U.S. Treasury security with the maturity closest to and less than such Remaining Average Life. The Reinvestment Yield shall be rounded to the number of decimal places as appears in the interest rate of the applicable bond of the Thirty-second Series.</w:t>
      </w:r>
    </w:p>
    <w:p>
      <w:pPr>
        <w:spacing w:after="0" w:line="17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"Remaining Scheduled Payments" means, with respect to the Called Principal of any Bond of the Thirty-second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Thirty-second Series, then the amount of the next succeeding scheduled interest payment will be reduced by the amount of interest accrued to such Settlement Date and required to be paid on such Settlement Date pursuant to subsection (I) of this section.</w:t>
      </w:r>
    </w:p>
    <w:p>
      <w:pPr>
        <w:sectPr>
          <w:pgSz w:w="11900" w:h="16838" w:orient="portrait"/>
          <w:cols w:equalWidth="0" w:num="1">
            <w:col w:w="10239"/>
          </w:cols>
          <w:pgMar w:left="220" w:top="616" w:right="1440" w:bottom="1440" w:gutter="0" w:footer="0" w:header="0"/>
        </w:sectPr>
      </w:pPr>
    </w:p>
    <w:bookmarkStart w:id="127" w:name="page128"/>
    <w:bookmarkEnd w:id="127"/>
    <w:p>
      <w:pPr>
        <w:ind w:left="33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"Settlement Date" means, with respect to the Called Principal of any Bond of the Thirty-second Series, the date on which such Called Principal is to be prepaid pursuant to subsection (I) of this section.</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or comptroller of the Company.</w:t>
      </w:r>
    </w:p>
    <w:p>
      <w:pPr>
        <w:spacing w:after="0" w:line="160" w:lineRule="exact"/>
        <w:rPr>
          <w:sz w:val="20"/>
          <w:szCs w:val="20"/>
          <w:color w:val="auto"/>
        </w:rPr>
      </w:pPr>
    </w:p>
    <w:p>
      <w:pPr>
        <w:jc w:val="both"/>
        <w:ind w:right="3339" w:firstLine="439"/>
        <w:spacing w:after="0" w:line="251" w:lineRule="auto"/>
        <w:tabs>
          <w:tab w:leader="none" w:pos="77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registered owner, any bonds of the Thirty-second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Bonds of the Thirty-second Series shall be transferable (subject to the provisions of Section 12 of the Mortgage) at the office or agency of the Company in the Borough of Manhattan, The City of New York. The Company shall not be required to make transfers or exchanges of bonds of the Thirty-second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Upon any exchange or transfer of bonds of the Thirty-second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Thirty-second Series.</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After the delivery of this Twenty-sixth Supplemental Indenture and upon compliance with the applicable provisions of the Mortgage and receipt of consideration therefor by the Company, there shall be an initial issue of bonds of the Thirty-second Series for the aggregate principal amount of $60,000,000.</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MISCELLANEOUS PROVISIONS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1. Section 126 of the Mortgage, as heretofore amended, is hereby further amended by adding the words "and February 1, 2027," after the words "and March 1, 2036."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Subject to the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amendments</w:t>
            </w:r>
          </w:p>
        </w:tc>
        <w:tc>
          <w:tcPr>
            <w:tcW w:w="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provided</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for in this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Twenty-sixth</w:t>
            </w:r>
          </w:p>
        </w:tc>
      </w:tr>
      <w:tr>
        <w:trPr>
          <w:trHeight w:val="166"/>
        </w:trPr>
        <w:tc>
          <w:tcPr>
            <w:tcW w:w="4620" w:type="dxa"/>
            <w:vAlign w:val="bottom"/>
            <w:gridSpan w:val="7"/>
          </w:tcPr>
          <w:p>
            <w:pPr>
              <w:spacing w:after="0"/>
              <w:rPr>
                <w:sz w:val="20"/>
                <w:szCs w:val="20"/>
                <w:color w:val="auto"/>
              </w:rPr>
            </w:pPr>
            <w:r>
              <w:rPr>
                <w:rFonts w:ascii="Courier New" w:cs="Courier New" w:eastAsia="Courier New" w:hAnsi="Courier New"/>
                <w:sz w:val="14"/>
                <w:szCs w:val="14"/>
                <w:color w:val="auto"/>
              </w:rPr>
              <w:t>Supplemental  Indenture,  the  terms  defined  in the</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Mortgage,</w:t>
            </w:r>
          </w:p>
        </w:tc>
        <w:tc>
          <w:tcPr>
            <w:tcW w:w="160" w:type="dxa"/>
            <w:vAlign w:val="bottom"/>
          </w:tcPr>
          <w:p>
            <w:pPr>
              <w:spacing w:after="0"/>
              <w:rPr>
                <w:sz w:val="20"/>
                <w:szCs w:val="20"/>
                <w:color w:val="auto"/>
              </w:rPr>
            </w:pPr>
            <w:r>
              <w:rPr>
                <w:rFonts w:ascii="Courier New" w:cs="Courier New" w:eastAsia="Courier New" w:hAnsi="Courier New"/>
                <w:sz w:val="14"/>
                <w:szCs w:val="14"/>
                <w:color w:val="auto"/>
                <w:w w:val="83"/>
              </w:rPr>
              <w:t>as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heretofore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supplemented,</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shall,</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for  all</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purposes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this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Twenty-sixth</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Supplemental</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Indenture,</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have</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meanings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specified</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in</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Mortgage,</w:t>
            </w:r>
          </w:p>
        </w:tc>
        <w:tc>
          <w:tcPr>
            <w:tcW w:w="160" w:type="dxa"/>
            <w:vAlign w:val="bottom"/>
          </w:tcPr>
          <w:p>
            <w:pPr>
              <w:spacing w:after="0"/>
              <w:rPr>
                <w:sz w:val="20"/>
                <w:szCs w:val="20"/>
                <w:color w:val="auto"/>
              </w:rPr>
            </w:pPr>
            <w:r>
              <w:rPr>
                <w:rFonts w:ascii="Courier New" w:cs="Courier New" w:eastAsia="Courier New" w:hAnsi="Courier New"/>
                <w:sz w:val="14"/>
                <w:szCs w:val="14"/>
                <w:color w:val="auto"/>
                <w:w w:val="83"/>
              </w:rPr>
              <w:t>as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heretofore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supplemented.</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3. The holders of bonds of the Thirty-second Series consent that the Company may, but shall not be obligated to, fix a record date for the purpose of determining the holders of bonds of the Thirty-second Series entitled to consent to any amendment, supplement or waiver.</w:t>
      </w:r>
    </w:p>
    <w:p>
      <w:pPr>
        <w:sectPr>
          <w:pgSz w:w="11900" w:h="16838" w:orient="portrait"/>
          <w:cols w:equalWidth="0" w:num="1">
            <w:col w:w="10239"/>
          </w:cols>
          <w:pgMar w:left="220" w:top="616" w:right="1440" w:bottom="1440" w:gutter="0" w:footer="0" w:header="0"/>
        </w:sectPr>
      </w:pPr>
    </w:p>
    <w:bookmarkStart w:id="128" w:name="page129"/>
    <w:bookmarkEnd w:id="128"/>
    <w:p>
      <w:pPr>
        <w:jc w:val="center"/>
        <w:ind w:right="3339"/>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Trustees shall not be responsible in any manner whatsoever for or in respect of the validity or sufficiency of this Twenty-sixth Supplemental Indenture or for or in respect of the recitals contained herein, all of which recitals are made by the Company solely. In general, each and every term and condition contained in Article XVII of the Mortgage shall apply to and form part of this Twenty-sixth Supplemental Indenture with the same force and effect as if the same were herein set forth in full with such omissions, variations and insertions, if any, as may be appropriate to make the same conform to the provisions of this Twenty-sixth Supplemental Indenture.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5. Whenever in this Twenty-sixth Supplemental Indenture any party hereto is named or referred to, this shall, subject to the provisions of Articles XVI and XVII of the Mortgage, as heretofore supplemented, be deemed to include the successors or assigns of such party, and all the covenants and agreements in this Twenty-sixth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6. Nothing in this Twenty-sixth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Twenty-sixth Supplemental Indenture or any covenant, condition, stipulation, promise or agreement hereof, and all the covenants, conditions, stipulations, promises and agreements in this Twenty-sixth Supplemental Indenture contained by and on behalf of the Company shall be for the sole and exclusive benefit of the parties hereto, and of the holders of the bonds and of the coupons Outstanding under the Mortgage.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7. This Twenty-sixth Supplemental Indenture shall be executed in several counterparts, each of which shall be an original and all of which shall constitute but one and the same instrument.</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SECTION 8. The Company, the mortgagor named herein, by its execution hereof acknowledges receipt of a full, true and complete copy of this Twenty-sixth Supplemental Indenture.</w:t>
      </w:r>
    </w:p>
    <w:p>
      <w:pPr>
        <w:sectPr>
          <w:pgSz w:w="11900" w:h="16838" w:orient="portrait"/>
          <w:cols w:equalWidth="0" w:num="1">
            <w:col w:w="10239"/>
          </w:cols>
          <w:pgMar w:left="220" w:top="616" w:right="1440" w:bottom="1440" w:gutter="0" w:footer="0" w:header="0"/>
        </w:sectPr>
      </w:pPr>
    </w:p>
    <w:bookmarkStart w:id="129" w:name="page130"/>
    <w:bookmarkEnd w:id="129"/>
    <w:p>
      <w:pPr>
        <w:jc w:val="center"/>
        <w:ind w:right="3339"/>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WITNESS WHEREOF, ALLETE, Inc. has caused its corporate name to be hereunto affixed, and this instrument to be signed and sealed by its President or one of its Vice Presidents, and its corporate seal to be attested by its Secretary or one of its Assistant Secretaries for and in its behalf, all in the City of Duluth, Minnesota, and The Bank of New York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has hereunto set his hand and affixed his seal, all in The City of New York, as of the day and year first above written.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Mark A. Schober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Senior Vice President &amp; Chief Financial</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Deborah A. Amberg</w:t>
      </w:r>
    </w:p>
    <w:p>
      <w:pPr>
        <w:spacing w:after="0" w:line="7" w:lineRule="exact"/>
        <w:rPr>
          <w:sz w:val="20"/>
          <w:szCs w:val="20"/>
          <w:color w:val="auto"/>
        </w:rPr>
      </w:pPr>
    </w:p>
    <w:p>
      <w:pPr>
        <w:ind w:left="180" w:hanging="172"/>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Deborah A. Amberg</w:t>
      </w:r>
    </w:p>
    <w:p>
      <w:pPr>
        <w:spacing w:after="0" w:line="7" w:lineRule="exact"/>
        <w:rPr>
          <w:rFonts w:ascii="Courier New" w:cs="Courier New" w:eastAsia="Courier New" w:hAnsi="Courier New"/>
          <w:sz w:val="14"/>
          <w:szCs w:val="14"/>
          <w:color w:val="auto"/>
        </w:rPr>
      </w:pPr>
    </w:p>
    <w:p>
      <w:pPr>
        <w:ind w:right="69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Senior Vice President, General Counsel &amp; Secretary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sealed and delivered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in the presence 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Kristie Lindstrom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Susan Romans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130" w:name="page131"/>
    <w:bookmarkEnd w:id="130"/>
    <w:p>
      <w:pPr>
        <w:ind w:left="33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as Trustee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Mary K. LaGumina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Printed Name: Mary K. LaGumina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Alexander Pabon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Alexander Pabon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Assistant Vice President</w:t>
      </w:r>
    </w:p>
    <w:p>
      <w:pPr>
        <w:spacing w:after="0" w:line="173" w:lineRule="exact"/>
        <w:rPr>
          <w:sz w:val="20"/>
          <w:szCs w:val="20"/>
          <w:color w:val="auto"/>
        </w:rPr>
      </w:pPr>
    </w:p>
    <w:p>
      <w:pPr>
        <w:jc w:val="right"/>
        <w:ind w:right="3339"/>
        <w:spacing w:after="0"/>
        <w:tabs>
          <w:tab w:leader="none" w:pos="320" w:val="left"/>
        </w:tabs>
        <w:rPr>
          <w:sz w:val="20"/>
          <w:szCs w:val="20"/>
          <w:color w:val="auto"/>
        </w:rPr>
      </w:pPr>
      <w:r>
        <w:rPr>
          <w:rFonts w:ascii="Courier New" w:cs="Courier New" w:eastAsia="Courier New" w:hAnsi="Courier New"/>
          <w:sz w:val="14"/>
          <w:szCs w:val="14"/>
          <w:color w:val="auto"/>
        </w:rPr>
        <w:t>/s/ Douglas J. MacInnes</w:t>
      </w:r>
      <w:r>
        <w:rPr>
          <w:sz w:val="20"/>
          <w:szCs w:val="20"/>
          <w:color w:val="auto"/>
        </w:rPr>
        <w:tab/>
      </w:r>
      <w:r>
        <w:rPr>
          <w:rFonts w:ascii="Courier New" w:cs="Courier New" w:eastAsia="Courier New" w:hAnsi="Courier New"/>
          <w:sz w:val="14"/>
          <w:szCs w:val="14"/>
          <w:color w:val="auto"/>
        </w:rPr>
        <w:t>L.S.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DOUGLAS J. MACINNES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sealed and delivered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DOUGLAS J. MACINNES in the presence 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Franca Ferrera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Sean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bookmarkStart w:id="131" w:name="page132"/>
    <w:bookmarkEnd w:id="131"/>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501" w:lineRule="auto"/>
        <w:rPr>
          <w:sz w:val="20"/>
          <w:szCs w:val="20"/>
          <w:color w:val="auto"/>
        </w:rPr>
      </w:pPr>
      <w:r>
        <w:rPr>
          <w:rFonts w:ascii="Courier New" w:cs="Courier New" w:eastAsia="Courier New" w:hAnsi="Courier New"/>
          <w:sz w:val="14"/>
          <w:szCs w:val="14"/>
          <w:color w:val="auto"/>
        </w:rPr>
        <w:t>STATE OF MINNESOTA COUNTY OF ST. LOUIS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640" w:space="340"/>
            <w:col w:w="8259"/>
          </w:cols>
          <w:pgMar w:left="220" w:top="616"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this 18th day of January, 2007, before me, a Notary Public within and for said County, personally appeared Mark A. Schober and Deborah A. Amberg, to me personally known, who, being each by me duly sworn, did say that they are respectively the Senior Vice President and Chief Financial Officer and the Senior Vice President, General Counsel, and Secretary of ALLETE, INC. of the State of Minnesota, the corporation named in the foregoing instrument; that the seal affixed to the foregoing instrument is the corporate seal of said corporation; that said instrument was signed and sealed in behalf of said corporation by authority of its Board of Directors; and said Mark A. Schober and Deborah A. Amberg acknowledged said instrument to be the free act and deed of said corporation.</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Personally came before me on this 18th day of January, 2007, Mark A. Schober, to me known to be the Senior Vice President and Chief Financial Officer, and Deborah A. Amberg, to me known to be the Senior Vice President, General Counsel, and Secretary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Chief Financial Officer and the Senior 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Mark A. Schober and Deborah A. Amberg then and there acknowledged said instrument to be the free act and deed of said corporation and that such corporation executed the same.</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the 18th day of January, 2007, before me personally came Mark A. Schober and Deborah A. Amberg, to me known, who, being by me duly sworn, did depose and say that they respectively reside at 202 W. Owatonna Street, Duluth, Minnesota, and 2738 Northridge Drive, Duluth, Minnesota; that they are respectively the Senior Vice President and Chief Financial Officer and the Senior Vice President, General Counsel,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GIVEN under my hand and notarial seal this 18th day of January, 2007.</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[NOTARY PUBLIC SEAL]</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JODI M. NASH</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NOTARY PUBLIC - MINNEOSTA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My Commission Expires Jan 31, 2010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Jodi Nash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 1/31/2010</w:t>
      </w:r>
    </w:p>
    <w:p>
      <w:pPr>
        <w:sectPr>
          <w:pgSz w:w="11900" w:h="16838" w:orient="portrait"/>
          <w:cols w:equalWidth="0" w:num="2">
            <w:col w:w="3500" w:space="720"/>
            <w:col w:w="6019"/>
          </w:cols>
          <w:pgMar w:left="220" w:top="616" w:right="1440" w:bottom="1440" w:gutter="0" w:footer="0" w:header="0"/>
          <w:type w:val="continuous"/>
        </w:sectPr>
      </w:pPr>
    </w:p>
    <w:bookmarkStart w:id="132" w:name="page133"/>
    <w:bookmarkEnd w:id="132"/>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501" w:lineRule="auto"/>
        <w:rPr>
          <w:sz w:val="20"/>
          <w:szCs w:val="20"/>
          <w:color w:val="auto"/>
        </w:rPr>
      </w:pPr>
      <w:r>
        <w:rPr>
          <w:rFonts w:ascii="Courier New" w:cs="Courier New" w:eastAsia="Courier New" w:hAnsi="Courier New"/>
          <w:sz w:val="14"/>
          <w:szCs w:val="14"/>
          <w:color w:val="auto"/>
        </w:rPr>
        <w:t>STATE OF NEW YORK COUNTY OF NEW YORK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560" w:space="420"/>
            <w:col w:w="8259"/>
          </w:cols>
          <w:pgMar w:left="220" w:top="616"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this 7th day of December, 2006, before me, a Notary Public within and for said County, personally appeared Mary K. LaGumina and Alexander Pabon, to me personally known, who, being each by me duly sworn, did say that they are respectively a Vice President and an Assistant Vice President of THE BANK OF NEW YORK of the State of New York, the corporation named in the foregoing instrument; that the seal affixed to the foregoing instrument is the corporate seal of said corporation; that said instrument was signed and sealed in behalf of said corporation by authority of its Board of Directors; and said Mary K. LaGumina and Alexander Pabon acknowledged said instrument to be the free act and deed of said corporation.</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Personally came before me on this 7th day of December, 2006, Mary K. LaGumina, to me known to be a Vice President, and Alexander Pabon, to me known to be an Assistant Vice President, of the above named THE BANK OF NEW YORK,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a Vice President and an Assistant Vice President of said corporation; that the seal affixed to said instrument is the corporate seal of said corporation; and that they signed, sealed and delivered said instrument in the name and on behalf of said corporation by authority of its Board of Directors, and said Mary K. LaGumina and Alexander Pabon then and there acknowledged said instrument to be the free act and deed of said corporation and that such corporation executed the same.</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the 7th day of December, 2006, before me personally came Mary K. LaGumina and Alexander Pabon, to me known, who, being by me duly sworn, did depose and say that they respectively reside at 17 The Quarter Deck, Port Washington, NY 11233, and 245 Seaman Avenue, Apt. 1-E, New York, NY 10034; that they are respectively a Vice President and an Assistant Vice President of THE BANK OF NEW YORK,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GIVEN under my hand and notarial seal this 7th day of December, 2006.</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CARLOS R. LUCIANO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 41-4765897</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Qualified in Queens County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Commission Expires 4/30/2010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Carlos R. Luciano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 State of New York</w:t>
      </w:r>
    </w:p>
    <w:p>
      <w:pPr>
        <w:sectPr>
          <w:pgSz w:w="11900" w:h="16838" w:orient="portrait"/>
          <w:cols w:equalWidth="0" w:num="2">
            <w:col w:w="3420" w:space="720"/>
            <w:col w:w="6099"/>
          </w:cols>
          <w:pgMar w:left="220" w:top="616" w:right="1440" w:bottom="1440" w:gutter="0" w:footer="0" w:header="0"/>
          <w:type w:val="continuous"/>
        </w:sectPr>
      </w:pPr>
    </w:p>
    <w:bookmarkStart w:id="133" w:name="page134"/>
    <w:bookmarkEnd w:id="133"/>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501" w:lineRule="auto"/>
        <w:rPr>
          <w:sz w:val="20"/>
          <w:szCs w:val="20"/>
          <w:color w:val="auto"/>
        </w:rPr>
      </w:pPr>
      <w:r>
        <w:rPr>
          <w:rFonts w:ascii="Courier New" w:cs="Courier New" w:eastAsia="Courier New" w:hAnsi="Courier New"/>
          <w:sz w:val="14"/>
          <w:szCs w:val="14"/>
          <w:color w:val="auto"/>
        </w:rPr>
        <w:t>STATE OF NEW YORK COUNTY OF NEW YORK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560" w:space="420"/>
            <w:col w:w="8259"/>
          </w:cols>
          <w:pgMar w:left="220" w:top="616" w:right="1440" w:bottom="1440" w:gutter="0" w:footer="0" w:header="0"/>
          <w:type w:val="continuous"/>
        </w:sect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On this 7th day of December, 2006, before me personally appeared DOUGLAS J. MACINNES, to me known to be the person described in and who executed the foregoing instrument, and acknowledged that he executed the same as his free act and deed.</w:t>
      </w:r>
    </w:p>
    <w:p>
      <w:pPr>
        <w:spacing w:after="0" w:line="327"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Personally came before me this 7th day of December, 2006, the above named DOUGLAS J. MACINNES, to me known to be the person who executed the foregoing instrument, and acknowledged the same.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 the 7th day of December, 2006, before me personally came DOUGLAS J. MACINNES, to me known to be the person described in and who executed the foregoing instrument, and acknowledged that he executed the same.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GIVEN under my hand and notarial seal this 7th day of December, 2006.</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CARLOS R. LUCIANO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 41-4765897</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Qualified in Queens County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Commission Expires 4/30/2010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Carlos R. Luciano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 State of New York</w:t>
      </w:r>
    </w:p>
    <w:p>
      <w:pPr>
        <w:sectPr>
          <w:pgSz w:w="11900" w:h="16838" w:orient="portrait"/>
          <w:cols w:equalWidth="0" w:num="2">
            <w:col w:w="3420" w:space="720"/>
            <w:col w:w="6099"/>
          </w:cols>
          <w:pgMar w:left="220" w:top="616" w:right="1440" w:bottom="1440" w:gutter="0" w:footer="0" w:header="0"/>
          <w:type w:val="continuous"/>
        </w:sectPr>
      </w:pPr>
    </w:p>
    <w:bookmarkStart w:id="134" w:name="page135"/>
    <w:bookmarkEnd w:id="134"/>
    <w:p>
      <w:pPr>
        <w:jc w:val="right"/>
        <w:ind w:right="3339"/>
        <w:spacing w:after="0"/>
        <w:tabs>
          <w:tab w:leader="none" w:pos="500" w:val="left"/>
        </w:tabs>
        <w:rPr>
          <w:sz w:val="20"/>
          <w:szCs w:val="20"/>
          <w:color w:val="auto"/>
        </w:rPr>
      </w:pPr>
      <w:r>
        <w:rPr>
          <w:rFonts w:ascii="Courier New" w:cs="Courier New" w:eastAsia="Courier New" w:hAnsi="Courier New"/>
          <w:sz w:val="14"/>
          <w:szCs w:val="14"/>
          <w:color w:val="auto"/>
        </w:rPr>
        <w:t>EXHIBIT</w:t>
        <w:tab/>
        <w:t>10(d)3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SECOND AMENDMENT TO</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FOURTH AMENDED AND RESTATED COMMITTED FACILITY LETTER</w:t>
      </w:r>
    </w:p>
    <w:p>
      <w:pPr>
        <w:spacing w:after="0" w:line="173" w:lineRule="exact"/>
        <w:rPr>
          <w:sz w:val="20"/>
          <w:szCs w:val="20"/>
          <w:color w:val="auto"/>
        </w:rPr>
      </w:pPr>
    </w:p>
    <w:p>
      <w:pPr>
        <w:jc w:val="both"/>
        <w:ind w:right="3339" w:firstLine="689"/>
        <w:spacing w:after="0" w:line="251" w:lineRule="auto"/>
        <w:rPr>
          <w:sz w:val="20"/>
          <w:szCs w:val="20"/>
          <w:color w:val="auto"/>
        </w:rPr>
      </w:pPr>
      <w:r>
        <w:rPr>
          <w:rFonts w:ascii="Courier New" w:cs="Courier New" w:eastAsia="Courier New" w:hAnsi="Courier New"/>
          <w:sz w:val="14"/>
          <w:szCs w:val="14"/>
          <w:color w:val="auto"/>
        </w:rPr>
        <w:t>This Second Amendment to Fourth Amended and Restated Committed Facility Letter (this "AMENDMENT") is dated as of December 14, 2006, by and among ALLETE, INC., a Minnesota corporation (the "COMPANY"), the banks from time to time party to the Committed Facility Letter (as hereinafter defined) (each a "BANK" and collectively the "BANKS") and LASALLE BANK NATIONAL ASSOCIATION, in its capacity as agent for the Banks (in such capacity, the "AGENT").</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WITNESSETH THAT:</w:t>
      </w:r>
    </w:p>
    <w:p>
      <w:pPr>
        <w:spacing w:after="0" w:line="173" w:lineRule="exact"/>
        <w:rPr>
          <w:sz w:val="20"/>
          <w:szCs w:val="20"/>
          <w:color w:val="auto"/>
        </w:rPr>
      </w:pPr>
    </w:p>
    <w:p>
      <w:pPr>
        <w:jc w:val="both"/>
        <w:ind w:right="3339" w:firstLine="689"/>
        <w:spacing w:after="0" w:line="251" w:lineRule="auto"/>
        <w:rPr>
          <w:sz w:val="20"/>
          <w:szCs w:val="20"/>
          <w:color w:val="auto"/>
        </w:rPr>
      </w:pPr>
      <w:r>
        <w:rPr>
          <w:rFonts w:ascii="Courier New" w:cs="Courier New" w:eastAsia="Courier New" w:hAnsi="Courier New"/>
          <w:sz w:val="14"/>
          <w:szCs w:val="14"/>
          <w:color w:val="auto"/>
        </w:rPr>
        <w:t>WHEREAS, the Company, the Banks and the Agent are party to that certain Fourth Amended and Restated Committed Facility Letter dated as of January 11, 2006 (as amended by that certain First Amendment to Fourth Amended and Restated Committed Facility Letter dated as of June 9, 2006, together with all exhibits, schedules, attachments, appendices and further amendments thereof, the "COMMITTED FACILITY LETTER"); and</w:t>
      </w:r>
    </w:p>
    <w:p>
      <w:pPr>
        <w:spacing w:after="0" w:line="164" w:lineRule="exact"/>
        <w:rPr>
          <w:sz w:val="20"/>
          <w:szCs w:val="20"/>
          <w:color w:val="auto"/>
        </w:rPr>
      </w:pPr>
    </w:p>
    <w:p>
      <w:pPr>
        <w:jc w:val="both"/>
        <w:ind w:right="3339" w:firstLine="689"/>
        <w:spacing w:after="0" w:line="252" w:lineRule="auto"/>
        <w:rPr>
          <w:sz w:val="20"/>
          <w:szCs w:val="20"/>
          <w:color w:val="auto"/>
        </w:rPr>
      </w:pPr>
      <w:r>
        <w:rPr>
          <w:rFonts w:ascii="Courier New" w:cs="Courier New" w:eastAsia="Courier New" w:hAnsi="Courier New"/>
          <w:sz w:val="14"/>
          <w:szCs w:val="14"/>
          <w:color w:val="auto"/>
        </w:rPr>
        <w:t>WHEREAS, the Company has requested that the Committed Facility Letter be amended as set forth herein and the Banks are agreeable to such request on the terms and subject to the conditions set forth herein;</w:t>
      </w:r>
    </w:p>
    <w:p>
      <w:pPr>
        <w:spacing w:after="0" w:line="163" w:lineRule="exact"/>
        <w:rPr>
          <w:sz w:val="20"/>
          <w:szCs w:val="20"/>
          <w:color w:val="auto"/>
        </w:rPr>
      </w:pPr>
    </w:p>
    <w:p>
      <w:pPr>
        <w:jc w:val="both"/>
        <w:ind w:right="3339" w:firstLine="689"/>
        <w:spacing w:after="0" w:line="252"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is hereby acknowledged, the Company, the Banks and the Agent hereby agree as set forth below.</w:t>
      </w:r>
    </w:p>
    <w:p>
      <w:pPr>
        <w:spacing w:after="0" w:line="163" w:lineRule="exact"/>
        <w:rPr>
          <w:sz w:val="20"/>
          <w:szCs w:val="20"/>
          <w:color w:val="auto"/>
        </w:rPr>
      </w:pPr>
    </w:p>
    <w:p>
      <w:pPr>
        <w:ind w:left="700" w:hanging="261"/>
        <w:spacing w:after="0"/>
        <w:tabs>
          <w:tab w:leader="none" w:pos="7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Committed Facility Letter is amended as follows:</w:t>
      </w:r>
    </w:p>
    <w:p>
      <w:pPr>
        <w:spacing w:after="0" w:line="172" w:lineRule="exact"/>
        <w:rPr>
          <w:rFonts w:ascii="Courier New" w:cs="Courier New" w:eastAsia="Courier New" w:hAnsi="Courier New"/>
          <w:sz w:val="14"/>
          <w:szCs w:val="14"/>
          <w:color w:val="auto"/>
        </w:rPr>
      </w:pPr>
    </w:p>
    <w:p>
      <w:pPr>
        <w:jc w:val="both"/>
        <w:ind w:left="440" w:right="3339" w:firstLine="688"/>
        <w:spacing w:after="0" w:line="253" w:lineRule="auto"/>
        <w:tabs>
          <w:tab w:leader="none" w:pos="1474"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defined term "INITIAL MATURITY DATE" appearing in the second sentence of Section 1(f) ("MATURITY") is hereby amended by deleting the date "January 11, 2011" and substituting the date "January 11, 2012" therefor.</w:t>
      </w:r>
    </w:p>
    <w:p>
      <w:pPr>
        <w:spacing w:after="0" w:line="326" w:lineRule="exact"/>
        <w:rPr>
          <w:rFonts w:ascii="Courier New" w:cs="Courier New" w:eastAsia="Courier New" w:hAnsi="Courier New"/>
          <w:sz w:val="14"/>
          <w:szCs w:val="14"/>
          <w:color w:val="auto"/>
        </w:rPr>
      </w:pPr>
    </w:p>
    <w:p>
      <w:pPr>
        <w:jc w:val="both"/>
        <w:ind w:left="440" w:right="3339" w:firstLine="688"/>
        <w:spacing w:after="0" w:line="251" w:lineRule="auto"/>
        <w:tabs>
          <w:tab w:leader="none" w:pos="1474"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defined term "EXTENDED MATURITY DATE" appearing in the second paragraph of Section 1(f) is hereby amended by deleting the dates "January 11, 2012" and "January 11, 2013" appearing in clauses (i) and (ii) thereof and substituting therefor the dates "January 11, 2013" and "January 11, 2014", respectively.</w:t>
      </w:r>
    </w:p>
    <w:p>
      <w:pPr>
        <w:spacing w:after="0" w:line="164" w:lineRule="exact"/>
        <w:rPr>
          <w:rFonts w:ascii="Courier New" w:cs="Courier New" w:eastAsia="Courier New" w:hAnsi="Courier New"/>
          <w:sz w:val="14"/>
          <w:szCs w:val="14"/>
          <w:color w:val="auto"/>
        </w:rPr>
      </w:pPr>
    </w:p>
    <w:p>
      <w:pPr>
        <w:jc w:val="both"/>
        <w:ind w:left="440" w:right="3339" w:firstLine="688"/>
        <w:spacing w:after="0" w:line="252" w:lineRule="auto"/>
        <w:tabs>
          <w:tab w:leader="none" w:pos="1474"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"APPLICABLE MARGIN" appearing in Section 8 is hereby amended by deleting said definition in its entirety and substituting the following new definition in lieu thereof:</w:t>
      </w:r>
    </w:p>
    <w:p>
      <w:pPr>
        <w:spacing w:after="0" w:line="163" w:lineRule="exact"/>
        <w:rPr>
          <w:sz w:val="20"/>
          <w:szCs w:val="20"/>
          <w:color w:val="auto"/>
        </w:rPr>
      </w:pPr>
    </w:p>
    <w:p>
      <w:pPr>
        <w:jc w:val="both"/>
        <w:ind w:left="700" w:right="3339"/>
        <w:spacing w:after="0" w:line="251" w:lineRule="auto"/>
        <w:rPr>
          <w:sz w:val="20"/>
          <w:szCs w:val="20"/>
          <w:color w:val="auto"/>
        </w:rPr>
      </w:pPr>
      <w:r>
        <w:rPr>
          <w:rFonts w:ascii="Courier New" w:cs="Courier New" w:eastAsia="Courier New" w:hAnsi="Courier New"/>
          <w:sz w:val="14"/>
          <w:szCs w:val="14"/>
          <w:color w:val="auto"/>
        </w:rPr>
        <w:t>"APPLICABLE MARGIN" means (i) with respect to Eurodollar Loans, (a) 0.180% per annum for any day Level I Status exists; (b) 0.270% per annum for any day Level II Status exists; (c) 0.350% per annum for any day Level III Status exists; (d) 0.425% per annum for any day Level IV Status exists;</w:t>
      </w:r>
    </w:p>
    <w:p>
      <w:pPr>
        <w:sectPr>
          <w:pgSz w:w="11900" w:h="16838" w:orient="portrait"/>
          <w:cols w:equalWidth="0" w:num="1">
            <w:col w:w="10239"/>
          </w:cols>
          <w:pgMar w:left="220" w:top="307" w:right="1440" w:bottom="1440" w:gutter="0" w:footer="0" w:header="0"/>
        </w:sectPr>
      </w:pPr>
    </w:p>
    <w:bookmarkStart w:id="135" w:name="page136"/>
    <w:bookmarkEnd w:id="135"/>
    <w:p>
      <w:pPr>
        <w:jc w:val="both"/>
        <w:ind w:left="3" w:right="3339" w:hanging="3"/>
        <w:spacing w:after="0" w:line="252" w:lineRule="auto"/>
        <w:tabs>
          <w:tab w:leader="none" w:pos="34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0.525% per annum for any day Level V Status exists, and (f) 0.800% per annum for any day Level VI Status exists; and (ii) with respect to Prime Rate Loans, 0.000% per annum.</w:t>
      </w:r>
    </w:p>
    <w:p>
      <w:pPr>
        <w:spacing w:after="0" w:line="162" w:lineRule="exact"/>
        <w:rPr>
          <w:rFonts w:ascii="Courier New" w:cs="Courier New" w:eastAsia="Courier New" w:hAnsi="Courier New"/>
          <w:sz w:val="14"/>
          <w:szCs w:val="14"/>
          <w:color w:val="auto"/>
        </w:rPr>
      </w:pPr>
    </w:p>
    <w:p>
      <w:pPr>
        <w:ind w:left="-257" w:right="3339" w:firstLine="688"/>
        <w:spacing w:after="0" w:line="255" w:lineRule="auto"/>
        <w:tabs>
          <w:tab w:leader="none" w:pos="776"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"FUNDED DEBT" appearing in Section 8 is hereby amended by deleting clauses (d) and (e) thereof.</w:t>
      </w:r>
    </w:p>
    <w:p>
      <w:pPr>
        <w:spacing w:after="0" w:line="159" w:lineRule="exact"/>
        <w:rPr>
          <w:rFonts w:ascii="Courier New" w:cs="Courier New" w:eastAsia="Courier New" w:hAnsi="Courier New"/>
          <w:sz w:val="14"/>
          <w:szCs w:val="14"/>
          <w:color w:val="auto"/>
        </w:rPr>
      </w:pPr>
    </w:p>
    <w:p>
      <w:pPr>
        <w:jc w:val="both"/>
        <w:ind w:left="-257" w:right="3339" w:firstLine="688"/>
        <w:spacing w:after="0" w:line="252" w:lineRule="auto"/>
        <w:tabs>
          <w:tab w:leader="none" w:pos="776"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"FACILITY FEE RATE" appearing in Section 8 is hereby amended by deleting said definition in its entirety and substituting the following new definition in lieu thereof:</w:t>
      </w:r>
    </w:p>
    <w:p>
      <w:pPr>
        <w:spacing w:after="0" w:line="163" w:lineRule="exact"/>
        <w:rPr>
          <w:sz w:val="20"/>
          <w:szCs w:val="20"/>
          <w:color w:val="auto"/>
        </w:rPr>
      </w:pPr>
    </w:p>
    <w:p>
      <w:pPr>
        <w:jc w:val="both"/>
        <w:ind w:left="3" w:right="3339"/>
        <w:spacing w:after="0" w:line="251" w:lineRule="auto"/>
        <w:rPr>
          <w:sz w:val="20"/>
          <w:szCs w:val="20"/>
          <w:color w:val="auto"/>
        </w:rPr>
      </w:pPr>
      <w:r>
        <w:rPr>
          <w:rFonts w:ascii="Courier New" w:cs="Courier New" w:eastAsia="Courier New" w:hAnsi="Courier New"/>
          <w:sz w:val="14"/>
          <w:szCs w:val="14"/>
          <w:color w:val="auto"/>
        </w:rPr>
        <w:t>"FACILITY FEE RATE" means a rate equal to (i) 0.070% per annum for any day Level I Status exists; (ii) 0.080% per annum for any day Level II Status exists; (iii) 0.100% per annum for any day Level III Status exists; (iv) 0.125% per annum for any day Level IV Status exists; (v) 0.175% per annum for any day Level V Status exists; and (vi) 0.200% per annum for any day Level VI Status exists.</w:t>
      </w:r>
    </w:p>
    <w:p>
      <w:pPr>
        <w:spacing w:after="0" w:line="164" w:lineRule="exact"/>
        <w:rPr>
          <w:sz w:val="20"/>
          <w:szCs w:val="20"/>
          <w:color w:val="auto"/>
        </w:rPr>
      </w:pPr>
    </w:p>
    <w:p>
      <w:pPr>
        <w:jc w:val="both"/>
        <w:ind w:left="-257" w:right="3339" w:firstLine="688"/>
        <w:spacing w:after="0" w:line="252" w:lineRule="auto"/>
        <w:tabs>
          <w:tab w:leader="none" w:pos="77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"REQUIRED BANKS" appearing in Section 8 is hereby amended by deleting said definition in its entirety and substituting the following new definition in lieu thereof:</w:t>
      </w:r>
    </w:p>
    <w:p>
      <w:pPr>
        <w:spacing w:after="0" w:line="163" w:lineRule="exact"/>
        <w:rPr>
          <w:sz w:val="20"/>
          <w:szCs w:val="20"/>
          <w:color w:val="auto"/>
        </w:rPr>
      </w:pPr>
    </w:p>
    <w:p>
      <w:pPr>
        <w:ind w:left="3" w:right="3339"/>
        <w:spacing w:after="0" w:line="255" w:lineRule="auto"/>
        <w:rPr>
          <w:sz w:val="20"/>
          <w:szCs w:val="20"/>
          <w:color w:val="auto"/>
        </w:rPr>
      </w:pPr>
      <w:r>
        <w:rPr>
          <w:rFonts w:ascii="Courier New" w:cs="Courier New" w:eastAsia="Courier New" w:hAnsi="Courier New"/>
          <w:sz w:val="14"/>
          <w:szCs w:val="14"/>
          <w:color w:val="auto"/>
        </w:rPr>
        <w:t>"REQUIRED BANKS" means, at any time, Banks having more than 50.0% of the aggregate amount of the Commitments.</w:t>
      </w:r>
    </w:p>
    <w:p>
      <w:pPr>
        <w:spacing w:after="0" w:line="160" w:lineRule="exact"/>
        <w:rPr>
          <w:sz w:val="20"/>
          <w:szCs w:val="20"/>
          <w:color w:val="auto"/>
        </w:rPr>
      </w:pPr>
    </w:p>
    <w:p>
      <w:pPr>
        <w:jc w:val="both"/>
        <w:ind w:left="-257" w:right="3339" w:firstLine="688"/>
        <w:spacing w:after="0" w:line="252" w:lineRule="auto"/>
        <w:tabs>
          <w:tab w:leader="none" w:pos="776"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"TOTAL CAPITAL" appearing in Section 8 is hereby amended by deleting said definition in its entirety and substituting the following new definition in lieu thereof:</w:t>
      </w:r>
    </w:p>
    <w:p>
      <w:pPr>
        <w:spacing w:after="0" w:line="163" w:lineRule="exact"/>
        <w:rPr>
          <w:sz w:val="20"/>
          <w:szCs w:val="20"/>
          <w:color w:val="auto"/>
        </w:rPr>
      </w:pPr>
    </w:p>
    <w:p>
      <w:pPr>
        <w:ind w:left="3" w:right="3339"/>
        <w:spacing w:after="0" w:line="255" w:lineRule="auto"/>
        <w:rPr>
          <w:sz w:val="20"/>
          <w:szCs w:val="20"/>
          <w:color w:val="auto"/>
        </w:rPr>
      </w:pPr>
      <w:r>
        <w:rPr>
          <w:rFonts w:ascii="Courier New" w:cs="Courier New" w:eastAsia="Courier New" w:hAnsi="Courier New"/>
          <w:sz w:val="14"/>
          <w:szCs w:val="14"/>
          <w:color w:val="auto"/>
        </w:rPr>
        <w:t>"TOTAL CAPITAL" means, as of any date determination, the sum of Consolidated Net Worth and Funded Debt.</w:t>
      </w:r>
    </w:p>
    <w:p>
      <w:pPr>
        <w:spacing w:after="0" w:line="160" w:lineRule="exact"/>
        <w:rPr>
          <w:sz w:val="20"/>
          <w:szCs w:val="20"/>
          <w:color w:val="auto"/>
        </w:rPr>
      </w:pPr>
    </w:p>
    <w:p>
      <w:pPr>
        <w:ind w:left="-257" w:right="3339" w:firstLine="688"/>
        <w:spacing w:after="0" w:line="255" w:lineRule="auto"/>
        <w:tabs>
          <w:tab w:leader="none" w:pos="86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 is further amended by adding the following new defined term in its appropriate alphabetic order:</w:t>
      </w:r>
    </w:p>
    <w:p>
      <w:pPr>
        <w:spacing w:after="0" w:line="160" w:lineRule="exact"/>
        <w:rPr>
          <w:sz w:val="20"/>
          <w:szCs w:val="20"/>
          <w:color w:val="auto"/>
        </w:rPr>
      </w:pPr>
    </w:p>
    <w:p>
      <w:pPr>
        <w:jc w:val="both"/>
        <w:ind w:left="3" w:right="3339"/>
        <w:spacing w:after="0" w:line="251" w:lineRule="auto"/>
        <w:rPr>
          <w:sz w:val="20"/>
          <w:szCs w:val="20"/>
          <w:color w:val="auto"/>
        </w:rPr>
      </w:pPr>
      <w:r>
        <w:rPr>
          <w:rFonts w:ascii="Courier New" w:cs="Courier New" w:eastAsia="Courier New" w:hAnsi="Courier New"/>
          <w:sz w:val="14"/>
          <w:szCs w:val="14"/>
          <w:color w:val="auto"/>
        </w:rPr>
        <w:t>"CONSOLIDATED NET WORTH" means, as of any date of determination, the sum of stockholders' equity (including preferred stock and QUIPs), PLUS additional paid-in capital, PLUS retained earnings (or MINUS accumulated deficits) plus preferred securities of the Company and its Subsidiaries, PROVIDED, however, that the computation of Consolidated Net Worth shall exclude Accumulated Other Comprehensive Income/Loss and unearned ESOP shares, all of the foregoing determined with respect to the Company and its Subsidiaries on a consolidated basis in accordance with GAAP consistently applied.</w:t>
      </w:r>
    </w:p>
    <w:p>
      <w:pPr>
        <w:spacing w:after="0" w:line="164" w:lineRule="exact"/>
        <w:rPr>
          <w:sz w:val="20"/>
          <w:szCs w:val="20"/>
          <w:color w:val="auto"/>
        </w:rPr>
      </w:pPr>
    </w:p>
    <w:p>
      <w:pPr>
        <w:ind w:left="2583"/>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542"/>
          </w:cols>
          <w:pgMar w:left="917" w:top="616" w:right="1440" w:bottom="1440" w:gutter="0" w:footer="0" w:header="0"/>
        </w:sectPr>
      </w:pPr>
    </w:p>
    <w:bookmarkStart w:id="136" w:name="page137"/>
    <w:bookmarkEnd w:id="136"/>
    <w:p>
      <w:pPr>
        <w:jc w:val="both"/>
        <w:ind w:left="-439" w:right="3339" w:firstLine="439"/>
        <w:spacing w:after="0" w:line="250" w:lineRule="auto"/>
        <w:tabs>
          <w:tab w:leader="none" w:pos="25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amended hereby, the Committed Facility Letter and all other documents executed in connection therewith shall remain in full force and effect in accordance with their respective terms. The Committed Facility Letter, as amended hereby, and all rights and powers created thereby and thereunder or under such other documents are in all respects ratified and confirmed. From and after the date hereof, the Committed Facility Letter shall be deemed to be amended and modified as herein provided and, except as so amended and modified, the Committed Facility Letter shall continue in full force and effect in accordance with its terms and the Committed Facility Letter and this Amendment shall be read, taken and construed as one and the same instrument. On and after the date hereof the term "AGREEMENT" as used in the Committed Facility Letter and all other references to the Committed Facility Letter in the Committed Facility Letter, the other documents executed in connection therewith and/or herewith or any other instrument, document or writing executed by the Company or any other person or furnished to the Agent and/or the Banks by the Company, or any other person in connection herewith or therewith, shall be deemed to be a reference to the Committed Facility Letter as hereby amended.</w:t>
      </w:r>
    </w:p>
    <w:p>
      <w:pPr>
        <w:spacing w:after="0" w:line="338" w:lineRule="exact"/>
        <w:rPr>
          <w:rFonts w:ascii="Courier New" w:cs="Courier New" w:eastAsia="Courier New" w:hAnsi="Courier New"/>
          <w:sz w:val="14"/>
          <w:szCs w:val="14"/>
          <w:color w:val="auto"/>
        </w:rPr>
      </w:pPr>
    </w:p>
    <w:p>
      <w:pPr>
        <w:ind w:left="-439" w:right="3339" w:firstLine="439"/>
        <w:spacing w:after="0" w:line="255" w:lineRule="auto"/>
        <w:tabs>
          <w:tab w:leader="none" w:pos="25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this Amendment is subject to the satisfaction of the following conditions precedent:</w:t>
      </w:r>
    </w:p>
    <w:p>
      <w:pPr>
        <w:spacing w:after="0" w:line="159" w:lineRule="exact"/>
        <w:rPr>
          <w:rFonts w:ascii="Courier New" w:cs="Courier New" w:eastAsia="Courier New" w:hAnsi="Courier New"/>
          <w:sz w:val="14"/>
          <w:szCs w:val="14"/>
          <w:color w:val="auto"/>
        </w:rPr>
      </w:pPr>
    </w:p>
    <w:p>
      <w:pPr>
        <w:jc w:val="both"/>
        <w:ind w:left="1" w:right="3339" w:firstLine="688"/>
        <w:spacing w:after="0" w:line="252" w:lineRule="auto"/>
        <w:tabs>
          <w:tab w:leader="none" w:pos="103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Bank shall have executed and delivered this Amendment to Agent together with such other documents and instruments as Agent may reasonably require;</w:t>
      </w:r>
    </w:p>
    <w:p>
      <w:pPr>
        <w:spacing w:after="0" w:line="162" w:lineRule="exact"/>
        <w:rPr>
          <w:rFonts w:ascii="Courier New" w:cs="Courier New" w:eastAsia="Courier New" w:hAnsi="Courier New"/>
          <w:sz w:val="14"/>
          <w:szCs w:val="14"/>
          <w:color w:val="auto"/>
        </w:rPr>
      </w:pPr>
    </w:p>
    <w:p>
      <w:pPr>
        <w:ind w:left="1" w:right="3339" w:firstLine="688"/>
        <w:spacing w:after="0" w:line="255" w:lineRule="auto"/>
        <w:tabs>
          <w:tab w:leader="none" w:pos="103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the Extension Fee (as defined below) to the Agent for the benefit of the Banks;</w:t>
      </w:r>
    </w:p>
    <w:p>
      <w:pPr>
        <w:spacing w:after="0" w:line="159" w:lineRule="exact"/>
        <w:rPr>
          <w:rFonts w:ascii="Courier New" w:cs="Courier New" w:eastAsia="Courier New" w:hAnsi="Courier New"/>
          <w:sz w:val="14"/>
          <w:szCs w:val="14"/>
          <w:color w:val="auto"/>
        </w:rPr>
      </w:pPr>
    </w:p>
    <w:p>
      <w:pPr>
        <w:ind w:left="1" w:right="3339" w:firstLine="688"/>
        <w:spacing w:after="0" w:line="255" w:lineRule="auto"/>
        <w:tabs>
          <w:tab w:leader="none" w:pos="103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and</w:t>
      </w:r>
    </w:p>
    <w:p>
      <w:pPr>
        <w:spacing w:after="0" w:line="159" w:lineRule="exact"/>
        <w:rPr>
          <w:rFonts w:ascii="Courier New" w:cs="Courier New" w:eastAsia="Courier New" w:hAnsi="Courier New"/>
          <w:sz w:val="14"/>
          <w:szCs w:val="14"/>
          <w:color w:val="auto"/>
        </w:rPr>
      </w:pPr>
    </w:p>
    <w:p>
      <w:pPr>
        <w:jc w:val="both"/>
        <w:ind w:left="1" w:right="3339" w:firstLine="688"/>
        <w:spacing w:after="0" w:line="252" w:lineRule="auto"/>
        <w:tabs>
          <w:tab w:leader="none" w:pos="103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shall have received a certificate of the Secretary of the Company showing the names and titles, and bearing the signatures of, the officers of the Company authorized to execute this Amendment.</w:t>
      </w:r>
    </w:p>
    <w:p>
      <w:pPr>
        <w:spacing w:after="0" w:line="162" w:lineRule="exact"/>
        <w:rPr>
          <w:rFonts w:ascii="Courier New" w:cs="Courier New" w:eastAsia="Courier New" w:hAnsi="Courier New"/>
          <w:sz w:val="14"/>
          <w:szCs w:val="14"/>
          <w:color w:val="auto"/>
        </w:rPr>
      </w:pPr>
    </w:p>
    <w:p>
      <w:pPr>
        <w:ind w:left="-439" w:right="3339" w:firstLine="439"/>
        <w:spacing w:after="0" w:line="255" w:lineRule="auto"/>
        <w:tabs>
          <w:tab w:leader="none" w:pos="25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as of the date hereof, the Company represents and warrants to the Agent and to the Banks that:</w:t>
      </w:r>
    </w:p>
    <w:p>
      <w:pPr>
        <w:spacing w:after="0" w:line="159" w:lineRule="exact"/>
        <w:rPr>
          <w:rFonts w:ascii="Courier New" w:cs="Courier New" w:eastAsia="Courier New" w:hAnsi="Courier New"/>
          <w:sz w:val="14"/>
          <w:szCs w:val="14"/>
          <w:color w:val="auto"/>
        </w:rPr>
      </w:pPr>
    </w:p>
    <w:p>
      <w:pPr>
        <w:jc w:val="both"/>
        <w:ind w:left="1" w:right="3339" w:firstLine="688"/>
        <w:spacing w:after="0" w:line="251" w:lineRule="auto"/>
        <w:tabs>
          <w:tab w:leader="none" w:pos="103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this Amendment and the Committed Facility Letter are true and correct in all material respects, in each case as though made on and as of the date hereof, except to the extent such representations and warranties relate solely to an earlier date (and then shall have been true and correct as of such earlier date); and</w:t>
      </w:r>
    </w:p>
    <w:p>
      <w:pPr>
        <w:spacing w:after="0" w:line="164" w:lineRule="exact"/>
        <w:rPr>
          <w:rFonts w:ascii="Courier New" w:cs="Courier New" w:eastAsia="Courier New" w:hAnsi="Courier New"/>
          <w:sz w:val="14"/>
          <w:szCs w:val="14"/>
          <w:color w:val="auto"/>
        </w:rPr>
      </w:pPr>
    </w:p>
    <w:p>
      <w:pPr>
        <w:jc w:val="both"/>
        <w:ind w:left="1" w:right="3339" w:firstLine="688"/>
        <w:spacing w:after="0" w:line="252" w:lineRule="auto"/>
        <w:tabs>
          <w:tab w:leader="none" w:pos="103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before and after giving effect to this Amendment, no Default or Event of Default has occurred and is continuing or would result from the execution and delivery of this Amendment; and</w:t>
      </w:r>
    </w:p>
    <w:p>
      <w:pPr>
        <w:spacing w:after="0" w:line="163"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00"/>
          </w:cols>
          <w:pgMar w:left="659" w:top="616" w:right="1440" w:bottom="1440" w:gutter="0" w:footer="0" w:header="0"/>
        </w:sectPr>
      </w:pPr>
    </w:p>
    <w:bookmarkStart w:id="137" w:name="page138"/>
    <w:bookmarkEnd w:id="137"/>
    <w:p>
      <w:pPr>
        <w:jc w:val="both"/>
        <w:ind w:left="440" w:right="3339" w:firstLine="688"/>
        <w:spacing w:after="0" w:line="252" w:lineRule="auto"/>
        <w:tabs>
          <w:tab w:leader="none" w:pos="1474"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and will be, in full compliance with all of the material terms, conditions and all other provisions of this Amendment and the Credit Documents; and</w:t>
      </w:r>
    </w:p>
    <w:p>
      <w:pPr>
        <w:spacing w:after="0" w:line="162" w:lineRule="exact"/>
        <w:rPr>
          <w:rFonts w:ascii="Courier New" w:cs="Courier New" w:eastAsia="Courier New" w:hAnsi="Courier New"/>
          <w:sz w:val="14"/>
          <w:szCs w:val="14"/>
          <w:color w:val="auto"/>
        </w:rPr>
      </w:pPr>
    </w:p>
    <w:p>
      <w:pPr>
        <w:jc w:val="both"/>
        <w:ind w:left="440" w:right="3339" w:firstLine="688"/>
        <w:spacing w:after="0" w:line="251" w:lineRule="auto"/>
        <w:tabs>
          <w:tab w:leader="none" w:pos="1474"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has been duly authorized, executed and delivered on its behalf, and both the Committed Facility Letter, both before being amended and supplemented hereby and as amended and supplemented hereby, and this Amendment constitute its legal, valid and binding obligation enforceable against it in accordance with their terms, except to the extent that a remedy or default may be determined by a court of competent jurisdiction to constitute a penalty and except to the extent that enforceability may be limited by bankruptcy, insolvency, reorganization, moratorium or other similar laws relating to creditors' rights or by general principles of equity.</w:t>
      </w:r>
    </w:p>
    <w:p>
      <w:pPr>
        <w:spacing w:after="0" w:line="163" w:lineRule="exact"/>
        <w:rPr>
          <w:rFonts w:ascii="Courier New" w:cs="Courier New" w:eastAsia="Courier New" w:hAnsi="Courier New"/>
          <w:sz w:val="14"/>
          <w:szCs w:val="14"/>
          <w:color w:val="auto"/>
        </w:rPr>
      </w:pPr>
    </w:p>
    <w:p>
      <w:pPr>
        <w:jc w:val="both"/>
        <w:ind w:right="3339" w:firstLine="439"/>
        <w:spacing w:after="0" w:line="251" w:lineRule="auto"/>
        <w:tabs>
          <w:tab w:leader="none" w:pos="68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reimburse the Agent and/or the Banks for reasonable fees and expenses incurred with respect to the preparation of this Amendment and all matters incidental thereto. Without limiting the foregoing, the Company shall pay to the Agent for the ratable benefit of the Banks, a non-refundable $37,500 extension fee (the "EXTENSION FEE"), which Extension Fee shall be due and payable and fully earned upon the execution and delivery by the Agent and the Banks of this Amendment.</w:t>
      </w:r>
    </w:p>
    <w:p>
      <w:pPr>
        <w:spacing w:after="0" w:line="164" w:lineRule="exact"/>
        <w:rPr>
          <w:rFonts w:ascii="Courier New" w:cs="Courier New" w:eastAsia="Courier New" w:hAnsi="Courier New"/>
          <w:sz w:val="14"/>
          <w:szCs w:val="14"/>
          <w:color w:val="auto"/>
        </w:rPr>
      </w:pPr>
    </w:p>
    <w:p>
      <w:pPr>
        <w:jc w:val="both"/>
        <w:ind w:right="3339" w:firstLine="439"/>
        <w:spacing w:after="0" w:line="252" w:lineRule="auto"/>
        <w:tabs>
          <w:tab w:leader="none" w:pos="68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construed in accordance with and governed by the internal laws of the State of Illinois, without regard to its conflicts of laws principles.</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68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signed in any number of counterparts, each of which shall be deemed an original, but all of which together shall constitute one and the same instrument. This Amendment may also be signed by facsimile, and any facsimile signature hereto shall for all purposes be deemed an original signature.</w:t>
      </w:r>
    </w:p>
    <w:p>
      <w:pPr>
        <w:spacing w:after="0" w:line="327" w:lineRule="exact"/>
        <w:rPr>
          <w:rFonts w:ascii="Courier New" w:cs="Courier New" w:eastAsia="Courier New" w:hAnsi="Courier New"/>
          <w:sz w:val="14"/>
          <w:szCs w:val="14"/>
          <w:color w:val="auto"/>
        </w:rPr>
      </w:pPr>
    </w:p>
    <w:p>
      <w:pPr>
        <w:jc w:val="both"/>
        <w:ind w:right="3339" w:firstLine="439"/>
        <w:spacing w:after="0" w:line="252" w:lineRule="auto"/>
        <w:tabs>
          <w:tab w:leader="none" w:pos="68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herein, this Amendment embodies the entire agreement and understanding between the Company and the Banks with respect to the subject matter hereof and supersedes all prior agreements, consents and understandings relating to such subject matter.</w:t>
      </w:r>
    </w:p>
    <w:p>
      <w:pPr>
        <w:spacing w:after="0" w:line="162" w:lineRule="exact"/>
        <w:rPr>
          <w:rFonts w:ascii="Courier New" w:cs="Courier New" w:eastAsia="Courier New" w:hAnsi="Courier New"/>
          <w:sz w:val="14"/>
          <w:szCs w:val="14"/>
          <w:color w:val="auto"/>
        </w:rPr>
      </w:pPr>
    </w:p>
    <w:p>
      <w:pPr>
        <w:jc w:val="both"/>
        <w:ind w:right="3339" w:firstLine="439"/>
        <w:spacing w:after="0" w:line="252" w:lineRule="auto"/>
        <w:tabs>
          <w:tab w:leader="none" w:pos="68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binding upon and inure to the benefit of the Banks and their successors and assigns and the Company and its permitted successors and assigns.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38" w:name="page139"/>
    <w:bookmarkEnd w:id="138"/>
    <w:p>
      <w:pPr>
        <w:jc w:val="both"/>
        <w:ind w:right="3339" w:firstLine="689"/>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Second Amendment to Fourth Amended and Restated Committed Facility Letter to be duly executed and delivered by their duly authorized officers as of the day and year first above written.</w:t>
      </w:r>
    </w:p>
    <w:p>
      <w:pPr>
        <w:sectPr>
          <w:pgSz w:w="11900" w:h="16838" w:orient="portrait"/>
          <w:cols w:equalWidth="0" w:num="1">
            <w:col w:w="10239"/>
          </w:cols>
          <w:pgMar w:left="220" w:top="616"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 Minnesota corporation</w:t>
      </w:r>
    </w:p>
    <w:p>
      <w:pPr>
        <w:spacing w:after="0" w:line="338"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Mark A. Schober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Mark A. Schober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Sr. Vice President &amp; CFO</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AGENT/BANKS: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LASALLE BANK NATIONAL</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ASSOCIATION, in its individual capacity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Bank and as Agent</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Meghan Schultz</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Meghan Schultz</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Assistant Vice President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139" w:name="page140"/>
    <w:bookmarkEnd w:id="139"/>
    <w:p>
      <w:pPr>
        <w:jc w:val="right"/>
        <w:ind w:right="3339"/>
        <w:spacing w:after="0"/>
        <w:rPr>
          <w:sz w:val="20"/>
          <w:szCs w:val="20"/>
          <w:color w:val="auto"/>
        </w:rPr>
      </w:pPr>
      <w:r>
        <w:rPr>
          <w:rFonts w:ascii="Courier New" w:cs="Courier New" w:eastAsia="Courier New" w:hAnsi="Courier New"/>
          <w:sz w:val="14"/>
          <w:szCs w:val="14"/>
          <w:color w:val="auto"/>
        </w:rPr>
        <w:t>SIGNATURE PAGE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SECOND AMENDMENT TO FOURTH AMENDED AND RESTATED COMMITTED FACILITY LETTER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DECEMBER 14, 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BANKS: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U.S. BANK NATIONAL ASSOCIATION</w:t>
      </w:r>
    </w:p>
    <w:p>
      <w:pPr>
        <w:spacing w:after="0" w:line="173"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Christine G. Dean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Christine G. Dean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Vice President</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WELLS FARGO BANK,</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NATIONAL ASSOCIATION</w:t>
      </w:r>
    </w:p>
    <w:p>
      <w:pPr>
        <w:spacing w:after="0" w:line="173"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Patrick McCue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Patrick McCue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JPMORGAN CHASE BANK, N.A.</w:t>
      </w:r>
    </w:p>
    <w:p>
      <w:pPr>
        <w:spacing w:after="0" w:line="173"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Nancy R. Barwig</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Nancy R. Barwig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BANK OF TOKYO -</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MITSUBISHI, UFJ, LTD., CHICAGO</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BRANCH</w:t>
      </w:r>
    </w:p>
    <w:p>
      <w:pPr>
        <w:spacing w:after="0" w:line="173"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Matthew A. Ross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040" w:val="left"/>
        </w:tabs>
        <w:rPr>
          <w:sz w:val="20"/>
          <w:szCs w:val="20"/>
          <w:color w:val="auto"/>
        </w:rPr>
      </w:pPr>
      <w:r>
        <w:rPr>
          <w:rFonts w:ascii="Courier New" w:cs="Courier New" w:eastAsia="Courier New" w:hAnsi="Courier New"/>
          <w:sz w:val="14"/>
          <w:szCs w:val="14"/>
          <w:color w:val="auto"/>
        </w:rPr>
        <w:t>Name:</w:t>
        <w:tab/>
        <w:t>Matthew A. Ross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Vice President &amp; Manager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40" w:name="page141"/>
    <w:bookmarkEnd w:id="140"/>
    <w:p>
      <w:pPr>
        <w:jc w:val="right"/>
        <w:ind w:right="3339"/>
        <w:spacing w:after="0"/>
        <w:rPr>
          <w:sz w:val="20"/>
          <w:szCs w:val="20"/>
          <w:color w:val="auto"/>
        </w:rPr>
      </w:pPr>
      <w:r>
        <w:rPr>
          <w:rFonts w:ascii="Courier New" w:cs="Courier New" w:eastAsia="Courier New" w:hAnsi="Courier New"/>
          <w:sz w:val="14"/>
          <w:szCs w:val="14"/>
          <w:color w:val="auto"/>
        </w:rPr>
        <w:t>EXHIBIT 10(h)4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AMENDMENT TO THE AMENDED AND RESTATED</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ALLETE EXECUTIVE ANNUAL INCENTIVE PLAN</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The ALLETE Executive Annual Incentive Plan, dated effective January 1, 1999, as amended, is amended as follows:</w:t>
      </w:r>
    </w:p>
    <w:p>
      <w:pPr>
        <w:spacing w:after="0" w:line="326" w:lineRule="exact"/>
        <w:rPr>
          <w:sz w:val="20"/>
          <w:szCs w:val="20"/>
          <w:color w:val="auto"/>
        </w:rPr>
      </w:pPr>
    </w:p>
    <w:p>
      <w:pPr>
        <w:ind w:left="780" w:right="3339" w:firstLine="4"/>
        <w:spacing w:after="0" w:line="255" w:lineRule="auto"/>
        <w:tabs>
          <w:tab w:leader="none" w:pos="112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2007, the following sentence will be added at the end of Section 7.1 in Article 7:</w:t>
      </w:r>
    </w:p>
    <w:p>
      <w:pPr>
        <w:spacing w:after="0" w:line="160" w:lineRule="exact"/>
        <w:rPr>
          <w:sz w:val="20"/>
          <w:szCs w:val="20"/>
          <w:color w:val="auto"/>
        </w:rPr>
      </w:pPr>
    </w:p>
    <w:p>
      <w:pPr>
        <w:ind w:left="1120" w:right="3339"/>
        <w:spacing w:after="0" w:line="251" w:lineRule="auto"/>
        <w:rPr>
          <w:sz w:val="20"/>
          <w:szCs w:val="20"/>
          <w:color w:val="auto"/>
        </w:rPr>
      </w:pPr>
      <w:r>
        <w:rPr>
          <w:rFonts w:ascii="Courier New" w:cs="Courier New" w:eastAsia="Courier New" w:hAnsi="Courier New"/>
          <w:sz w:val="14"/>
          <w:szCs w:val="14"/>
          <w:color w:val="auto"/>
        </w:rPr>
        <w:t>"A Participant's Award will be reduced by, and the Participant will not receive, any amount that otherwise would be disallowed as a deduction by the Company due to the limitations under Code Section 162(m), or any subsequent or similar Code provision that limits the amount of compensation expense the Company may deduct."</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President &amp;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 General Counsel &amp; Secretary</w:t>
      </w:r>
    </w:p>
    <w:p>
      <w:pPr>
        <w:sectPr>
          <w:pgSz w:w="11900" w:h="16838" w:orient="portrait"/>
          <w:cols w:equalWidth="0" w:num="1">
            <w:col w:w="10239"/>
          </w:cols>
          <w:pgMar w:left="220" w:top="307" w:right="1440" w:bottom="1440" w:gutter="0" w:footer="0" w:header="0"/>
        </w:sectPr>
      </w:pPr>
    </w:p>
    <w:bookmarkStart w:id="141" w:name="page142"/>
    <w:bookmarkEnd w:id="141"/>
    <w:p>
      <w:pPr>
        <w:jc w:val="right"/>
        <w:ind w:right="3339"/>
        <w:spacing w:after="0"/>
        <w:rPr>
          <w:sz w:val="20"/>
          <w:szCs w:val="20"/>
          <w:color w:val="auto"/>
        </w:rPr>
      </w:pPr>
      <w:r>
        <w:rPr>
          <w:rFonts w:ascii="Courier New" w:cs="Courier New" w:eastAsia="Courier New" w:hAnsi="Courier New"/>
          <w:sz w:val="14"/>
          <w:szCs w:val="14"/>
          <w:color w:val="auto"/>
        </w:rPr>
        <w:t>EXHIBIT 10(h)7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ALLETE EXECUTIVE ANNUAL INCENTIVE PLAN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FORM OF AWARD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[ELIGIBLE EXECUTIVE EMPLOYEES - CORPORATE AND ENERGY]</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TARGET AWARD OPPORTUNITY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7"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760" w:space="720"/>
            <w:col w:w="5759"/>
          </w:cols>
          <w:pgMar w:left="220" w:top="30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TIMES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 Opportunity (percent of base salary)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3760" w:space="720"/>
            <w:col w:w="5759"/>
          </w:cols>
          <w:pgMar w:left="220" w:top="307"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EQUALS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Award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60" w:space="720"/>
            <w:col w:w="5759"/>
          </w:cols>
          <w:pgMar w:left="220" w:top="307"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PERFORMANCE LEVELS AND AWARD AMOUNTS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PAYOUT AS PERCENT OF</w:t>
      </w:r>
    </w:p>
    <w:p>
      <w:pPr>
        <w:spacing w:after="0" w:line="7" w:lineRule="exact"/>
        <w:rPr>
          <w:sz w:val="20"/>
          <w:szCs w:val="20"/>
          <w:color w:val="auto"/>
        </w:rPr>
      </w:pPr>
    </w:p>
    <w:p>
      <w:pPr>
        <w:ind w:left="180"/>
        <w:spacing w:after="0"/>
        <w:tabs>
          <w:tab w:leader="none" w:pos="3080" w:val="left"/>
          <w:tab w:leader="none" w:pos="5420" w:val="left"/>
        </w:tabs>
        <w:rPr>
          <w:sz w:val="20"/>
          <w:szCs w:val="20"/>
          <w:color w:val="auto"/>
        </w:rPr>
      </w:pPr>
      <w:r>
        <w:rPr>
          <w:rFonts w:ascii="Courier New" w:cs="Courier New" w:eastAsia="Courier New" w:hAnsi="Courier New"/>
          <w:sz w:val="14"/>
          <w:szCs w:val="14"/>
          <w:color w:val="auto"/>
        </w:rPr>
        <w:t>GOAL PERFORMANCE LEVEL</w:t>
      </w:r>
      <w:r>
        <w:rPr>
          <w:sz w:val="20"/>
          <w:szCs w:val="20"/>
          <w:color w:val="auto"/>
        </w:rPr>
        <w:tab/>
      </w:r>
      <w:r>
        <w:rPr>
          <w:rFonts w:ascii="Courier New" w:cs="Courier New" w:eastAsia="Courier New" w:hAnsi="Courier New"/>
          <w:sz w:val="14"/>
          <w:szCs w:val="14"/>
          <w:color w:val="auto"/>
        </w:rPr>
        <w:t>TARGET AWARD</w:t>
      </w:r>
      <w:r>
        <w:rPr>
          <w:sz w:val="20"/>
          <w:szCs w:val="20"/>
          <w:color w:val="auto"/>
        </w:rPr>
        <w:tab/>
      </w:r>
      <w:r>
        <w:rPr>
          <w:rFonts w:ascii="Courier New" w:cs="Courier New" w:eastAsia="Courier New" w:hAnsi="Courier New"/>
          <w:sz w:val="14"/>
          <w:szCs w:val="14"/>
          <w:color w:val="auto"/>
        </w:rPr>
        <w:t>AWARD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3440" w:val="left"/>
          <w:tab w:leader="none" w:pos="5940" w:val="left"/>
        </w:tabs>
        <w:rPr>
          <w:sz w:val="20"/>
          <w:szCs w:val="20"/>
          <w:color w:val="auto"/>
        </w:rPr>
      </w:pPr>
      <w:r>
        <w:rPr>
          <w:rFonts w:ascii="Courier New" w:cs="Courier New" w:eastAsia="Courier New" w:hAnsi="Courier New"/>
          <w:sz w:val="14"/>
          <w:szCs w:val="14"/>
          <w:color w:val="auto"/>
        </w:rPr>
        <w:t>Superior</w:t>
      </w:r>
      <w:r>
        <w:rPr>
          <w:sz w:val="20"/>
          <w:szCs w:val="20"/>
          <w:color w:val="auto"/>
        </w:rPr>
        <w:tab/>
      </w:r>
      <w:r>
        <w:rPr>
          <w:rFonts w:ascii="Courier New" w:cs="Courier New" w:eastAsia="Courier New" w:hAnsi="Courier New"/>
          <w:sz w:val="14"/>
          <w:szCs w:val="14"/>
          <w:color w:val="auto"/>
        </w:rPr>
        <w:t>200%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3440" w:val="left"/>
          <w:tab w:leader="none" w:pos="5940" w:val="left"/>
        </w:tabs>
        <w:rPr>
          <w:sz w:val="20"/>
          <w:szCs w:val="20"/>
          <w:color w:val="auto"/>
        </w:rPr>
      </w:pPr>
      <w:r>
        <w:rPr>
          <w:rFonts w:ascii="Courier New" w:cs="Courier New" w:eastAsia="Courier New" w:hAnsi="Courier New"/>
          <w:sz w:val="14"/>
          <w:szCs w:val="14"/>
          <w:color w:val="auto"/>
        </w:rPr>
        <w:t>Target</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3340" w:val="left"/>
          <w:tab w:leader="none" w:pos="5940" w:val="left"/>
        </w:tabs>
        <w:rPr>
          <w:sz w:val="20"/>
          <w:szCs w:val="20"/>
          <w:color w:val="auto"/>
        </w:rPr>
      </w:pPr>
      <w:r>
        <w:rPr>
          <w:rFonts w:ascii="Courier New" w:cs="Courier New" w:eastAsia="Courier New" w:hAnsi="Courier New"/>
          <w:sz w:val="14"/>
          <w:szCs w:val="14"/>
          <w:color w:val="auto"/>
        </w:rPr>
        <w:t>Threshold</w:t>
      </w:r>
      <w:r>
        <w:rPr>
          <w:sz w:val="20"/>
          <w:szCs w:val="20"/>
          <w:color w:val="auto"/>
        </w:rPr>
        <w:tab/>
      </w:r>
      <w:r>
        <w:rPr>
          <w:rFonts w:ascii="Courier New" w:cs="Courier New" w:eastAsia="Courier New" w:hAnsi="Courier New"/>
          <w:sz w:val="14"/>
          <w:szCs w:val="14"/>
          <w:color w:val="auto"/>
        </w:rPr>
        <w:t>37.5%</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spacing w:after="0"/>
        <w:tabs>
          <w:tab w:leader="none" w:pos="3600" w:val="left"/>
          <w:tab w:leader="none" w:pos="5940" w:val="left"/>
        </w:tabs>
        <w:rPr>
          <w:sz w:val="20"/>
          <w:szCs w:val="20"/>
          <w:color w:val="auto"/>
        </w:rPr>
      </w:pPr>
      <w:r>
        <w:rPr>
          <w:rFonts w:ascii="Courier New" w:cs="Courier New" w:eastAsia="Courier New" w:hAnsi="Courier New"/>
          <w:sz w:val="14"/>
          <w:szCs w:val="14"/>
          <w:color w:val="auto"/>
        </w:rPr>
        <w:t>Below Threshold</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GOALS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GOAL</w:t>
            </w:r>
          </w:p>
        </w:tc>
      </w:tr>
      <w:tr>
        <w:trPr>
          <w:trHeight w:val="166"/>
        </w:trPr>
        <w:tc>
          <w:tcPr>
            <w:tcW w:w="478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WEIGHTING</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FINANCIAL GOALS</w:t>
            </w:r>
          </w:p>
        </w:tc>
        <w:tc>
          <w:tcPr>
            <w:tcW w:w="2120" w:type="dxa"/>
            <w:vAlign w:val="bottom"/>
          </w:tcPr>
          <w:p>
            <w:pPr>
              <w:spacing w:after="0"/>
              <w:rPr>
                <w:sz w:val="14"/>
                <w:szCs w:val="1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Net Income from Continuing Operations</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Cash Flow from Operating Activities</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STRATEGIC NON-FINANCIAL GOALS</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166"/>
        </w:trPr>
        <w:tc>
          <w:tcPr>
            <w:tcW w:w="4780" w:type="dxa"/>
            <w:vAlign w:val="bottom"/>
          </w:tcPr>
          <w:p>
            <w:pPr>
              <w:spacing w:after="0"/>
              <w:rPr>
                <w:sz w:val="14"/>
                <w:szCs w:val="14"/>
                <w:color w:val="auto"/>
              </w:rPr>
            </w:pP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307" w:right="1440" w:bottom="1440" w:gutter="0" w:footer="0" w:header="0"/>
          <w:type w:val="continuous"/>
        </w:sectPr>
      </w:pPr>
    </w:p>
    <w:bookmarkStart w:id="142" w:name="page143"/>
    <w:bookmarkEnd w:id="142"/>
    <w:p>
      <w:pPr>
        <w:jc w:val="center"/>
        <w:ind w:right="3339"/>
        <w:spacing w:after="0"/>
        <w:rPr>
          <w:sz w:val="20"/>
          <w:szCs w:val="20"/>
          <w:color w:val="auto"/>
        </w:rPr>
      </w:pPr>
      <w:r>
        <w:rPr>
          <w:rFonts w:ascii="Courier New" w:cs="Courier New" w:eastAsia="Courier New" w:hAnsi="Courier New"/>
          <w:sz w:val="14"/>
          <w:szCs w:val="14"/>
          <w:color w:val="auto"/>
        </w:rPr>
        <w:t>ALLETE EXECUTIVE ANNUAL INCENTIVE PLAN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FORM OF AWARD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[ELIGIBLE EXECUTIVE EMPLOYEES - REAL ESTATE]</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FINANCIAL GOALS AND AWARD OPPORTUNITY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Achievement Bonus Pool (0.0% - 0.xx% of Real Estate Land Sales)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PLUS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Bonus Pool (0.0% - 0.xx% of Total Real Estate Income)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EQUALS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Bonus Pool Opportunity</w:t>
      </w:r>
    </w:p>
    <w:p>
      <w:pPr>
        <w:spacing w:after="0" w:line="20" w:lineRule="exact"/>
        <w:rPr>
          <w:sz w:val="20"/>
          <w:szCs w:val="20"/>
          <w:color w:val="auto"/>
        </w:rPr>
      </w:pPr>
      <w:r>
        <w:rPr>
          <w:sz w:val="20"/>
          <w:szCs w:val="20"/>
          <w:color w:val="auto"/>
        </w:rPr>
        <w:br w:type="column"/>
      </w:r>
    </w:p>
    <w:p>
      <w:pPr>
        <w:jc w:val="center"/>
        <w:ind w:right="3939"/>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TIMES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Non-financial Goals (0% - 120%)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00" w:space="720"/>
            <w:col w:w="401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EQUALS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 Award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500" w:space="720"/>
            <w:col w:w="4019"/>
          </w:cols>
          <w:pgMar w:left="220" w:top="616" w:right="1440" w:bottom="1440" w:gutter="0" w:footer="0" w:header="0"/>
          <w:type w:val="continuous"/>
        </w:sectPr>
      </w:pPr>
    </w:p>
    <w:bookmarkStart w:id="143" w:name="page144"/>
    <w:bookmarkEnd w:id="143"/>
    <w:p>
      <w:pPr>
        <w:jc w:val="right"/>
        <w:ind w:right="3339"/>
        <w:spacing w:after="0"/>
        <w:rPr>
          <w:sz w:val="20"/>
          <w:szCs w:val="20"/>
          <w:color w:val="auto"/>
        </w:rPr>
      </w:pPr>
      <w:r>
        <w:rPr>
          <w:rFonts w:ascii="Courier New" w:cs="Courier New" w:eastAsia="Courier New" w:hAnsi="Courier New"/>
          <w:sz w:val="14"/>
          <w:szCs w:val="14"/>
          <w:color w:val="auto"/>
        </w:rPr>
        <w:t>EXHIBIT 10(i)4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AMENDMENT TO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ALLETE AND AFFILIATED COMPANIES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ALLETE and Affiliate Companies Supplemental Executive Retirement Plan, amended and restated effective January 1, 2004, is amended as follows:</w:t>
      </w:r>
    </w:p>
    <w:p>
      <w:pPr>
        <w:spacing w:after="0" w:line="160" w:lineRule="exact"/>
        <w:rPr>
          <w:sz w:val="20"/>
          <w:szCs w:val="20"/>
          <w:color w:val="auto"/>
        </w:rPr>
      </w:pPr>
    </w:p>
    <w:p>
      <w:pPr>
        <w:ind w:left="780" w:right="3519" w:firstLine="4"/>
        <w:spacing w:after="0" w:line="255" w:lineRule="auto"/>
        <w:tabs>
          <w:tab w:leader="none" w:pos="103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2007, Section 4.10 is DELETED in its entirety and replaced with the following:</w:t>
      </w:r>
    </w:p>
    <w:p>
      <w:pPr>
        <w:spacing w:after="0" w:line="160" w:lineRule="exact"/>
        <w:rPr>
          <w:sz w:val="20"/>
          <w:szCs w:val="20"/>
          <w:color w:val="auto"/>
        </w:rPr>
      </w:pPr>
    </w:p>
    <w:p>
      <w:pPr>
        <w:ind w:left="780"/>
        <w:spacing w:after="0"/>
        <w:tabs>
          <w:tab w:leader="none" w:pos="136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FORM OF PAYMENT - RETIREMENT BENEFITS</w:t>
      </w:r>
    </w:p>
    <w:p>
      <w:pPr>
        <w:spacing w:after="0" w:line="173" w:lineRule="exact"/>
        <w:rPr>
          <w:sz w:val="20"/>
          <w:szCs w:val="20"/>
          <w:color w:val="auto"/>
        </w:rPr>
      </w:pPr>
    </w:p>
    <w:p>
      <w:pPr>
        <w:ind w:left="780" w:right="3339"/>
        <w:spacing w:after="0" w:line="250" w:lineRule="auto"/>
        <w:rPr>
          <w:sz w:val="20"/>
          <w:szCs w:val="20"/>
          <w:color w:val="auto"/>
        </w:rPr>
      </w:pPr>
      <w:r>
        <w:rPr>
          <w:rFonts w:ascii="Courier New" w:cs="Courier New" w:eastAsia="Courier New" w:hAnsi="Courier New"/>
          <w:sz w:val="14"/>
          <w:szCs w:val="14"/>
          <w:color w:val="auto"/>
        </w:rPr>
        <w:t>The normal, or default, form of the Retirement Benefits provided for in Section 4.6 will be a 15-year monthly annuity (calculated using an 8% interest rate or other rate as approved by the Committee). The Participant may elect to receive the Retirement Benefits in the optional form of a monthly life annuity (calculated using the factor described in Section 4.6), such amount to be adjusted (i.e., cost-of-living adjustments) in the same manner as provided in Section 5.11 of Retirement Plan A; provided, however, that any Participant who is also eligible for retirement benefits under the ALLETE and Affiliated Companies Supplemental Executive Retirement Plan II (SERP</w:t>
      </w:r>
    </w:p>
    <w:p>
      <w:pPr>
        <w:spacing w:after="0" w:line="4" w:lineRule="exact"/>
        <w:rPr>
          <w:sz w:val="20"/>
          <w:szCs w:val="20"/>
          <w:color w:val="auto"/>
        </w:rPr>
      </w:pPr>
    </w:p>
    <w:p>
      <w:pPr>
        <w:ind w:left="780" w:right="3419" w:firstLine="4"/>
        <w:spacing w:after="0" w:line="251" w:lineRule="auto"/>
        <w:tabs>
          <w:tab w:leader="none" w:pos="112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must receive Retirement Benefits under this Plan in the same form as he or she receives retirement benefits under SERP II. For purposes of clarification, if a Participant who is eligible for retirement benefits under SERP II receives the normal form of retirement benefits under SERP II, for any reason, any election by the Participant to receive the optional form of Retirement Benefits under this Plan shall be inoperable and the Participant shall receive the normal form of Retirement Benefits under this Plan.</w:t>
      </w:r>
    </w:p>
    <w:p>
      <w:pPr>
        <w:spacing w:after="0" w:line="164" w:lineRule="exact"/>
        <w:rPr>
          <w:sz w:val="20"/>
          <w:szCs w:val="20"/>
          <w:color w:val="auto"/>
        </w:rPr>
      </w:pPr>
    </w:p>
    <w:p>
      <w:pPr>
        <w:ind w:left="780" w:right="3339"/>
        <w:spacing w:after="0" w:line="252" w:lineRule="auto"/>
        <w:rPr>
          <w:sz w:val="20"/>
          <w:szCs w:val="20"/>
          <w:color w:val="auto"/>
        </w:rPr>
      </w:pPr>
      <w:r>
        <w:rPr>
          <w:rFonts w:ascii="Courier New" w:cs="Courier New" w:eastAsia="Courier New" w:hAnsi="Courier New"/>
          <w:sz w:val="14"/>
          <w:szCs w:val="14"/>
          <w:color w:val="auto"/>
        </w:rPr>
        <w:t>If the actuarial present value of the Retirement Benefits under Section 4.6 is less than $10,000, the benefit will be paid in a lump sum payment.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7" w:right="1440" w:bottom="1440" w:gutter="0" w:footer="0" w:header="0"/>
        </w:sectPr>
      </w:pPr>
    </w:p>
    <w:bookmarkStart w:id="144" w:name="page145"/>
    <w:bookmarkEnd w:id="144"/>
    <w:p>
      <w:pPr>
        <w:ind w:left="780" w:right="3679"/>
        <w:spacing w:after="0" w:line="251" w:lineRule="auto"/>
        <w:rPr>
          <w:sz w:val="20"/>
          <w:szCs w:val="20"/>
          <w:color w:val="auto"/>
        </w:rPr>
      </w:pPr>
      <w:r>
        <w:rPr>
          <w:rFonts w:ascii="Courier New" w:cs="Courier New" w:eastAsia="Courier New" w:hAnsi="Courier New"/>
          <w:sz w:val="14"/>
          <w:szCs w:val="14"/>
          <w:color w:val="auto"/>
        </w:rPr>
        <w:t>If a Participant has commenced receipt of Retirement Benefits under this Plan and is re-employed by the Company, Retirement Benefit payments under this Plan shall be suspended upon such re-employment until the Participant again becomes eligible to receive Retirement Benefit payments under the Plan.</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President &amp;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 General Counsel &amp; Secretary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45" w:name="page146"/>
    <w:bookmarkEnd w:id="145"/>
    <w:p>
      <w:pPr>
        <w:jc w:val="right"/>
        <w:ind w:right="3339"/>
        <w:spacing w:after="0"/>
        <w:rPr>
          <w:sz w:val="20"/>
          <w:szCs w:val="20"/>
          <w:color w:val="auto"/>
        </w:rPr>
      </w:pPr>
      <w:r>
        <w:rPr>
          <w:rFonts w:ascii="Courier New" w:cs="Courier New" w:eastAsia="Courier New" w:hAnsi="Courier New"/>
          <w:sz w:val="14"/>
          <w:szCs w:val="14"/>
          <w:color w:val="auto"/>
        </w:rPr>
        <w:t>EXHIBIT 10(m)6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EXECUTIVE LONG-TERM INCENTIVE COMPENSATION PLAN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NONQUALIFIED STOCK OPTION GRANT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[ELIGIBLE EXECUTIVE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accordance with the terms of ALLETE's Executive Long-Term Incentive Compensation Plan (the "Plan"), as determined by and through the Executive Compensation Committee of ALLETE's Board of Directors, ALLETE hereby grants to you (the "Participant"), subject to the terms and conditions set forth in this Grant (including Annex A hereto and all documents incorporated herein by reference) the rights and options (the "Options") to purchase from ALLETE, shares of its common stock, without par value, as set forth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Options Granted: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 to which Options Pertain: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Grant: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Period: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Further terms and conditions of the Grant are set forth in Annex A hereto, which is an integral part of this Grant. This Grant is made in accordance with the Plan, which was approved by ALLETE's shareholders at the 2005 Annual Meeting. All terms, provisions and conditions applicable to the Options set forth in the Plan and not set forth herein are incorporated by reference. To the extent any provision hereof is inconsistent with a provision of the Plan, the provisions of the Plan will govern.</w:t>
      </w:r>
    </w:p>
    <w:p>
      <w:pPr>
        <w:spacing w:after="0" w:line="16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These Options are not intended to qualify as incentive stock options under Section 422 of the Internal Revenue Code of 1986, as amended.</w:t>
      </w:r>
    </w:p>
    <w:p>
      <w:pPr>
        <w:spacing w:after="0" w:line="160"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IN WITNESS WHEREOF, ALLETE has caused this Grant to be executed by its Chairman, President and Chief Executive Officer as of the date and year first above written.</w:t>
      </w:r>
    </w:p>
    <w:p>
      <w:pPr>
        <w:spacing w:after="0" w:line="32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ALLETE</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Chairman, President and CEO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 Annex A</w:t>
      </w:r>
    </w:p>
    <w:p>
      <w:pPr>
        <w:sectPr>
          <w:pgSz w:w="11900" w:h="16838" w:orient="portrait"/>
          <w:cols w:equalWidth="0" w:num="1">
            <w:col w:w="10239"/>
          </w:cols>
          <w:pgMar w:left="220" w:top="307" w:right="1440" w:bottom="1440" w:gutter="0" w:footer="0" w:header="0"/>
        </w:sectPr>
      </w:pPr>
    </w:p>
    <w:bookmarkStart w:id="146" w:name="page147"/>
    <w:bookmarkEnd w:id="146"/>
    <w:p>
      <w:pPr>
        <w:ind w:left="3192"/>
        <w:spacing w:after="0"/>
        <w:rPr>
          <w:sz w:val="20"/>
          <w:szCs w:val="20"/>
          <w:color w:val="auto"/>
        </w:rPr>
      </w:pPr>
      <w:r>
        <w:rPr>
          <w:rFonts w:ascii="Courier New" w:cs="Courier New" w:eastAsia="Courier New" w:hAnsi="Courier New"/>
          <w:sz w:val="14"/>
          <w:szCs w:val="14"/>
          <w:color w:val="auto"/>
        </w:rPr>
        <w:t>ANNEX A</w:t>
      </w:r>
    </w:p>
    <w:p>
      <w:pPr>
        <w:spacing w:after="0" w:line="7"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0"/>
          <w:szCs w:val="20"/>
          <w:color w:val="auto"/>
        </w:rPr>
      </w:pPr>
    </w:p>
    <w:p>
      <w:pPr>
        <w:ind w:left="1472"/>
        <w:spacing w:after="0"/>
        <w:rPr>
          <w:sz w:val="20"/>
          <w:szCs w:val="20"/>
          <w:color w:val="auto"/>
        </w:rPr>
      </w:pPr>
      <w:r>
        <w:rPr>
          <w:rFonts w:ascii="Courier New" w:cs="Courier New" w:eastAsia="Courier New" w:hAnsi="Courier New"/>
          <w:sz w:val="14"/>
          <w:szCs w:val="14"/>
          <w:color w:val="auto"/>
        </w:rPr>
        <w:t>EXECUTIVE LONG-TERM INCENTIVE COMPENSATION PLAN</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NONQUALIFIED STOCK OPTION GRANT</w:t>
      </w:r>
    </w:p>
    <w:p>
      <w:pPr>
        <w:spacing w:after="0" w:line="7" w:lineRule="exact"/>
        <w:rPr>
          <w:sz w:val="20"/>
          <w:szCs w:val="20"/>
          <w:color w:val="auto"/>
        </w:rPr>
      </w:pPr>
    </w:p>
    <w:p>
      <w:pPr>
        <w:ind w:left="2852"/>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[ELIGIBLE EXECUTIVE EMPLOYEES]</w:t>
      </w:r>
    </w:p>
    <w:p>
      <w:pPr>
        <w:spacing w:after="0" w:line="173" w:lineRule="exact"/>
        <w:rPr>
          <w:sz w:val="20"/>
          <w:szCs w:val="20"/>
          <w:color w:val="auto"/>
        </w:rPr>
      </w:pPr>
    </w:p>
    <w:p>
      <w:pPr>
        <w:ind w:left="-8" w:right="3779" w:firstLine="439"/>
        <w:spacing w:after="0" w:line="252" w:lineRule="auto"/>
        <w:tabs>
          <w:tab w:leader="none" w:pos="853"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TERMS AND CONDITIONS OF OPTIONS. The Grant of Options evidenced by the Grant to which this is annexed is subject to the following additional terms and conditions:</w:t>
      </w:r>
    </w:p>
    <w:p>
      <w:pPr>
        <w:spacing w:after="0" w:line="162" w:lineRule="exact"/>
        <w:rPr>
          <w:rFonts w:ascii="Courier New" w:cs="Courier New" w:eastAsia="Courier New" w:hAnsi="Courier New"/>
          <w:sz w:val="14"/>
          <w:szCs w:val="14"/>
          <w:color w:val="auto"/>
        </w:rPr>
      </w:pPr>
    </w:p>
    <w:p>
      <w:pPr>
        <w:ind w:left="1472" w:hanging="610"/>
        <w:spacing w:after="0"/>
        <w:tabs>
          <w:tab w:leader="none" w:pos="1472" w:val="left"/>
        </w:tabs>
        <w:numPr>
          <w:ilvl w:val="2"/>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Except as otherwise provided in subsection</w:t>
      </w:r>
    </w:p>
    <w:p>
      <w:pPr>
        <w:spacing w:after="0" w:line="7" w:lineRule="exact"/>
        <w:rPr>
          <w:rFonts w:ascii="Courier New" w:cs="Courier New" w:eastAsia="Courier New" w:hAnsi="Courier New"/>
          <w:sz w:val="14"/>
          <w:szCs w:val="14"/>
          <w:color w:val="auto"/>
        </w:rPr>
      </w:pPr>
    </w:p>
    <w:p>
      <w:pPr>
        <w:ind w:left="-8" w:right="3419" w:firstLine="8"/>
        <w:spacing w:after="0" w:line="251" w:lineRule="auto"/>
        <w:tabs>
          <w:tab w:leader="none" w:pos="336"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upon a Change in Control as set forth in the Plan or as the Executive Compensation Committee (the "Committee") may determine, the Participant must be in the employ of ALLETE or a Subsidiary thereof at the time the Options are exercised. Subject to the foregoing and to subsection (b) hereof, after vesting, the Options may be exercised in whole or in part from time to time by written or electronic notice of exercise delivered to Computershare, such notice to be received and effective not later than the Expiration Date, specifying the number of Shares to be purchased. In the event that the Expiration Date shall fall on a day that is not a regular business day at ALLETE's executive offices in Duluth, Minnesota, such notice must be delivered to Computershare no later than the last regular business day prior to the Expiration Date.</w:t>
      </w:r>
    </w:p>
    <w:p>
      <w:pPr>
        <w:spacing w:after="0" w:line="328" w:lineRule="exact"/>
        <w:rPr>
          <w:rFonts w:ascii="Courier New" w:cs="Courier New" w:eastAsia="Courier New" w:hAnsi="Courier New"/>
          <w:sz w:val="14"/>
          <w:szCs w:val="14"/>
          <w:color w:val="auto"/>
        </w:rPr>
      </w:pPr>
    </w:p>
    <w:p>
      <w:pPr>
        <w:ind w:left="-8" w:right="3339" w:firstLine="870"/>
        <w:spacing w:after="0" w:line="257" w:lineRule="auto"/>
        <w:tabs>
          <w:tab w:leader="none" w:pos="1456" w:val="left"/>
        </w:tabs>
        <w:numPr>
          <w:ilvl w:val="2"/>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UPON DEATH, RETIREMENT, OR DISABILITY; FORFEITURE UPON TERMINATION OF EMPLOYMENT FOR CAUSE, DEMOTION, OR UNSATISFACTORY JOB PERFORMANCE.</w:t>
      </w:r>
    </w:p>
    <w:p>
      <w:pPr>
        <w:spacing w:after="0" w:line="323" w:lineRule="exact"/>
        <w:rPr>
          <w:sz w:val="20"/>
          <w:szCs w:val="20"/>
          <w:color w:val="auto"/>
        </w:rPr>
      </w:pPr>
    </w:p>
    <w:p>
      <w:pPr>
        <w:ind w:left="1212" w:right="3339" w:hanging="350"/>
        <w:spacing w:after="0" w:line="251" w:lineRule="auto"/>
        <w:tabs>
          <w:tab w:leader="none" w:pos="1212"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 retires pursuant to the terms of a tax-qualified retirement plan of ALLETE or a Subsidiary or upon such other retirement as may be approved by the Committee, the Options, to the extent not yet vested, shall vest in full and all Options covered by the Grant, to the extent not yet exercised, shall be exercisable by the Participant in full at any time during the three-year period immediately following his retirement, but in no event after the Expiration Date.</w:t>
      </w:r>
    </w:p>
    <w:p>
      <w:pPr>
        <w:spacing w:after="0" w:line="163" w:lineRule="exact"/>
        <w:rPr>
          <w:rFonts w:ascii="Courier New" w:cs="Courier New" w:eastAsia="Courier New" w:hAnsi="Courier New"/>
          <w:sz w:val="14"/>
          <w:szCs w:val="14"/>
          <w:color w:val="auto"/>
        </w:rPr>
      </w:pPr>
    </w:p>
    <w:p>
      <w:pPr>
        <w:ind w:left="1212" w:right="3339" w:hanging="350"/>
        <w:spacing w:after="0" w:line="251" w:lineRule="auto"/>
        <w:tabs>
          <w:tab w:leader="none" w:pos="1212"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of the Participant while in the employ of ALLETE or a Subsidiary, the Options, to the extent not yet vested, shall vest in full and all Options covered by the Grant, to the extent not yet exercised, shall be exercisable by the executors, administrators, legatees or distributees of his estate, as the case may be, in full at any time during the one-year period following his death, but in no event after the Expiration Date.</w:t>
      </w:r>
    </w:p>
    <w:p>
      <w:pPr>
        <w:spacing w:after="0" w:line="164" w:lineRule="exact"/>
        <w:rPr>
          <w:rFonts w:ascii="Courier New" w:cs="Courier New" w:eastAsia="Courier New" w:hAnsi="Courier New"/>
          <w:sz w:val="14"/>
          <w:szCs w:val="14"/>
          <w:color w:val="auto"/>
        </w:rPr>
      </w:pPr>
    </w:p>
    <w:p>
      <w:pPr>
        <w:ind w:left="1212" w:right="3339" w:hanging="350"/>
        <w:spacing w:after="0" w:line="251" w:lineRule="auto"/>
        <w:tabs>
          <w:tab w:leader="none" w:pos="1212"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termination of the employment of the Participant due to Disability (as defined in Section 22(e)(3) of the Code), the Options, to the extent not yet vested, shall vest in full and all Options covered by the Grant, to the extent not yet exercised, shall be exercisable in full at any time during the one-year period following such termination of employment, but in no event after the Expiration Date.</w:t>
      </w:r>
    </w:p>
    <w:p>
      <w:pPr>
        <w:sectPr>
          <w:pgSz w:w="11900" w:h="16838" w:orient="portrait"/>
          <w:cols w:equalWidth="0" w:num="1">
            <w:col w:w="10231"/>
          </w:cols>
          <w:pgMar w:left="228" w:top="616" w:right="1440" w:bottom="1440" w:gutter="0" w:footer="0" w:header="0"/>
        </w:sectPr>
      </w:pPr>
    </w:p>
    <w:bookmarkStart w:id="147" w:name="page148"/>
    <w:bookmarkEnd w:id="147"/>
    <w:p>
      <w:pPr>
        <w:ind w:left="867" w:right="3599" w:hanging="350"/>
        <w:spacing w:after="0" w:line="251" w:lineRule="auto"/>
        <w:tabs>
          <w:tab w:leader="none" w:pos="867" w:val="left"/>
        </w:tabs>
        <w:numPr>
          <w:ilvl w:val="2"/>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or service with the Company terminates for any reason other than for Cause (defined below). Participant shall have ninety (90) days from the date of termination of employment or service to exercise vested options and all unvested options will be forfeited as of the date of termination.</w:t>
      </w:r>
    </w:p>
    <w:p>
      <w:pPr>
        <w:spacing w:after="0" w:line="164" w:lineRule="exact"/>
        <w:rPr>
          <w:rFonts w:ascii="Courier New" w:cs="Courier New" w:eastAsia="Courier New" w:hAnsi="Courier New"/>
          <w:sz w:val="14"/>
          <w:szCs w:val="14"/>
          <w:color w:val="auto"/>
        </w:rPr>
      </w:pPr>
    </w:p>
    <w:p>
      <w:pPr>
        <w:ind w:left="867" w:right="3339" w:hanging="350"/>
        <w:spacing w:after="0" w:line="251" w:lineRule="auto"/>
        <w:tabs>
          <w:tab w:leader="none" w:pos="867" w:val="left"/>
        </w:tabs>
        <w:numPr>
          <w:ilvl w:val="2"/>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with the Company or any Subsidiary is terminated for Cause, all outstanding unvested and vested Options shall be forfeited as of the date of such termination of employment or service. Cause is defined as (a) any conduct by the Participant that causes or threatens a loss to the Company; (b) any violation of any Company policy; (c) Participant's refusal or neglect to substantially perform his or her obligations and services; (d) violation of the Company's code of business conduct and ethics; or (e) Participant's arrest, conviction or admission of any crime involving injury to persons, misappropriation of money, or damage to property.</w:t>
      </w:r>
    </w:p>
    <w:p>
      <w:pPr>
        <w:spacing w:after="0" w:line="163" w:lineRule="exact"/>
        <w:rPr>
          <w:rFonts w:ascii="Courier New" w:cs="Courier New" w:eastAsia="Courier New" w:hAnsi="Courier New"/>
          <w:sz w:val="14"/>
          <w:szCs w:val="14"/>
          <w:color w:val="auto"/>
        </w:rPr>
      </w:pPr>
    </w:p>
    <w:p>
      <w:pPr>
        <w:ind w:left="867" w:right="3339" w:hanging="350"/>
        <w:spacing w:after="0" w:line="252" w:lineRule="auto"/>
        <w:tabs>
          <w:tab w:leader="none" w:pos="867" w:val="left"/>
        </w:tabs>
        <w:numPr>
          <w:ilvl w:val="2"/>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 is demoted, or if ALLETE or a Business Unit determines in its sole discretion that the Participants job performance is unsatisfactory, ALLETE reserves the right to cancel any grants and unvested options.</w:t>
      </w:r>
    </w:p>
    <w:p>
      <w:pPr>
        <w:spacing w:after="0" w:line="162" w:lineRule="exact"/>
        <w:rPr>
          <w:rFonts w:ascii="Courier New" w:cs="Courier New" w:eastAsia="Courier New" w:hAnsi="Courier New"/>
          <w:sz w:val="14"/>
          <w:szCs w:val="14"/>
          <w:color w:val="auto"/>
        </w:rPr>
      </w:pPr>
    </w:p>
    <w:p>
      <w:pPr>
        <w:ind w:left="867" w:right="3339" w:hanging="350"/>
        <w:spacing w:after="0" w:line="252" w:lineRule="auto"/>
        <w:tabs>
          <w:tab w:leader="none" w:pos="867" w:val="left"/>
        </w:tabs>
        <w:numPr>
          <w:ilvl w:val="2"/>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Committee may, in its discretion and at any time, provide that the Options may be exercisable during a period of up to 5 years following termination of employment but in no event after the Expiration Date.</w:t>
      </w:r>
    </w:p>
    <w:p>
      <w:pPr>
        <w:spacing w:after="0" w:line="162" w:lineRule="exact"/>
        <w:rPr>
          <w:rFonts w:ascii="Courier New" w:cs="Courier New" w:eastAsia="Courier New" w:hAnsi="Courier New"/>
          <w:sz w:val="14"/>
          <w:szCs w:val="14"/>
          <w:color w:val="auto"/>
        </w:rPr>
      </w:pPr>
    </w:p>
    <w:p>
      <w:pPr>
        <w:ind w:left="-353" w:right="3339" w:firstLine="353"/>
        <w:spacing w:after="0" w:line="251" w:lineRule="auto"/>
        <w:tabs>
          <w:tab w:leader="none" w:pos="50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ACTIONS. By receiving the Grant or other benefit under the Plan, the Participant and each person claiming under or through him shall be conclusively deemed to have indicated the Participant's acceptance and ratification of, and consent to, any action taken under the Plan or the Grant by ALLETE, the Board or the Committee.</w:t>
      </w:r>
    </w:p>
    <w:p>
      <w:pPr>
        <w:spacing w:after="0" w:line="164" w:lineRule="exact"/>
        <w:rPr>
          <w:rFonts w:ascii="Courier New" w:cs="Courier New" w:eastAsia="Courier New" w:hAnsi="Courier New"/>
          <w:sz w:val="14"/>
          <w:szCs w:val="14"/>
          <w:color w:val="auto"/>
        </w:rPr>
      </w:pPr>
    </w:p>
    <w:p>
      <w:pPr>
        <w:ind w:left="-353" w:right="3339" w:firstLine="439"/>
        <w:spacing w:after="0" w:line="251" w:lineRule="auto"/>
        <w:tabs>
          <w:tab w:leader="none" w:pos="508"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hereunder to ALLETE shall be addressed to its office,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64" w:lineRule="exact"/>
        <w:rPr>
          <w:rFonts w:ascii="Courier New" w:cs="Courier New" w:eastAsia="Courier New" w:hAnsi="Courier New"/>
          <w:sz w:val="14"/>
          <w:szCs w:val="14"/>
          <w:color w:val="auto"/>
        </w:rPr>
      </w:pPr>
    </w:p>
    <w:p>
      <w:pPr>
        <w:ind w:left="-353" w:right="3339" w:firstLine="439"/>
        <w:spacing w:after="0" w:line="255" w:lineRule="auto"/>
        <w:tabs>
          <w:tab w:leader="none" w:pos="508"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not otherwise defined herein shall have the meanings given them in the Plan.</w:t>
      </w:r>
    </w:p>
    <w:p>
      <w:pPr>
        <w:spacing w:after="0" w:line="159" w:lineRule="exact"/>
        <w:rPr>
          <w:rFonts w:ascii="Courier New" w:cs="Courier New" w:eastAsia="Courier New" w:hAnsi="Courier New"/>
          <w:sz w:val="14"/>
          <w:szCs w:val="14"/>
          <w:color w:val="auto"/>
        </w:rPr>
      </w:pPr>
    </w:p>
    <w:p>
      <w:pPr>
        <w:ind w:left="-353" w:right="3339" w:firstLine="439"/>
        <w:spacing w:after="0" w:line="251" w:lineRule="auto"/>
        <w:tabs>
          <w:tab w:leader="none" w:pos="508"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SEVERABILITY. To the extent not preempted by Federal law, the Grant will be governed by and construed in accordance with the laws of the State of Minnesota, without regard to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64" w:lineRule="exact"/>
        <w:rPr>
          <w:sz w:val="20"/>
          <w:szCs w:val="20"/>
          <w:color w:val="auto"/>
        </w:rPr>
      </w:pPr>
    </w:p>
    <w:p>
      <w:pPr>
        <w:ind w:left="3007"/>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86"/>
          </w:cols>
          <w:pgMar w:left="573" w:top="616" w:right="1440" w:bottom="1440" w:gutter="0" w:footer="0" w:header="0"/>
        </w:sectPr>
      </w:pPr>
    </w:p>
    <w:bookmarkStart w:id="148" w:name="page149"/>
    <w:bookmarkEnd w:id="148"/>
    <w:p>
      <w:pPr>
        <w:jc w:val="right"/>
        <w:ind w:right="3339"/>
        <w:spacing w:after="0"/>
        <w:rPr>
          <w:sz w:val="20"/>
          <w:szCs w:val="20"/>
          <w:color w:val="auto"/>
        </w:rPr>
      </w:pPr>
      <w:r>
        <w:rPr>
          <w:rFonts w:ascii="Courier New" w:cs="Courier New" w:eastAsia="Courier New" w:hAnsi="Courier New"/>
          <w:sz w:val="14"/>
          <w:szCs w:val="14"/>
          <w:color w:val="auto"/>
        </w:rPr>
        <w:t>EXHIBIT 10(m)7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EXECUTIVE LONG-TERM INCENTIVE COMPENSATION PLAN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PERFORMANCE SHARE GRANT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[ELIGIBLE EXECUTIVE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 #</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accordance with the terms of ALLETE's Executive Long-Term Incentive Compensation Plan (the "Plan"), as determined by and through the Executive Compensation Committee of ALLETE's Board of Directors, ALLETE hereby grants to you (the "Participant") Performance Shares, as set forth below, subject to the terms and conditions set forth in this Grant (including Annexes A and B hereto and all documents incorporated herein by reference):</w:t>
      </w:r>
    </w:p>
    <w:p>
      <w:pPr>
        <w:sectPr>
          <w:pgSz w:w="11900" w:h="16838" w:orient="portrait"/>
          <w:cols w:equalWidth="0" w:num="1">
            <w:col w:w="10239"/>
          </w:cols>
          <w:pgMar w:left="220" w:top="307" w:right="1440" w:bottom="1440" w:gutter="0" w:footer="0" w:header="0"/>
        </w:sectPr>
      </w:pP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 of Performance Shares Granted: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 of Grant: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Performance Period: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Performance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Annex B</w:t>
      </w:r>
    </w:p>
    <w:p>
      <w:pPr>
        <w:spacing w:after="0" w:line="173" w:lineRule="exact"/>
        <w:rPr>
          <w:sz w:val="20"/>
          <w:szCs w:val="20"/>
          <w:color w:val="auto"/>
        </w:rPr>
      </w:pPr>
    </w:p>
    <w:p>
      <w:pPr>
        <w:sectPr>
          <w:pgSz w:w="11900" w:h="16838" w:orient="portrait"/>
          <w:cols w:equalWidth="0" w:num="2">
            <w:col w:w="3620" w:space="0"/>
            <w:col w:w="6619"/>
          </w:cols>
          <w:pgMar w:left="220" w:top="307" w:right="1440" w:bottom="1440" w:gutter="0" w:footer="0" w:header="0"/>
          <w:type w:val="continuous"/>
        </w:sectPr>
      </w:pPr>
    </w:p>
    <w:p>
      <w:pPr>
        <w:ind w:right="3519"/>
        <w:spacing w:after="0" w:line="255" w:lineRule="auto"/>
        <w:rPr>
          <w:sz w:val="20"/>
          <w:szCs w:val="20"/>
          <w:color w:val="auto"/>
        </w:rPr>
      </w:pPr>
      <w:r>
        <w:rPr>
          <w:rFonts w:ascii="Courier New" w:cs="Courier New" w:eastAsia="Courier New" w:hAnsi="Courier New"/>
          <w:sz w:val="14"/>
          <w:szCs w:val="14"/>
          <w:color w:val="auto"/>
        </w:rPr>
        <w:t>This Grant is made in accordance with the Plan, which was approved by ALLETE's shareholders at the 2005 Annual Meeting.</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Further terms and conditions of the Grant are set forth in Annex A hereto and Performance Goals are set forth in Annex B hereto, which are integral parts of this Grant.</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terms, provisions and conditions applicable to the Performance Shares set forth in the Plan and not set forth herein are incorporated by reference. To the extent any provision hereof is inconsistent with a provision of the Plan, the provisions of the Plan will govern.</w:t>
      </w:r>
    </w:p>
    <w:p>
      <w:pPr>
        <w:spacing w:after="0" w:line="162"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IN WITNESS WHEREOF, ALLETE has caused this Grant to be executed by its Chairman, President and Chief Executive Officer as of the date and year first above written.</w:t>
      </w:r>
    </w:p>
    <w:p>
      <w:pPr>
        <w:spacing w:after="0" w:line="32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ALLETE</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Chairman, President and CEO</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Attachments:</w:t>
        <w:tab/>
        <w:t>Annex A and Annex B</w:t>
      </w:r>
    </w:p>
    <w:p>
      <w:pPr>
        <w:sectPr>
          <w:pgSz w:w="11900" w:h="16838" w:orient="portrait"/>
          <w:cols w:equalWidth="0" w:num="1">
            <w:col w:w="10239"/>
          </w:cols>
          <w:pgMar w:left="220" w:top="307" w:right="1440" w:bottom="1440" w:gutter="0" w:footer="0" w:header="0"/>
          <w:type w:val="continuous"/>
        </w:sectPr>
      </w:pPr>
    </w:p>
    <w:bookmarkStart w:id="149" w:name="page150"/>
    <w:bookmarkEnd w:id="149"/>
    <w:p>
      <w:pPr>
        <w:ind w:left="2761"/>
        <w:spacing w:after="0"/>
        <w:rPr>
          <w:sz w:val="20"/>
          <w:szCs w:val="20"/>
          <w:color w:val="auto"/>
        </w:rPr>
      </w:pPr>
      <w:r>
        <w:rPr>
          <w:rFonts w:ascii="Courier New" w:cs="Courier New" w:eastAsia="Courier New" w:hAnsi="Courier New"/>
          <w:sz w:val="14"/>
          <w:szCs w:val="14"/>
          <w:color w:val="auto"/>
        </w:rPr>
        <w:t>ANNEX A</w:t>
      </w:r>
    </w:p>
    <w:p>
      <w:pPr>
        <w:spacing w:after="0" w:line="7"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0"/>
          <w:szCs w:val="20"/>
          <w:color w:val="auto"/>
        </w:rPr>
      </w:pPr>
    </w:p>
    <w:p>
      <w:pPr>
        <w:ind w:left="2761"/>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1041"/>
        <w:spacing w:after="0"/>
        <w:rPr>
          <w:sz w:val="20"/>
          <w:szCs w:val="20"/>
          <w:color w:val="auto"/>
        </w:rPr>
      </w:pPr>
      <w:r>
        <w:rPr>
          <w:rFonts w:ascii="Courier New" w:cs="Courier New" w:eastAsia="Courier New" w:hAnsi="Courier New"/>
          <w:sz w:val="14"/>
          <w:szCs w:val="14"/>
          <w:color w:val="auto"/>
        </w:rPr>
        <w:t>EXECUTIVE LONG-TERM INCENTIVE COMPENSATION PLAN</w:t>
      </w:r>
    </w:p>
    <w:p>
      <w:pPr>
        <w:spacing w:after="0" w:line="7" w:lineRule="exact"/>
        <w:rPr>
          <w:sz w:val="20"/>
          <w:szCs w:val="20"/>
          <w:color w:val="auto"/>
        </w:rPr>
      </w:pPr>
    </w:p>
    <w:p>
      <w:pPr>
        <w:ind w:left="2061"/>
        <w:spacing w:after="0"/>
        <w:rPr>
          <w:sz w:val="20"/>
          <w:szCs w:val="20"/>
          <w:color w:val="auto"/>
        </w:rPr>
      </w:pPr>
      <w:r>
        <w:rPr>
          <w:rFonts w:ascii="Courier New" w:cs="Courier New" w:eastAsia="Courier New" w:hAnsi="Courier New"/>
          <w:sz w:val="14"/>
          <w:szCs w:val="14"/>
          <w:color w:val="auto"/>
        </w:rPr>
        <w:t>PERFORMANCE SHARE GRANT</w:t>
      </w:r>
    </w:p>
    <w:p>
      <w:pPr>
        <w:spacing w:after="0" w:line="7" w:lineRule="exact"/>
        <w:rPr>
          <w:sz w:val="20"/>
          <w:szCs w:val="20"/>
          <w:color w:val="auto"/>
        </w:rPr>
      </w:pPr>
    </w:p>
    <w:p>
      <w:pPr>
        <w:ind w:left="2421"/>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1721"/>
        <w:spacing w:after="0"/>
        <w:rPr>
          <w:sz w:val="20"/>
          <w:szCs w:val="20"/>
          <w:color w:val="auto"/>
        </w:rPr>
      </w:pPr>
      <w:r>
        <w:rPr>
          <w:rFonts w:ascii="Courier New" w:cs="Courier New" w:eastAsia="Courier New" w:hAnsi="Courier New"/>
          <w:sz w:val="14"/>
          <w:szCs w:val="14"/>
          <w:color w:val="auto"/>
        </w:rPr>
        <w:t>[ELIGIBLE EXECUTIVE EMPLOYEES]</w:t>
      </w:r>
    </w:p>
    <w:p>
      <w:pPr>
        <w:spacing w:after="0" w:line="173" w:lineRule="exact"/>
        <w:rPr>
          <w:sz w:val="20"/>
          <w:szCs w:val="20"/>
          <w:color w:val="auto"/>
        </w:rPr>
      </w:pPr>
    </w:p>
    <w:p>
      <w:pPr>
        <w:ind w:left="-439" w:right="3339" w:firstLine="439"/>
        <w:spacing w:after="0" w:line="252" w:lineRule="auto"/>
        <w:tabs>
          <w:tab w:leader="none" w:pos="42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TERMS AND CONDITIONS OF PERFORMANCE SHARES. The Grant of Performance Shares evidenced by the Grant to which this is annexed is subject to the following additional terms and conditions:</w:t>
      </w:r>
    </w:p>
    <w:p>
      <w:pPr>
        <w:spacing w:after="0" w:line="163" w:lineRule="exact"/>
        <w:rPr>
          <w:sz w:val="20"/>
          <w:szCs w:val="20"/>
          <w:color w:val="auto"/>
        </w:rPr>
      </w:pPr>
    </w:p>
    <w:p>
      <w:pPr>
        <w:ind w:left="-439" w:right="3419" w:firstLine="439"/>
        <w:spacing w:after="0" w:line="251" w:lineRule="auto"/>
        <w:tabs>
          <w:tab w:leader="none" w:pos="42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The Participant shall receive Dividend Equivalents with respect to the number of Performance Shares subject to the Grant. Dividend Equivalents shall be calculated and credited to the Participant at the end of the Performance Period. The Dividend Equivalents shall be in the form of additional Performance Shares, which shall be added to the number of Performance Shares subject to the Grant, and which shall equal the number of Shares (including fractional Shares) that could be purchased on the dividend payment dates, based on the closing sale price as reported in the consolidated transaction reporting system on that date, with cash dividends that would have been paid on Performance Shares, if such Performance Shares were Shares.</w:t>
      </w:r>
    </w:p>
    <w:p>
      <w:pPr>
        <w:spacing w:after="0" w:line="163" w:lineRule="exact"/>
        <w:rPr>
          <w:rFonts w:ascii="Courier New" w:cs="Courier New" w:eastAsia="Courier New" w:hAnsi="Courier New"/>
          <w:sz w:val="14"/>
          <w:szCs w:val="14"/>
          <w:color w:val="auto"/>
        </w:rPr>
      </w:pPr>
    </w:p>
    <w:p>
      <w:pPr>
        <w:ind w:left="-439" w:right="3339" w:firstLine="439"/>
        <w:spacing w:after="0" w:line="251" w:lineRule="auto"/>
        <w:tabs>
          <w:tab w:leader="none" w:pos="42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OF GOALS. At the end of the Performance Period, the Executive Compensation Committee (the "Committee") shall determine the extent to which the Performance Goals have been met. The Participant will not be credited with any Performance Shares if the threshold level has not been met. Subject to the provisions of subsection (d) hereof and to provisions in the Plan for change in control, percentages of the Performance Share grant shall be credited to the Participant as follows: If the threshold level has been met, 50% of the Performance Shares (as increased by the Dividend Equivalents) shall be credited to the Participant. If the target level has been met, 100% of the Performance Shares (as increased by the Dividend Equivalents) shall be credited to the Participant. If the superior level has been met, 200% of the Performance Shares (as increased by the Dividend Equivalents) shall be credited to the Participant. Straight line interpolation will be used to determine earned awards based on achievement of goals between the threshold, target and superior levels.</w:t>
      </w:r>
    </w:p>
    <w:p>
      <w:pPr>
        <w:spacing w:after="0" w:line="162" w:lineRule="exact"/>
        <w:rPr>
          <w:rFonts w:ascii="Courier New" w:cs="Courier New" w:eastAsia="Courier New" w:hAnsi="Courier New"/>
          <w:sz w:val="14"/>
          <w:szCs w:val="14"/>
          <w:color w:val="auto"/>
        </w:rPr>
      </w:pPr>
    </w:p>
    <w:p>
      <w:pPr>
        <w:ind w:left="-439" w:right="3419" w:firstLine="439"/>
        <w:spacing w:after="0" w:line="251" w:lineRule="auto"/>
        <w:tabs>
          <w:tab w:leader="none" w:pos="42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Subject to the provisions of subsection (d) hereof and to provisions in the Plan for change in control, Performance Shares as determined by the Committee according to subsection (b) hereof shall be paid out 100% (as increased by the Dividend Equivalents) within two and one half months after the end of the Performance Period and after the Committee has determined the extent to which Performance Goals have been met. Payment shall be made, after withholding Performance Shares equal in value to the Participant's income tax obligation via a deposit of ALLETE common stock into an Invest Direct account. Performance Share awards shall not vest until paid.</w:t>
      </w:r>
    </w:p>
    <w:p>
      <w:pPr>
        <w:sectPr>
          <w:pgSz w:w="11900" w:h="16838" w:orient="portrait"/>
          <w:cols w:equalWidth="0" w:num="1">
            <w:col w:w="9800"/>
          </w:cols>
          <w:pgMar w:left="659" w:top="616" w:right="1440" w:bottom="1440" w:gutter="0" w:footer="0" w:header="0"/>
        </w:sectPr>
      </w:pPr>
    </w:p>
    <w:bookmarkStart w:id="150" w:name="page151"/>
    <w:bookmarkEnd w:id="150"/>
    <w:p>
      <w:pPr>
        <w:ind w:left="-439" w:right="3519" w:firstLine="439"/>
        <w:spacing w:after="0" w:line="252" w:lineRule="auto"/>
        <w:tabs>
          <w:tab w:leader="none" w:pos="42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DEATH, RETIREMENT OR DISABILITY; FORFEITURE OF UNVESTED SHARES UPON DEMOTION, UNSATISFACTORY JOB PERFORMANCE OR OTHER TERMINATION OF EMPLOYMENT.</w:t>
      </w:r>
    </w:p>
    <w:p>
      <w:pPr>
        <w:spacing w:after="0" w:line="163" w:lineRule="exact"/>
        <w:rPr>
          <w:sz w:val="20"/>
          <w:szCs w:val="20"/>
          <w:color w:val="auto"/>
        </w:rPr>
      </w:pPr>
    </w:p>
    <w:p>
      <w:pPr>
        <w:jc w:val="both"/>
        <w:ind w:left="421" w:right="3339" w:hanging="421"/>
        <w:spacing w:after="0" w:line="250" w:lineRule="auto"/>
        <w:tabs>
          <w:tab w:leader="none" w:pos="42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 Performance Period (i) if the Participant retires pursuant to the terms of a tax qualified retirement plan of ALLETE or a Subsidiary or upon such other retirement as may be approved by the Committee,</w:t>
      </w:r>
    </w:p>
    <w:p>
      <w:pPr>
        <w:spacing w:after="0" w:line="1" w:lineRule="exact"/>
        <w:rPr>
          <w:rFonts w:ascii="Courier New" w:cs="Courier New" w:eastAsia="Courier New" w:hAnsi="Courier New"/>
          <w:sz w:val="14"/>
          <w:szCs w:val="14"/>
          <w:color w:val="auto"/>
        </w:rPr>
      </w:pPr>
    </w:p>
    <w:p>
      <w:pPr>
        <w:ind w:left="421" w:right="3339" w:firstLine="10"/>
        <w:spacing w:after="0" w:line="251" w:lineRule="auto"/>
        <w:tabs>
          <w:tab w:leader="none" w:pos="852"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of the Participant while in the employ of ALLETE or a Subsidiary, or (iii) in the event of the termination of the employment of the Participant due to Disability (as defined in Section 22(e)(3) of the Code), the Participant (or the Participant's beneficiary or estate) shall receive a payment of any Performance Shares (as increased by the Dividend Equivalents) after the end of the Performance Period, promptly after the Committee has determined the extent to which Performance Goals have been met. The payment shall be prorated based upon the number of whole calendar months within the Performance Period which had elapsed as of the date of death, retirement or termination due to Disability in relation to the number of calendar months in the full Performance Period. A whole month is counted in the calculation if the Participant was in the position as of the 15th of the month.</w:t>
      </w:r>
    </w:p>
    <w:p>
      <w:pPr>
        <w:spacing w:after="0" w:line="162" w:lineRule="exact"/>
        <w:rPr>
          <w:rFonts w:ascii="Courier New" w:cs="Courier New" w:eastAsia="Courier New" w:hAnsi="Courier New"/>
          <w:sz w:val="14"/>
          <w:szCs w:val="14"/>
          <w:color w:val="auto"/>
        </w:rPr>
      </w:pPr>
    </w:p>
    <w:p>
      <w:pPr>
        <w:ind w:left="421" w:right="3339" w:hanging="421"/>
        <w:spacing w:after="0" w:line="251" w:lineRule="auto"/>
        <w:tabs>
          <w:tab w:leader="none" w:pos="42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end of a Performance Period, but before any or all Performance Shares have been paid, if as specified in subsection (d)(1) above, a Participant retires, dies or Participant's employment is terminated due to Disability, the Participant (or the Participant's beneficiary or estate) shall be entitled to a full payout of all Performance Shares (as increased by the Dividend Equivalents), which shall be paid out at the next scheduled performance share payment date.</w:t>
      </w:r>
    </w:p>
    <w:p>
      <w:pPr>
        <w:spacing w:after="0" w:line="329" w:lineRule="exact"/>
        <w:rPr>
          <w:rFonts w:ascii="Courier New" w:cs="Courier New" w:eastAsia="Courier New" w:hAnsi="Courier New"/>
          <w:sz w:val="14"/>
          <w:szCs w:val="14"/>
          <w:color w:val="auto"/>
        </w:rPr>
      </w:pPr>
    </w:p>
    <w:p>
      <w:pPr>
        <w:ind w:left="421" w:right="3419" w:hanging="421"/>
        <w:spacing w:after="0" w:line="251" w:lineRule="auto"/>
        <w:tabs>
          <w:tab w:leader="none" w:pos="42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payment of all Performance Shares, the Participant is demoted, or ALLETE or a Business Unit determines, in its sole discretion, that the Participant's job performance is unsatisfactory, ALLETE reserves the right to cancel or amend the Participant's grant relating to any unpaid Performance Shares, with the result that some portion or all of the Participant's unpaid Performance Shares are forfeited.</w:t>
      </w:r>
    </w:p>
    <w:p>
      <w:pPr>
        <w:spacing w:after="0" w:line="164" w:lineRule="exact"/>
        <w:rPr>
          <w:rFonts w:ascii="Courier New" w:cs="Courier New" w:eastAsia="Courier New" w:hAnsi="Courier New"/>
          <w:sz w:val="14"/>
          <w:szCs w:val="14"/>
          <w:color w:val="auto"/>
        </w:rPr>
      </w:pPr>
    </w:p>
    <w:p>
      <w:pPr>
        <w:ind w:left="421" w:right="3419" w:hanging="421"/>
        <w:spacing w:after="0" w:line="251" w:lineRule="auto"/>
        <w:tabs>
          <w:tab w:leader="none" w:pos="42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with ALLETE or any Subsidiary terminates for any reason other than death, Disability or retirement, as specified in subsection (d)(1) hereof, all Performance Shares and related Dividend Equivalents to the extent not yet paid shall, except as otherwise provided by the Committee, be forfeited on the date of such other termination of employment.</w:t>
      </w:r>
    </w:p>
    <w:p>
      <w:pPr>
        <w:spacing w:after="0" w:line="164" w:lineRule="exact"/>
        <w:rPr>
          <w:sz w:val="20"/>
          <w:szCs w:val="20"/>
          <w:color w:val="auto"/>
        </w:rPr>
      </w:pPr>
    </w:p>
    <w:p>
      <w:pPr>
        <w:ind w:left="-439" w:right="3339" w:firstLine="439"/>
        <w:spacing w:after="0" w:line="251" w:lineRule="auto"/>
        <w:tabs>
          <w:tab w:leader="none" w:pos="42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ACTIONS.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64" w:lineRule="exact"/>
        <w:rPr>
          <w:rFonts w:ascii="Courier New" w:cs="Courier New" w:eastAsia="Courier New" w:hAnsi="Courier New"/>
          <w:sz w:val="14"/>
          <w:szCs w:val="14"/>
          <w:color w:val="auto"/>
        </w:rPr>
      </w:pPr>
    </w:p>
    <w:p>
      <w:pPr>
        <w:ind w:left="-439" w:right="3519" w:firstLine="439"/>
        <w:spacing w:after="0" w:line="252" w:lineRule="auto"/>
        <w:tabs>
          <w:tab w:leader="none" w:pos="42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hereunder to ALLETE shall be addressed to its office, 30 West Superior Street, Duluth, Minnesota 55802, Attention: Manager - Executive Compensation and Employee Benefits, Human Resources, and any notice hereunder to the Participant shall be</w:t>
      </w:r>
    </w:p>
    <w:p>
      <w:pPr>
        <w:spacing w:after="0" w:line="162"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00"/>
          </w:cols>
          <w:pgMar w:left="659" w:top="616" w:right="1440" w:bottom="1440" w:gutter="0" w:footer="0" w:header="0"/>
        </w:sectPr>
      </w:pPr>
    </w:p>
    <w:bookmarkStart w:id="151" w:name="page152"/>
    <w:bookmarkEnd w:id="151"/>
    <w:p>
      <w:pPr>
        <w:jc w:val="both"/>
        <w:ind w:right="3419"/>
        <w:spacing w:after="0" w:line="252" w:lineRule="auto"/>
        <w:rPr>
          <w:sz w:val="20"/>
          <w:szCs w:val="20"/>
          <w:color w:val="auto"/>
        </w:rPr>
      </w:pPr>
      <w:r>
        <w:rPr>
          <w:rFonts w:ascii="Courier New" w:cs="Courier New" w:eastAsia="Courier New" w:hAnsi="Courier New"/>
          <w:sz w:val="14"/>
          <w:szCs w:val="14"/>
          <w:color w:val="auto"/>
        </w:rPr>
        <w:t>directed to the Participant's address as indicated by ALLETE's records, subject to the right of either party to designate at any time hereafter in writing some other address.</w:t>
      </w:r>
    </w:p>
    <w:p>
      <w:pPr>
        <w:spacing w:after="0" w:line="163" w:lineRule="exact"/>
        <w:rPr>
          <w:sz w:val="20"/>
          <w:szCs w:val="20"/>
          <w:color w:val="auto"/>
        </w:rPr>
      </w:pPr>
    </w:p>
    <w:p>
      <w:pPr>
        <w:ind w:right="3339" w:firstLine="439"/>
        <w:spacing w:after="0" w:line="255" w:lineRule="auto"/>
        <w:tabs>
          <w:tab w:leader="none" w:pos="86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not otherwise defined herein shall have the meanings given them in the Plan.</w:t>
      </w:r>
    </w:p>
    <w:p>
      <w:pPr>
        <w:spacing w:after="0" w:line="159"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SEVERABILITY. To the extent not preempted by the Federal law, the Grant will be governed by and construed in accordance with the laws of the State of Minnesota, without regard to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52" w:name="page153"/>
    <w:bookmarkEnd w:id="152"/>
    <w:p>
      <w:pPr>
        <w:ind w:left="3200"/>
        <w:spacing w:after="0"/>
        <w:rPr>
          <w:sz w:val="20"/>
          <w:szCs w:val="20"/>
          <w:color w:val="auto"/>
        </w:rPr>
      </w:pPr>
      <w:r>
        <w:rPr>
          <w:rFonts w:ascii="Courier New" w:cs="Courier New" w:eastAsia="Courier New" w:hAnsi="Courier New"/>
          <w:sz w:val="14"/>
          <w:szCs w:val="14"/>
          <w:color w:val="auto"/>
        </w:rPr>
        <w:t>ANNEX B</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EXECUTIVE LONG-TERM INCENTIVE COMPENSATION PLAN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PERFORMANCE SHARE GRANT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[ELIGIBLE EXECUTIVE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Measure: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Shareholder Return (TSR) computed over the three-year period.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Share Award: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ALLETE's TSR ranking is 3rd or higher among a peer group of 16 companies (superior performance), 200% of the Performance Share grant will be awarded. If ALLETE's TSR performance ranks 7th among the peer group (target performance), 100% of the Grant will be awarded. If ALLETE's TSR performance ranks 10th (threshold performance), 50% of the Grant will be awarded. If TSR performance is below threshold, no Performance Shares will be awarded. Straight-line interpolation will be used to determine earned awards based on the TSR ranking between threshold, target and superior.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1020"/>
              <w:spacing w:after="0"/>
              <w:rPr>
                <w:sz w:val="20"/>
                <w:szCs w:val="20"/>
                <w:color w:val="auto"/>
              </w:rPr>
            </w:pPr>
            <w:r>
              <w:rPr>
                <w:rFonts w:ascii="Courier New" w:cs="Courier New" w:eastAsia="Courier New" w:hAnsi="Courier New"/>
                <w:sz w:val="14"/>
                <w:szCs w:val="14"/>
                <w:color w:val="auto"/>
              </w:rPr>
              <w:t>TSR RANK</w:t>
            </w:r>
          </w:p>
        </w:tc>
        <w:tc>
          <w:tcPr>
            <w:tcW w:w="2200" w:type="dxa"/>
            <w:vAlign w:val="bottom"/>
          </w:tcPr>
          <w:p>
            <w:pPr>
              <w:ind w:left="380"/>
              <w:spacing w:after="0"/>
              <w:rPr>
                <w:sz w:val="20"/>
                <w:szCs w:val="20"/>
                <w:color w:val="auto"/>
              </w:rPr>
            </w:pPr>
            <w:r>
              <w:rPr>
                <w:rFonts w:ascii="Courier New" w:cs="Courier New" w:eastAsia="Courier New" w:hAnsi="Courier New"/>
                <w:sz w:val="14"/>
                <w:szCs w:val="14"/>
                <w:color w:val="auto"/>
              </w:rPr>
              <w:t>PERF. LEVEL</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PAYOUT %</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[Graphic Omitted -</w:t>
            </w:r>
          </w:p>
        </w:tc>
        <w:tc>
          <w:tcPr>
            <w:tcW w:w="20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2</w:t>
            </w:r>
          </w:p>
        </w:tc>
        <w:tc>
          <w:tcPr>
            <w:tcW w:w="2200" w:type="dxa"/>
            <w:vAlign w:val="bottom"/>
          </w:tcPr>
          <w:p>
            <w:pPr>
              <w:ind w:left="120"/>
              <w:spacing w:after="0"/>
              <w:rPr>
                <w:sz w:val="20"/>
                <w:szCs w:val="20"/>
                <w:color w:val="auto"/>
              </w:rPr>
            </w:pPr>
            <w:r>
              <w:rPr>
                <w:rFonts w:ascii="Courier New" w:cs="Courier New" w:eastAsia="Courier New" w:hAnsi="Courier New"/>
                <w:sz w:val="14"/>
                <w:szCs w:val="14"/>
                <w:color w:val="auto"/>
              </w:rPr>
              <w:t>Arrow Pointing Up]</w:t>
            </w:r>
          </w:p>
        </w:tc>
        <w:tc>
          <w:tcPr>
            <w:tcW w:w="20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3</w:t>
            </w:r>
          </w:p>
        </w:tc>
        <w:tc>
          <w:tcPr>
            <w:tcW w:w="2200" w:type="dxa"/>
            <w:vAlign w:val="bottom"/>
          </w:tcPr>
          <w:p>
            <w:pPr>
              <w:ind w:left="460"/>
              <w:spacing w:after="0"/>
              <w:rPr>
                <w:sz w:val="20"/>
                <w:szCs w:val="20"/>
                <w:color w:val="auto"/>
              </w:rPr>
            </w:pPr>
            <w:r>
              <w:rPr>
                <w:rFonts w:ascii="Courier New" w:cs="Courier New" w:eastAsia="Courier New" w:hAnsi="Courier New"/>
                <w:sz w:val="14"/>
                <w:szCs w:val="14"/>
                <w:color w:val="auto"/>
              </w:rPr>
              <w:t>Superior</w:t>
            </w:r>
          </w:p>
        </w:tc>
        <w:tc>
          <w:tcPr>
            <w:tcW w:w="20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4</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[Graphic Omitted -</w:t>
            </w:r>
          </w:p>
        </w:tc>
        <w:tc>
          <w:tcPr>
            <w:tcW w:w="20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175.0%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5</w:t>
            </w:r>
          </w:p>
        </w:tc>
        <w:tc>
          <w:tcPr>
            <w:tcW w:w="2200" w:type="dxa"/>
            <w:vAlign w:val="bottom"/>
          </w:tcPr>
          <w:p>
            <w:pPr>
              <w:ind w:left="120"/>
              <w:spacing w:after="0"/>
              <w:rPr>
                <w:sz w:val="20"/>
                <w:szCs w:val="20"/>
                <w:color w:val="auto"/>
              </w:rPr>
            </w:pPr>
            <w:r>
              <w:rPr>
                <w:rFonts w:ascii="Courier New" w:cs="Courier New" w:eastAsia="Courier New" w:hAnsi="Courier New"/>
                <w:sz w:val="14"/>
                <w:szCs w:val="14"/>
                <w:color w:val="auto"/>
              </w:rPr>
              <w:t>Arrow Pointing Up]</w:t>
            </w:r>
          </w:p>
        </w:tc>
        <w:tc>
          <w:tcPr>
            <w:tcW w:w="20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150.0%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6</w:t>
            </w:r>
          </w:p>
        </w:tc>
        <w:tc>
          <w:tcPr>
            <w:tcW w:w="2200" w:type="dxa"/>
            <w:vAlign w:val="bottom"/>
          </w:tcPr>
          <w:p>
            <w:pPr>
              <w:spacing w:after="0"/>
              <w:rPr>
                <w:sz w:val="14"/>
                <w:szCs w:val="14"/>
                <w:color w:val="auto"/>
              </w:rPr>
            </w:pPr>
          </w:p>
        </w:tc>
        <w:tc>
          <w:tcPr>
            <w:tcW w:w="20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125.0%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7</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Target</w:t>
            </w:r>
          </w:p>
        </w:tc>
        <w:tc>
          <w:tcPr>
            <w:tcW w:w="20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8</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[Graphic Omitted -</w:t>
            </w:r>
          </w:p>
        </w:tc>
        <w:tc>
          <w:tcPr>
            <w:tcW w:w="20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83.3%</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9</w:t>
            </w:r>
          </w:p>
        </w:tc>
        <w:tc>
          <w:tcPr>
            <w:tcW w:w="2200" w:type="dxa"/>
            <w:vAlign w:val="bottom"/>
          </w:tcPr>
          <w:p>
            <w:pPr>
              <w:ind w:left="120"/>
              <w:spacing w:after="0"/>
              <w:rPr>
                <w:sz w:val="20"/>
                <w:szCs w:val="20"/>
                <w:color w:val="auto"/>
              </w:rPr>
            </w:pPr>
            <w:r>
              <w:rPr>
                <w:rFonts w:ascii="Courier New" w:cs="Courier New" w:eastAsia="Courier New" w:hAnsi="Courier New"/>
                <w:sz w:val="14"/>
                <w:szCs w:val="14"/>
                <w:color w:val="auto"/>
              </w:rPr>
              <w:t>Arrow Pointing Up]</w:t>
            </w:r>
          </w:p>
        </w:tc>
        <w:tc>
          <w:tcPr>
            <w:tcW w:w="20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10</w:t>
            </w:r>
          </w:p>
        </w:tc>
        <w:tc>
          <w:tcPr>
            <w:tcW w:w="2200" w:type="dxa"/>
            <w:vAlign w:val="bottom"/>
          </w:tcPr>
          <w:p>
            <w:pPr>
              <w:ind w:left="460"/>
              <w:spacing w:after="0"/>
              <w:rPr>
                <w:sz w:val="20"/>
                <w:szCs w:val="20"/>
                <w:color w:val="auto"/>
              </w:rPr>
            </w:pPr>
            <w:r>
              <w:rPr>
                <w:rFonts w:ascii="Courier New" w:cs="Courier New" w:eastAsia="Courier New" w:hAnsi="Courier New"/>
                <w:sz w:val="14"/>
                <w:szCs w:val="14"/>
                <w:color w:val="auto"/>
              </w:rPr>
              <w:t>Threshold</w:t>
            </w:r>
          </w:p>
        </w:tc>
        <w:tc>
          <w:tcPr>
            <w:tcW w:w="20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11</w:t>
            </w:r>
          </w:p>
        </w:tc>
        <w:tc>
          <w:tcPr>
            <w:tcW w:w="2200" w:type="dxa"/>
            <w:vAlign w:val="bottom"/>
          </w:tcPr>
          <w:p>
            <w:pPr>
              <w:spacing w:after="0"/>
              <w:rPr>
                <w:sz w:val="14"/>
                <w:szCs w:val="14"/>
                <w:color w:val="auto"/>
              </w:rPr>
            </w:pPr>
          </w:p>
        </w:tc>
        <w:tc>
          <w:tcPr>
            <w:tcW w:w="2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12</w:t>
            </w:r>
          </w:p>
        </w:tc>
        <w:tc>
          <w:tcPr>
            <w:tcW w:w="2200" w:type="dxa"/>
            <w:vAlign w:val="bottom"/>
          </w:tcPr>
          <w:p>
            <w:pPr>
              <w:spacing w:after="0"/>
              <w:rPr>
                <w:sz w:val="14"/>
                <w:szCs w:val="14"/>
                <w:color w:val="auto"/>
              </w:rPr>
            </w:pPr>
          </w:p>
        </w:tc>
        <w:tc>
          <w:tcPr>
            <w:tcW w:w="2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13</w:t>
            </w:r>
          </w:p>
        </w:tc>
        <w:tc>
          <w:tcPr>
            <w:tcW w:w="2200" w:type="dxa"/>
            <w:vAlign w:val="bottom"/>
          </w:tcPr>
          <w:p>
            <w:pPr>
              <w:spacing w:after="0"/>
              <w:rPr>
                <w:sz w:val="14"/>
                <w:szCs w:val="14"/>
                <w:color w:val="auto"/>
              </w:rPr>
            </w:pPr>
          </w:p>
        </w:tc>
        <w:tc>
          <w:tcPr>
            <w:tcW w:w="2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14</w:t>
            </w:r>
          </w:p>
        </w:tc>
        <w:tc>
          <w:tcPr>
            <w:tcW w:w="2200" w:type="dxa"/>
            <w:vAlign w:val="bottom"/>
          </w:tcPr>
          <w:p>
            <w:pPr>
              <w:spacing w:after="0"/>
              <w:rPr>
                <w:sz w:val="14"/>
                <w:szCs w:val="14"/>
                <w:color w:val="auto"/>
              </w:rPr>
            </w:pPr>
          </w:p>
        </w:tc>
        <w:tc>
          <w:tcPr>
            <w:tcW w:w="2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15</w:t>
            </w:r>
          </w:p>
        </w:tc>
        <w:tc>
          <w:tcPr>
            <w:tcW w:w="2200" w:type="dxa"/>
            <w:vAlign w:val="bottom"/>
          </w:tcPr>
          <w:p>
            <w:pPr>
              <w:spacing w:after="0"/>
              <w:rPr>
                <w:sz w:val="14"/>
                <w:szCs w:val="14"/>
                <w:color w:val="auto"/>
              </w:rPr>
            </w:pPr>
          </w:p>
        </w:tc>
        <w:tc>
          <w:tcPr>
            <w:tcW w:w="2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16</w:t>
            </w:r>
          </w:p>
        </w:tc>
        <w:tc>
          <w:tcPr>
            <w:tcW w:w="2200" w:type="dxa"/>
            <w:vAlign w:val="bottom"/>
          </w:tcPr>
          <w:p>
            <w:pPr>
              <w:spacing w:after="0"/>
              <w:rPr>
                <w:sz w:val="14"/>
                <w:szCs w:val="14"/>
                <w:color w:val="auto"/>
              </w:rPr>
            </w:pPr>
          </w:p>
        </w:tc>
        <w:tc>
          <w:tcPr>
            <w:tcW w:w="2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2540" w:type="dxa"/>
            <w:vAlign w:val="bottom"/>
          </w:tcPr>
          <w:p>
            <w:pPr>
              <w:ind w:left="940"/>
              <w:spacing w:after="0"/>
              <w:rPr>
                <w:sz w:val="20"/>
                <w:szCs w:val="20"/>
                <w:color w:val="auto"/>
              </w:rPr>
            </w:pPr>
            <w:r>
              <w:rPr>
                <w:rFonts w:ascii="Courier New" w:cs="Courier New" w:eastAsia="Courier New" w:hAnsi="Courier New"/>
                <w:sz w:val="14"/>
                <w:szCs w:val="14"/>
                <w:color w:val="auto"/>
              </w:rPr>
              <w:t>17</w:t>
            </w:r>
          </w:p>
        </w:tc>
        <w:tc>
          <w:tcPr>
            <w:tcW w:w="2200" w:type="dxa"/>
            <w:vAlign w:val="bottom"/>
          </w:tcPr>
          <w:p>
            <w:pPr>
              <w:spacing w:after="0"/>
              <w:rPr>
                <w:sz w:val="14"/>
                <w:szCs w:val="14"/>
                <w:color w:val="auto"/>
              </w:rPr>
            </w:pPr>
          </w:p>
        </w:tc>
        <w:tc>
          <w:tcPr>
            <w:tcW w:w="20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bl>
    <w:p>
      <w:pPr>
        <w:sectPr>
          <w:pgSz w:w="11900" w:h="16838" w:orient="portrait"/>
          <w:cols w:equalWidth="0" w:num="1">
            <w:col w:w="10239"/>
          </w:cols>
          <w:pgMar w:left="220" w:top="616" w:right="1440" w:bottom="1440" w:gutter="0" w:footer="0" w:header="0"/>
        </w:sectPr>
      </w:pPr>
    </w:p>
    <w:bookmarkStart w:id="153" w:name="page154"/>
    <w:bookmarkEnd w:id="153"/>
    <w:p>
      <w:pPr>
        <w:jc w:val="right"/>
        <w:ind w:right="3339"/>
        <w:spacing w:after="0"/>
        <w:tabs>
          <w:tab w:leader="none" w:pos="500" w:val="left"/>
        </w:tabs>
        <w:rPr>
          <w:sz w:val="20"/>
          <w:szCs w:val="20"/>
          <w:color w:val="auto"/>
        </w:rPr>
      </w:pPr>
      <w:r>
        <w:rPr>
          <w:rFonts w:ascii="Courier New" w:cs="Courier New" w:eastAsia="Courier New" w:hAnsi="Courier New"/>
          <w:sz w:val="14"/>
          <w:szCs w:val="14"/>
          <w:color w:val="auto"/>
        </w:rPr>
        <w:t>EXHIBIT</w:t>
        <w:tab/>
        <w:t>10(m)8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EXECUTIVE LONG-TERM INCENTIVE COMPENSATION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LONG-TERM CASH INCENTIVE AWARD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[ELIGIBLE EXECUTIVE EMPLOYEES]</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GOALS AND AWARD OPPORTUNITY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7"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80" w:space="720"/>
            <w:col w:w="3939"/>
          </w:cols>
          <w:pgMar w:left="220" w:top="30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TIMES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 Opportunity (percent of base salary)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80" w:space="720"/>
            <w:col w:w="3939"/>
          </w:cols>
          <w:pgMar w:left="220" w:top="30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3"/>
          <w:szCs w:val="13"/>
          <w:color w:val="auto"/>
        </w:rPr>
        <w:t>EQUALS</w:t>
      </w:r>
    </w:p>
    <w:p>
      <w:pPr>
        <w:sectPr>
          <w:pgSz w:w="11900" w:h="16838" w:orient="portrait"/>
          <w:cols w:equalWidth="0" w:num="1">
            <w:col w:w="10239"/>
          </w:cols>
          <w:pgMar w:left="220" w:top="307"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Award Opportunity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80" w:space="720"/>
            <w:col w:w="3939"/>
          </w:cols>
          <w:pgMar w:left="220" w:top="30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TIMES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Non-financial Goals (0% - 120%)</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EQUALS</w:t>
      </w:r>
    </w:p>
    <w:p>
      <w:pPr>
        <w:sectPr>
          <w:pgSz w:w="11900" w:h="16838" w:orient="portrait"/>
          <w:cols w:equalWidth="0" w:num="1">
            <w:col w:w="10239"/>
          </w:cols>
          <w:pgMar w:left="220" w:top="307"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Incentive Award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580" w:space="720"/>
            <w:col w:w="393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Vesting Period:</w:t>
      </w:r>
    </w:p>
    <w:p>
      <w:pPr>
        <w:sectPr>
          <w:pgSz w:w="11900" w:h="16838" w:orient="portrait"/>
          <w:cols w:equalWidth="0" w:num="1">
            <w:col w:w="10239"/>
          </w:cols>
          <w:pgMar w:left="220" w:top="307" w:right="1440" w:bottom="1440" w:gutter="0" w:footer="0" w:header="0"/>
          <w:type w:val="continuous"/>
        </w:sectPr>
      </w:pPr>
    </w:p>
    <w:bookmarkStart w:id="154" w:name="page155"/>
    <w:bookmarkEnd w:id="154"/>
    <w:p>
      <w:pPr>
        <w:jc w:val="right"/>
        <w:ind w:right="3339"/>
        <w:spacing w:after="0"/>
        <w:tabs>
          <w:tab w:leader="none" w:pos="500" w:val="left"/>
        </w:tabs>
        <w:rPr>
          <w:sz w:val="20"/>
          <w:szCs w:val="20"/>
          <w:color w:val="auto"/>
        </w:rPr>
      </w:pPr>
      <w:r>
        <w:rPr>
          <w:rFonts w:ascii="Courier New" w:cs="Courier New" w:eastAsia="Courier New" w:hAnsi="Courier New"/>
          <w:sz w:val="14"/>
          <w:szCs w:val="14"/>
          <w:color w:val="auto"/>
        </w:rPr>
        <w:t>EXHIBIT</w:t>
        <w:tab/>
        <w:t>10(m)9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EXECUTIVE LONG-TERM INCENTIVE COMPENSATION PLAN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STOCK GRANT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[ELIGIBLE EXECUTIVE EMPLOYEES]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 #</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accordance with the terms of ALLETE's Executive Long-Term Incentive Compensation Plan (the "Plan"), as determined by and through the Executive Compensation Committee of ALLETE's Board of Directors, ALLETE hereby grants to you (the "Participant") the right to receive ALLETE Common Stock, as set forth below, subject to the terms and conditions set forth in this Grant (including Annex A hereto and all documents incorporated herein by reference):</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 of Shares of ALLETE Common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 of Grant: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Vesting Period:</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This Grant is made in accordance with the Plan, which was approved by ALLETE's shareholders at the 2005 Annual Meeting.</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Further terms and conditions of the Grant are set forth in Annex A hereto, which is an integral part of this Grant.</w:t>
      </w:r>
    </w:p>
    <w:p>
      <w:pPr>
        <w:spacing w:after="0" w:line="16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All terms, provisions and conditions set forth in the Plan and not set forth herein are incorporated by reference. To the extent any provision hereof is inconsistent with a provision of the Plan, the provisions of the Plan will govern.</w:t>
      </w:r>
    </w:p>
    <w:p>
      <w:pPr>
        <w:spacing w:after="0" w:line="162"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IN WITNESS WHEREOF, ALLETE has caused this Grant to be executed by its Chairman, President and Chief Executive Officer as of the date and year first above written.</w:t>
      </w: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ALLETE</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Chairman, President and CEO</w:t>
      </w:r>
    </w:p>
    <w:p>
      <w:pPr>
        <w:spacing w:after="0" w:line="33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Attachment:</w:t>
        <w:tab/>
        <w:t>Annex A</w:t>
      </w:r>
    </w:p>
    <w:p>
      <w:pPr>
        <w:sectPr>
          <w:pgSz w:w="11900" w:h="16838" w:orient="portrait"/>
          <w:cols w:equalWidth="0" w:num="1">
            <w:col w:w="10239"/>
          </w:cols>
          <w:pgMar w:left="220" w:top="307" w:right="1440" w:bottom="1440" w:gutter="0" w:footer="0" w:header="0"/>
        </w:sectPr>
      </w:pPr>
    </w:p>
    <w:bookmarkStart w:id="155" w:name="page156"/>
    <w:bookmarkEnd w:id="155"/>
    <w:p>
      <w:pPr>
        <w:ind w:left="2761"/>
        <w:spacing w:after="0"/>
        <w:rPr>
          <w:sz w:val="20"/>
          <w:szCs w:val="20"/>
          <w:color w:val="auto"/>
        </w:rPr>
      </w:pPr>
      <w:r>
        <w:rPr>
          <w:rFonts w:ascii="Courier New" w:cs="Courier New" w:eastAsia="Courier New" w:hAnsi="Courier New"/>
          <w:sz w:val="14"/>
          <w:szCs w:val="14"/>
          <w:color w:val="auto"/>
        </w:rPr>
        <w:t>ANNEX A</w:t>
      </w:r>
    </w:p>
    <w:p>
      <w:pPr>
        <w:spacing w:after="0" w:line="7"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0"/>
          <w:szCs w:val="20"/>
          <w:color w:val="auto"/>
        </w:rPr>
      </w:pPr>
    </w:p>
    <w:p>
      <w:pPr>
        <w:ind w:left="2761"/>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ind w:left="1041"/>
        <w:spacing w:after="0"/>
        <w:rPr>
          <w:sz w:val="20"/>
          <w:szCs w:val="20"/>
          <w:color w:val="auto"/>
        </w:rPr>
      </w:pPr>
      <w:r>
        <w:rPr>
          <w:rFonts w:ascii="Courier New" w:cs="Courier New" w:eastAsia="Courier New" w:hAnsi="Courier New"/>
          <w:sz w:val="14"/>
          <w:szCs w:val="14"/>
          <w:color w:val="auto"/>
        </w:rPr>
        <w:t>EXECUTIVE LONG-TERM INCENTIVE COMPENSATION PLAN</w:t>
      </w:r>
    </w:p>
    <w:p>
      <w:pPr>
        <w:spacing w:after="0" w:line="7" w:lineRule="exact"/>
        <w:rPr>
          <w:sz w:val="20"/>
          <w:szCs w:val="20"/>
          <w:color w:val="auto"/>
        </w:rPr>
      </w:pPr>
    </w:p>
    <w:p>
      <w:pPr>
        <w:ind w:left="2581"/>
        <w:spacing w:after="0"/>
        <w:rPr>
          <w:sz w:val="20"/>
          <w:szCs w:val="20"/>
          <w:color w:val="auto"/>
        </w:rPr>
      </w:pPr>
      <w:r>
        <w:rPr>
          <w:rFonts w:ascii="Courier New" w:cs="Courier New" w:eastAsia="Courier New" w:hAnsi="Courier New"/>
          <w:sz w:val="14"/>
          <w:szCs w:val="14"/>
          <w:color w:val="auto"/>
        </w:rPr>
        <w:t>STOCK GRANT</w:t>
      </w:r>
    </w:p>
    <w:p>
      <w:pPr>
        <w:spacing w:after="0" w:line="7" w:lineRule="exact"/>
        <w:rPr>
          <w:sz w:val="20"/>
          <w:szCs w:val="20"/>
          <w:color w:val="auto"/>
        </w:rPr>
      </w:pPr>
    </w:p>
    <w:p>
      <w:pPr>
        <w:ind w:left="2421"/>
        <w:spacing w:after="0"/>
        <w:rPr>
          <w:sz w:val="20"/>
          <w:szCs w:val="20"/>
          <w:color w:val="auto"/>
        </w:rPr>
      </w:pPr>
      <w:r>
        <w:rPr>
          <w:rFonts w:ascii="Courier New" w:cs="Courier New" w:eastAsia="Courier New" w:hAnsi="Courier New"/>
          <w:sz w:val="14"/>
          <w:szCs w:val="14"/>
          <w:color w:val="auto"/>
        </w:rPr>
        <w:t>EFFECTIVE 2007</w:t>
      </w:r>
    </w:p>
    <w:p>
      <w:pPr>
        <w:spacing w:after="0" w:line="7" w:lineRule="exact"/>
        <w:rPr>
          <w:sz w:val="20"/>
          <w:szCs w:val="20"/>
          <w:color w:val="auto"/>
        </w:rPr>
      </w:pPr>
    </w:p>
    <w:p>
      <w:pPr>
        <w:ind w:left="1721"/>
        <w:spacing w:after="0"/>
        <w:rPr>
          <w:sz w:val="20"/>
          <w:szCs w:val="20"/>
          <w:color w:val="auto"/>
        </w:rPr>
      </w:pPr>
      <w:r>
        <w:rPr>
          <w:rFonts w:ascii="Courier New" w:cs="Courier New" w:eastAsia="Courier New" w:hAnsi="Courier New"/>
          <w:sz w:val="14"/>
          <w:szCs w:val="14"/>
          <w:color w:val="auto"/>
        </w:rPr>
        <w:t>[ELIGIBLE EXECUTIVE EMPLOYEES]</w:t>
      </w:r>
    </w:p>
    <w:p>
      <w:pPr>
        <w:spacing w:after="0" w:line="173" w:lineRule="exact"/>
        <w:rPr>
          <w:sz w:val="20"/>
          <w:szCs w:val="20"/>
          <w:color w:val="auto"/>
        </w:rPr>
      </w:pPr>
    </w:p>
    <w:p>
      <w:pPr>
        <w:jc w:val="both"/>
        <w:ind w:left="-439" w:right="3779" w:firstLine="439"/>
        <w:spacing w:after="0" w:line="252" w:lineRule="auto"/>
        <w:tabs>
          <w:tab w:leader="none" w:pos="50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TERMS AND CONDITIONS OF STOCK GRANT. The Grant of Shares evidenced by the Grant to which this is annexed is subject to the following additional terms and conditions:</w:t>
      </w:r>
    </w:p>
    <w:p>
      <w:pPr>
        <w:spacing w:after="0" w:line="163" w:lineRule="exact"/>
        <w:rPr>
          <w:sz w:val="20"/>
          <w:szCs w:val="20"/>
          <w:color w:val="auto"/>
        </w:rPr>
      </w:pPr>
    </w:p>
    <w:p>
      <w:pPr>
        <w:jc w:val="both"/>
        <w:ind w:left="1" w:right="3779" w:hanging="1"/>
        <w:spacing w:after="0" w:line="255" w:lineRule="auto"/>
        <w:tabs>
          <w:tab w:leader="none" w:pos="51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The Participant shall not receive Dividend Equivalents with respect to the number of Shares subject to the Grant.</w:t>
      </w:r>
    </w:p>
    <w:p>
      <w:pPr>
        <w:spacing w:after="0" w:line="159" w:lineRule="exact"/>
        <w:rPr>
          <w:rFonts w:ascii="Courier New" w:cs="Courier New" w:eastAsia="Courier New" w:hAnsi="Courier New"/>
          <w:sz w:val="14"/>
          <w:szCs w:val="14"/>
          <w:color w:val="auto"/>
        </w:rPr>
      </w:pPr>
    </w:p>
    <w:p>
      <w:pPr>
        <w:ind w:left="1" w:right="3339" w:hanging="1"/>
        <w:spacing w:after="0" w:line="251" w:lineRule="auto"/>
        <w:tabs>
          <w:tab w:leader="none" w:pos="51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Subject to the provisions of subsection (c) hereof, payment shall be made within two and one half months after the end of the vesting period, after withholding Shares equal in value to the Participant's income tax obligation via a deposit of ALLETE common stock into an account in the ALLETE Invest Direct plan.</w:t>
      </w:r>
    </w:p>
    <w:p>
      <w:pPr>
        <w:spacing w:after="0" w:line="164" w:lineRule="exact"/>
        <w:rPr>
          <w:rFonts w:ascii="Courier New" w:cs="Courier New" w:eastAsia="Courier New" w:hAnsi="Courier New"/>
          <w:sz w:val="14"/>
          <w:szCs w:val="14"/>
          <w:color w:val="auto"/>
        </w:rPr>
      </w:pPr>
    </w:p>
    <w:p>
      <w:pPr>
        <w:ind w:left="1" w:right="3599" w:hanging="1"/>
        <w:spacing w:after="0" w:line="252" w:lineRule="auto"/>
        <w:tabs>
          <w:tab w:leader="none" w:pos="51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DEATH, RETIREMENT, DISABILITY, FORFEITURE OF UNVESTED SHARES UPON UNSATISFACTORY JOB PERFORMANCE, OR OTHER TERMINATION OF EMPLOYMENT.</w:t>
      </w:r>
    </w:p>
    <w:p>
      <w:pPr>
        <w:spacing w:after="0" w:line="163" w:lineRule="exact"/>
        <w:rPr>
          <w:sz w:val="20"/>
          <w:szCs w:val="20"/>
          <w:color w:val="auto"/>
        </w:rPr>
      </w:pPr>
    </w:p>
    <w:p>
      <w:pPr>
        <w:ind w:left="521" w:right="3339" w:hanging="521"/>
        <w:spacing w:after="0" w:line="250" w:lineRule="auto"/>
        <w:tabs>
          <w:tab w:leader="none" w:pos="52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Vesting Period (i) if the Participant retires pursuant to the terms of a tax qualified retirement plan of ALLETE or a Subsidiary or upon such other retirement as may be approved by the Committee, (ii) in the event of the death of the Participant while in the employ of ALLETE or a Subsidiary, or (iii) in the event of the termination of the employment of the Participant due to Disability (as defined in Section 22(e)(3) of the Code), all unvested Shares of Stock shall vest and be paid within two and one half months after such event to the Participant (or the Participant's beneficiary or estate). The payment shall be prorated based upon the number of whole calendar months within the three year Vesting Period which had elapsed as of the date of death, retirement or termination due to Disability in relation to the number of calendar months in the three year Vesting Period. A whole month is counted in the calculation if the Participant was in the position as of the 15th of the month.</w:t>
      </w:r>
    </w:p>
    <w:p>
      <w:pPr>
        <w:spacing w:after="0" w:line="172" w:lineRule="exact"/>
        <w:rPr>
          <w:rFonts w:ascii="Courier New" w:cs="Courier New" w:eastAsia="Courier New" w:hAnsi="Courier New"/>
          <w:sz w:val="14"/>
          <w:szCs w:val="14"/>
          <w:color w:val="auto"/>
        </w:rPr>
      </w:pPr>
    </w:p>
    <w:p>
      <w:pPr>
        <w:ind w:left="521" w:right="3419" w:hanging="521"/>
        <w:spacing w:after="0" w:line="251" w:lineRule="auto"/>
        <w:tabs>
          <w:tab w:leader="none" w:pos="52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payment of all Shares, the Participant is demoted, or ALLETE or a Business Unit determines, in its sole discretion, that the Participant's job performance is unsatisfactory, ALLETE reserves the right to cancel or amend the Participant's grant relating to any unpaid Shares, with the result that some portion or all of the Participant's unpaid Shares are forfeited.</w:t>
      </w:r>
    </w:p>
    <w:p>
      <w:pPr>
        <w:spacing w:after="0" w:line="164" w:lineRule="exact"/>
        <w:rPr>
          <w:rFonts w:ascii="Courier New" w:cs="Courier New" w:eastAsia="Courier New" w:hAnsi="Courier New"/>
          <w:sz w:val="14"/>
          <w:szCs w:val="14"/>
          <w:color w:val="auto"/>
        </w:rPr>
      </w:pPr>
    </w:p>
    <w:p>
      <w:pPr>
        <w:ind w:left="521" w:right="3339" w:hanging="521"/>
        <w:spacing w:after="0" w:line="251" w:lineRule="auto"/>
        <w:tabs>
          <w:tab w:leader="none" w:pos="52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with ALLETE or any Subsidiary terminates for any reason other than death, Disability or retirement, as specified in subsection (c)(1) hereof, all Shares to the extent not yet vested shall, except as otherwise provided by the Committee, be forfeited on the date of such other termination of employment.</w:t>
      </w:r>
    </w:p>
    <w:p>
      <w:pPr>
        <w:sectPr>
          <w:pgSz w:w="11900" w:h="16838" w:orient="portrait"/>
          <w:cols w:equalWidth="0" w:num="1">
            <w:col w:w="9800"/>
          </w:cols>
          <w:pgMar w:left="659" w:top="616" w:right="1440" w:bottom="1440" w:gutter="0" w:footer="0" w:header="0"/>
        </w:sectPr>
      </w:pPr>
    </w:p>
    <w:bookmarkStart w:id="156" w:name="page157"/>
    <w:bookmarkEnd w:id="156"/>
    <w:p>
      <w:pPr>
        <w:ind w:left="-439" w:right="3419" w:firstLine="439"/>
        <w:spacing w:after="0" w:line="251" w:lineRule="auto"/>
        <w:tabs>
          <w:tab w:leader="none" w:pos="50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ACTIONS. By receiving the Grant or other benefit under the Plan, the Participant and each person claiming under or through Participant shall be conclusively deemed to have indicated the Participant's acceptance and ratification of, and consent to, any action taken under the Plan or the Grant by ALLETE, the Board or the Committee.</w:t>
      </w:r>
    </w:p>
    <w:p>
      <w:pPr>
        <w:spacing w:after="0" w:line="164" w:lineRule="exact"/>
        <w:rPr>
          <w:rFonts w:ascii="Courier New" w:cs="Courier New" w:eastAsia="Courier New" w:hAnsi="Courier New"/>
          <w:sz w:val="14"/>
          <w:szCs w:val="14"/>
          <w:color w:val="auto"/>
        </w:rPr>
      </w:pPr>
    </w:p>
    <w:p>
      <w:pPr>
        <w:ind w:left="-439" w:right="3339" w:firstLine="439"/>
        <w:spacing w:after="0" w:line="251" w:lineRule="auto"/>
        <w:tabs>
          <w:tab w:leader="none" w:pos="50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hereunder to ALLETE shall be addressed to ALLETE, 30 West Superior Street, Duluth, Minnesota 55802, Attention: Manager - Executive Compensation and Employee Benefits, Human Resources, and any notice hereunder to the Participant shall be directed to the Participant's address as indicated by ALLETE's records, subject to the right of either party to designate at any time hereafter in writing some other address.</w:t>
      </w:r>
    </w:p>
    <w:p>
      <w:pPr>
        <w:spacing w:after="0" w:line="164" w:lineRule="exact"/>
        <w:rPr>
          <w:rFonts w:ascii="Courier New" w:cs="Courier New" w:eastAsia="Courier New" w:hAnsi="Courier New"/>
          <w:sz w:val="14"/>
          <w:szCs w:val="14"/>
          <w:color w:val="auto"/>
        </w:rPr>
      </w:pPr>
    </w:p>
    <w:p>
      <w:pPr>
        <w:ind w:left="-439" w:right="3679" w:firstLine="439"/>
        <w:spacing w:after="0" w:line="255" w:lineRule="auto"/>
        <w:tabs>
          <w:tab w:leader="none" w:pos="50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not otherwise defined herein shall have the meanings given them in the Plan.</w:t>
      </w:r>
    </w:p>
    <w:p>
      <w:pPr>
        <w:spacing w:after="0" w:line="159" w:lineRule="exact"/>
        <w:rPr>
          <w:rFonts w:ascii="Courier New" w:cs="Courier New" w:eastAsia="Courier New" w:hAnsi="Courier New"/>
          <w:sz w:val="14"/>
          <w:szCs w:val="14"/>
          <w:color w:val="auto"/>
        </w:rPr>
      </w:pPr>
    </w:p>
    <w:p>
      <w:pPr>
        <w:ind w:left="-439" w:right="3339" w:firstLine="439"/>
        <w:spacing w:after="0" w:line="251" w:lineRule="auto"/>
        <w:tabs>
          <w:tab w:leader="none" w:pos="50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SEVERABILITY. To the extent not preempted by the Federal law, the Grant will be governed by and construed in accordance with the laws of the State of Minnesota, without regard to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64"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00"/>
          </w:cols>
          <w:pgMar w:left="659" w:top="616" w:right="1440" w:bottom="1440" w:gutter="0" w:footer="0" w:header="0"/>
        </w:sectPr>
      </w:pPr>
    </w:p>
    <w:bookmarkStart w:id="157" w:name="page158"/>
    <w:bookmarkEnd w:id="157"/>
    <w:p>
      <w:pPr>
        <w:jc w:val="right"/>
        <w:ind w:right="3339"/>
        <w:spacing w:after="0"/>
        <w:rPr>
          <w:sz w:val="20"/>
          <w:szCs w:val="20"/>
          <w:color w:val="auto"/>
        </w:rPr>
      </w:pPr>
      <w:r>
        <w:rPr>
          <w:rFonts w:ascii="Courier New" w:cs="Courier New" w:eastAsia="Courier New" w:hAnsi="Courier New"/>
          <w:sz w:val="14"/>
          <w:szCs w:val="14"/>
          <w:color w:val="auto"/>
        </w:rPr>
        <w:t>EXHIBIT 10(n)4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AMENDMENT TO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ALLETE DIRECTOR STOCK PLAN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EFFECTIVE FEBRUARY 15, 2007</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ALLETE Director Stock Plan, dated May 9, 1995, as amended, is amended as follows:</w:t>
      </w:r>
    </w:p>
    <w:p>
      <w:pPr>
        <w:spacing w:after="0" w:line="160" w:lineRule="exact"/>
        <w:rPr>
          <w:sz w:val="20"/>
          <w:szCs w:val="20"/>
          <w:color w:val="auto"/>
        </w:rPr>
      </w:pPr>
    </w:p>
    <w:p>
      <w:pPr>
        <w:ind w:right="3339" w:firstLine="8"/>
        <w:spacing w:after="0" w:line="255" w:lineRule="auto"/>
        <w:tabs>
          <w:tab w:leader="none" w:pos="43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February 15, 2007, Section V.B. is DELETED and REPLACED with the following:</w:t>
      </w:r>
    </w:p>
    <w:p>
      <w:pPr>
        <w:spacing w:after="0" w:line="159"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shall receive on the first business day in June following each annual meeting of shareholders, a Stock Payment equal in value to $60,000. To provide such Stock Payment to each Director, the Company shall cause shares of Common Stock to be purchased in the market and deposited to said Director's Dividend Reinvestment Plan Account on such date as a portion of the Annual Retainer payable to such Director for the Plan Year in which such date occurs. Any fraction of a Share shall be disregarded and the remaining amount shall be paid in cash. The cash portion of the Annual Retainer for such Plan Year shall be paid to Directors at such times and in such manner as may be determined by the Board of Directors. Directors joining the Board during the Plan Year after the first business day in June will receive their Stock Payment on the first business day following the effective date of their election or appointment to the Board.</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President &amp;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Vice President, General Counsel &amp; Secretary</w:t>
      </w:r>
    </w:p>
    <w:p>
      <w:pPr>
        <w:sectPr>
          <w:pgSz w:w="11900" w:h="16838" w:orient="portrait"/>
          <w:cols w:equalWidth="0" w:num="1">
            <w:col w:w="10239"/>
          </w:cols>
          <w:pgMar w:left="220" w:top="307" w:right="1440" w:bottom="1440" w:gutter="0" w:footer="0" w:header="0"/>
        </w:sectPr>
      </w:pPr>
    </w:p>
    <w:bookmarkStart w:id="158" w:name="page159"/>
    <w:bookmarkEnd w:id="158"/>
    <w:p>
      <w:pPr>
        <w:jc w:val="right"/>
        <w:ind w:right="3339"/>
        <w:spacing w:after="0"/>
        <w:tabs>
          <w:tab w:leader="none" w:pos="680" w:val="left"/>
        </w:tabs>
        <w:rPr>
          <w:sz w:val="20"/>
          <w:szCs w:val="20"/>
          <w:color w:val="auto"/>
        </w:rPr>
      </w:pPr>
      <w:r>
        <w:rPr>
          <w:rFonts w:ascii="Courier New" w:cs="Courier New" w:eastAsia="Courier New" w:hAnsi="Courier New"/>
          <w:sz w:val="14"/>
          <w:szCs w:val="14"/>
          <w:color w:val="auto"/>
        </w:rPr>
        <w:t>EXHIBIT</w:t>
        <w:tab/>
        <w:t>10(n)6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NON-MANAGEMENT DIRECTOR COMPENSATION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EFFECTIVE FEBRUARY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BOARD RETAINERS</w:t>
            </w:r>
          </w:p>
        </w:tc>
        <w:tc>
          <w:tcPr>
            <w:tcW w:w="2720" w:type="dxa"/>
            <w:vAlign w:val="bottom"/>
          </w:tcPr>
          <w:p>
            <w:pPr>
              <w:spacing w:after="0"/>
              <w:rPr>
                <w:sz w:val="14"/>
                <w:szCs w:val="14"/>
                <w:color w:val="auto"/>
              </w:rPr>
            </w:pPr>
          </w:p>
        </w:tc>
      </w:tr>
      <w:tr>
        <w:trPr>
          <w:trHeight w:val="166"/>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r>
      <w:tr>
        <w:trPr>
          <w:trHeight w:val="166"/>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Cash</w:t>
            </w:r>
          </w:p>
        </w:tc>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COMMITTEE CASH RETAINERS</w:t>
            </w:r>
          </w:p>
        </w:tc>
        <w:tc>
          <w:tcPr>
            <w:tcW w:w="164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Audit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Executive Compensation</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Corporate Governance &amp; Nominating</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CHAIR CASH RETAINERS</w:t>
            </w:r>
          </w:p>
        </w:tc>
        <w:tc>
          <w:tcPr>
            <w:tcW w:w="164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Audit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Executive Compensation</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$5,500</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Corporate Governance &amp; Nominating</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LEAD DIRECTOR</w:t>
      </w:r>
    </w:p>
    <w:p>
      <w:pPr>
        <w:spacing w:after="0" w:line="7"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Board Stock Retainer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Board Cash Retainer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Lead Director Cash Retainer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4019" w:hanging="344"/>
        <w:spacing w:after="0" w:line="250" w:lineRule="auto"/>
        <w:rPr>
          <w:sz w:val="20"/>
          <w:szCs w:val="20"/>
          <w:color w:val="auto"/>
        </w:rPr>
      </w:pPr>
      <w:r>
        <w:rPr>
          <w:rFonts w:ascii="Courier New" w:cs="Courier New" w:eastAsia="Courier New" w:hAnsi="Courier New"/>
          <w:sz w:val="14"/>
          <w:szCs w:val="14"/>
          <w:color w:val="auto"/>
        </w:rPr>
        <w:t>Cash retainers may be deferred under the Director Compensation Deferral Plan.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retainers may be elected to be received in ALLETE stock.</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Lead Director is not eligible for other committee or chair retainers.</w:t>
      </w:r>
    </w:p>
    <w:p>
      <w:pPr>
        <w:sectPr>
          <w:pgSz w:w="11900" w:h="16838" w:orient="portrait"/>
          <w:cols w:equalWidth="0" w:num="1">
            <w:col w:w="10239"/>
          </w:cols>
          <w:pgMar w:left="220" w:top="307" w:right="1440" w:bottom="1440" w:gutter="0" w:footer="0" w:header="0"/>
        </w:sectPr>
      </w:pPr>
    </w:p>
    <w:bookmarkStart w:id="159" w:name="page160"/>
    <w:bookmarkEnd w:id="159"/>
    <w:p>
      <w:pPr>
        <w:ind w:left="6040"/>
        <w:spacing w:after="0"/>
        <w:rPr>
          <w:sz w:val="20"/>
          <w:szCs w:val="20"/>
          <w:color w:val="auto"/>
        </w:rPr>
      </w:pPr>
      <w:r>
        <w:rPr>
          <w:rFonts w:ascii="Courier New" w:cs="Courier New" w:eastAsia="Courier New" w:hAnsi="Courier New"/>
          <w:sz w:val="14"/>
          <w:szCs w:val="14"/>
          <w:color w:val="auto"/>
        </w:rPr>
        <w:t>EXHIBIT 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COMPUTATION OF RATIOS OF EARNINGS TO FIXED CHARGES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2006</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RATIOS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Income from Continuing</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Before Minority</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Interest and Income Taxes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$ 57.0</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$ 37.9</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Less:  Minority Interest</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92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Undistributed Income from Less than 50%</w:t>
            </w: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Owned Equity</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Investment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80"/>
        <w:spacing w:after="0"/>
        <w:tabs>
          <w:tab w:leader="none" w:pos="6880" w:val="left"/>
          <w:tab w:leader="none" w:pos="7920" w:val="left"/>
          <w:tab w:leader="none" w:pos="8940" w:val="left"/>
          <w:tab w:leader="none" w:pos="10060" w:val="left"/>
        </w:tabs>
        <w:rPr>
          <w:sz w:val="20"/>
          <w:szCs w:val="20"/>
          <w:color w:val="auto"/>
        </w:rPr>
      </w:pPr>
      <w:r>
        <w:rPr>
          <w:rFonts w:ascii="Courier New" w:cs="Courier New" w:eastAsia="Courier New" w:hAnsi="Courier New"/>
          <w:sz w:val="14"/>
          <w:szCs w:val="14"/>
          <w:color w:val="auto"/>
        </w:rPr>
        <w:t>125.9</w:t>
      </w:r>
      <w:r>
        <w:rPr>
          <w:sz w:val="20"/>
          <w:szCs w:val="20"/>
          <w:color w:val="auto"/>
        </w:rPr>
        <w:tab/>
      </w:r>
      <w:r>
        <w:rPr>
          <w:rFonts w:ascii="Courier New" w:cs="Courier New" w:eastAsia="Courier New" w:hAnsi="Courier New"/>
          <w:sz w:val="14"/>
          <w:szCs w:val="14"/>
          <w:color w:val="auto"/>
        </w:rPr>
        <w:t>19.8</w:t>
      </w:r>
      <w:r>
        <w:rPr>
          <w:sz w:val="20"/>
          <w:szCs w:val="20"/>
          <w:color w:val="auto"/>
        </w:rPr>
        <w:tab/>
      </w:r>
      <w:r>
        <w:rPr>
          <w:rFonts w:ascii="Courier New" w:cs="Courier New" w:eastAsia="Courier New" w:hAnsi="Courier New"/>
          <w:sz w:val="14"/>
          <w:szCs w:val="14"/>
          <w:color w:val="auto"/>
        </w:rPr>
        <w:t>54.9</w:t>
      </w:r>
      <w:r>
        <w:rPr>
          <w:sz w:val="20"/>
          <w:szCs w:val="20"/>
          <w:color w:val="auto"/>
        </w:rPr>
        <w:tab/>
      </w:r>
      <w:r>
        <w:rPr>
          <w:rFonts w:ascii="Courier New" w:cs="Courier New" w:eastAsia="Courier New" w:hAnsi="Courier New"/>
          <w:sz w:val="14"/>
          <w:szCs w:val="14"/>
          <w:color w:val="auto"/>
        </w:rPr>
        <w:t>44.0</w:t>
      </w:r>
      <w:r>
        <w:rPr>
          <w:sz w:val="20"/>
          <w:szCs w:val="20"/>
          <w:color w:val="auto"/>
        </w:rPr>
        <w:tab/>
      </w:r>
      <w:r>
        <w:rPr>
          <w:rFonts w:ascii="Courier New" w:cs="Courier New" w:eastAsia="Courier New" w:hAnsi="Courier New"/>
          <w:sz w:val="14"/>
          <w:szCs w:val="14"/>
          <w:color w:val="auto"/>
        </w:rPr>
        <w:t>32.2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Interest on Long-Term</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73.9</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Capitalized Interest</w:t>
            </w:r>
          </w:p>
        </w:tc>
        <w:tc>
          <w:tcPr>
            <w:tcW w:w="2160" w:type="dxa"/>
            <w:vAlign w:val="bottom"/>
          </w:tcPr>
          <w:p>
            <w:pPr>
              <w:spacing w:after="0"/>
              <w:rPr>
                <w:sz w:val="14"/>
                <w:szCs w:val="14"/>
                <w:color w:val="auto"/>
              </w:rPr>
            </w:pP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Other Interest Charges</w:t>
            </w:r>
          </w:p>
        </w:tc>
        <w:tc>
          <w:tcPr>
            <w:tcW w:w="2160" w:type="dxa"/>
            <w:vAlign w:val="bottom"/>
          </w:tcPr>
          <w:p>
            <w:pPr>
              <w:spacing w:after="0"/>
              <w:rPr>
                <w:sz w:val="14"/>
                <w:szCs w:val="14"/>
                <w:color w:val="auto"/>
              </w:rPr>
            </w:pP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Interest Component of</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All Rentals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1120" w:type="dxa"/>
        <w:tblCellMar>
          <w:top w:w="0" w:type="dxa"/>
          <w:left w:w="0" w:type="dxa"/>
          <w:bottom w:w="0" w:type="dxa"/>
          <w:right w:w="0" w:type="dxa"/>
        </w:tblCellMar>
      </w:tblPr>
      <w:tr>
        <w:trPr>
          <w:trHeight w:val="179"/>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Before Income Taxes and Fixed Charges</w:t>
      </w:r>
    </w:p>
    <w:p>
      <w:pPr>
        <w:spacing w:after="0" w:line="7" w:lineRule="exact"/>
        <w:rPr>
          <w:sz w:val="20"/>
          <w:szCs w:val="20"/>
          <w:color w:val="auto"/>
        </w:rPr>
      </w:pPr>
    </w:p>
    <w:p>
      <w:pPr>
        <w:ind w:left="620"/>
        <w:spacing w:after="0"/>
        <w:tabs>
          <w:tab w:leader="none" w:pos="5680" w:val="left"/>
          <w:tab w:leader="none" w:pos="6800" w:val="left"/>
          <w:tab w:leader="none" w:pos="7740" w:val="left"/>
          <w:tab w:leader="none" w:pos="8780" w:val="left"/>
          <w:tab w:leader="none" w:pos="9900" w:val="left"/>
        </w:tabs>
        <w:rPr>
          <w:sz w:val="20"/>
          <w:szCs w:val="20"/>
          <w:color w:val="auto"/>
        </w:rPr>
      </w:pPr>
      <w:r>
        <w:rPr>
          <w:rFonts w:ascii="Courier New" w:cs="Courier New" w:eastAsia="Courier New" w:hAnsi="Courier New"/>
          <w:sz w:val="14"/>
          <w:szCs w:val="14"/>
          <w:color w:val="auto"/>
        </w:rPr>
        <w:t>(Excluding Capitalized Interest)</w:t>
      </w:r>
      <w:r>
        <w:rPr>
          <w:sz w:val="20"/>
          <w:szCs w:val="20"/>
          <w:color w:val="auto"/>
        </w:rPr>
        <w:tab/>
      </w:r>
      <w:r>
        <w:rPr>
          <w:rFonts w:ascii="Courier New" w:cs="Courier New" w:eastAsia="Courier New" w:hAnsi="Courier New"/>
          <w:sz w:val="14"/>
          <w:szCs w:val="14"/>
          <w:color w:val="auto"/>
        </w:rPr>
        <w:t>$155.4</w:t>
      </w:r>
      <w:r>
        <w:rPr>
          <w:sz w:val="20"/>
          <w:szCs w:val="20"/>
          <w:color w:val="auto"/>
        </w:rPr>
        <w:tab/>
      </w:r>
      <w:r>
        <w:rPr>
          <w:rFonts w:ascii="Courier New" w:cs="Courier New" w:eastAsia="Courier New" w:hAnsi="Courier New"/>
          <w:sz w:val="14"/>
          <w:szCs w:val="14"/>
          <w:color w:val="auto"/>
        </w:rPr>
        <w:t>$49.2</w:t>
      </w:r>
      <w:r>
        <w:rPr>
          <w:sz w:val="20"/>
          <w:szCs w:val="20"/>
          <w:color w:val="auto"/>
        </w:rPr>
        <w:tab/>
      </w:r>
      <w:r>
        <w:rPr>
          <w:rFonts w:ascii="Courier New" w:cs="Courier New" w:eastAsia="Courier New" w:hAnsi="Courier New"/>
          <w:sz w:val="14"/>
          <w:szCs w:val="14"/>
          <w:color w:val="auto"/>
        </w:rPr>
        <w:t>$127.4</w:t>
      </w:r>
      <w:r>
        <w:rPr>
          <w:sz w:val="20"/>
          <w:szCs w:val="20"/>
          <w:color w:val="auto"/>
        </w:rPr>
        <w:tab/>
      </w:r>
      <w:r>
        <w:rPr>
          <w:rFonts w:ascii="Courier New" w:cs="Courier New" w:eastAsia="Courier New" w:hAnsi="Courier New"/>
          <w:sz w:val="14"/>
          <w:szCs w:val="14"/>
          <w:color w:val="auto"/>
        </w:rPr>
        <w:t>$126.3</w:t>
      </w:r>
      <w:r>
        <w:rPr>
          <w:sz w:val="20"/>
          <w:szCs w:val="20"/>
          <w:color w:val="auto"/>
        </w:rPr>
        <w:tab/>
      </w:r>
      <w:r>
        <w:rPr>
          <w:rFonts w:ascii="Courier New" w:cs="Courier New" w:eastAsia="Courier New" w:hAnsi="Courier New"/>
          <w:sz w:val="14"/>
          <w:szCs w:val="14"/>
          <w:color w:val="auto"/>
        </w:rPr>
        <w:t>$121.3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840" w:val="left"/>
          <w:tab w:leader="none" w:pos="6880" w:val="left"/>
          <w:tab w:leader="none" w:pos="7920" w:val="left"/>
          <w:tab w:leader="none" w:pos="8940" w:val="left"/>
          <w:tab w:leader="none" w:pos="10060" w:val="left"/>
        </w:tabs>
        <w:rPr>
          <w:sz w:val="20"/>
          <w:szCs w:val="20"/>
          <w:color w:val="auto"/>
        </w:rPr>
      </w:pPr>
      <w:r>
        <w:rPr>
          <w:rFonts w:ascii="Courier New" w:cs="Courier New" w:eastAsia="Courier New" w:hAnsi="Courier New"/>
          <w:sz w:val="14"/>
          <w:szCs w:val="14"/>
          <w:color w:val="auto"/>
        </w:rPr>
        <w:t>Ratio of Earnings to Fixed Charges</w:t>
      </w:r>
      <w:r>
        <w:rPr>
          <w:sz w:val="20"/>
          <w:szCs w:val="20"/>
          <w:color w:val="auto"/>
        </w:rPr>
        <w:tab/>
      </w:r>
      <w:r>
        <w:rPr>
          <w:rFonts w:ascii="Courier New" w:cs="Courier New" w:eastAsia="Courier New" w:hAnsi="Courier New"/>
          <w:sz w:val="14"/>
          <w:szCs w:val="14"/>
          <w:color w:val="auto"/>
        </w:rPr>
        <w:t>5.16</w:t>
      </w:r>
      <w:r>
        <w:rPr>
          <w:sz w:val="20"/>
          <w:szCs w:val="20"/>
          <w:color w:val="auto"/>
        </w:rPr>
        <w:tab/>
      </w:r>
      <w:r>
        <w:rPr>
          <w:rFonts w:ascii="Courier New" w:cs="Courier New" w:eastAsia="Courier New" w:hAnsi="Courier New"/>
          <w:sz w:val="14"/>
          <w:szCs w:val="14"/>
          <w:color w:val="auto"/>
        </w:rPr>
        <w:t>1.66</w:t>
      </w:r>
      <w:r>
        <w:rPr>
          <w:sz w:val="20"/>
          <w:szCs w:val="20"/>
          <w:color w:val="auto"/>
        </w:rPr>
        <w:tab/>
      </w:r>
      <w:r>
        <w:rPr>
          <w:rFonts w:ascii="Courier New" w:cs="Courier New" w:eastAsia="Courier New" w:hAnsi="Courier New"/>
          <w:sz w:val="14"/>
          <w:szCs w:val="14"/>
          <w:color w:val="auto"/>
        </w:rPr>
        <w:t>1.74</w:t>
      </w:r>
      <w:r>
        <w:rPr>
          <w:sz w:val="20"/>
          <w:szCs w:val="20"/>
          <w:color w:val="auto"/>
        </w:rPr>
        <w:tab/>
      </w:r>
      <w:r>
        <w:rPr>
          <w:rFonts w:ascii="Courier New" w:cs="Courier New" w:eastAsia="Courier New" w:hAnsi="Courier New"/>
          <w:sz w:val="14"/>
          <w:szCs w:val="14"/>
          <w:color w:val="auto"/>
        </w:rPr>
        <w:t>1.51</w:t>
      </w:r>
      <w:r>
        <w:rPr>
          <w:sz w:val="20"/>
          <w:szCs w:val="20"/>
          <w:color w:val="auto"/>
        </w:rPr>
        <w:tab/>
      </w:r>
      <w:r>
        <w:rPr>
          <w:rFonts w:ascii="Courier New" w:cs="Courier New" w:eastAsia="Courier New" w:hAnsi="Courier New"/>
          <w:sz w:val="14"/>
          <w:szCs w:val="14"/>
          <w:color w:val="auto"/>
        </w:rPr>
        <w:t>1.35</w:t>
      </w:r>
    </w:p>
    <w:p>
      <w:pPr>
        <w:spacing w:after="0" w:line="7" w:lineRule="exact"/>
        <w:rPr>
          <w:sz w:val="20"/>
          <w:szCs w:val="20"/>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Pre-tax income of subsidiaries that have not incurred fixed charges.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97</w:t>
      </w:r>
      <w:r>
        <w:rPr>
          <w:sz w:val="20"/>
          <w:szCs w:val="20"/>
          <w:color w:val="auto"/>
        </w:rPr>
        <w:tab/>
      </w:r>
      <w:r>
        <w:rPr>
          <w:rFonts w:ascii="Courier New" w:cs="Courier New" w:eastAsia="Courier New" w:hAnsi="Courier New"/>
          <w:sz w:val="14"/>
          <w:szCs w:val="14"/>
          <w:color w:val="auto"/>
        </w:rPr>
        <w:t>ALLETE 2006 Form 10-K</w:t>
      </w:r>
    </w:p>
    <w:p>
      <w:pPr>
        <w:sectPr>
          <w:pgSz w:w="11900" w:h="16838" w:orient="portrait"/>
          <w:cols w:equalWidth="0" w:num="1">
            <w:col w:w="10680"/>
          </w:cols>
          <w:pgMar w:left="220" w:top="638" w:right="9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EXHIBIT 21</w:t>
            </w:r>
          </w:p>
        </w:tc>
      </w:tr>
      <w:tr>
        <w:trPr>
          <w:trHeight w:val="166"/>
        </w:trPr>
        <w:tc>
          <w:tcPr>
            <w:tcW w:w="7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ALLETE 2006 Form 10-K</w:t>
            </w:r>
          </w:p>
        </w:tc>
      </w:tr>
      <w:tr>
        <w:trPr>
          <w:trHeight w:val="331"/>
        </w:trPr>
        <w:tc>
          <w:tcPr>
            <w:tcW w:w="5520" w:type="dxa"/>
            <w:vAlign w:val="bottom"/>
          </w:tcPr>
          <w:p>
            <w:pPr>
              <w:ind w:left="2160"/>
              <w:spacing w:after="0"/>
              <w:rPr>
                <w:sz w:val="20"/>
                <w:szCs w:val="20"/>
                <w:color w:val="auto"/>
              </w:rPr>
            </w:pPr>
            <w:r>
              <w:rPr>
                <w:rFonts w:ascii="Courier New" w:cs="Courier New" w:eastAsia="Courier New" w:hAnsi="Courier New"/>
                <w:sz w:val="14"/>
                <w:szCs w:val="14"/>
                <w:color w:val="auto"/>
              </w:rPr>
              <w:t>SUBSIDIARIES OF THE REGISTRANT</w:t>
            </w:r>
          </w:p>
        </w:tc>
        <w:tc>
          <w:tcPr>
            <w:tcW w:w="1560" w:type="dxa"/>
            <w:vAlign w:val="bottom"/>
          </w:tcPr>
          <w:p>
            <w:pPr>
              <w:spacing w:after="0"/>
              <w:rPr>
                <w:sz w:val="24"/>
                <w:szCs w:val="24"/>
                <w:color w:val="auto"/>
              </w:rPr>
            </w:pPr>
          </w:p>
        </w:tc>
      </w:tr>
      <w:tr>
        <w:trPr>
          <w:trHeight w:val="166"/>
        </w:trPr>
        <w:tc>
          <w:tcPr>
            <w:tcW w:w="5520" w:type="dxa"/>
            <w:vAlign w:val="bottom"/>
          </w:tcPr>
          <w:p>
            <w:pPr>
              <w:ind w:left="2420"/>
              <w:spacing w:after="0"/>
              <w:rPr>
                <w:sz w:val="20"/>
                <w:szCs w:val="20"/>
                <w:color w:val="auto"/>
              </w:rPr>
            </w:pPr>
            <w:r>
              <w:rPr>
                <w:rFonts w:ascii="Courier New" w:cs="Courier New" w:eastAsia="Courier New" w:hAnsi="Courier New"/>
                <w:sz w:val="14"/>
                <w:szCs w:val="14"/>
                <w:color w:val="auto"/>
              </w:rPr>
              <w:t>(AS OF DECEMBER 31, 2006)</w:t>
            </w:r>
          </w:p>
        </w:tc>
        <w:tc>
          <w:tcPr>
            <w:tcW w:w="1560" w:type="dxa"/>
            <w:vAlign w:val="bottom"/>
          </w:tcPr>
          <w:p>
            <w:pPr>
              <w:spacing w:after="0"/>
              <w:rPr>
                <w:sz w:val="14"/>
                <w:szCs w:val="14"/>
                <w:color w:val="auto"/>
              </w:rPr>
            </w:pPr>
          </w:p>
        </w:tc>
      </w:tr>
      <w:tr>
        <w:trPr>
          <w:trHeight w:val="166"/>
        </w:trPr>
        <w:tc>
          <w:tcPr>
            <w:tcW w:w="5520" w:type="dxa"/>
            <w:vAlign w:val="bottom"/>
          </w:tcPr>
          <w:p>
            <w:pPr>
              <w:ind w:left="1640"/>
              <w:spacing w:after="0"/>
              <w:rPr>
                <w:sz w:val="20"/>
                <w:szCs w:val="20"/>
                <w:color w:val="auto"/>
              </w:rPr>
            </w:pPr>
            <w:r>
              <w:rPr>
                <w:rFonts w:ascii="Courier New" w:cs="Courier New" w:eastAsia="Courier New" w:hAnsi="Courier New"/>
                <w:sz w:val="14"/>
                <w:szCs w:val="14"/>
                <w:color w:val="auto"/>
              </w:rPr>
              <w:t>(REPORTED UNDER ITEM 601 OF REGULATION S-K)</w:t>
            </w:r>
          </w:p>
        </w:tc>
        <w:tc>
          <w:tcPr>
            <w:tcW w:w="1560" w:type="dxa"/>
            <w:vAlign w:val="bottom"/>
          </w:tcPr>
          <w:p>
            <w:pPr>
              <w:spacing w:after="0"/>
              <w:rPr>
                <w:sz w:val="14"/>
                <w:szCs w:val="14"/>
                <w:color w:val="auto"/>
              </w:rPr>
            </w:pPr>
          </w:p>
        </w:tc>
      </w:tr>
      <w:tr>
        <w:trPr>
          <w:trHeight w:val="331"/>
        </w:trPr>
        <w:tc>
          <w:tcPr>
            <w:tcW w:w="5520" w:type="dxa"/>
            <w:vAlign w:val="bottom"/>
          </w:tcPr>
          <w:p>
            <w:pPr>
              <w:spacing w:after="0"/>
              <w:rPr>
                <w:sz w:val="24"/>
                <w:szCs w:val="24"/>
                <w:color w:val="auto"/>
              </w:rPr>
            </w:pP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STATE OR COUNTRY</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 ORGANIZATION</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ALLETE, Inc. (D.B.A. ALLETE; MINNESOTA POWER;</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MINNESOTA POWER, INC.; MINNESOTA POWER &amp; LIGHT COMPANY;</w:t>
            </w:r>
          </w:p>
        </w:tc>
        <w:tc>
          <w:tcPr>
            <w:tcW w:w="156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MPEX; MPEX A DIVISION OF MINNESOTA POWER)</w:t>
            </w:r>
          </w:p>
        </w:tc>
        <w:tc>
          <w:tcPr>
            <w:tcW w:w="1560" w:type="dxa"/>
            <w:vAlign w:val="bottom"/>
          </w:tcPr>
          <w:p>
            <w:pPr>
              <w:spacing w:after="0"/>
              <w:rPr>
                <w:sz w:val="14"/>
                <w:szCs w:val="14"/>
                <w:color w:val="auto"/>
              </w:rPr>
            </w:pP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ALLETE Automotive Services, LLC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ALLETE Capital II</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ALLETE Capital III</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ALLETE Properties, LLC (D.B.A. ALLETE PROPERTIES)</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ALLETE Commercial,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Cape Coral Holdings,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Cape Properties,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Lehigh Acquisition Corporation</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Florida Landmark Communities,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Cliffside Properties, Inc.</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California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Enterprise Lehigh,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Lehigh Corporation</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Lehigh Land &amp; Investment,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Mardem,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Palm Coast Holdings,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Port Orange Holdings,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Interlachen Lakes Estates,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SRC of Florida, Inc.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Sundowner Properties, Inc.</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Pennsylvania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Palm Coast Forest,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Palm Coast Land,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Tomoka Holdings,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Winter Haven Citi Centre,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ALLETE Water Services,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Florida Water Services Corporation</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Auto Replacement Property, LLC</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Indiana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Energy Replacement Property, LLC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Georgia Water Services Corporation</w:t>
            </w:r>
          </w:p>
        </w:tc>
        <w:tc>
          <w:tcPr>
            <w:tcW w:w="156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Georgia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Energy Land, Incorporated</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Wisconsin</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Lakeview Financial Corporation I</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Lakeview Financial Corporation II</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Logistics Coal, LLC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Minnesota Power Enterprises,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BNI Coal, Ltd.</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North Dakota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MP Affiliate Resources,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Rainy River Energy Corporation</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Rainy River Energy Corporation - Wisconsin</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Wisconsin</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Synertec, Incorporated</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Upper Minnesota Properties,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Upper Minnesota Properties - Development,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Upper Minnesota Properties - Irving,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780"/>
              <w:spacing w:after="0"/>
              <w:rPr>
                <w:sz w:val="20"/>
                <w:szCs w:val="20"/>
                <w:color w:val="auto"/>
              </w:rPr>
            </w:pPr>
            <w:r>
              <w:rPr>
                <w:rFonts w:ascii="Courier New" w:cs="Courier New" w:eastAsia="Courier New" w:hAnsi="Courier New"/>
                <w:sz w:val="14"/>
                <w:szCs w:val="14"/>
                <w:color w:val="auto"/>
              </w:rPr>
              <w:t>Upper Minnesota Properties - Meadowlands,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1040"/>
              <w:spacing w:after="0"/>
              <w:rPr>
                <w:sz w:val="20"/>
                <w:szCs w:val="20"/>
                <w:color w:val="auto"/>
              </w:rPr>
            </w:pPr>
            <w:r>
              <w:rPr>
                <w:rFonts w:ascii="Courier New" w:cs="Courier New" w:eastAsia="Courier New" w:hAnsi="Courier New"/>
                <w:sz w:val="14"/>
                <w:szCs w:val="14"/>
                <w:color w:val="auto"/>
              </w:rPr>
              <w:t>Meadowlands Affordable Housing Limited Partnership</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MP Investments, Inc.</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RendField Land Company, Inc.</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Superior Water, Light and Power Company</w:t>
            </w:r>
          </w:p>
        </w:tc>
        <w:tc>
          <w:tcPr>
            <w:tcW w:w="15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Wisconsin</w:t>
            </w:r>
          </w:p>
        </w:tc>
      </w:tr>
    </w:tbl>
    <w:p>
      <w:pPr>
        <w:sectPr>
          <w:pgSz w:w="11900" w:h="16838" w:orient="portrait"/>
          <w:cols w:equalWidth="0" w:num="1">
            <w:col w:w="10239"/>
          </w:cols>
          <w:pgMar w:left="220" w:top="307" w:right="1440" w:bottom="1440" w:gutter="0" w:footer="0" w:header="0"/>
        </w:sectPr>
      </w:pPr>
    </w:p>
    <w:bookmarkStart w:id="161" w:name="page162"/>
    <w:bookmarkEnd w:id="161"/>
    <w:p>
      <w:pPr>
        <w:jc w:val="right"/>
        <w:ind w:right="3339"/>
        <w:spacing w:after="0"/>
        <w:rPr>
          <w:sz w:val="20"/>
          <w:szCs w:val="20"/>
          <w:color w:val="auto"/>
        </w:rPr>
      </w:pPr>
      <w:r>
        <w:rPr>
          <w:rFonts w:ascii="Courier New" w:cs="Courier New" w:eastAsia="Courier New" w:hAnsi="Courier New"/>
          <w:sz w:val="14"/>
          <w:szCs w:val="14"/>
          <w:color w:val="auto"/>
        </w:rPr>
        <w:t>EXHIBIT 23(a)</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S-3 (Nos. 333-02109, 333-41882, 333-57104) and Form S-8 (Nos. 333-16445, 333-16463, 333-82901, 333-91348, 333-105225, 333-124455) of ALLETE, Inc. of our report dated February 12, 2007, except as to Note 7 for which the date is February 15, 2007, relating to the consolidated financial statements, financial statement schedule, management's assessment of the effectiveness of internal control over financial reporting and the effectiveness of internal control over financial reporting, which appears in this Form 10-K.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2007</w:t>
      </w:r>
    </w:p>
    <w:p>
      <w:pPr>
        <w:sectPr>
          <w:pgSz w:w="11900" w:h="16838" w:orient="portrait"/>
          <w:cols w:equalWidth="0" w:num="1">
            <w:col w:w="10239"/>
          </w:cols>
          <w:pgMar w:left="220" w:top="472" w:right="1440" w:bottom="1440" w:gutter="0" w:footer="0" w:header="0"/>
        </w:sectPr>
      </w:pPr>
    </w:p>
    <w:bookmarkStart w:id="162" w:name="page163"/>
    <w:bookmarkEnd w:id="162"/>
    <w:p>
      <w:pPr>
        <w:jc w:val="right"/>
        <w:ind w:right="3339"/>
        <w:spacing w:after="0"/>
        <w:rPr>
          <w:sz w:val="20"/>
          <w:szCs w:val="20"/>
          <w:color w:val="auto"/>
        </w:rPr>
      </w:pPr>
      <w:r>
        <w:rPr>
          <w:rFonts w:ascii="Courier New" w:cs="Courier New" w:eastAsia="Courier New" w:hAnsi="Courier New"/>
          <w:sz w:val="14"/>
          <w:szCs w:val="14"/>
          <w:color w:val="auto"/>
        </w:rPr>
        <w:t>EXHIBIT 23(b)</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GENERAL COUNSEL</w:t>
      </w:r>
    </w:p>
    <w:p>
      <w:pPr>
        <w:spacing w:after="0" w:line="173"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The statements of law and legal conclusions under "Item 1. Business" in ALLETE's Annual Report on Form 10-K for the year ended December 31, 2006, have been reviewed by me and are set forth therein in reliance upon my opinion as an expert.</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 hereby consent to the incorporation by reference of such statements of law and legal conclusions in Registration Statement Nos. 333-02109, 333-41882 and 333-57104 on Form S-3, and Registration Statement Nos. 333-16445, 333-16463, 333-82901, 333-91348, 333-105225 and 333-124455 on Form S-8.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Deborah A. Amberg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2007</w:t>
      </w:r>
    </w:p>
    <w:p>
      <w:pPr>
        <w:sectPr>
          <w:pgSz w:w="11900" w:h="16838" w:orient="portrait"/>
          <w:cols w:equalWidth="0" w:num="1">
            <w:col w:w="10239"/>
          </w:cols>
          <w:pgMar w:left="220" w:top="473" w:right="1440" w:bottom="1440" w:gutter="0" w:footer="0" w:header="0"/>
        </w:sectPr>
      </w:pPr>
    </w:p>
    <w:bookmarkStart w:id="163" w:name="page164"/>
    <w:bookmarkEnd w:id="163"/>
    <w:p>
      <w:pPr>
        <w:jc w:val="right"/>
        <w:ind w:right="3339"/>
        <w:spacing w:after="0"/>
        <w:rPr>
          <w:sz w:val="20"/>
          <w:szCs w:val="20"/>
          <w:color w:val="auto"/>
        </w:rPr>
      </w:pPr>
      <w:r>
        <w:rPr>
          <w:rFonts w:ascii="Courier New" w:cs="Courier New" w:eastAsia="Courier New" w:hAnsi="Courier New"/>
          <w:sz w:val="14"/>
          <w:szCs w:val="14"/>
          <w:color w:val="auto"/>
        </w:rPr>
        <w:t>EXHIBIT 31(a)</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tabs>
          <w:tab w:leader="none" w:pos="760" w:val="left"/>
          <w:tab w:leader="none" w:pos="3340" w:val="left"/>
          <w:tab w:leader="none" w:pos="4640" w:val="left"/>
        </w:tabs>
        <w:rPr>
          <w:sz w:val="20"/>
          <w:szCs w:val="20"/>
          <w:color w:val="auto"/>
        </w:rPr>
      </w:pPr>
      <w:r>
        <w:rPr>
          <w:rFonts w:ascii="Courier New" w:cs="Courier New" w:eastAsia="Courier New" w:hAnsi="Courier New"/>
          <w:sz w:val="14"/>
          <w:szCs w:val="14"/>
          <w:color w:val="auto"/>
        </w:rPr>
        <w:t>I,</w:t>
        <w:tab/>
        <w:t>Donald J. Shippar, Chairman,</w:t>
        <w:tab/>
        <w:t>President and</w:t>
        <w:tab/>
        <w:t>Chief Executive 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for the fiscal year ended December 31, 2006,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2007</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3">
            <w:col w:w="440" w:space="180"/>
            <w:col w:w="1520" w:space="720"/>
            <w:col w:w="7379"/>
          </w:cols>
          <w:pgMar w:left="220" w:top="307" w:right="1440" w:bottom="1440" w:gutter="0" w:footer="0" w:header="0"/>
          <w:type w:val="continuous"/>
        </w:sectPr>
      </w:pPr>
    </w:p>
    <w:bookmarkStart w:id="164" w:name="page165"/>
    <w:bookmarkEnd w:id="164"/>
    <w:p>
      <w:pPr>
        <w:jc w:val="right"/>
        <w:ind w:right="3339"/>
        <w:spacing w:after="0"/>
        <w:rPr>
          <w:sz w:val="20"/>
          <w:szCs w:val="20"/>
          <w:color w:val="auto"/>
        </w:rPr>
      </w:pPr>
      <w:r>
        <w:rPr>
          <w:rFonts w:ascii="Courier New" w:cs="Courier New" w:eastAsia="Courier New" w:hAnsi="Courier New"/>
          <w:sz w:val="14"/>
          <w:szCs w:val="14"/>
          <w:color w:val="auto"/>
        </w:rPr>
        <w:t>EXHIBIT 31(b)</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tabs>
          <w:tab w:leader="none" w:pos="760" w:val="left"/>
          <w:tab w:leader="none" w:pos="2320" w:val="left"/>
          <w:tab w:leader="none" w:pos="4640" w:val="left"/>
        </w:tabs>
        <w:rPr>
          <w:sz w:val="20"/>
          <w:szCs w:val="20"/>
          <w:color w:val="auto"/>
        </w:rPr>
      </w:pPr>
      <w:r>
        <w:rPr>
          <w:rFonts w:ascii="Courier New" w:cs="Courier New" w:eastAsia="Courier New" w:hAnsi="Courier New"/>
          <w:sz w:val="14"/>
          <w:szCs w:val="14"/>
          <w:color w:val="auto"/>
        </w:rPr>
        <w:t>I,</w:t>
        <w:tab/>
        <w:t>Mark A. Schober,</w:t>
        <w:tab/>
        <w:t>Senior Vice President and</w:t>
        <w:tab/>
        <w:t>Chief Financial 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for the fiscal year ended December 31, 2006,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2007</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3">
            <w:col w:w="440" w:space="180"/>
            <w:col w:w="1460" w:space="600"/>
            <w:col w:w="7559"/>
          </w:cols>
          <w:pgMar w:left="220" w:top="307" w:right="1440" w:bottom="1440" w:gutter="0" w:footer="0" w:header="0"/>
          <w:type w:val="continuous"/>
        </w:sectPr>
      </w:pPr>
    </w:p>
    <w:bookmarkStart w:id="165" w:name="page166"/>
    <w:bookmarkEnd w:id="165"/>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SECTION 1350 CERTIFICATION OF ANNUAL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440" w:right="3339" w:hanging="432"/>
        <w:spacing w:after="0" w:line="252" w:lineRule="auto"/>
        <w:tabs>
          <w:tab w:leader="none" w:pos="4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of ALLETE for the fiscal year ended December 31, 2006,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307"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2007</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pacing w:after="0" w:line="200" w:lineRule="exact"/>
        <w:rPr>
          <w:sz w:val="20"/>
          <w:szCs w:val="20"/>
          <w:color w:val="auto"/>
        </w:rPr>
      </w:pPr>
    </w:p>
    <w:p>
      <w:pPr>
        <w:sectPr>
          <w:pgSz w:w="11900" w:h="16838" w:orient="portrait"/>
          <w:cols w:equalWidth="0" w:num="3">
            <w:col w:w="440" w:space="180"/>
            <w:col w:w="1460" w:space="600"/>
            <w:col w:w="7559"/>
          </w:cols>
          <w:pgMar w:left="220" w:top="30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15, 2007</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Schober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460" w:space="600"/>
            <w:col w:w="7559"/>
          </w:cols>
          <w:pgMar w:left="220" w:top="307" w:right="1440" w:bottom="1440" w:gutter="0" w:footer="0" w:header="0"/>
          <w:type w:val="continuous"/>
        </w:sectPr>
      </w:pPr>
    </w:p>
    <w:p>
      <w:pPr>
        <w:spacing w:after="0" w:line="1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0239"/>
          </w:cols>
          <w:pgMar w:left="220" w:top="307" w:right="1440" w:bottom="1440" w:gutter="0" w:footer="0" w:header="0"/>
          <w:type w:val="continuous"/>
        </w:sectPr>
      </w:pPr>
    </w:p>
    <w:bookmarkStart w:id="166" w:name="page167"/>
    <w:bookmarkEnd w:id="166"/>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2006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ectPr>
          <w:pgSz w:w="11900" w:h="16838" w:orient="portrait"/>
          <w:cols w:equalWidth="0" w:num="1">
            <w:col w:w="10239"/>
          </w:cols>
          <w:pgMar w:left="220" w:top="307" w:right="1440" w:bottom="1440" w:gutter="0" w:footer="0" w:header="0"/>
        </w:sectPr>
      </w:pP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For Release: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Olson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eolson@allete.com</w:t>
      </w:r>
    </w:p>
    <w:p>
      <w:pPr>
        <w:spacing w:after="0" w:line="173" w:lineRule="exact"/>
        <w:rPr>
          <w:sz w:val="20"/>
          <w:szCs w:val="20"/>
          <w:color w:val="auto"/>
        </w:rPr>
      </w:pPr>
    </w:p>
    <w:p>
      <w:pPr>
        <w:sectPr>
          <w:pgSz w:w="11900" w:h="16838" w:orient="portrait"/>
          <w:cols w:equalWidth="0" w:num="2">
            <w:col w:w="4840" w:space="600"/>
            <w:col w:w="4799"/>
          </w:cols>
          <w:pgMar w:left="220" w:top="307"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INVESTOR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7" w:lineRule="exact"/>
        <w:rPr>
          <w:sz w:val="20"/>
          <w:szCs w:val="20"/>
          <w:color w:val="auto"/>
        </w:rPr>
      </w:pPr>
    </w:p>
    <w:p>
      <w:pPr>
        <w:sectPr>
          <w:pgSz w:w="11900" w:h="16838" w:orient="portrait"/>
          <w:cols w:equalWidth="0" w:num="2">
            <w:col w:w="4720" w:space="720"/>
            <w:col w:w="479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ectPr>
          <w:pgSz w:w="11900" w:h="16838" w:orient="portrait"/>
          <w:cols w:equalWidth="0" w:num="1">
            <w:col w:w="10239"/>
          </w:cols>
          <w:pgMar w:left="220" w:top="307" w:right="1440" w:bottom="1440" w:gutter="0" w:footer="0" w:header="0"/>
          <w:type w:val="continuous"/>
        </w:sectPr>
      </w:pP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ALLETE REPORTS 2006 EARNINGS INCREASE OF 23%;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HIGHER EARNINGS PROJECTED IN 2007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ALLETE, Inc. (NYSE: ALE) today reported 2006 earnings from continuing operations of $2.77 per diluted share, compared with 64 cents in 2005. Excluding transactions in 2005 not representative of ongoing operations (described below), 2006 earnings from continuing operations increased 23 percent over the adjusted 2005 diluted earnings per share of $2.26.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gridSpan w:val="6"/>
          </w:tcPr>
          <w:p>
            <w:pPr>
              <w:spacing w:after="0"/>
              <w:rPr>
                <w:sz w:val="20"/>
                <w:szCs w:val="20"/>
                <w:color w:val="auto"/>
              </w:rPr>
            </w:pPr>
            <w:r>
              <w:rPr>
                <w:rFonts w:ascii="Courier New" w:cs="Courier New" w:eastAsia="Courier New" w:hAnsi="Courier New"/>
                <w:sz w:val="14"/>
                <w:szCs w:val="14"/>
                <w:color w:val="auto"/>
              </w:rPr>
              <w:t>ALLETE in 2006 recorded net income of $76.4</w:t>
            </w:r>
          </w:p>
        </w:tc>
        <w:tc>
          <w:tcPr>
            <w:tcW w:w="19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million on revenue of</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$767.1</w:t>
            </w:r>
          </w:p>
        </w:tc>
        <w:tc>
          <w:tcPr>
            <w:tcW w:w="680" w:type="dxa"/>
            <w:vAlign w:val="bottom"/>
          </w:tcPr>
          <w:p>
            <w:pPr>
              <w:spacing w:after="0"/>
              <w:rPr>
                <w:sz w:val="14"/>
                <w:szCs w:val="14"/>
                <w:color w:val="auto"/>
              </w:rPr>
            </w:pP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million, compared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$13.3 million and</w:t>
            </w:r>
          </w:p>
        </w:tc>
        <w:tc>
          <w:tcPr>
            <w:tcW w:w="16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revenue of $737.4</w:t>
            </w: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million.</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Financial results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402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were impacted by three one-time transactions:</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a $50.4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million after-tax</w:t>
            </w:r>
          </w:p>
        </w:tc>
        <w:tc>
          <w:tcPr>
            <w:tcW w:w="1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charge for the</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assignment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the Kendall</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County</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power</w:t>
            </w: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purchase</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agreement and two</w:t>
            </w:r>
          </w:p>
        </w:tc>
        <w:tc>
          <w:tcPr>
            <w:tcW w:w="1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non-recurring tax</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benefits totaling</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1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million.</w:t>
            </w:r>
          </w:p>
        </w:tc>
        <w:tc>
          <w:tcPr>
            <w:tcW w:w="680" w:type="dxa"/>
            <w:vAlign w:val="bottom"/>
          </w:tcPr>
          <w:p>
            <w:pPr>
              <w:spacing w:after="0"/>
              <w:rPr>
                <w:sz w:val="14"/>
                <w:szCs w:val="14"/>
                <w:color w:val="auto"/>
              </w:rPr>
            </w:pP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Real estate income in 2006 increased 30 percent to $22.8 million, while ALLETE's energy businesses recorded $52.4 million for the year, a 10 percent increase over 2005 excluding the Kendall County charge.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"Increased earnings contributions from both our core real estate and energy businesses resulted in another year of strong earnings growth," said ALLETE Chairman, President and CEO Donald J. Shippar. "ALLETE Properties' performance was on track, with sales contracts closing on schedule. Earnings from our American Transmission Company (ATC) investment began ramping up and energy sales remain at high levels."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Initial returns from ALLETE's ATC investment, the absence of operating losses from Kendall County, and increased demand from Minnesota Power's industrial customers contributed to an earnings increase at ALLETE's energy business in 2006. At the end of 2006, ALLETE had an investment balance of $53.7 million in ATC, representing an ownership interest of approximately seven percent.</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ALLETE's higher real estate earnings included recognition of deferred profit from past years' sales at the Town Center at Palm Coast development project, as well as 2006 sales at both the Town Center and Palm Coast Park projects. At the close of 2006, ALLETE Properties had about $114 million in future land sales under contract. ALLETE Properties' third major real estate development, Ormond Crossings, received development order approval late in 2006.</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Income at ALLETE's "other" business segment rose by $5.4 million in 2006 compared to 2005 when excluding last year's tax benefits. Higher earnings on cash and short-term investments in 2006 and the absence of impairments in the emerging technology investment portfolio in 2006 versus 2005 contributed to the increase.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 more -</w:t>
      </w:r>
    </w:p>
    <w:p>
      <w:pPr>
        <w:sectPr>
          <w:pgSz w:w="11900" w:h="16838" w:orient="portrait"/>
          <w:cols w:equalWidth="0" w:num="1">
            <w:col w:w="10239"/>
          </w:cols>
          <w:pgMar w:left="220" w:top="307" w:right="1440" w:bottom="1440" w:gutter="0" w:footer="0" w:header="0"/>
          <w:type w:val="continuous"/>
        </w:sectPr>
      </w:pPr>
    </w:p>
    <w:bookmarkStart w:id="167" w:name="page168"/>
    <w:bookmarkEnd w:id="167"/>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"Earnings growth is a priority for our corporation," Shippar said. "We're proud of the key milestones ALLETE achieved during the year that lay the groundwork for future success." These achievements include:</w:t>
      </w:r>
    </w:p>
    <w:p>
      <w:pPr>
        <w:spacing w:after="0" w:line="163" w:lineRule="exact"/>
        <w:rPr>
          <w:sz w:val="20"/>
          <w:szCs w:val="20"/>
          <w:color w:val="auto"/>
        </w:rPr>
      </w:pPr>
    </w:p>
    <w:p>
      <w:pPr>
        <w:ind w:left="700" w:right="3519" w:hanging="261"/>
        <w:spacing w:after="0" w:line="250" w:lineRule="auto"/>
        <w:tabs>
          <w:tab w:leader="none" w:pos="7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Starting construction on an aggressive air emissions control plan with current cost recovery</w:t>
      </w:r>
    </w:p>
    <w:p>
      <w:pPr>
        <w:ind w:left="700" w:right="3679" w:hanging="261"/>
        <w:spacing w:after="0" w:line="250" w:lineRule="auto"/>
        <w:tabs>
          <w:tab w:leader="none" w:pos="7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Purchasing electricity from a new 50-megawatt wind facility in North Dakota and signing an agreement to purchase power from a second 48-megawatt wind facility</w:t>
      </w:r>
    </w:p>
    <w:p>
      <w:pPr>
        <w:spacing w:after="0" w:line="1"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Signing a long-term 70-megawatt contract with PolyMet Mining</w:t>
      </w:r>
    </w:p>
    <w:p>
      <w:pPr>
        <w:spacing w:after="0" w:line="7" w:lineRule="exact"/>
        <w:rPr>
          <w:rFonts w:ascii="Courier New" w:cs="Courier New" w:eastAsia="Courier New" w:hAnsi="Courier New"/>
          <w:sz w:val="14"/>
          <w:szCs w:val="14"/>
          <w:color w:val="auto"/>
        </w:rPr>
      </w:pPr>
    </w:p>
    <w:p>
      <w:pPr>
        <w:ind w:left="700" w:right="3859" w:hanging="261"/>
        <w:spacing w:after="0" w:line="250" w:lineRule="auto"/>
        <w:tabs>
          <w:tab w:leader="none" w:pos="7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development order approval for ALLETE Properties' Ormond Crossings real estate project</w:t>
      </w:r>
    </w:p>
    <w:p>
      <w:pPr>
        <w:ind w:left="700" w:right="3419" w:hanging="261"/>
        <w:spacing w:after="0" w:line="255" w:lineRule="auto"/>
        <w:tabs>
          <w:tab w:leader="none" w:pos="7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the first sales contracts at ALLETE Properties' Palm Coast Park development.</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Shippar noted that the 13 percent dividend increase on ALLETE common stock announced on January 26th reflects the positive outlook for the company's future shared by the board of directors and management.</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project that in 2007 ALLETE's earnings per share from continuing operations will be in the range of $2.95 to $3.05," Shippar said. "Our portfolio of valuable real estate and the growth prospects in our energy business give us great confidence for 2007 and beyond."</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ALLETE's corporate headquarters are located in Duluth, Minnesota. ALLETE provides energy services in the upper Midwest and has significant real estate holdings in Florida. More information about the company is available on ALLETE's Web site at www.allete.com.</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6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ALLETE - 30 WEST SUPERIOR STREET, DULUTH, MINNESOTA 55802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WWW.ALLETE.COM</w:t>
      </w:r>
    </w:p>
    <w:p>
      <w:pPr>
        <w:sectPr>
          <w:pgSz w:w="11900" w:h="16838" w:orient="portrait"/>
          <w:cols w:equalWidth="0" w:num="1">
            <w:col w:w="10239"/>
          </w:cols>
          <w:pgMar w:left="220" w:top="616" w:right="1440" w:bottom="1440" w:gutter="0" w:footer="0" w:header="0"/>
        </w:sectPr>
      </w:pPr>
    </w:p>
    <w:bookmarkStart w:id="168" w:name="page169"/>
    <w:bookmarkEnd w:id="168"/>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FOR THE PERIODS ENDED DECEMBER 31, 2006 AND 2005</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p>
      <w:pPr>
        <w:jc w:val="center"/>
        <w:ind w:left="6300"/>
        <w:spacing w:after="0"/>
        <w:tabs>
          <w:tab w:leader="none" w:pos="14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jc w:val="center"/>
        <w:ind w:left="6300"/>
        <w:spacing w:after="0"/>
        <w:tabs>
          <w:tab w:leader="none" w:pos="920" w:val="left"/>
          <w:tab w:leader="none" w:pos="940" w:val="left"/>
          <w:tab w:leader="none" w:pos="84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5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$737.4</w:t>
            </w:r>
          </w:p>
        </w:tc>
      </w:tr>
    </w:tbl>
    <w:p>
      <w:pPr>
        <w:spacing w:after="0" w:line="4" w:lineRule="exact"/>
        <w:rPr>
          <w:sz w:val="20"/>
          <w:szCs w:val="20"/>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273.1</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76.0</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81.7</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2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6800" w:val="left"/>
          <w:tab w:leader="none" w:pos="8080" w:val="left"/>
          <w:tab w:leader="none" w:pos="9380" w:val="left"/>
          <w:tab w:leader="none" w:pos="1058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4"/>
          <w:szCs w:val="14"/>
          <w:color w:val="auto"/>
        </w:rPr>
        <w:t>157.9</w:t>
      </w:r>
      <w:r>
        <w:rPr>
          <w:sz w:val="20"/>
          <w:szCs w:val="20"/>
          <w:color w:val="auto"/>
        </w:rPr>
        <w:tab/>
      </w:r>
      <w:r>
        <w:rPr>
          <w:rFonts w:ascii="Courier New" w:cs="Courier New" w:eastAsia="Courier New" w:hAnsi="Courier New"/>
          <w:sz w:val="14"/>
          <w:szCs w:val="14"/>
          <w:color w:val="auto"/>
        </w:rPr>
        <w:t>165.0</w:t>
      </w:r>
      <w:r>
        <w:rPr>
          <w:sz w:val="20"/>
          <w:szCs w:val="20"/>
          <w:color w:val="auto"/>
        </w:rPr>
        <w:tab/>
      </w:r>
      <w:r>
        <w:rPr>
          <w:rFonts w:ascii="Courier New" w:cs="Courier New" w:eastAsia="Courier New" w:hAnsi="Courier New"/>
          <w:sz w:val="14"/>
          <w:szCs w:val="14"/>
          <w:color w:val="auto"/>
        </w:rPr>
        <w:t>626.4</w:t>
      </w:r>
      <w:r>
        <w:rPr>
          <w:sz w:val="20"/>
          <w:szCs w:val="20"/>
          <w:color w:val="auto"/>
        </w:rPr>
        <w:tab/>
      </w:r>
      <w:r>
        <w:rPr>
          <w:rFonts w:ascii="Courier New" w:cs="Courier New" w:eastAsia="Courier New" w:hAnsi="Courier New"/>
          <w:sz w:val="14"/>
          <w:szCs w:val="14"/>
          <w:color w:val="auto"/>
        </w:rPr>
        <w:t>692.3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880" w:val="left"/>
          <w:tab w:leader="none" w:pos="8180" w:val="left"/>
          <w:tab w:leader="none" w:pos="9380" w:val="left"/>
          <w:tab w:leader="none" w:pos="10660" w:val="left"/>
        </w:tabs>
        <w:rPr>
          <w:sz w:val="20"/>
          <w:szCs w:val="20"/>
          <w:color w:val="auto"/>
        </w:rPr>
      </w:pPr>
      <w:r>
        <w:rPr>
          <w:rFonts w:ascii="Courier New" w:cs="Courier New" w:eastAsia="Courier New" w:hAnsi="Courier New"/>
          <w:sz w:val="14"/>
          <w:szCs w:val="14"/>
          <w:color w:val="auto"/>
        </w:rPr>
        <w:t>OPERATING INCOME FROM CONTINUING OPERATIONS</w:t>
      </w:r>
      <w:r>
        <w:rPr>
          <w:sz w:val="20"/>
          <w:szCs w:val="20"/>
          <w:color w:val="auto"/>
        </w:rPr>
        <w:tab/>
      </w:r>
      <w:r>
        <w:rPr>
          <w:rFonts w:ascii="Courier New" w:cs="Courier New" w:eastAsia="Courier New" w:hAnsi="Courier New"/>
          <w:sz w:val="14"/>
          <w:szCs w:val="14"/>
          <w:color w:val="auto"/>
        </w:rPr>
        <w:t>39.3</w:t>
      </w:r>
      <w:r>
        <w:rPr>
          <w:sz w:val="20"/>
          <w:szCs w:val="20"/>
          <w:color w:val="auto"/>
        </w:rPr>
        <w:tab/>
      </w:r>
      <w:r>
        <w:rPr>
          <w:rFonts w:ascii="Courier New" w:cs="Courier New" w:eastAsia="Courier New" w:hAnsi="Courier New"/>
          <w:sz w:val="14"/>
          <w:szCs w:val="14"/>
          <w:color w:val="auto"/>
        </w:rPr>
        <w:t>27.3</w:t>
      </w:r>
      <w:r>
        <w:rPr>
          <w:sz w:val="20"/>
          <w:szCs w:val="20"/>
          <w:color w:val="auto"/>
        </w:rPr>
        <w:tab/>
      </w:r>
      <w:r>
        <w:rPr>
          <w:rFonts w:ascii="Courier New" w:cs="Courier New" w:eastAsia="Courier New" w:hAnsi="Courier New"/>
          <w:sz w:val="14"/>
          <w:szCs w:val="14"/>
          <w:color w:val="auto"/>
        </w:rPr>
        <w:t>140.7</w:t>
      </w:r>
      <w:r>
        <w:rPr>
          <w:sz w:val="20"/>
          <w:szCs w:val="20"/>
          <w:color w:val="auto"/>
        </w:rPr>
        <w:tab/>
      </w:r>
      <w:r>
        <w:rPr>
          <w:rFonts w:ascii="Courier New" w:cs="Courier New" w:eastAsia="Courier New" w:hAnsi="Courier New"/>
          <w:sz w:val="14"/>
          <w:szCs w:val="14"/>
          <w:color w:val="auto"/>
        </w:rPr>
        <w:t>45.1</w:t>
      </w:r>
    </w:p>
    <w:p>
      <w:pPr>
        <w:spacing w:after="0" w:line="7" w:lineRule="exact"/>
        <w:rPr>
          <w:sz w:val="20"/>
          <w:szCs w:val="20"/>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1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bl>
    <w:p>
      <w:pPr>
        <w:spacing w:after="0" w:line="4" w:lineRule="exact"/>
        <w:rPr>
          <w:sz w:val="20"/>
          <w:szCs w:val="20"/>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4" w:lineRule="exact"/>
        <w:rPr>
          <w:sz w:val="20"/>
          <w:szCs w:val="20"/>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FROM CONTINUING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36.7</w:t>
            </w:r>
          </w:p>
        </w:tc>
        <w:tc>
          <w:tcPr>
            <w:tcW w:w="1280" w:type="dxa"/>
            <w:vAlign w:val="bottom"/>
          </w:tcPr>
          <w:p>
            <w:pPr>
              <w:ind w:left="480"/>
              <w:spacing w:after="0"/>
              <w:rPr>
                <w:sz w:val="20"/>
                <w:szCs w:val="20"/>
                <w:color w:val="auto"/>
              </w:rPr>
            </w:pPr>
            <w:r>
              <w:rPr>
                <w:rFonts w:ascii="Courier New" w:cs="Courier New" w:eastAsia="Courier New" w:hAnsi="Courier New"/>
                <w:sz w:val="14"/>
                <w:szCs w:val="14"/>
                <w:color w:val="auto"/>
              </w:rPr>
              <w:t>24.1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123.6</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17.1</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w:t>
            </w:r>
          </w:p>
        </w:tc>
        <w:tc>
          <w:tcPr>
            <w:tcW w:w="1280" w:type="dxa"/>
            <w:vAlign w:val="bottom"/>
          </w:tcPr>
          <w:p>
            <w:pPr>
              <w:ind w:left="480"/>
              <w:spacing w:after="0"/>
              <w:rPr>
                <w:sz w:val="20"/>
                <w:szCs w:val="20"/>
                <w:color w:val="auto"/>
              </w:rPr>
            </w:pPr>
            <w:r>
              <w:rPr>
                <w:rFonts w:ascii="Courier New" w:cs="Courier New" w:eastAsia="Courier New" w:hAnsi="Courier New"/>
                <w:sz w:val="14"/>
                <w:szCs w:val="14"/>
                <w:color w:val="auto"/>
              </w:rPr>
              <w:t>(0.1)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46.3</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(0.5)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77.3</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LOSS FROM DISCONTINUED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OPERATIONS - NET OF TAX</w:t>
            </w:r>
          </w:p>
        </w:tc>
        <w:tc>
          <w:tcPr>
            <w:tcW w:w="2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3400" w:type="dxa"/>
            <w:vAlign w:val="bottom"/>
          </w:tcPr>
          <w:p>
            <w:pPr>
              <w:spacing w:after="0"/>
              <w:rPr>
                <w:sz w:val="14"/>
                <w:szCs w:val="14"/>
                <w:color w:val="auto"/>
              </w:rPr>
            </w:pPr>
          </w:p>
        </w:tc>
        <w:tc>
          <w:tcPr>
            <w:tcW w:w="2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$ 22.6</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$ 21.0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$ 76.4</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$ 13.3</w:t>
            </w:r>
          </w:p>
        </w:tc>
      </w:tr>
    </w:tbl>
    <w:p>
      <w:pPr>
        <w:spacing w:after="0" w:line="4" w:lineRule="exact"/>
        <w:rPr>
          <w:sz w:val="20"/>
          <w:szCs w:val="20"/>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bl>
    <w:p>
      <w:pPr>
        <w:spacing w:after="0" w:line="4" w:lineRule="exact"/>
        <w:rPr>
          <w:sz w:val="20"/>
          <w:szCs w:val="20"/>
          <w:color w:val="auto"/>
        </w:rPr>
      </w:pPr>
    </w:p>
    <w:p>
      <w:pPr>
        <w:ind w:left="180" w:hanging="172"/>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100" w:type="dxa"/>
            <w:vAlign w:val="bottom"/>
          </w:tcPr>
          <w:p>
            <w:pPr>
              <w:ind w:left="2200"/>
              <w:spacing w:after="0"/>
              <w:rPr>
                <w:sz w:val="20"/>
                <w:szCs w:val="20"/>
                <w:color w:val="auto"/>
              </w:rPr>
            </w:pPr>
            <w:r>
              <w:rPr>
                <w:rFonts w:ascii="Courier New" w:cs="Courier New" w:eastAsia="Courier New" w:hAnsi="Courier New"/>
                <w:sz w:val="14"/>
                <w:szCs w:val="14"/>
                <w:color w:val="auto"/>
              </w:rPr>
              <w:t>$0.82</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$0.89</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$2.78</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$0.65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100" w:type="dxa"/>
            <w:vAlign w:val="bottom"/>
          </w:tcPr>
          <w:p>
            <w:pPr>
              <w:ind w:left="2200"/>
              <w:spacing w:after="0"/>
              <w:rPr>
                <w:sz w:val="20"/>
                <w:szCs w:val="20"/>
                <w:color w:val="auto"/>
              </w:rPr>
            </w:pPr>
            <w:r>
              <w:rPr>
                <w:rFonts w:ascii="Courier New" w:cs="Courier New" w:eastAsia="Courier New" w:hAnsi="Courier New"/>
                <w:sz w:val="14"/>
                <w:szCs w:val="14"/>
                <w:color w:val="auto"/>
              </w:rPr>
              <w:t>(0.01)</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(0.12)</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(0.03)</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(0.16)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820"/>
        <w:spacing w:after="0"/>
        <w:tabs>
          <w:tab w:leader="none" w:pos="8080" w:val="left"/>
          <w:tab w:leader="none" w:pos="9380" w:val="left"/>
          <w:tab w:leader="none" w:pos="10580" w:val="left"/>
        </w:tabs>
        <w:rPr>
          <w:sz w:val="20"/>
          <w:szCs w:val="20"/>
          <w:color w:val="auto"/>
        </w:rPr>
      </w:pPr>
      <w:r>
        <w:rPr>
          <w:rFonts w:ascii="Courier New" w:cs="Courier New" w:eastAsia="Courier New" w:hAnsi="Courier New"/>
          <w:sz w:val="14"/>
          <w:szCs w:val="14"/>
          <w:color w:val="auto"/>
        </w:rPr>
        <w:t>$0.81</w:t>
      </w:r>
      <w:r>
        <w:rPr>
          <w:sz w:val="20"/>
          <w:szCs w:val="20"/>
          <w:color w:val="auto"/>
        </w:rPr>
        <w:tab/>
      </w:r>
      <w:r>
        <w:rPr>
          <w:rFonts w:ascii="Courier New" w:cs="Courier New" w:eastAsia="Courier New" w:hAnsi="Courier New"/>
          <w:sz w:val="14"/>
          <w:szCs w:val="14"/>
          <w:color w:val="auto"/>
        </w:rPr>
        <w:t>$0.77</w:t>
      </w:r>
      <w:r>
        <w:rPr>
          <w:sz w:val="20"/>
          <w:szCs w:val="20"/>
          <w:color w:val="auto"/>
        </w:rPr>
        <w:tab/>
      </w:r>
      <w:r>
        <w:rPr>
          <w:rFonts w:ascii="Courier New" w:cs="Courier New" w:eastAsia="Courier New" w:hAnsi="Courier New"/>
          <w:sz w:val="14"/>
          <w:szCs w:val="14"/>
          <w:color w:val="auto"/>
        </w:rPr>
        <w:t>$2.75</w:t>
      </w:r>
      <w:r>
        <w:rPr>
          <w:sz w:val="20"/>
          <w:szCs w:val="20"/>
          <w:color w:val="auto"/>
        </w:rPr>
        <w:tab/>
      </w:r>
      <w:r>
        <w:rPr>
          <w:rFonts w:ascii="Courier New" w:cs="Courier New" w:eastAsia="Courier New" w:hAnsi="Courier New"/>
          <w:sz w:val="14"/>
          <w:szCs w:val="14"/>
          <w:color w:val="auto"/>
        </w:rPr>
        <w:t>$0.49</w:t>
      </w:r>
    </w:p>
    <w:p>
      <w:pPr>
        <w:spacing w:after="0" w:line="7" w:lineRule="exact"/>
        <w:rPr>
          <w:sz w:val="20"/>
          <w:szCs w:val="20"/>
          <w:color w:val="auto"/>
        </w:rPr>
      </w:pPr>
    </w:p>
    <w:p>
      <w:pPr>
        <w:ind w:left="180" w:hanging="172"/>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100" w:type="dxa"/>
            <w:vAlign w:val="bottom"/>
          </w:tcPr>
          <w:p>
            <w:pPr>
              <w:ind w:left="2200"/>
              <w:spacing w:after="0"/>
              <w:rPr>
                <w:sz w:val="20"/>
                <w:szCs w:val="20"/>
                <w:color w:val="auto"/>
              </w:rPr>
            </w:pPr>
            <w:r>
              <w:rPr>
                <w:rFonts w:ascii="Courier New" w:cs="Courier New" w:eastAsia="Courier New" w:hAnsi="Courier New"/>
                <w:sz w:val="14"/>
                <w:szCs w:val="14"/>
                <w:color w:val="auto"/>
              </w:rPr>
              <w:t>$0.82</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$0.88</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$2.77</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$0.64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100" w:type="dxa"/>
            <w:vAlign w:val="bottom"/>
          </w:tcPr>
          <w:p>
            <w:pPr>
              <w:ind w:left="2200"/>
              <w:spacing w:after="0"/>
              <w:rPr>
                <w:sz w:val="20"/>
                <w:szCs w:val="20"/>
                <w:color w:val="auto"/>
              </w:rPr>
            </w:pPr>
            <w:r>
              <w:rPr>
                <w:rFonts w:ascii="Courier New" w:cs="Courier New" w:eastAsia="Courier New" w:hAnsi="Courier New"/>
                <w:sz w:val="14"/>
                <w:szCs w:val="14"/>
                <w:color w:val="auto"/>
              </w:rPr>
              <w:t>(0.01)</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(0.12)</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(0.03)</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(0.16)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820"/>
        <w:spacing w:after="0"/>
        <w:tabs>
          <w:tab w:leader="none" w:pos="8080" w:val="left"/>
          <w:tab w:leader="none" w:pos="9380" w:val="left"/>
          <w:tab w:leader="none" w:pos="10580" w:val="left"/>
        </w:tabs>
        <w:rPr>
          <w:sz w:val="20"/>
          <w:szCs w:val="20"/>
          <w:color w:val="auto"/>
        </w:rPr>
      </w:pPr>
      <w:r>
        <w:rPr>
          <w:rFonts w:ascii="Courier New" w:cs="Courier New" w:eastAsia="Courier New" w:hAnsi="Courier New"/>
          <w:sz w:val="14"/>
          <w:szCs w:val="14"/>
          <w:color w:val="auto"/>
        </w:rPr>
        <w:t>$0.81</w:t>
      </w:r>
      <w:r>
        <w:rPr>
          <w:sz w:val="20"/>
          <w:szCs w:val="20"/>
          <w:color w:val="auto"/>
        </w:rPr>
        <w:tab/>
      </w:r>
      <w:r>
        <w:rPr>
          <w:rFonts w:ascii="Courier New" w:cs="Courier New" w:eastAsia="Courier New" w:hAnsi="Courier New"/>
          <w:sz w:val="14"/>
          <w:szCs w:val="14"/>
          <w:color w:val="auto"/>
        </w:rPr>
        <w:t>$0.76</w:t>
      </w:r>
      <w:r>
        <w:rPr>
          <w:sz w:val="20"/>
          <w:szCs w:val="20"/>
          <w:color w:val="auto"/>
        </w:rPr>
        <w:tab/>
      </w:r>
      <w:r>
        <w:rPr>
          <w:rFonts w:ascii="Courier New" w:cs="Courier New" w:eastAsia="Courier New" w:hAnsi="Courier New"/>
          <w:sz w:val="14"/>
          <w:szCs w:val="14"/>
          <w:color w:val="auto"/>
        </w:rPr>
        <w:t>$2.74</w:t>
      </w:r>
      <w:r>
        <w:rPr>
          <w:sz w:val="20"/>
          <w:szCs w:val="20"/>
          <w:color w:val="auto"/>
        </w:rPr>
        <w:tab/>
      </w:r>
      <w:r>
        <w:rPr>
          <w:rFonts w:ascii="Courier New" w:cs="Courier New" w:eastAsia="Courier New" w:hAnsi="Courier New"/>
          <w:sz w:val="14"/>
          <w:szCs w:val="14"/>
          <w:color w:val="auto"/>
        </w:rPr>
        <w:t>$0.48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620" w:val="left"/>
          <w:tab w:leader="none" w:pos="7920" w:val="left"/>
          <w:tab w:leader="none" w:pos="9200" w:val="left"/>
          <w:tab w:leader="none" w:pos="1042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$0.3625</w:t>
      </w:r>
      <w:r>
        <w:rPr>
          <w:sz w:val="20"/>
          <w:szCs w:val="20"/>
          <w:color w:val="auto"/>
        </w:rPr>
        <w:tab/>
      </w:r>
      <w:r>
        <w:rPr>
          <w:rFonts w:ascii="Courier New" w:cs="Courier New" w:eastAsia="Courier New" w:hAnsi="Courier New"/>
          <w:sz w:val="14"/>
          <w:szCs w:val="14"/>
          <w:color w:val="auto"/>
        </w:rPr>
        <w:t>$0.3150</w:t>
      </w:r>
      <w:r>
        <w:rPr>
          <w:sz w:val="20"/>
          <w:szCs w:val="20"/>
          <w:color w:val="auto"/>
        </w:rPr>
        <w:tab/>
      </w:r>
      <w:r>
        <w:rPr>
          <w:rFonts w:ascii="Courier New" w:cs="Courier New" w:eastAsia="Courier New" w:hAnsi="Courier New"/>
          <w:sz w:val="14"/>
          <w:szCs w:val="14"/>
          <w:color w:val="auto"/>
        </w:rPr>
        <w:t>$1.4500</w:t>
      </w:r>
      <w:r>
        <w:rPr>
          <w:sz w:val="20"/>
          <w:szCs w:val="20"/>
          <w:color w:val="auto"/>
        </w:rPr>
        <w:tab/>
      </w:r>
      <w:r>
        <w:rPr>
          <w:rFonts w:ascii="Courier New" w:cs="Courier New" w:eastAsia="Courier New" w:hAnsi="Courier New"/>
          <w:sz w:val="14"/>
          <w:szCs w:val="14"/>
          <w:color w:val="auto"/>
        </w:rPr>
        <w:t>$1.2450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532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5320"/>
        <w:spacing w:after="0"/>
        <w:rPr>
          <w:sz w:val="20"/>
          <w:szCs w:val="20"/>
          <w:color w:val="auto"/>
        </w:rPr>
      </w:pPr>
      <w:r>
        <w:rPr>
          <w:rFonts w:ascii="Courier New" w:cs="Courier New" w:eastAsia="Courier New" w:hAnsi="Courier New"/>
          <w:sz w:val="14"/>
          <w:szCs w:val="14"/>
          <w:color w:val="auto"/>
        </w:rPr>
        <w:t>FOR THE PERIODS ENDED DECEMBER 31, 2006 AND 2005</w:t>
      </w:r>
    </w:p>
    <w:p>
      <w:pPr>
        <w:spacing w:after="0" w:line="7"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2240" w:type="dxa"/>
            <w:vAlign w:val="bottom"/>
          </w:tcPr>
          <w:p>
            <w:pPr>
              <w:jc w:val="right"/>
              <w:ind w:right="1488"/>
              <w:spacing w:after="0"/>
              <w:rPr>
                <w:sz w:val="20"/>
                <w:szCs w:val="20"/>
                <w:color w:val="auto"/>
              </w:rPr>
            </w:pPr>
            <w:r>
              <w:rPr>
                <w:rFonts w:ascii="Courier New" w:cs="Courier New" w:eastAsia="Courier New" w:hAnsi="Courier New"/>
                <w:sz w:val="14"/>
                <w:szCs w:val="14"/>
                <w:color w:val="auto"/>
                <w:w w:val="98"/>
              </w:rPr>
              <w:t>Millions</w:t>
            </w:r>
          </w:p>
        </w:tc>
        <w:tc>
          <w:tcPr>
            <w:tcW w:w="760" w:type="dxa"/>
            <w:vAlign w:val="bottom"/>
          </w:tcPr>
          <w:p>
            <w:pPr>
              <w:spacing w:after="0"/>
              <w:rPr>
                <w:sz w:val="14"/>
                <w:szCs w:val="14"/>
                <w:color w:val="auto"/>
              </w:rPr>
            </w:pPr>
          </w:p>
        </w:tc>
      </w:tr>
      <w:tr>
        <w:trPr>
          <w:trHeight w:val="497"/>
        </w:trPr>
        <w:tc>
          <w:tcPr>
            <w:tcW w:w="2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89.6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167.0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860.4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$1,398.8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106.7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387.8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288.5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32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$1,533.4</w:t>
      </w:r>
      <w:r>
        <w:rPr>
          <w:sz w:val="20"/>
          <w:szCs w:val="20"/>
          <w:color w:val="auto"/>
        </w:rPr>
        <w:tab/>
      </w:r>
      <w:r>
        <w:rPr>
          <w:rFonts w:ascii="Courier New" w:cs="Courier New" w:eastAsia="Courier New" w:hAnsi="Courier New"/>
          <w:sz w:val="14"/>
          <w:szCs w:val="14"/>
          <w:color w:val="auto"/>
        </w:rPr>
        <w:t>$1,398.8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260" w:gutter="0" w:footer="0" w:header="0"/>
        </w:sectPr>
      </w:pPr>
    </w:p>
    <w:bookmarkStart w:id="169" w:name="page170"/>
    <w:bookmarkEnd w:id="169"/>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7080"/>
        <w:spacing w:after="0"/>
        <w:tabs>
          <w:tab w:leader="none" w:pos="96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ind w:left="7160"/>
        <w:spacing w:after="0"/>
        <w:tabs>
          <w:tab w:leader="none" w:pos="972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spacing w:after="0"/>
        <w:tabs>
          <w:tab w:leader="none" w:pos="6800" w:val="left"/>
          <w:tab w:leader="none" w:pos="8080" w:val="left"/>
          <w:tab w:leader="none" w:pos="9380" w:val="left"/>
          <w:tab w:leader="none" w:pos="10660" w:val="left"/>
        </w:tabs>
        <w:rPr>
          <w:sz w:val="20"/>
          <w:szCs w:val="20"/>
          <w:color w:val="auto"/>
        </w:rPr>
      </w:pPr>
      <w:r>
        <w:rPr>
          <w:rFonts w:ascii="Courier New" w:cs="Courier New" w:eastAsia="Courier New" w:hAnsi="Courier New"/>
          <w:sz w:val="14"/>
          <w:szCs w:val="14"/>
          <w:color w:val="auto"/>
        </w:rPr>
        <w:t>ALLETE, INC.</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4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3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spacing w:after="0"/>
              <w:rPr>
                <w:sz w:val="14"/>
                <w:szCs w:val="14"/>
                <w:color w:val="auto"/>
              </w:rPr>
            </w:pPr>
          </w:p>
        </w:tc>
        <w:tc>
          <w:tcPr>
            <w:tcW w:w="12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3.7</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ATC</w:t>
            </w:r>
          </w:p>
        </w:tc>
        <w:tc>
          <w:tcPr>
            <w:tcW w:w="2320" w:type="dxa"/>
            <w:vAlign w:val="bottom"/>
          </w:tcPr>
          <w:p>
            <w:pPr>
              <w:spacing w:after="0"/>
              <w:rPr>
                <w:sz w:val="14"/>
                <w:szCs w:val="14"/>
                <w:color w:val="auto"/>
              </w:rPr>
            </w:pPr>
          </w:p>
        </w:tc>
        <w:tc>
          <w:tcPr>
            <w:tcW w:w="12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320" w:type="dxa"/>
            <w:vAlign w:val="bottom"/>
          </w:tcPr>
          <w:p>
            <w:pPr>
              <w:spacing w:after="0"/>
              <w:rPr>
                <w:sz w:val="14"/>
                <w:szCs w:val="14"/>
                <w:color w:val="auto"/>
              </w:rPr>
            </w:pPr>
          </w:p>
        </w:tc>
        <w:tc>
          <w:tcPr>
            <w:tcW w:w="12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7.1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spacing w:after="0"/>
              <w:rPr>
                <w:sz w:val="14"/>
                <w:szCs w:val="14"/>
                <w:color w:val="auto"/>
              </w:rPr>
            </w:pPr>
          </w:p>
        </w:tc>
        <w:tc>
          <w:tcPr>
            <w:tcW w:w="12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780" w:type="dxa"/>
            <w:vAlign w:val="bottom"/>
          </w:tcPr>
          <w:p>
            <w:pPr>
              <w:ind w:left="120"/>
              <w:spacing w:after="0"/>
              <w:rPr>
                <w:sz w:val="20"/>
                <w:szCs w:val="20"/>
                <w:color w:val="auto"/>
              </w:rPr>
            </w:pPr>
            <w:r>
              <w:rPr>
                <w:rFonts w:ascii="Courier New" w:cs="Courier New" w:eastAsia="Courier New" w:hAnsi="Courier New"/>
                <w:sz w:val="14"/>
                <w:szCs w:val="14"/>
                <w:color w:val="auto"/>
              </w:rPr>
              <w:t>Income from Continuing Operations</w:t>
            </w:r>
          </w:p>
        </w:tc>
        <w:tc>
          <w:tcPr>
            <w:tcW w:w="2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77.3</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140" w:type="dxa"/>
            <w:vAlign w:val="bottom"/>
          </w:tcPr>
          <w:p>
            <w:pPr>
              <w:spacing w:after="0"/>
              <w:rPr>
                <w:sz w:val="14"/>
                <w:szCs w:val="14"/>
                <w:color w:val="auto"/>
              </w:rPr>
            </w:pPr>
          </w:p>
        </w:tc>
        <w:tc>
          <w:tcPr>
            <w:tcW w:w="4780" w:type="dxa"/>
            <w:vAlign w:val="bottom"/>
          </w:tcPr>
          <w:p>
            <w:pPr>
              <w:ind w:left="120"/>
              <w:spacing w:after="0"/>
              <w:rPr>
                <w:sz w:val="20"/>
                <w:szCs w:val="20"/>
                <w:color w:val="auto"/>
              </w:rPr>
            </w:pPr>
            <w:r>
              <w:rPr>
                <w:rFonts w:ascii="Courier New" w:cs="Courier New" w:eastAsia="Courier New" w:hAnsi="Courier New"/>
                <w:sz w:val="14"/>
                <w:szCs w:val="14"/>
                <w:color w:val="auto"/>
              </w:rPr>
              <w:t>Loss from Discontinued Operations</w:t>
            </w:r>
          </w:p>
        </w:tc>
        <w:tc>
          <w:tcPr>
            <w:tcW w:w="2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780" w:type="dxa"/>
            <w:vAlign w:val="bottom"/>
          </w:tcPr>
          <w:p>
            <w:pPr>
              <w:ind w:left="120"/>
              <w:spacing w:after="0"/>
              <w:rPr>
                <w:sz w:val="20"/>
                <w:szCs w:val="20"/>
                <w:color w:val="auto"/>
              </w:rPr>
            </w:pPr>
            <w:r>
              <w:rPr>
                <w:rFonts w:ascii="Courier New" w:cs="Courier New" w:eastAsia="Courier New" w:hAnsi="Courier New"/>
                <w:sz w:val="14"/>
                <w:szCs w:val="14"/>
                <w:color w:val="auto"/>
              </w:rPr>
              <w:t>Net Income</w:t>
            </w:r>
          </w:p>
        </w:tc>
        <w:tc>
          <w:tcPr>
            <w:tcW w:w="2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$22.6</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$76.4</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$13.3</w:t>
            </w:r>
          </w:p>
        </w:tc>
      </w:tr>
    </w:tbl>
    <w:p>
      <w:pPr>
        <w:spacing w:after="0" w:line="4" w:lineRule="exact"/>
        <w:rPr>
          <w:sz w:val="20"/>
          <w:szCs w:val="20"/>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Continuing Operations</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$0.82</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$0.88</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$2.77</w:t>
            </w:r>
          </w:p>
        </w:tc>
        <w:tc>
          <w:tcPr>
            <w:tcW w:w="1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$0.64</w:t>
            </w:r>
          </w:p>
        </w:tc>
      </w:tr>
      <w:tr>
        <w:trPr>
          <w:trHeight w:val="166"/>
        </w:trPr>
        <w:tc>
          <w:tcPr>
            <w:tcW w:w="14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Discontinued Operations</w:t>
            </w:r>
          </w:p>
        </w:tc>
        <w:tc>
          <w:tcPr>
            <w:tcW w:w="3140" w:type="dxa"/>
            <w:vAlign w:val="bottom"/>
          </w:tcPr>
          <w:p>
            <w:pPr>
              <w:ind w:left="2400"/>
              <w:spacing w:after="0"/>
              <w:rPr>
                <w:sz w:val="20"/>
                <w:szCs w:val="20"/>
                <w:color w:val="auto"/>
              </w:rPr>
            </w:pPr>
            <w:r>
              <w:rPr>
                <w:rFonts w:ascii="Courier New" w:cs="Courier New" w:eastAsia="Courier New" w:hAnsi="Courier New"/>
                <w:sz w:val="14"/>
                <w:szCs w:val="14"/>
                <w:color w:val="auto"/>
              </w:rPr>
              <w:t>(0.01)</w:t>
            </w:r>
          </w:p>
        </w:tc>
        <w:tc>
          <w:tcPr>
            <w:tcW w:w="1300" w:type="dxa"/>
            <w:vAlign w:val="bottom"/>
          </w:tcPr>
          <w:p>
            <w:pPr>
              <w:ind w:left="560"/>
              <w:spacing w:after="0"/>
              <w:rPr>
                <w:sz w:val="20"/>
                <w:szCs w:val="20"/>
                <w:color w:val="auto"/>
              </w:rPr>
            </w:pPr>
            <w:r>
              <w:rPr>
                <w:rFonts w:ascii="Courier New" w:cs="Courier New" w:eastAsia="Courier New" w:hAnsi="Courier New"/>
                <w:sz w:val="14"/>
                <w:szCs w:val="14"/>
                <w:color w:val="auto"/>
              </w:rPr>
              <w:t>(0.12)</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(0.03)</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(0.16)</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140" w:type="dxa"/>
            <w:vAlign w:val="bottom"/>
          </w:tcPr>
          <w:p>
            <w:pPr>
              <w:ind w:left="2400"/>
              <w:spacing w:after="0"/>
              <w:rPr>
                <w:sz w:val="20"/>
                <w:szCs w:val="20"/>
                <w:color w:val="auto"/>
              </w:rPr>
            </w:pPr>
            <w:r>
              <w:rPr>
                <w:rFonts w:ascii="Courier New" w:cs="Courier New" w:eastAsia="Courier New" w:hAnsi="Courier New"/>
                <w:sz w:val="14"/>
                <w:szCs w:val="14"/>
                <w:color w:val="auto"/>
              </w:rPr>
              <w:t>$0.81</w:t>
            </w:r>
          </w:p>
        </w:tc>
        <w:tc>
          <w:tcPr>
            <w:tcW w:w="1300" w:type="dxa"/>
            <w:vAlign w:val="bottom"/>
          </w:tcPr>
          <w:p>
            <w:pPr>
              <w:ind w:left="560"/>
              <w:spacing w:after="0"/>
              <w:rPr>
                <w:sz w:val="20"/>
                <w:szCs w:val="20"/>
                <w:color w:val="auto"/>
              </w:rPr>
            </w:pPr>
            <w:r>
              <w:rPr>
                <w:rFonts w:ascii="Courier New" w:cs="Courier New" w:eastAsia="Courier New" w:hAnsi="Courier New"/>
                <w:sz w:val="14"/>
                <w:szCs w:val="14"/>
                <w:color w:val="auto"/>
              </w:rPr>
              <w:t>$0.76</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$2.74</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$0.48</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500" w:hanging="344"/>
        <w:spacing w:after="0" w:line="250" w:lineRule="auto"/>
        <w:rPr>
          <w:sz w:val="20"/>
          <w:szCs w:val="20"/>
          <w:color w:val="auto"/>
        </w:rPr>
      </w:pPr>
      <w:r>
        <w:rPr>
          <w:rFonts w:ascii="Courier New" w:cs="Courier New" w:eastAsia="Courier New" w:hAnsi="Courier New"/>
          <w:sz w:val="14"/>
          <w:szCs w:val="14"/>
          <w:color w:val="auto"/>
        </w:rPr>
        <w:t>In 2006, financial</w:t>
      </w:r>
      <w:r>
        <w:rPr>
          <w:sz w:val="20"/>
          <w:szCs w:val="20"/>
          <w:color w:val="auto"/>
        </w:rPr>
        <w:t xml:space="preserve"> </w:t>
      </w:r>
      <w:r>
        <w:rPr>
          <w:rFonts w:ascii="Courier New" w:cs="Courier New" w:eastAsia="Courier New" w:hAnsi="Courier New"/>
          <w:sz w:val="14"/>
          <w:szCs w:val="14"/>
          <w:color w:val="auto"/>
        </w:rPr>
        <w:t>results for ALLETE's Taconite Harbor Energy Center are included in the Regulated Utility segment. In 2005, Taconite Harbor is included in the Nonregulated Energy Operations segment.</w:t>
      </w:r>
    </w:p>
    <w:p>
      <w:pPr>
        <w:spacing w:after="0" w:line="1" w:lineRule="exact"/>
        <w:rPr>
          <w:sz w:val="20"/>
          <w:szCs w:val="20"/>
          <w:color w:val="auto"/>
        </w:rPr>
      </w:pPr>
    </w:p>
    <w:p>
      <w:pPr>
        <w:ind w:left="440" w:right="500" w:hanging="344"/>
        <w:spacing w:after="0" w:line="255" w:lineRule="auto"/>
        <w:rPr>
          <w:sz w:val="20"/>
          <w:szCs w:val="20"/>
          <w:color w:val="auto"/>
        </w:rPr>
      </w:pPr>
      <w:r>
        <w:rPr>
          <w:rFonts w:ascii="Courier New" w:cs="Courier New" w:eastAsia="Courier New" w:hAnsi="Courier New"/>
          <w:sz w:val="14"/>
          <w:szCs w:val="14"/>
          <w:color w:val="auto"/>
        </w:rPr>
        <w:t>In April 2005, ALLETE</w:t>
      </w:r>
      <w:r>
        <w:rPr>
          <w:sz w:val="20"/>
          <w:szCs w:val="20"/>
          <w:color w:val="auto"/>
        </w:rPr>
        <w:t xml:space="preserve"> </w:t>
      </w:r>
      <w:r>
        <w:rPr>
          <w:rFonts w:ascii="Courier New" w:cs="Courier New" w:eastAsia="Courier New" w:hAnsi="Courier New"/>
          <w:sz w:val="14"/>
          <w:szCs w:val="14"/>
          <w:color w:val="auto"/>
        </w:rPr>
        <w:t>recorded a $50.4 million, or $1.84 per diluted share, charge related to the assignment of the Kendall County power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80"/>
        <w:spacing w:after="0"/>
        <w:tabs>
          <w:tab w:leader="none" w:pos="96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ind w:left="7160"/>
        <w:spacing w:after="0"/>
        <w:tabs>
          <w:tab w:leader="none" w:pos="972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6820"/>
        <w:spacing w:after="0"/>
        <w:tabs>
          <w:tab w:leader="none" w:pos="8080" w:val="left"/>
          <w:tab w:leader="none" w:pos="9380" w:val="left"/>
          <w:tab w:leader="none" w:pos="106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STATISTICAL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High</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$47.36</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$51.70</w:t>
            </w: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Low</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$35.65</w:t>
            </w: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Close</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$44.00</w:t>
            </w:r>
          </w:p>
        </w:tc>
      </w:tr>
      <w:tr>
        <w:trPr>
          <w:trHeight w:val="166"/>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Book Value</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3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540" w:type="dxa"/>
            <w:vAlign w:val="bottom"/>
          </w:tcPr>
          <w:p>
            <w:pPr>
              <w:ind w:left="260"/>
              <w:spacing w:after="0"/>
              <w:rPr>
                <w:sz w:val="20"/>
                <w:szCs w:val="20"/>
                <w:color w:val="auto"/>
              </w:rPr>
            </w:pPr>
            <w:r>
              <w:rPr>
                <w:rFonts w:ascii="Courier New" w:cs="Courier New" w:eastAsia="Courier New" w:hAnsi="Courier New"/>
                <w:sz w:val="14"/>
                <w:szCs w:val="14"/>
                <w:color w:val="auto"/>
              </w:rPr>
              <w:t>Regulated Utility</w:t>
            </w:r>
          </w:p>
        </w:tc>
        <w:tc>
          <w:tcPr>
            <w:tcW w:w="3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540" w:type="dxa"/>
            <w:vAlign w:val="bottom"/>
          </w:tcPr>
          <w:p>
            <w:pPr>
              <w:ind w:left="620"/>
              <w:spacing w:after="0"/>
              <w:rPr>
                <w:sz w:val="20"/>
                <w:szCs w:val="20"/>
                <w:color w:val="auto"/>
              </w:rPr>
            </w:pPr>
            <w:r>
              <w:rPr>
                <w:rFonts w:ascii="Courier New" w:cs="Courier New" w:eastAsia="Courier New" w:hAnsi="Courier New"/>
                <w:sz w:val="14"/>
                <w:szCs w:val="14"/>
                <w:color w:val="auto"/>
              </w:rPr>
              <w:t>Retail and Municipals</w:t>
            </w: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Residential</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1,101.6</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Commercial</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339.9</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1,326.8</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Industrial</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1,776.5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1,823.0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7,205.6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7,129.8</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Municipals</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877.3</w:t>
            </w:r>
          </w:p>
        </w:tc>
      </w:tr>
      <w:tr>
        <w:trPr>
          <w:trHeight w:val="166"/>
        </w:trPr>
        <w:tc>
          <w:tcPr>
            <w:tcW w:w="454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3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Total Retail</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and Municipals</w:t>
            </w: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2,651.9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10,630.4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10,514.6</w:t>
            </w:r>
          </w:p>
        </w:tc>
      </w:tr>
      <w:tr>
        <w:trPr>
          <w:trHeight w:val="166"/>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Other Power Suppliers</w:t>
            </w:r>
          </w:p>
        </w:tc>
        <w:tc>
          <w:tcPr>
            <w:tcW w:w="2720" w:type="dxa"/>
            <w:vAlign w:val="bottom"/>
          </w:tcPr>
          <w:p>
            <w:pPr>
              <w:spacing w:after="0"/>
              <w:rPr>
                <w:sz w:val="14"/>
                <w:szCs w:val="14"/>
                <w:color w:val="auto"/>
              </w:rPr>
            </w:pPr>
          </w:p>
        </w:tc>
        <w:tc>
          <w:tcPr>
            <w:tcW w:w="2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548.0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1,141.6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900" w:type="dxa"/>
            <w:vAlign w:val="bottom"/>
          </w:tcPr>
          <w:p>
            <w:pPr>
              <w:ind w:left="1240"/>
              <w:spacing w:after="0"/>
              <w:rPr>
                <w:sz w:val="20"/>
                <w:szCs w:val="20"/>
                <w:color w:val="auto"/>
              </w:rPr>
            </w:pPr>
            <w:r>
              <w:rPr>
                <w:rFonts w:ascii="Courier New" w:cs="Courier New" w:eastAsia="Courier New" w:hAnsi="Courier New"/>
                <w:sz w:val="14"/>
                <w:szCs w:val="14"/>
                <w:color w:val="auto"/>
              </w:rPr>
              <w:t>Total Regulated Utility</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3,199.9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12,783.3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11,656.2</w:t>
            </w:r>
          </w:p>
        </w:tc>
      </w:tr>
      <w:tr>
        <w:trPr>
          <w:trHeight w:val="166"/>
        </w:trPr>
        <w:tc>
          <w:tcPr>
            <w:tcW w:w="140" w:type="dxa"/>
            <w:vAlign w:val="bottom"/>
          </w:tcPr>
          <w:p>
            <w:pPr>
              <w:spacing w:after="0"/>
              <w:rPr>
                <w:sz w:val="14"/>
                <w:szCs w:val="14"/>
                <w:color w:val="auto"/>
              </w:rPr>
            </w:pPr>
          </w:p>
        </w:tc>
        <w:tc>
          <w:tcPr>
            <w:tcW w:w="4900" w:type="dxa"/>
            <w:vAlign w:val="bottom"/>
          </w:tcPr>
          <w:p>
            <w:pPr>
              <w:ind w:left="120"/>
              <w:spacing w:after="0"/>
              <w:rPr>
                <w:sz w:val="20"/>
                <w:szCs w:val="20"/>
                <w:color w:val="auto"/>
              </w:rPr>
            </w:pPr>
            <w:r>
              <w:rPr>
                <w:rFonts w:ascii="Courier New" w:cs="Courier New" w:eastAsia="Courier New" w:hAnsi="Courier New"/>
                <w:sz w:val="14"/>
                <w:szCs w:val="14"/>
                <w:color w:val="auto"/>
              </w:rPr>
              <w:t>Nonregulated Energy Operations</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1,521.3</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900" w:type="dxa"/>
            <w:vAlign w:val="bottom"/>
          </w:tcPr>
          <w:p>
            <w:pPr>
              <w:ind w:left="1240"/>
              <w:spacing w:after="0"/>
              <w:rPr>
                <w:sz w:val="20"/>
                <w:szCs w:val="20"/>
                <w:color w:val="auto"/>
              </w:rPr>
            </w:pPr>
            <w:r>
              <w:rPr>
                <w:rFonts w:ascii="Courier New" w:cs="Courier New" w:eastAsia="Courier New" w:hAnsi="Courier New"/>
                <w:sz w:val="14"/>
                <w:szCs w:val="14"/>
                <w:color w:val="auto"/>
              </w:rPr>
              <w:t>Total Kilowatthours Sold</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3,259.0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3,338.6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13,023.7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13,177.5</w:t>
            </w:r>
          </w:p>
        </w:tc>
      </w:tr>
    </w:tbl>
    <w:p>
      <w:pPr>
        <w:spacing w:after="0" w:line="4" w:lineRule="exact"/>
        <w:rPr>
          <w:sz w:val="20"/>
          <w:szCs w:val="20"/>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Town Center Development Project</w:t>
            </w:r>
          </w:p>
        </w:tc>
        <w:tc>
          <w:tcPr>
            <w:tcW w:w="2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Commercial Square Footage Sold</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36,976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401,971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643,000</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Palm Coast Park Development Project</w:t>
            </w:r>
          </w:p>
        </w:tc>
        <w:tc>
          <w:tcPr>
            <w:tcW w:w="2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Residential Units</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2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Acres Sold</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1,102</w:t>
            </w:r>
          </w:p>
        </w:tc>
      </w:tr>
      <w:tr>
        <w:trPr>
          <w:trHeight w:val="166"/>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Lots Sold</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1440" w:gutter="0" w:footer="0" w:header="0"/>
        </w:sectPr>
      </w:pPr>
    </w:p>
    <w:bookmarkStart w:id="170" w:name="page171"/>
    <w:bookmarkEnd w:id="170"/>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5</w:t>
      </w:r>
    </w:p>
    <w:p>
      <w:pPr>
        <w:spacing w:after="0" w:line="7" w:lineRule="exact"/>
        <w:rPr>
          <w:sz w:val="20"/>
          <w:szCs w:val="20"/>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NON-GAAP FINANCIAL MEASURES</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ALLETE prepares financial statements in accordance with accounting principles generally accepted in the United States (GAAP). Along with this information, ALLETE discloses and discusses certain non-GAAP financial information in its quarterly earnings releases, on investor conference calls, and during investor conferences and related events. Management believes that non-GAAP financial data supplements ALLETE's GAAP financial statements by providing investors with additional information which enhances the investors' overall understanding of ALLETE's financial performance and the comparability of its operating results from period to period. The presentation of this additional information is not meant to be considered in isolation or as a substitute for ALLETE's results of operations prepared and presented in accordance with GAAP.</w:t>
      </w:r>
    </w:p>
    <w:p>
      <w:pPr>
        <w:spacing w:after="0" w:line="16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Financial results for 2005 were significantly impacted by the following transactions:</w:t>
      </w:r>
    </w:p>
    <w:p>
      <w:pPr>
        <w:spacing w:after="0" w:line="160" w:lineRule="exact"/>
        <w:rPr>
          <w:sz w:val="20"/>
          <w:szCs w:val="20"/>
          <w:color w:val="auto"/>
        </w:rPr>
      </w:pPr>
    </w:p>
    <w:p>
      <w:pPr>
        <w:jc w:val="both"/>
        <w:ind w:left="440" w:right="4640" w:hanging="259"/>
        <w:spacing w:after="0" w:line="250" w:lineRule="auto"/>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$50.4 million after tax, or $1.84 per share, charge due to the assignment of the Kendall County power purchase agreement to Constellation Energy Commodities;</w:t>
      </w:r>
    </w:p>
    <w:p>
      <w:pPr>
        <w:spacing w:after="0" w:line="1" w:lineRule="exact"/>
        <w:rPr>
          <w:rFonts w:ascii="Courier New" w:cs="Courier New" w:eastAsia="Courier New" w:hAnsi="Courier New"/>
          <w:sz w:val="14"/>
          <w:szCs w:val="14"/>
          <w:color w:val="auto"/>
        </w:rPr>
      </w:pPr>
    </w:p>
    <w:p>
      <w:pPr>
        <w:ind w:left="440" w:right="4640" w:hanging="259"/>
        <w:spacing w:after="0" w:line="250" w:lineRule="auto"/>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$3.7 million, or $0.13 per share, current tax benefit due to a positive resolution of income tax audit issues; and</w:t>
      </w:r>
    </w:p>
    <w:p>
      <w:pPr>
        <w:ind w:left="440" w:right="4640" w:hanging="259"/>
        <w:spacing w:after="0" w:line="255" w:lineRule="auto"/>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$2.5 million, or $0.09 per share, deferred tax benefit due to comprehensive tax planning initiatives.</w:t>
      </w:r>
    </w:p>
    <w:p>
      <w:pPr>
        <w:spacing w:after="0" w:line="160"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Since these transactions significantly impacted the financial results from continuing operations in 2005, ALLETE believes that for comparative purposes and a more accurate reflection of its ongoing operations, it is useful to present diluted earnings per share from continuing operations for each applicable period excluding the impact of these items. The table below reconciles actual reported diluted earnings per share from continuing operations to the adjusted results that exclude these transactions in the respective periods.</w:t>
      </w:r>
    </w:p>
    <w:p>
      <w:pPr>
        <w:spacing w:after="0" w:line="200" w:lineRule="exact"/>
        <w:rPr>
          <w:sz w:val="20"/>
          <w:szCs w:val="20"/>
          <w:color w:val="auto"/>
        </w:rPr>
      </w:pPr>
    </w:p>
    <w:p>
      <w:pPr>
        <w:spacing w:after="0" w:line="295" w:lineRule="exact"/>
        <w:rPr>
          <w:sz w:val="20"/>
          <w:szCs w:val="20"/>
          <w:color w:val="auto"/>
        </w:rPr>
      </w:pPr>
    </w:p>
    <w:p>
      <w:pPr>
        <w:ind w:left="7080"/>
        <w:spacing w:after="0"/>
        <w:tabs>
          <w:tab w:leader="none" w:pos="96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YEAR TO DATE</w:t>
      </w:r>
    </w:p>
    <w:p>
      <w:pPr>
        <w:spacing w:after="0" w:line="7" w:lineRule="exact"/>
        <w:rPr>
          <w:sz w:val="20"/>
          <w:szCs w:val="20"/>
          <w:color w:val="auto"/>
        </w:rPr>
      </w:pPr>
    </w:p>
    <w:p>
      <w:pPr>
        <w:ind w:left="7160"/>
        <w:spacing w:after="0"/>
        <w:tabs>
          <w:tab w:leader="none" w:pos="972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6820"/>
        <w:spacing w:after="0"/>
        <w:tabs>
          <w:tab w:leader="none" w:pos="8080" w:val="left"/>
          <w:tab w:leader="none" w:pos="9380" w:val="left"/>
          <w:tab w:leader="none" w:pos="1066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PER</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6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Add:</w:t>
            </w:r>
          </w:p>
        </w:tc>
        <w:tc>
          <w:tcPr>
            <w:tcW w:w="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Kendall</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County Charge</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Less:</w:t>
            </w:r>
          </w:p>
        </w:tc>
        <w:tc>
          <w:tcPr>
            <w:tcW w:w="45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Positive Resolution of Tax Audit Issues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r>
      <w:tr>
        <w:trPr>
          <w:trHeight w:val="166"/>
        </w:trPr>
        <w:tc>
          <w:tcPr>
            <w:tcW w:w="104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Tax</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Planning Initiatives</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720"/>
        <w:spacing w:after="0"/>
        <w:tabs>
          <w:tab w:leader="none" w:pos="8000" w:val="left"/>
          <w:tab w:leader="none" w:pos="9300" w:val="left"/>
          <w:tab w:leader="none" w:pos="10580" w:val="left"/>
        </w:tabs>
        <w:rPr>
          <w:sz w:val="20"/>
          <w:szCs w:val="20"/>
          <w:color w:val="auto"/>
        </w:rPr>
      </w:pPr>
      <w:r>
        <w:rPr>
          <w:rFonts w:ascii="Courier New" w:cs="Courier New" w:eastAsia="Courier New" w:hAnsi="Courier New"/>
          <w:sz w:val="14"/>
          <w:szCs w:val="14"/>
          <w:color w:val="auto"/>
        </w:rPr>
        <w:t>$0.82</w:t>
      </w:r>
      <w:r>
        <w:rPr>
          <w:sz w:val="20"/>
          <w:szCs w:val="20"/>
          <w:color w:val="auto"/>
        </w:rPr>
        <w:tab/>
      </w:r>
      <w:r>
        <w:rPr>
          <w:rFonts w:ascii="Courier New" w:cs="Courier New" w:eastAsia="Courier New" w:hAnsi="Courier New"/>
          <w:sz w:val="14"/>
          <w:szCs w:val="14"/>
          <w:color w:val="auto"/>
        </w:rPr>
        <w:t>$0.66</w:t>
      </w:r>
      <w:r>
        <w:rPr>
          <w:sz w:val="20"/>
          <w:szCs w:val="20"/>
          <w:color w:val="auto"/>
        </w:rPr>
        <w:tab/>
      </w:r>
      <w:r>
        <w:rPr>
          <w:rFonts w:ascii="Courier New" w:cs="Courier New" w:eastAsia="Courier New" w:hAnsi="Courier New"/>
          <w:sz w:val="14"/>
          <w:szCs w:val="14"/>
          <w:color w:val="auto"/>
        </w:rPr>
        <w:t>$2.77</w:t>
      </w:r>
      <w:r>
        <w:rPr>
          <w:sz w:val="20"/>
          <w:szCs w:val="20"/>
          <w:color w:val="auto"/>
        </w:rPr>
        <w:tab/>
      </w:r>
      <w:r>
        <w:rPr>
          <w:rFonts w:ascii="Courier New" w:cs="Courier New" w:eastAsia="Courier New" w:hAnsi="Courier New"/>
          <w:sz w:val="14"/>
          <w:szCs w:val="14"/>
          <w:color w:val="auto"/>
        </w:rPr>
        <w:t>$2.26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4640"/>
        <w:spacing w:after="0" w:line="252" w:lineRule="auto"/>
        <w:rPr>
          <w:sz w:val="20"/>
          <w:szCs w:val="20"/>
          <w:color w:val="auto"/>
        </w:rPr>
      </w:pPr>
      <w:r>
        <w:rPr>
          <w:rFonts w:ascii="Courier New" w:cs="Courier New" w:eastAsia="Courier New" w:hAnsi="Courier New"/>
          <w:sz w:val="14"/>
          <w:szCs w:val="14"/>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ectPr>
          <w:pgSz w:w="11900" w:h="16838" w:orient="portrait"/>
          <w:cols w:equalWidth="0" w:num="1">
            <w:col w:w="11540"/>
          </w:cols>
          <w:pgMar w:left="220" w:top="616" w:right="139" w:bottom="1440" w:gutter="0" w:footer="0" w:header="0"/>
        </w:sectPr>
      </w:pPr>
    </w:p>
    <w:bookmarkStart w:id="171" w:name="page172"/>
    <w:bookmarkEnd w:id="1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A"/>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1)"/>
      <w:numFmt w:val="decimal"/>
      <w:start w:val="3"/>
    </w:lvl>
  </w:abstractNum>
  <w:abstractNum w:abstractNumId="39">
    <w:nsid w:val="3FA62ACA"/>
    <w:multiLevelType w:val="hybridMultilevel"/>
    <w:lvl w:ilvl="0">
      <w:lvlJc w:val="left"/>
      <w:lvlText w:val="%1"/>
      <w:numFmt w:val="decimal"/>
      <w:start w:val="32"/>
    </w:lvl>
  </w:abstractNum>
  <w:abstractNum w:abstractNumId="40">
    <w:nsid w:val="14FCE74E"/>
    <w:multiLevelType w:val="hybridMultilevel"/>
    <w:lvl w:ilvl="0">
      <w:lvlJc w:val="left"/>
      <w:lvlText w:val="%1"/>
      <w:numFmt w:val="decimal"/>
      <w:start w:val="99"/>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
      <w:numFmt w:val="bullet"/>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
      <w:numFmt w:val="bullet"/>
      <w:start w:val="1"/>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
      <w:numFmt w:val="bullet"/>
      <w:start w:val="1"/>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
      <w:numFmt w:val="bullet"/>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
      <w:numFmt w:val="bullet"/>
      <w:start w:val="1"/>
    </w:lvl>
  </w:abstractNum>
  <w:abstractNum w:abstractNumId="92">
    <w:nsid w:val="5EC6AFD4"/>
    <w:multiLevelType w:val="hybridMultilevel"/>
    <w:lvl w:ilvl="0">
      <w:lvlJc w:val="left"/>
      <w:lvlText w:val="-"/>
      <w:numFmt w:val="bullet"/>
      <w:start w:val="1"/>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
      <w:numFmt w:val="bullet"/>
      <w:start w:val="1"/>
    </w:lvl>
  </w:abstractNum>
  <w:abstractNum w:abstractNumId="95">
    <w:nsid w:val="57A61A29"/>
    <w:multiLevelType w:val="hybridMultilevel"/>
    <w:lvl w:ilvl="0">
      <w:lvlJc w:val="left"/>
      <w:lvlText w:val="-"/>
      <w:numFmt w:val="bullet"/>
      <w:start w:val="1"/>
    </w:lvl>
  </w:abstractNum>
  <w:abstractNum w:abstractNumId="96">
    <w:nsid w:val="5399C654"/>
    <w:multiLevelType w:val="hybridMultilevel"/>
    <w:lvl w:ilvl="0">
      <w:lvlJc w:val="left"/>
      <w:lvlText w:val="-"/>
      <w:numFmt w:val="bullet"/>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
      <w:numFmt w:val="bullet"/>
      <w:start w:val="1"/>
    </w:lvl>
  </w:abstractNum>
  <w:abstractNum w:abstractNumId="99">
    <w:nsid w:val="B37E80A"/>
    <w:multiLevelType w:val="hybridMultilevel"/>
    <w:lvl w:ilvl="0">
      <w:lvlJc w:val="left"/>
      <w:lvlText w:val="-"/>
      <w:numFmt w:val="bullet"/>
      <w:start w:val="1"/>
    </w:lvl>
  </w:abstractNum>
  <w:abstractNum w:abstractNumId="100">
    <w:nsid w:val="2157F6BC"/>
    <w:multiLevelType w:val="hybridMultilevel"/>
    <w:lvl w:ilvl="0">
      <w:lvlJc w:val="left"/>
      <w:lvlText w:val="-"/>
      <w:numFmt w:val="bullet"/>
      <w:start w:val="1"/>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abstractNum>
  <w:abstractNum w:abstractNumId="103">
    <w:nsid w:val="BFFAE18"/>
    <w:multiLevelType w:val="hybridMultilevel"/>
    <w:lvl w:ilvl="0">
      <w:lvlJc w:val="left"/>
      <w:lvlText w:val="-"/>
      <w:numFmt w:val="bullet"/>
      <w:start w:val="1"/>
    </w:lvl>
  </w:abstractNum>
  <w:abstractNum w:abstractNumId="104">
    <w:nsid w:val="E3E47A8"/>
    <w:multiLevelType w:val="hybridMultilevel"/>
    <w:lvl w:ilvl="0">
      <w:lvlJc w:val="left"/>
      <w:lvlText w:val="-"/>
      <w:numFmt w:val="bullet"/>
      <w:start w:val="1"/>
    </w:lvl>
  </w:abstractNum>
  <w:abstractNum w:abstractNumId="105">
    <w:nsid w:val="2E48F044"/>
    <w:multiLevelType w:val="hybridMultilevel"/>
    <w:lvl w:ilvl="0">
      <w:lvlJc w:val="left"/>
      <w:lvlText w:val="-"/>
      <w:numFmt w:val="bullet"/>
      <w:start w:val="1"/>
    </w:lvl>
  </w:abstractNum>
  <w:abstractNum w:abstractNumId="106">
    <w:nsid w:val="49D0FEAC"/>
    <w:multiLevelType w:val="hybridMultilevel"/>
    <w:lvl w:ilvl="0">
      <w:lvlJc w:val="left"/>
      <w:lvlText w:val="-"/>
      <w:numFmt w:val="bullet"/>
      <w:start w:val="1"/>
    </w:lvl>
  </w:abstractNum>
  <w:abstractNum w:abstractNumId="107">
    <w:nsid w:val="4BEE5A5B"/>
    <w:multiLevelType w:val="hybridMultilevel"/>
    <w:lvl w:ilvl="0">
      <w:lvlJc w:val="left"/>
      <w:lvlText w:val="-"/>
      <w:numFmt w:val="bullet"/>
      <w:start w:val="1"/>
    </w:lvl>
  </w:abstractNum>
  <w:abstractNum w:abstractNumId="108">
    <w:nsid w:val="5551B9F3"/>
    <w:multiLevelType w:val="hybridMultilevel"/>
    <w:lvl w:ilvl="0">
      <w:lvlJc w:val="left"/>
      <w:lvlText w:val="-"/>
      <w:numFmt w:val="bullet"/>
      <w:start w:val="1"/>
    </w:lvl>
  </w:abstractNum>
  <w:abstractNum w:abstractNumId="109">
    <w:nsid w:val="24F6AB8E"/>
    <w:multiLevelType w:val="hybridMultilevel"/>
    <w:lvl w:ilvl="0">
      <w:lvlJc w:val="left"/>
      <w:lvlText w:val="-"/>
      <w:numFmt w:val="bullet"/>
      <w:start w:val="1"/>
    </w:lvl>
  </w:abstractNum>
  <w:abstractNum w:abstractNumId="110">
    <w:nsid w:val="634C574C"/>
    <w:multiLevelType w:val="hybridMultilevel"/>
    <w:lvl w:ilvl="0">
      <w:lvlJc w:val="left"/>
      <w:lvlText w:val="-"/>
      <w:numFmt w:val="bullet"/>
      <w:start w:val="1"/>
    </w:lvl>
  </w:abstractNum>
  <w:abstractNum w:abstractNumId="111">
    <w:nsid w:val="24E99DD7"/>
    <w:multiLevelType w:val="hybridMultilevel"/>
    <w:lvl w:ilvl="0">
      <w:lvlJc w:val="left"/>
      <w:lvlText w:val="-"/>
      <w:numFmt w:val="bullet"/>
      <w:start w:val="1"/>
    </w:lvl>
  </w:abstractNum>
  <w:abstractNum w:abstractNumId="112">
    <w:nsid w:val="2A31B62D"/>
    <w:multiLevelType w:val="hybridMultilevel"/>
    <w:lvl w:ilvl="0">
      <w:lvlJc w:val="left"/>
      <w:lvlText w:val="-"/>
      <w:numFmt w:val="bullet"/>
      <w:start w:val="1"/>
    </w:lvl>
  </w:abstractNum>
  <w:abstractNum w:abstractNumId="113">
    <w:nsid w:val="1849C29B"/>
    <w:multiLevelType w:val="hybridMultilevel"/>
    <w:lvl w:ilvl="0">
      <w:lvlJc w:val="left"/>
      <w:lvlText w:val="%1"/>
      <w:numFmt w:val="decimal"/>
      <w:start w:val="32"/>
    </w:lvl>
  </w:abstractNum>
  <w:abstractNum w:abstractNumId="114">
    <w:nsid w:val="7DFF9D09"/>
    <w:multiLevelType w:val="hybridMultilevel"/>
    <w:lvl w:ilvl="0">
      <w:lvlJc w:val="left"/>
      <w:lvlText w:val="%1"/>
      <w:numFmt w:val="decimal"/>
      <w:start w:val="99"/>
    </w:lvl>
  </w:abstractNum>
  <w:abstractNum w:abstractNumId="115">
    <w:nsid w:val="754342"/>
    <w:multiLevelType w:val="hybridMultilevel"/>
    <w:lvl w:ilvl="0">
      <w:lvlJc w:val="left"/>
      <w:lvlText w:val="(%1)"/>
      <w:numFmt w:val="upperLetter"/>
      <w:start w:val="9"/>
    </w:lvl>
  </w:abstractNum>
  <w:abstractNum w:abstractNumId="116">
    <w:nsid w:val="69E7F3E5"/>
    <w:multiLevelType w:val="hybridMultilevel"/>
    <w:lvl w:ilvl="0">
      <w:lvlJc w:val="left"/>
      <w:lvlText w:val="(%1)"/>
      <w:numFmt w:val="upperLetter"/>
      <w:start w:val="35"/>
    </w:lvl>
  </w:abstractNum>
  <w:abstractNum w:abstractNumId="117">
    <w:nsid w:val="2A6DE806"/>
    <w:multiLevelType w:val="hybridMultilevel"/>
    <w:lvl w:ilvl="0">
      <w:lvlJc w:val="left"/>
      <w:lvlText w:val="(%1)"/>
      <w:numFmt w:val="upperLetter"/>
      <w:start w:val="61"/>
    </w:lvl>
  </w:abstractNum>
  <w:abstractNum w:abstractNumId="118">
    <w:nsid w:val="1816F8C4"/>
    <w:multiLevelType w:val="hybridMultilevel"/>
    <w:lvl w:ilvl="0">
      <w:lvlJc w:val="left"/>
      <w:lvlText w:val="(%1)"/>
      <w:numFmt w:val="upperLetter"/>
      <w:start w:val="22"/>
    </w:lvl>
  </w:abstractNum>
  <w:abstractNum w:abstractNumId="119">
    <w:nsid w:val="37DF2233"/>
    <w:multiLevelType w:val="hybridMultilevel"/>
    <w:lvl w:ilvl="0">
      <w:lvlJc w:val="left"/>
      <w:lvlText w:val="-"/>
      <w:numFmt w:val="bullet"/>
      <w:start w:val="1"/>
    </w:lvl>
  </w:abstractNum>
  <w:abstractNum w:abstractNumId="120">
    <w:nsid w:val="7AB49DAF"/>
    <w:multiLevelType w:val="hybridMultilevel"/>
    <w:lvl w:ilvl="0">
      <w:lvlJc w:val="left"/>
      <w:lvlText w:val="%1."/>
      <w:numFmt w:val="decimal"/>
      <w:start w:val="1"/>
    </w:lvl>
    <w:lvl w:ilvl="1">
      <w:lvlJc w:val="left"/>
      <w:lvlText w:val="(%2)"/>
      <w:numFmt w:val="lowerLetter"/>
      <w:start w:val="1"/>
    </w:lvl>
  </w:abstractNum>
  <w:abstractNum w:abstractNumId="121">
    <w:nsid w:val="759F82CD"/>
    <w:multiLevelType w:val="hybridMultilevel"/>
    <w:lvl w:ilvl="0">
      <w:lvlJc w:val="left"/>
      <w:lvlText w:val="(%1)"/>
      <w:numFmt w:val="lowerLetter"/>
      <w:start w:val="5"/>
    </w:lvl>
    <w:lvl w:ilvl="1">
      <w:lvlJc w:val="left"/>
      <w:lvlText w:val="(%2)"/>
      <w:numFmt w:val="lowerLetter"/>
      <w:start w:val="4"/>
    </w:lvl>
  </w:abstractNum>
  <w:abstractNum w:abstractNumId="122">
    <w:nsid w:val="61E74EA3"/>
    <w:multiLevelType w:val="hybridMultilevel"/>
    <w:lvl w:ilvl="0">
      <w:lvlJc w:val="left"/>
      <w:lvlText w:val="(%1)"/>
      <w:numFmt w:val="lowerLetter"/>
      <w:start w:val="6"/>
    </w:lvl>
  </w:abstractNum>
  <w:abstractNum w:abstractNumId="123">
    <w:nsid w:val="597B4D84"/>
    <w:multiLevelType w:val="hybridMultilevel"/>
    <w:lvl w:ilvl="0">
      <w:lvlJc w:val="left"/>
      <w:lvlText w:val="(%1)"/>
      <w:numFmt w:val="lowerLetter"/>
      <w:start w:val="7"/>
    </w:lvl>
  </w:abstractNum>
  <w:abstractNum w:abstractNumId="124">
    <w:nsid w:val="F819E7F"/>
    <w:multiLevelType w:val="hybridMultilevel"/>
    <w:lvl w:ilvl="0">
      <w:lvlJc w:val="left"/>
      <w:lvlText w:val="(%1)"/>
      <w:numFmt w:val="lowerLetter"/>
      <w:start w:val="8"/>
    </w:lvl>
  </w:abstractNum>
  <w:abstractNum w:abstractNumId="125">
    <w:nsid w:val="57C7D42D"/>
    <w:multiLevelType w:val="hybridMultilevel"/>
    <w:lvl w:ilvl="0">
      <w:lvlJc w:val="left"/>
      <w:lvlText w:val="%1."/>
      <w:numFmt w:val="decimal"/>
      <w:start w:val="2"/>
    </w:lvl>
    <w:lvl w:ilvl="1">
      <w:lvlJc w:val="left"/>
      <w:lvlText w:val="(%2)"/>
      <w:numFmt w:val="lowerLetter"/>
      <w:start w:val="1"/>
    </w:lvl>
  </w:abstractNum>
  <w:abstractNum w:abstractNumId="126">
    <w:nsid w:val="312167AD"/>
    <w:multiLevelType w:val="hybridMultilevel"/>
    <w:lvl w:ilvl="0">
      <w:lvlJc w:val="left"/>
      <w:lvlText w:val="%1"/>
      <w:numFmt w:val="decimal"/>
      <w:start w:val="1"/>
    </w:lvl>
    <w:lvl w:ilvl="1">
      <w:lvlJc w:val="left"/>
      <w:lvlText w:val="(%2)"/>
      <w:numFmt w:val="lowerLetter"/>
      <w:start w:val="3"/>
    </w:lvl>
  </w:abstractNum>
  <w:abstractNum w:abstractNumId="127">
    <w:nsid w:val="631B64D4"/>
    <w:multiLevelType w:val="hybridMultilevel"/>
    <w:lvl w:ilvl="0">
      <w:lvlJc w:val="left"/>
      <w:lvlText w:val="%1."/>
      <w:numFmt w:val="decimal"/>
      <w:start w:val="5"/>
    </w:lvl>
    <w:lvl w:ilvl="1">
      <w:lvlJc w:val="left"/>
      <w:lvlText w:val="%2"/>
      <w:numFmt w:val="lowerLetter"/>
      <w:start w:val="1"/>
    </w:lvl>
  </w:abstractNum>
  <w:abstractNum w:abstractNumId="128">
    <w:nsid w:val="78B5E776"/>
    <w:multiLevelType w:val="hybridMultilevel"/>
    <w:lvl w:ilvl="0">
      <w:lvlJc w:val="left"/>
      <w:lvlText w:val="%1."/>
      <w:numFmt w:val="decimal"/>
      <w:start w:val="1"/>
    </w:lvl>
  </w:abstractNum>
  <w:abstractNum w:abstractNumId="129">
    <w:nsid w:val="75486E47"/>
    <w:multiLevelType w:val="hybridMultilevel"/>
    <w:lvl w:ilvl="0">
      <w:lvlJc w:val="left"/>
      <w:lvlText w:val="-"/>
      <w:numFmt w:val="bullet"/>
      <w:start w:val="1"/>
    </w:lvl>
  </w:abstractNum>
  <w:abstractNum w:abstractNumId="130">
    <w:nsid w:val="6E534CDE"/>
    <w:multiLevelType w:val="hybridMultilevel"/>
    <w:lvl w:ilvl="0">
      <w:lvlJc w:val="left"/>
      <w:lvlText w:val="%1."/>
      <w:numFmt w:val="decimal"/>
      <w:start w:val="1"/>
    </w:lvl>
  </w:abstractNum>
  <w:abstractNum w:abstractNumId="131">
    <w:nsid w:val="1A0DDE32"/>
    <w:multiLevelType w:val="hybridMultilevel"/>
    <w:lvl w:ilvl="0">
      <w:lvlJc w:val="left"/>
      <w:lvlText w:val="%1)"/>
      <w:numFmt w:val="upperLetter"/>
      <w:start w:val="35"/>
    </w:lvl>
  </w:abstractNum>
  <w:abstractNum w:abstractNumId="132">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3">
    <w:nsid w:val="46263DE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2"/>
    </w:lvl>
  </w:abstractNum>
  <w:abstractNum w:abstractNumId="134">
    <w:nsid w:val="260D8C4A"/>
    <w:multiLevelType w:val="hybridMultilevel"/>
    <w:lvl w:ilvl="0">
      <w:lvlJc w:val="left"/>
      <w:lvlText w:val="(%1)"/>
      <w:numFmt w:val="decimal"/>
      <w:start w:val="1"/>
    </w:lvl>
  </w:abstractNum>
  <w:abstractNum w:abstractNumId="135">
    <w:nsid w:val="73D4D3C4"/>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136">
    <w:nsid w:val="746F2E30"/>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137">
    <w:nsid w:val="6FDE8AF6"/>
    <w:multiLevelType w:val="hybridMultilevel"/>
    <w:lvl w:ilvl="0">
      <w:lvlJc w:val="left"/>
      <w:lvlText w:val="%1."/>
      <w:numFmt w:val="decimal"/>
      <w:start w:val="1"/>
    </w:lvl>
  </w:abstractNum>
  <w:abstractNum w:abstractNumId="138">
    <w:nsid w:val="3FC32E20"/>
    <w:multiLevelType w:val="hybridMultilevel"/>
    <w:lvl w:ilvl="0">
      <w:lvlJc w:val="left"/>
      <w:lvlText w:val="(%1)"/>
      <w:numFmt w:val="lowerLetter"/>
      <w:start w:val="1"/>
    </w:lvl>
  </w:abstractNum>
  <w:abstractNum w:abstractNumId="139">
    <w:nsid w:val="49C0E823"/>
    <w:multiLevelType w:val="hybridMultilevel"/>
    <w:lvl w:ilvl="0">
      <w:lvlJc w:val="left"/>
      <w:lvlText w:val="(%1)"/>
      <w:numFmt w:val="lowerLetter"/>
      <w:start w:val="4"/>
    </w:lvl>
  </w:abstractNum>
  <w:abstractNum w:abstractNumId="140">
    <w:nsid w:val="14D53685"/>
    <w:multiLevelType w:val="hybridMultilevel"/>
    <w:lvl w:ilvl="0">
      <w:lvlJc w:val="left"/>
      <w:lvlText w:val="(%1)"/>
      <w:numFmt w:val="decimal"/>
      <w:start w:val="1"/>
    </w:lvl>
    <w:lvl w:ilvl="1">
      <w:lvlJc w:val="left"/>
      <w:lvlText w:val="(%2)"/>
      <w:numFmt w:val="lowerRoman"/>
      <w:start w:val="2"/>
    </w:lvl>
  </w:abstractNum>
  <w:abstractNum w:abstractNumId="141">
    <w:nsid w:val="230F856C"/>
    <w:multiLevelType w:val="hybridMultilevel"/>
    <w:lvl w:ilvl="0">
      <w:lvlJc w:val="left"/>
      <w:lvlText w:val="%1."/>
      <w:numFmt w:val="decimal"/>
      <w:start w:val="2"/>
    </w:lvl>
  </w:abstractNum>
  <w:abstractNum w:abstractNumId="142">
    <w:nsid w:val="6EAA85FB"/>
    <w:multiLevelType w:val="hybridMultilevel"/>
    <w:lvl w:ilvl="0">
      <w:lvlJc w:val="left"/>
      <w:lvlText w:val="%1."/>
      <w:numFmt w:val="decimal"/>
      <w:start w:val="4"/>
    </w:lvl>
  </w:abstractNum>
  <w:abstractNum w:abstractNumId="143">
    <w:nsid w:val="3F06ECB2"/>
    <w:multiLevelType w:val="hybridMultilevel"/>
    <w:lvl w:ilvl="0">
      <w:lvlJc w:val="left"/>
      <w:lvlText w:val="%1."/>
      <w:numFmt w:val="decimal"/>
      <w:start w:val="1"/>
    </w:lvl>
  </w:abstractNum>
  <w:abstractNum w:abstractNumId="144">
    <w:nsid w:val="3B594807"/>
    <w:multiLevelType w:val="hybridMultilevel"/>
    <w:lvl w:ilvl="0">
      <w:lvlJc w:val="left"/>
      <w:lvlText w:val="(%1)"/>
      <w:numFmt w:val="lowerLetter"/>
      <w:start w:val="1"/>
    </w:lvl>
  </w:abstractNum>
  <w:abstractNum w:abstractNumId="145">
    <w:nsid w:val="6CAA2304"/>
    <w:multiLevelType w:val="hybridMultilevel"/>
    <w:lvl w:ilvl="0">
      <w:lvlJc w:val="left"/>
      <w:lvlText w:val="(%1)"/>
      <w:numFmt w:val="decimal"/>
      <w:start w:val="1"/>
    </w:lvl>
  </w:abstractNum>
  <w:abstractNum w:abstractNumId="146">
    <w:nsid w:val="3F7C2FF4"/>
    <w:multiLevelType w:val="hybridMultilevel"/>
    <w:lvl w:ilvl="0">
      <w:lvlJc w:val="left"/>
      <w:lvlText w:val="%1."/>
      <w:numFmt w:val="decimal"/>
      <w:start w:val="2"/>
    </w:lvl>
  </w:abstractNum>
  <w:abstractNum w:abstractNumId="147">
    <w:nsid w:val="25413BEC"/>
    <w:multiLevelType w:val="hybridMultilevel"/>
    <w:lvl w:ilvl="0">
      <w:lvlJc w:val="left"/>
      <w:lvlText w:val="%1."/>
      <w:numFmt w:val="decimal"/>
      <w:start w:val="1"/>
    </w:lvl>
    <w:lvl w:ilvl="1">
      <w:lvlJc w:val="left"/>
      <w:lvlText w:val="%2."/>
      <w:numFmt w:val="upperLetter"/>
      <w:start w:val="2"/>
    </w:lvl>
  </w:abstractNum>
  <w:abstractNum w:abstractNumId="148">
    <w:nsid w:val="17180B0B"/>
    <w:multiLevelType w:val="hybridMultilevel"/>
    <w:lvl w:ilvl="0">
      <w:lvlJc w:val="left"/>
      <w:lvlText w:val="-"/>
      <w:numFmt w:val="bullet"/>
      <w:start w:val="1"/>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1."/>
      <w:numFmt w:val="decimal"/>
      <w:start w:val="1"/>
    </w:lvl>
    <w:lvl w:ilvl="1">
      <w:lvlJc w:val="left"/>
      <w:lvlText w:val="%2."/>
      <w:numFmt w:val="lowerLetter"/>
      <w:start w:val="1"/>
    </w:lvl>
  </w:abstractNum>
  <w:abstractNum w:abstractNumId="151">
    <w:nsid w:val="11CCA8BA"/>
    <w:multiLevelType w:val="hybridMultilevel"/>
    <w:lvl w:ilvl="0">
      <w:lvlJc w:val="left"/>
      <w:lvlText w:val="%1."/>
      <w:numFmt w:val="decimal"/>
      <w:start w:val="1"/>
    </w:lvl>
    <w:lvl w:ilvl="1">
      <w:lvlJc w:val="left"/>
      <w:lvlText w:val="%2."/>
      <w:numFmt w:val="lowerLetter"/>
      <w:start w:val="1"/>
    </w:lvl>
  </w:abstractNum>
  <w:abstractNum w:abstractNumId="152">
    <w:nsid w:val="4D32AB86"/>
    <w:multiLevelType w:val="hybridMultilevel"/>
    <w:lvl w:ilvl="0">
      <w:lvlJc w:val="left"/>
      <w:lvlText w:val="%1."/>
      <w:numFmt w:val="decimal"/>
      <w:start w:val="1"/>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
      <w:numFmt w:val="bullet"/>
      <w:start w:val="1"/>
    </w:lvl>
  </w:abstractNum>
  <w:abstractNum w:abstractNumId="155">
    <w:nsid w:val="5CB44A05"/>
    <w:multiLevelType w:val="hybridMultilevel"/>
    <w:lvl w:ilvl="0">
      <w:lvlJc w:val="left"/>
      <w:lvlText w:val="-"/>
      <w:numFmt w:val="bullet"/>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
      <w:numFmt w:val="bullet"/>
      <w:start w:val="1"/>
    </w:lvl>
  </w:abstractNum>
  <w:abstractNum w:abstractNumId="160">
    <w:nsid w:val="11B1CC33"/>
    <w:multiLevelType w:val="hybridMultilevel"/>
    <w:lvl w:ilvl="0">
      <w:lvlJc w:val="left"/>
      <w:lvlText w:val="-"/>
      <w:numFmt w:val="bullet"/>
      <w:start w:val="1"/>
    </w:lvl>
  </w:abstractNum>
  <w:abstractNum w:abstractNumId="161">
    <w:nsid w:val="2E22FBB7"/>
    <w:multiLevelType w:val="hybridMultilevel"/>
    <w:lvl w:ilvl="0">
      <w:lvlJc w:val="left"/>
      <w:lvlText w:val="-"/>
      <w:numFmt w:val="bullet"/>
      <w:start w:val="1"/>
    </w:lvl>
  </w:abstractNum>
  <w:abstractNum w:abstractNumId="162">
    <w:nsid w:val="29934699"/>
    <w:multiLevelType w:val="hybridMultilevel"/>
    <w:lvl w:ilvl="0">
      <w:lvlJc w:val="left"/>
      <w:lvlText w:val="-"/>
      <w:numFmt w:val="bullet"/>
      <w:start w:val="1"/>
    </w:lvl>
  </w:abstractNum>
  <w:abstractNum w:abstractNumId="163">
    <w:nsid w:val="77485850"/>
    <w:multiLevelType w:val="hybridMultilevel"/>
    <w:lvl w:ilvl="0">
      <w:lvlJc w:val="left"/>
      <w:lvlText w:val="-"/>
      <w:numFmt w:val="bullet"/>
      <w:start w:val="1"/>
    </w:lvl>
  </w:abstractNum>
  <w:abstractNum w:abstractNumId="164">
    <w:nsid w:val="744939A3"/>
    <w:multiLevelType w:val="hybridMultilevel"/>
    <w:lvl w:ilvl="0">
      <w:lvlJc w:val="left"/>
      <w:lvlText w:val="-"/>
      <w:numFmt w:val="bullet"/>
      <w:start w:val="1"/>
    </w:lvl>
  </w:abstractNum>
  <w:abstractNum w:abstractNumId="165">
    <w:nsid w:val="4FA0D2E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2019-12-13T04:16:30Z</dcterms:created>
  <dcterms:modified xsi:type="dcterms:W3CDTF">2019-12-13T04:16:30Z</dcterms:modified>
</cp:coreProperties>
</file>