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tbl>
      <w:tblPr>
        <w:tblW w:w="7631" w:type="dxa"/>
        <w:jc w:val="left"/>
        <w:tblInd w:w="0" w:type="dxa"/>
        <w:tblLayout w:type="fixed"/>
        <w:tblCellMar>
          <w:top w:w="28" w:type="dxa"/>
          <w:left w:w="28" w:type="dxa"/>
          <w:bottom w:w="28" w:type="dxa"/>
          <w:right w:w="28" w:type="dxa"/>
        </w:tblCellMar>
      </w:tblPr>
      <w:tblGrid>
        <w:gridCol w:w="124"/>
        <w:gridCol w:w="109"/>
        <w:gridCol w:w="109"/>
        <w:gridCol w:w="2131"/>
        <w:gridCol w:w="2131"/>
        <w:gridCol w:w="3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2025 </w:t>
      </w:r>
    </w:p>
    <w:p>
      <w:pPr>
        <w:pStyle w:val="TextBody"/>
        <w:bidi w:val="0"/>
        <w:spacing w:lineRule="auto" w:line="288" w:before="10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7706" w:type="dxa"/>
        <w:jc w:val="left"/>
        <w:tblInd w:w="0" w:type="dxa"/>
        <w:tblLayout w:type="fixed"/>
        <w:tblCellMar>
          <w:top w:w="28" w:type="dxa"/>
          <w:left w:w="28" w:type="dxa"/>
          <w:bottom w:w="28" w:type="dxa"/>
          <w:right w:w="28" w:type="dxa"/>
        </w:tblCellMar>
      </w:tblPr>
      <w:tblGrid>
        <w:gridCol w:w="124"/>
        <w:gridCol w:w="109"/>
        <w:gridCol w:w="109"/>
        <w:gridCol w:w="2155"/>
        <w:gridCol w:w="2155"/>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 to ______________</w:t>
            </w:r>
          </w:p>
        </w:tc>
      </w:tr>
    </w:tbl>
    <w:p>
      <w:pPr>
        <w:pStyle w:val="TextBody"/>
        <w:bidi w:val="0"/>
        <w:spacing w:lineRule="auto" w:line="288" w:before="0" w:after="100"/>
        <w:jc w:val="center"/>
        <w:rPr/>
      </w:pPr>
      <w:r>
        <w:rPr>
          <w:rFonts w:ascii="Times New Roman;sans-serif" w:hAnsi="Times New Roman;sans-serif"/>
          <w:b w:val="false"/>
          <w:color w:val="000000"/>
          <w:sz w:val="20"/>
        </w:rPr>
        <w:t xml:space="preserve">Commission File Number </w:t>
      </w:r>
      <w:r>
        <w:rPr>
          <w:rFonts w:ascii="Times New Roman;sans-serif" w:hAnsi="Times New Roman;sans-serif"/>
          <w:b/>
          <w:color w:val="000000"/>
          <w:sz w:val="20"/>
        </w:rPr>
        <w:t>1-3548</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ALLETE, Inc. </w:t>
      </w:r>
    </w:p>
    <w:p>
      <w:pPr>
        <w:pStyle w:val="TextBody"/>
        <w:bidi w:val="0"/>
        <w:spacing w:lineRule="auto" w:line="288" w:before="0" w:after="100"/>
        <w:ind w:left="0" w:right="0" w:firstLine="45"/>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187"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845"/>
        <w:gridCol w:w="845"/>
        <w:gridCol w:w="1205"/>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Minnesota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41-0418150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 West Superior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Duluth, Minnesota 55802-2093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(218) 279-5000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84" w:type="dxa"/>
        <w:jc w:val="center"/>
        <w:tblInd w:w="0" w:type="dxa"/>
        <w:tblLayout w:type="fixed"/>
        <w:tblCellMar>
          <w:top w:w="28" w:type="dxa"/>
          <w:left w:w="28" w:type="dxa"/>
          <w:bottom w:w="28" w:type="dxa"/>
          <w:right w:w="28" w:type="dxa"/>
        </w:tblCellMar>
      </w:tblPr>
      <w:tblGrid>
        <w:gridCol w:w="1081"/>
        <w:gridCol w:w="946"/>
        <w:gridCol w:w="958"/>
        <w:gridCol w:w="464"/>
        <w:gridCol w:w="464"/>
        <w:gridCol w:w="466"/>
        <w:gridCol w:w="1085"/>
        <w:gridCol w:w="1085"/>
        <w:gridCol w:w="1535"/>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without par value</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ALE</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No</w:t>
      </w:r>
    </w:p>
    <w:p>
      <w:pPr>
        <w:pStyle w:val="TextBody"/>
        <w:bidi w:val="0"/>
        <w:spacing w:before="0" w:after="0"/>
        <w:jc w:val="left"/>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Large Accelerated Filer    </w:t>
      </w:r>
      <w:r>
        <w:rPr>
          <w:color w:val="000000"/>
        </w:rPr>
        <w:t xml:space="preserve">☒             </w:t>
      </w:r>
      <w:r>
        <w:rPr>
          <w:rFonts w:ascii="Times New Roman;sans-serif" w:hAnsi="Times New Roman;sans-serif"/>
          <w:b w:val="false"/>
          <w:color w:val="000000"/>
          <w:sz w:val="20"/>
        </w:rPr>
        <w:t>Accelerated Filer    </w:t>
      </w:r>
      <w:r>
        <w:rPr>
          <w:color w:val="000000"/>
        </w:rPr>
        <w:t>☐</w:t>
      </w:r>
    </w:p>
    <w:p>
      <w:pPr>
        <w:pStyle w:val="TextBody"/>
        <w:bidi w:val="0"/>
        <w:spacing w:lineRule="auto" w:line="288" w:before="0" w:after="0"/>
        <w:jc w:val="both"/>
        <w:rPr/>
      </w:pPr>
      <w:r>
        <w:rPr>
          <w:color w:val="000000"/>
        </w:rPr>
        <w:t xml:space="preserve">         </w:t>
      </w:r>
      <w:r>
        <w:rPr>
          <w:rFonts w:ascii="Times New Roman;sans-serif" w:hAnsi="Times New Roman;sans-serif"/>
          <w:b w:val="false"/>
          <w:color w:val="000000"/>
          <w:sz w:val="20"/>
        </w:rPr>
        <w:t>Non-Accelerated Filer    </w:t>
      </w:r>
      <w:r>
        <w:rPr>
          <w:color w:val="000000"/>
        </w:rPr>
        <w:t xml:space="preserve">☐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120"/>
        <w:jc w:val="both"/>
        <w:rPr/>
      </w:pPr>
      <w:r>
        <w:rPr>
          <w:color w:val="000000"/>
        </w:rPr>
        <w:t xml:space="preserve">                             </w:t>
      </w:r>
      <w:r>
        <w:rPr>
          <w:rFonts w:ascii="Times New Roman;sans-serif" w:hAnsi="Times New Roman;sans-serif"/>
          <w:b w:val="false"/>
          <w:color w:val="000000"/>
          <w:sz w:val="20"/>
        </w:rPr>
        <w:t>Emerging Growth Company    </w:t>
      </w: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xml:space="preserve">☐ </w:t>
      </w:r>
      <w:r>
        <w:rPr>
          <w:rFonts w:ascii="Times New Roman;sans-serif" w:hAnsi="Times New Roman;sans-serif"/>
          <w:b w:val="false"/>
          <w:color w:val="000000"/>
          <w:sz w:val="20"/>
        </w:rPr>
        <w:t>Yes   </w:t>
      </w:r>
      <w:r>
        <w:rPr>
          <w:color w:val="000000"/>
        </w:rPr>
        <w:t xml:space="preserve">☒ </w:t>
      </w:r>
      <w:r>
        <w:rPr>
          <w:rFonts w:ascii="Times New Roman;sans-serif" w:hAnsi="Times New Roman;sans-serif"/>
          <w:b w:val="false"/>
          <w:color w:val="000000"/>
          <w:sz w:val="20"/>
        </w:rPr>
        <w:t xml:space="preserve">No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57,963,812 shares outstanding</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9506" w:type="dxa"/>
        <w:jc w:val="left"/>
        <w:tblInd w:w="0" w:type="dxa"/>
        <w:tblLayout w:type="fixed"/>
        <w:tblCellMar>
          <w:top w:w="28" w:type="dxa"/>
          <w:left w:w="28" w:type="dxa"/>
          <w:bottom w:w="28" w:type="dxa"/>
          <w:right w:w="28" w:type="dxa"/>
        </w:tblCellMar>
      </w:tblPr>
      <w:tblGrid>
        <w:gridCol w:w="305"/>
        <w:gridCol w:w="269"/>
        <w:gridCol w:w="269"/>
        <w:gridCol w:w="309"/>
        <w:gridCol w:w="309"/>
        <w:gridCol w:w="309"/>
        <w:gridCol w:w="2397"/>
        <w:gridCol w:w="2397"/>
        <w:gridCol w:w="2570"/>
        <w:gridCol w:w="109"/>
        <w:gridCol w:w="109"/>
        <w:gridCol w:w="154"/>
      </w:tblGrid>
      <w:tr>
        <w:trPr/>
        <w:tc>
          <w:tcPr>
            <w:tcW w:w="30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0">
              <w:r>
                <w:rPr>
                  <w:rStyle w:val="InternetLink"/>
                  <w:rFonts w:ascii="Times New Roman;sans-serif" w:hAnsi="Times New Roman;sans-serif"/>
                  <w:b w:val="false"/>
                  <w:color w:val="0000FF"/>
                  <w:sz w:val="20"/>
                  <w:u w:val="single"/>
                </w:rPr>
                <w:t>Definitions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0">
              <w:r>
                <w:rPr>
                  <w:rStyle w:val="InternetLink"/>
                  <w:rFonts w:ascii="Times New Roman;sans-serif" w:hAnsi="Times New Roman;sans-serif"/>
                  <w:b w:val="false"/>
                  <w:color w:val="0000FF"/>
                  <w:sz w:val="20"/>
                  <w:u w:val="single"/>
                </w:rPr>
                <w:t>3</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3">
              <w:r>
                <w:rPr>
                  <w:rStyle w:val="InternetLink"/>
                  <w:rFonts w:ascii="Times New Roman;sans-serif" w:hAnsi="Times New Roman;sans-serif"/>
                  <w:b w:val="false"/>
                  <w:color w:val="0000FF"/>
                  <w:sz w:val="20"/>
                  <w:u w:val="single"/>
                </w:rPr>
                <w:t>Forward-Looking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3">
              <w:r>
                <w:rPr>
                  <w:rStyle w:val="InternetLink"/>
                  <w:rFonts w:ascii="Times New Roman;sans-serif" w:hAnsi="Times New Roman;sans-serif"/>
                  <w:b w:val="false"/>
                  <w:color w:val="0000FF"/>
                  <w:sz w:val="20"/>
                  <w:u w:val="single"/>
                </w:rPr>
                <w:t>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6">
              <w:r>
                <w:rPr>
                  <w:rStyle w:val="InternetLink"/>
                  <w:rFonts w:ascii="Times New Roman;sans-serif" w:hAnsi="Times New Roman;sans-serif"/>
                  <w:b w:val="false"/>
                  <w:color w:val="0000FF"/>
                  <w:sz w:val="20"/>
                  <w:u w:val="single"/>
                </w:rPr>
                <w:t>Part I.</w:t>
              </w:r>
            </w:hyperlink>
          </w:p>
        </w:tc>
        <w:tc>
          <w:tcPr>
            <w:tcW w:w="8291"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6">
              <w:r>
                <w:rPr>
                  <w:rStyle w:val="InternetLink"/>
                  <w:rFonts w:ascii="Times New Roman;sans-serif" w:hAnsi="Times New Roman;sans-serif"/>
                  <w:b w:val="false"/>
                  <w:color w:val="0000FF"/>
                  <w:sz w:val="20"/>
                  <w:u w:val="single"/>
                </w:rPr>
                <w:t>Financial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
              <w:r>
                <w:rPr>
                  <w:rStyle w:val="InternetLink"/>
                  <w:rFonts w:ascii="Times New Roman;sans-serif" w:hAnsi="Times New Roman;sans-serif"/>
                  <w:b w:val="false"/>
                  <w:color w:val="0000FF"/>
                  <w:sz w:val="20"/>
                  <w:u w:val="single"/>
                </w:rPr>
                <w:t>Consolidated Financial Statements - Unaudited</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9">
              <w:r>
                <w:rPr>
                  <w:rStyle w:val="InternetLink"/>
                  <w:rFonts w:ascii="Times New Roman;sans-serif" w:hAnsi="Times New Roman;sans-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2">
              <w:r>
                <w:rPr>
                  <w:rStyle w:val="InternetLink"/>
                  <w:rFonts w:ascii="Times New Roman;sans-serif" w:hAnsi="Times New Roman;sans-serif"/>
                  <w:b w:val="false"/>
                  <w:color w:val="0000FF"/>
                  <w:sz w:val="20"/>
                  <w:u w:val="single"/>
                </w:rPr>
                <w:t>Consolidated Balance Sheet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2">
              <w:r>
                <w:rPr>
                  <w:rStyle w:val="InternetLink"/>
                  <w:rFonts w:ascii="Times New Roman;sans-serif" w:hAnsi="Times New Roman;sans-serif"/>
                  <w:b w:val="false"/>
                  <w:color w:val="0000FF"/>
                  <w:sz w:val="20"/>
                  <w:u w:val="single"/>
                </w:rPr>
                <w:t>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5">
              <w:r>
                <w:rPr>
                  <w:rStyle w:val="InternetLink"/>
                  <w:rFonts w:ascii="Times New Roman;sans-serif" w:hAnsi="Times New Roman;sans-serif"/>
                  <w:b w:val="false"/>
                  <w:color w:val="0000FF"/>
                  <w:sz w:val="20"/>
                  <w:u w:val="single"/>
                </w:rPr>
                <w:t>Consolidated Statement of 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5">
              <w:r>
                <w:rPr>
                  <w:rStyle w:val="InternetLink"/>
                  <w:rFonts w:ascii="Times New Roman;sans-serif" w:hAnsi="Times New Roman;sans-serif"/>
                  <w:b w:val="false"/>
                  <w:color w:val="0000FF"/>
                  <w:sz w:val="20"/>
                  <w:u w:val="single"/>
                </w:rPr>
                <w:t>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8">
              <w:r>
                <w:rPr>
                  <w:rStyle w:val="InternetLink"/>
                  <w:rFonts w:ascii="Times New Roman;sans-serif" w:hAnsi="Times New Roman;sans-serif"/>
                  <w:b w:val="false"/>
                  <w:color w:val="0000FF"/>
                  <w:sz w:val="20"/>
                  <w:u w:val="single"/>
                </w:rPr>
                <w:t>Consolidated Statement of Comprehensive Income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8">
              <w:r>
                <w:rPr>
                  <w:rStyle w:val="InternetLink"/>
                  <w:rFonts w:ascii="Times New Roman;sans-serif" w:hAnsi="Times New Roman;sans-serif"/>
                  <w:b w:val="false"/>
                  <w:color w:val="0000FF"/>
                  <w:sz w:val="20"/>
                  <w:u w:val="single"/>
                </w:rPr>
                <w:t>9</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31">
              <w:r>
                <w:rPr>
                  <w:rStyle w:val="InternetLink"/>
                  <w:rFonts w:ascii="Times New Roman;sans-serif" w:hAnsi="Times New Roman;sans-serif"/>
                  <w:b w:val="false"/>
                  <w:color w:val="0000FF"/>
                  <w:sz w:val="20"/>
                  <w:u w:val="single"/>
                </w:rPr>
                <w:t>Consolidated Statement of Cash Flows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31">
              <w:r>
                <w:rPr>
                  <w:rStyle w:val="InternetLink"/>
                  <w:rFonts w:ascii="Times New Roman;sans-serif" w:hAnsi="Times New Roman;sans-serif"/>
                  <w:b w:val="false"/>
                  <w:color w:val="0000FF"/>
                  <w:sz w:val="20"/>
                  <w:u w:val="single"/>
                </w:rPr>
                <w:t>10</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34">
              <w:r>
                <w:rPr>
                  <w:rStyle w:val="InternetLink"/>
                  <w:rFonts w:ascii="Times New Roman;sans-serif" w:hAnsi="Times New Roman;sans-serif"/>
                  <w:b w:val="false"/>
                  <w:color w:val="0000FF"/>
                  <w:sz w:val="20"/>
                  <w:u w:val="single"/>
                </w:rPr>
                <w:t>Consolidated Statement of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34">
              <w:r>
                <w:rPr>
                  <w:rStyle w:val="InternetLink"/>
                  <w:rFonts w:ascii="Times New Roman;sans-serif" w:hAnsi="Times New Roman;sans-serif"/>
                  <w:b w:val="false"/>
                  <w:color w:val="0000FF"/>
                  <w:sz w:val="20"/>
                  <w:u w:val="single"/>
                </w:rPr>
                <w:t>11</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37">
              <w:r>
                <w:rPr>
                  <w:rStyle w:val="InternetLink"/>
                  <w:rFonts w:ascii="Times New Roman;sans-serif" w:hAnsi="Times New Roman;sans-serif"/>
                  <w:b w:val="false"/>
                  <w:color w:val="0000FF"/>
                  <w:sz w:val="20"/>
                  <w:u w:val="single"/>
                </w:rPr>
                <w:t>Notes to Consolidated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37">
              <w:r>
                <w:rPr>
                  <w:rStyle w:val="InternetLink"/>
                  <w:rFonts w:ascii="Times New Roman;sans-serif" w:hAnsi="Times New Roman;sans-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40">
              <w:r>
                <w:rPr>
                  <w:rStyle w:val="InternetLink"/>
                  <w:rFonts w:ascii="Times New Roman;sans-serif" w:hAnsi="Times New Roman;sans-serif"/>
                  <w:b w:val="false"/>
                  <w:color w:val="0000FF"/>
                  <w:sz w:val="20"/>
                  <w:u w:val="single"/>
                </w:rPr>
                <w:t>Note 1. Operations and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40">
              <w:r>
                <w:rPr>
                  <w:rStyle w:val="InternetLink"/>
                  <w:rFonts w:ascii="Times New Roman;sans-serif" w:hAnsi="Times New Roman;sans-serif"/>
                  <w:b w:val="false"/>
                  <w:color w:val="0000FF"/>
                  <w:sz w:val="20"/>
                  <w:u w:val="single"/>
                </w:rPr>
                <w:t>12</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46">
              <w:r>
                <w:rPr>
                  <w:rStyle w:val="InternetLink"/>
                  <w:rFonts w:ascii="Times New Roman;sans-serif" w:hAnsi="Times New Roman;sans-serif"/>
                  <w:b w:val="false"/>
                  <w:color w:val="0000FF"/>
                  <w:sz w:val="20"/>
                  <w:u w:val="single"/>
                </w:rPr>
                <w:t>Note 2. Regulatory Matters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46">
              <w:r>
                <w:rPr>
                  <w:rStyle w:val="InternetLink"/>
                  <w:rFonts w:ascii="Times New Roman;sans-serif" w:hAnsi="Times New Roman;sans-serif"/>
                  <w:b w:val="false"/>
                  <w:color w:val="0000FF"/>
                  <w:sz w:val="20"/>
                  <w:u w:val="single"/>
                </w:rPr>
                <w:t>15</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52">
              <w:r>
                <w:rPr>
                  <w:rStyle w:val="InternetLink"/>
                  <w:rFonts w:ascii="Times New Roman;sans-serif" w:hAnsi="Times New Roman;sans-serif"/>
                  <w:b w:val="false"/>
                  <w:color w:val="0000FF"/>
                  <w:sz w:val="20"/>
                  <w:u w:val="single"/>
                </w:rPr>
                <w:t>Note 3. Equity Investments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52">
              <w:r>
                <w:rPr>
                  <w:rStyle w:val="InternetLink"/>
                  <w:rFonts w:ascii="Times New Roman;sans-serif" w:hAnsi="Times New Roman;sans-serif"/>
                  <w:b w:val="false"/>
                  <w:color w:val="0000FF"/>
                  <w:sz w:val="20"/>
                  <w:u w:val="single"/>
                </w:rPr>
                <w:t>17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55">
              <w:r>
                <w:rPr>
                  <w:rStyle w:val="InternetLink"/>
                  <w:rFonts w:ascii="Times New Roman;sans-serif" w:hAnsi="Times New Roman;sans-serif"/>
                  <w:b w:val="false"/>
                  <w:color w:val="0000FF"/>
                  <w:sz w:val="20"/>
                  <w:u w:val="single"/>
                </w:rPr>
                <w:t>Note 4. Fair Value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55">
              <w:r>
                <w:rPr>
                  <w:rStyle w:val="InternetLink"/>
                  <w:rFonts w:ascii="Times New Roman;sans-serif" w:hAnsi="Times New Roman;sans-serif"/>
                  <w:b w:val="false"/>
                  <w:color w:val="0000FF"/>
                  <w:sz w:val="20"/>
                  <w:u w:val="single"/>
                </w:rPr>
                <w:t>18</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58">
              <w:r>
                <w:rPr>
                  <w:rStyle w:val="InternetLink"/>
                  <w:rFonts w:ascii="Times New Roman;sans-serif" w:hAnsi="Times New Roman;sans-serif"/>
                  <w:b w:val="false"/>
                  <w:color w:val="0000FF"/>
                  <w:sz w:val="20"/>
                  <w:u w:val="single"/>
                </w:rPr>
                <w:t>Note 5. Short-Term and Long-Term Debt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58">
              <w:r>
                <w:rPr>
                  <w:rStyle w:val="InternetLink"/>
                  <w:rFonts w:ascii="Times New Roman;sans-serif" w:hAnsi="Times New Roman;sans-serif"/>
                  <w:b w:val="false"/>
                  <w:color w:val="0000FF"/>
                  <w:sz w:val="20"/>
                  <w:u w:val="single"/>
                </w:rPr>
                <w:t>20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61">
              <w:r>
                <w:rPr>
                  <w:rStyle w:val="InternetLink"/>
                  <w:rFonts w:ascii="Times New Roman;sans-serif" w:hAnsi="Times New Roman;sans-serif"/>
                  <w:b w:val="false"/>
                  <w:color w:val="0000FF"/>
                  <w:sz w:val="20"/>
                  <w:u w:val="single"/>
                </w:rPr>
                <w:t>Note 6. Commitments, Guarantees and Contingencies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61">
              <w:r>
                <w:rPr>
                  <w:rStyle w:val="InternetLink"/>
                  <w:rFonts w:ascii="Times New Roman;sans-serif" w:hAnsi="Times New Roman;sans-serif"/>
                  <w:b w:val="false"/>
                  <w:color w:val="0000FF"/>
                  <w:sz w:val="20"/>
                  <w:u w:val="single"/>
                </w:rPr>
                <w:t>21</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82">
              <w:r>
                <w:rPr>
                  <w:rStyle w:val="InternetLink"/>
                  <w:rFonts w:ascii="Times New Roman;sans-serif" w:hAnsi="Times New Roman;sans-serif"/>
                  <w:b w:val="false"/>
                  <w:color w:val="0000FF"/>
                  <w:sz w:val="20"/>
                  <w:u w:val="single"/>
                </w:rPr>
                <w:t>Note 7. Earnings Per Share and Common Stock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82">
              <w:r>
                <w:rPr>
                  <w:rStyle w:val="InternetLink"/>
                  <w:rFonts w:ascii="Times New Roman;sans-serif" w:hAnsi="Times New Roman;sans-serif"/>
                  <w:b w:val="false"/>
                  <w:color w:val="0000FF"/>
                  <w:sz w:val="20"/>
                  <w:u w:val="single"/>
                </w:rPr>
                <w:t>28</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85">
              <w:r>
                <w:rPr>
                  <w:rStyle w:val="InternetLink"/>
                  <w:rFonts w:ascii="Times New Roman;sans-serif" w:hAnsi="Times New Roman;sans-serif"/>
                  <w:b w:val="false"/>
                  <w:color w:val="0000FF"/>
                  <w:sz w:val="20"/>
                  <w:u w:val="single"/>
                </w:rPr>
                <w:t>Note 8. Income Tax Expense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85">
              <w:r>
                <w:rPr>
                  <w:rStyle w:val="InternetLink"/>
                  <w:rFonts w:ascii="Times New Roman;sans-serif" w:hAnsi="Times New Roman;sans-serif"/>
                  <w:b w:val="false"/>
                  <w:color w:val="0000FF"/>
                  <w:sz w:val="20"/>
                  <w:u w:val="single"/>
                </w:rPr>
                <w:t>28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88">
              <w:r>
                <w:rPr>
                  <w:rStyle w:val="InternetLink"/>
                  <w:rFonts w:ascii="Times New Roman;sans-serif" w:hAnsi="Times New Roman;sans-serif"/>
                  <w:b w:val="false"/>
                  <w:color w:val="0000FF"/>
                  <w:sz w:val="20"/>
                  <w:u w:val="single"/>
                </w:rPr>
                <w:t>Note 9. Pension and Other Postretirement Benefit Plans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88">
              <w:r>
                <w:rPr>
                  <w:rStyle w:val="InternetLink"/>
                  <w:rFonts w:ascii="Times New Roman;sans-serif" w:hAnsi="Times New Roman;sans-serif"/>
                  <w:b w:val="false"/>
                  <w:color w:val="0000FF"/>
                  <w:sz w:val="20"/>
                  <w:u w:val="single"/>
                </w:rPr>
                <w:t>30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91">
              <w:r>
                <w:rPr>
                  <w:rStyle w:val="InternetLink"/>
                  <w:rFonts w:ascii="Times New Roman;sans-serif" w:hAnsi="Times New Roman;sans-serif"/>
                  <w:b w:val="false"/>
                  <w:color w:val="0000FF"/>
                  <w:sz w:val="20"/>
                  <w:u w:val="single"/>
                </w:rPr>
                <w:t>Note 10. Business Segments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91">
              <w:r>
                <w:rPr>
                  <w:rStyle w:val="InternetLink"/>
                  <w:rFonts w:ascii="Times New Roman;sans-serif" w:hAnsi="Times New Roman;sans-serif"/>
                  <w:b w:val="false"/>
                  <w:color w:val="0000FF"/>
                  <w:sz w:val="20"/>
                  <w:u w:val="single"/>
                </w:rPr>
                <w:t>30</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94">
              <w:r>
                <w:rPr>
                  <w:rStyle w:val="InternetLink"/>
                  <w:rFonts w:ascii="Times New Roman;sans-serif" w:hAnsi="Times New Roman;sans-serif"/>
                  <w:b w:val="false"/>
                  <w:color w:val="0000FF"/>
                  <w:sz w:val="20"/>
                  <w:u w:val="single"/>
                </w:rPr>
                <w:t>Note 11. Agreement and Plan of Merger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94">
              <w:r>
                <w:rPr>
                  <w:rStyle w:val="InternetLink"/>
                  <w:rFonts w:ascii="Times New Roman;sans-serif" w:hAnsi="Times New Roman;sans-serif"/>
                  <w:b w:val="false"/>
                  <w:color w:val="0000FF"/>
                  <w:sz w:val="20"/>
                  <w:u w:val="single"/>
                </w:rPr>
                <w:t>33</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09">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0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09">
              <w:r>
                <w:rPr>
                  <w:rStyle w:val="InternetLink"/>
                  <w:rFonts w:ascii="Times New Roman;sans-serif" w:hAnsi="Times New Roman;sans-serif"/>
                  <w:b w:val="false"/>
                  <w:color w:val="0000FF"/>
                  <w:sz w:val="20"/>
                  <w:u w:val="single"/>
                </w:rPr>
                <w:t>34</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27">
              <w:r>
                <w:rPr>
                  <w:rStyle w:val="InternetLink"/>
                  <w:rFonts w:ascii="Times New Roman;sans-serif" w:hAnsi="Times New Roman;sans-serif"/>
                  <w:b w:val="false"/>
                  <w:color w:val="0000FF"/>
                  <w:sz w:val="20"/>
                  <w:u w:val="single"/>
                </w:rPr>
                <w:t>Comparison of the Three Months Ended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27">
              <w:r>
                <w:rPr>
                  <w:rStyle w:val="InternetLink"/>
                  <w:rFonts w:ascii="Times New Roman;sans-serif" w:hAnsi="Times New Roman;sans-serif"/>
                  <w:b w:val="false"/>
                  <w:color w:val="0000FF"/>
                  <w:sz w:val="20"/>
                  <w:u w:val="single"/>
                </w:rPr>
                <w:t>36</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42">
              <w:r>
                <w:rPr>
                  <w:rStyle w:val="InternetLink"/>
                  <w:rFonts w:ascii="Times New Roman;sans-serif" w:hAnsi="Times New Roman;sans-serif"/>
                  <w:b w:val="false"/>
                  <w:color w:val="0000FF"/>
                  <w:sz w:val="20"/>
                  <w:u w:val="single"/>
                </w:rPr>
                <w:t>Critical Accounting Policies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42">
              <w:r>
                <w:rPr>
                  <w:rStyle w:val="InternetLink"/>
                  <w:rFonts w:ascii="Times New Roman;sans-serif" w:hAnsi="Times New Roman;sans-serif"/>
                  <w:b w:val="false"/>
                  <w:color w:val="0000FF"/>
                  <w:sz w:val="20"/>
                  <w:u w:val="single"/>
                </w:rPr>
                <w:t>39</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45">
              <w:r>
                <w:rPr>
                  <w:rStyle w:val="InternetLink"/>
                  <w:rFonts w:ascii="Times New Roman;sans-serif" w:hAnsi="Times New Roman;sans-serif"/>
                  <w:b w:val="false"/>
                  <w:color w:val="0000FF"/>
                  <w:sz w:val="20"/>
                  <w:u w:val="single"/>
                </w:rPr>
                <w:t>Outlook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45">
              <w:r>
                <w:rPr>
                  <w:rStyle w:val="InternetLink"/>
                  <w:rFonts w:ascii="Times New Roman;sans-serif" w:hAnsi="Times New Roman;sans-serif"/>
                  <w:b w:val="false"/>
                  <w:color w:val="0000FF"/>
                  <w:sz w:val="20"/>
                  <w:u w:val="single"/>
                </w:rPr>
                <w:t>40</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72">
              <w:r>
                <w:rPr>
                  <w:rStyle w:val="InternetLink"/>
                  <w:rFonts w:ascii="Times New Roman;sans-serif" w:hAnsi="Times New Roman;sans-serif"/>
                  <w:b w:val="false"/>
                  <w:color w:val="0000FF"/>
                  <w:sz w:val="20"/>
                  <w:u w:val="single"/>
                </w:rPr>
                <w:t>Liquidity and Capital Resources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72">
              <w:r>
                <w:rPr>
                  <w:rStyle w:val="InternetLink"/>
                  <w:rFonts w:ascii="Times New Roman;sans-serif" w:hAnsi="Times New Roman;sans-serif"/>
                  <w:b w:val="false"/>
                  <w:color w:val="0000FF"/>
                  <w:sz w:val="20"/>
                  <w:u w:val="single"/>
                </w:rPr>
                <w:t>43</w:t>
              </w:r>
            </w:hyperlink>
          </w:p>
        </w:tc>
      </w:tr>
      <w:tr>
        <w:trPr/>
        <w:tc>
          <w:tcPr>
            <w:tcW w:w="8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75">
              <w:r>
                <w:rPr>
                  <w:rStyle w:val="InternetLink"/>
                  <w:rFonts w:ascii="Times New Roman;sans-serif" w:hAnsi="Times New Roman;sans-serif"/>
                  <w:b w:val="false"/>
                  <w:color w:val="0000FF"/>
                  <w:sz w:val="20"/>
                  <w:u w:val="single"/>
                </w:rPr>
                <w:t>Other</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75">
              <w:r>
                <w:rPr>
                  <w:rStyle w:val="InternetLink"/>
                  <w:rFonts w:ascii="Times New Roman;sans-serif" w:hAnsi="Times New Roman;sans-serif"/>
                  <w:b w:val="false"/>
                  <w:color w:val="0000FF"/>
                  <w:sz w:val="20"/>
                  <w:u w:val="single"/>
                </w:rPr>
                <w:t>45</w:t>
              </w:r>
            </w:hyperlink>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78">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78">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78">
              <w:r>
                <w:rPr>
                  <w:rStyle w:val="InternetLink"/>
                  <w:rFonts w:ascii="Times New Roman;sans-serif" w:hAnsi="Times New Roman;sans-serif"/>
                  <w:b w:val="false"/>
                  <w:color w:val="0000FF"/>
                  <w:sz w:val="20"/>
                  <w:u w:val="single"/>
                </w:rPr>
                <w:t>46</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1">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1">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81">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4">
              <w:r>
                <w:rPr>
                  <w:rStyle w:val="InternetLink"/>
                  <w:rFonts w:ascii="Times New Roman;sans-serif" w:hAnsi="Times New Roman;sans-serif"/>
                  <w:b w:val="false"/>
                  <w:color w:val="0000FF"/>
                  <w:sz w:val="20"/>
                  <w:u w:val="single"/>
                </w:rPr>
                <w:t>Part II.</w:t>
              </w:r>
            </w:hyperlink>
          </w:p>
        </w:tc>
        <w:tc>
          <w:tcPr>
            <w:tcW w:w="8291"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4">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7">
              <w:r>
                <w:rPr>
                  <w:rStyle w:val="InternetLink"/>
                  <w:rFonts w:ascii="Times New Roman;sans-serif" w:hAnsi="Times New Roman;sans-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87">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87">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0">
              <w:r>
                <w:rPr>
                  <w:rStyle w:val="InternetLink"/>
                  <w:rFonts w:ascii="Times New Roman;sans-serif" w:hAnsi="Times New Roman;sans-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0">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90">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3">
              <w:r>
                <w:rPr>
                  <w:rStyle w:val="InternetLink"/>
                  <w:rFonts w:ascii="Times New Roman;sans-serif" w:hAnsi="Times New Roman;sans-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3">
              <w:r>
                <w:rPr>
                  <w:rStyle w:val="InternetLink"/>
                  <w:rFonts w:ascii="Times New Roman;sans-serif" w:hAnsi="Times New Roman;sans-serif"/>
                  <w:b w:val="false"/>
                  <w:color w:val="0000FF"/>
                  <w:sz w:val="20"/>
                  <w:u w:val="single"/>
                </w:rPr>
                <w:t>Unregistered Sales of Equity Securities and Use of Proceeds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93">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6">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6">
              <w:r>
                <w:rPr>
                  <w:rStyle w:val="InternetLink"/>
                  <w:rFonts w:ascii="Times New Roman;sans-serif" w:hAnsi="Times New Roman;sans-serif"/>
                  <w:b w:val="false"/>
                  <w:color w:val="0000FF"/>
                  <w:sz w:val="20"/>
                  <w:u w:val="single"/>
                </w:rPr>
                <w:t>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96">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9">
              <w:r>
                <w:rPr>
                  <w:rStyle w:val="InternetLink"/>
                  <w:rFonts w:ascii="Times New Roman;sans-serif" w:hAnsi="Times New Roman;sans-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199">
              <w:r>
                <w:rPr>
                  <w:rStyle w:val="InternetLink"/>
                  <w:rFonts w:ascii="Times New Roman;sans-serif" w:hAnsi="Times New Roman;sans-serif"/>
                  <w:b w:val="false"/>
                  <w:color w:val="0000FF"/>
                  <w:sz w:val="20"/>
                  <w:u w:val="single"/>
                </w:rPr>
                <w:t>Mine Safety Disclosures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199">
              <w:r>
                <w:rPr>
                  <w:rStyle w:val="InternetLink"/>
                  <w:rFonts w:ascii="Times New Roman;sans-serif" w:hAnsi="Times New Roman;sans-serif"/>
                  <w:b w:val="false"/>
                  <w:color w:val="0000FF"/>
                  <w:sz w:val="20"/>
                  <w:u w:val="single"/>
                </w:rPr>
                <w:t>47</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02">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02">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02">
              <w:r>
                <w:rPr>
                  <w:rStyle w:val="InternetLink"/>
                  <w:rFonts w:ascii="Times New Roman;sans-serif" w:hAnsi="Times New Roman;sans-serif"/>
                  <w:b w:val="false"/>
                  <w:color w:val="0000FF"/>
                  <w:sz w:val="20"/>
                  <w:u w:val="single"/>
                </w:rPr>
                <w:t>48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08">
              <w:r>
                <w:rPr>
                  <w:rStyle w:val="InternetLink"/>
                  <w:rFonts w:ascii="Times New Roman;sans-serif" w:hAnsi="Times New Roman;sans-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08">
              <w:r>
                <w:rPr>
                  <w:rStyle w:val="InternetLink"/>
                  <w:rFonts w:ascii="Times New Roman;sans-serif" w:hAnsi="Times New Roman;sans-serif"/>
                  <w:b w:val="false"/>
                  <w:color w:val="0000FF"/>
                  <w:sz w:val="20"/>
                  <w:u w:val="single"/>
                </w:rPr>
                <w:t>Exhibits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08">
              <w:r>
                <w:rPr>
                  <w:rStyle w:val="InternetLink"/>
                  <w:rFonts w:ascii="Times New Roman;sans-serif" w:hAnsi="Times New Roman;sans-serif"/>
                  <w:b w:val="false"/>
                  <w:color w:val="0000FF"/>
                  <w:sz w:val="20"/>
                  <w:u w:val="single"/>
                </w:rPr>
                <w:t>48</w:t>
              </w:r>
            </w:hyperlink>
          </w:p>
        </w:tc>
      </w:tr>
      <w:tr>
        <w:trPr/>
        <w:tc>
          <w:tcPr>
            <w:tcW w:w="843"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13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84c0ae40cb1a40a280d3a826844b66ef_211">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84c0ae40cb1a40a280d3a826844b66ef_211">
              <w:r>
                <w:rPr>
                  <w:rStyle w:val="InternetLink"/>
                  <w:rFonts w:ascii="Times New Roman;sans-serif" w:hAnsi="Times New Roman;sans-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6540"/>
                <wp:effectExtent l="0" t="0" r="0" b="0"/>
                <wp:wrapNone/>
                <wp:docPr id="2" name="Frame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abbreviations or acronyms are used in the text. References in this report to “we,” “us” and “our” are to ALLETE, Inc., and its subsidiaries, collectively.</w:t>
      </w:r>
    </w:p>
    <w:tbl>
      <w:tblPr>
        <w:tblW w:w="10205" w:type="dxa"/>
        <w:jc w:val="left"/>
        <w:tblInd w:w="0" w:type="dxa"/>
        <w:tblLayout w:type="fixed"/>
        <w:tblCellMar>
          <w:top w:w="28" w:type="dxa"/>
          <w:left w:w="28" w:type="dxa"/>
          <w:bottom w:w="28" w:type="dxa"/>
          <w:right w:w="28" w:type="dxa"/>
        </w:tblCellMar>
      </w:tblPr>
      <w:tblGrid>
        <w:gridCol w:w="585"/>
        <w:gridCol w:w="515"/>
        <w:gridCol w:w="516"/>
        <w:gridCol w:w="2652"/>
        <w:gridCol w:w="2437"/>
        <w:gridCol w:w="3500"/>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3500"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Allowance for Funds Used During Construction – the cost of both debt and equity funds used to finance regulated utility plant additions during construction periods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 Inc. and its subsidiaries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 LLC and its subsidiaries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South Wind, LLC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Transmission Holdings, Inc.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Alloy Merger Sub</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Alloy Merger Sub LLC, a Delaware limited liability company and wholly owned subsidiary of Alloy Parent.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Alloy Parent</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Alloy Parent LLC, a Delaware limited liability company which, upon closing, will be jointly owned by a wholly owned subsidiary of Canada Pension Plan Investment Board and affiliates of investment vehicles affiliated with one or more funds, accounts, or other entities managed or advised by Global Infrastructure Management, LLC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American Transmission Company LLC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BNI Energy, Inc. and its subsidiary</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Energy Center</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Caddo</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Energy’s Caddo Wind Energy Facility</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CCR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Coal Combustion Residuals from Electric Utilities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CFIUS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Committee on Foreign Investment in the United States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Cliffs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Cleveland-Cliffs Inc.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Inc. and its subsidiaries</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CSAPR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Cross-State Air Pollution Rule</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 Spring</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Energy’s Diamond Spring Wind Energy Facility</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Energy Conservation and Optimization Plan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ESOP</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Ownership Plan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Officers of ALLETE</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 Vice President and President of ALLETE Clean Energy; Senior Vice President; Vice President, Chief Legal Officer and Corporate Secretary; Vice President, Chief Financial Officer, and Corporate Treasurer; Vice President and Chief Operating Officer of Minnesota Power; and Vice President, Chief Accounting Officer, and Controller</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FERC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Energy Regulatory Commission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10-K</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Annual Report on Form 10-K</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10-Q</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Quarterly Report on Form 10-Q</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of America</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GHG</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Greenhouse Gases</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HVDC</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High-Voltage Direct-Current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IBEW</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Brotherhood of Electrical Workers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 Direct</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ALLETE’s Direct Stock Purchase and Dividend Reinvestment Plan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___ of this Form 10-Q</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kV</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Kilovolt(s)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kWh</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Kilowatt-hour(s)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Lampert Capital Markets,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6540"/>
                <wp:effectExtent l="0" t="0" r="0" b="0"/>
                <wp:wrapNone/>
                <wp:docPr id="3" name="Frame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85"/>
        <w:gridCol w:w="515"/>
        <w:gridCol w:w="516"/>
        <w:gridCol w:w="2758"/>
        <w:gridCol w:w="2396"/>
        <w:gridCol w:w="3435"/>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Abbreviation or Acronym</w:t>
            </w:r>
          </w:p>
        </w:tc>
        <w:tc>
          <w:tcPr>
            <w:tcW w:w="8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Term</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Laskin Energy Center</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Merger Agreement, on the terms and subject to the conditions set forth therein, Alloy Merger Sub will merge with and into ALLETE (the “Merger”), with ALLETE continuing as the surviving corporation in the Merger and becoming a subsidiary of Alloy Parent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Agreement</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Agreement and Plan of Merger, dated as of May 5, 2024, by and among ALLETE, Alloy Parent, and Alloy Merger Sub</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Power</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operating division of ALLETE, Inc.</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Minnkota Power Cooperative, Inc.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MISO</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Midcontinent Independent System Operator, Inc.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Moody’s Investors Service, Inc.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MPCA</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Pollution Control Agency</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MPUC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Minnesota Public Utilities Commission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MW</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Megawatt(s)</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NAAQS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Ambient Air Quality Standards</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NDPSC</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 Dakota Public Service Commission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 Equity LLC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Nippon Steel Corporation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Nobles 2 Power Partners, LLC</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w:t>
            </w:r>
            <w:r>
              <w:rPr>
                <w:rFonts w:ascii="Times New Roman;sans-serif" w:hAnsi="Times New Roman;sans-serif"/>
                <w:b w:val="false"/>
                <w:color w:val="000000"/>
                <w:sz w:val="13"/>
              </w:rPr>
              <w:t>X</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Nitrogen Oxides</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Northshore Mining</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Northshore Mining Company, a wholly-owned subsidiary of Cliffs </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___ to the consolidated financial statements in this Form 10-Q</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NPDES</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National Pollutant Discharge Elimination System</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NTEC</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Nemadji Trail Energy Center</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 / PSA</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Purchase Agreement / Power Sales Agreement</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Patient Protection and Affordable Care Act of 2010</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PSCW</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Service Commission of Wisconsin</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RSOP</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Retirement Savings and Stock Ownership Plan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SO</w:t>
            </w:r>
            <w:r>
              <w:rPr>
                <w:rFonts w:ascii="Times New Roman;sans-serif" w:hAnsi="Times New Roman;sans-serif"/>
                <w:b w:val="false"/>
                <w:color w:val="000000"/>
                <w:sz w:val="13"/>
              </w:rPr>
              <w:t>2</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Sulfur Dioxide</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Shore Energy, LLC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Square Butte Electric Cooperative, a North Dakota cooperative corporation</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 Paper LLC</w:t>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SWL&amp;P</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Superior Water, Light and Power Company</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 Energy Center</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8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USS Corporation</w:t>
            </w:r>
          </w:p>
        </w:tc>
        <w:tc>
          <w:tcPr>
            <w:tcW w:w="8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Steel Corporation</w:t>
            </w:r>
          </w:p>
        </w:tc>
      </w:tr>
      <w:tr>
        <w:trPr/>
        <w:tc>
          <w:tcPr>
            <w:tcW w:w="1616" w:type="dxa"/>
            <w:gridSpan w:val="3"/>
            <w:tcBorders/>
            <w:vAlign w:val="center"/>
          </w:tcPr>
          <w:p>
            <w:pPr>
              <w:pStyle w:val="TableContents"/>
              <w:bidi w:val="0"/>
              <w:spacing w:before="0" w:after="283"/>
              <w:jc w:val="left"/>
              <w:rPr>
                <w:sz w:val="4"/>
                <w:szCs w:val="4"/>
              </w:rPr>
            </w:pPr>
            <w:r>
              <w:rPr>
                <w:sz w:val="4"/>
                <w:szCs w:val="4"/>
              </w:rPr>
            </w:r>
          </w:p>
        </w:tc>
        <w:tc>
          <w:tcPr>
            <w:tcW w:w="8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6540"/>
                <wp:effectExtent l="0" t="0" r="0" b="0"/>
                <wp:wrapNone/>
                <wp:docPr id="4" name="Frame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successfully implement our strategic objectives;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global and domestic economic conditions affecting us or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and compliance with laws and regulations, the direct and indirect effects of new or changes in existing tariffs, or changes in tax rates or policies;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rates of inflation or availability of key materials and suppliers;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legal and administrative proceedings (whether civil or criminal) and settlements;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weather conditions, natural disasters and pandemic diseases;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access capital markets, bank financing and other financing 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interest rates and the performance of the financial markets;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project delays or changes in project costs;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operating expenses and capital expenditures and our ability to raise revenues from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commodity prices on ALLETE and our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attract and retain qualified, skilled and experienced personnel;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emerging technology;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war, acts of terrorism and cybersecurity attacks;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manage expansion and integrate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population growth rates and demographic patterns;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wholesale power market conditions;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competition, including competition for retail and wholesale customers;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restructuring initiatives in the electric industry;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on our businesses of climate change and future regulation to restrict the emissions of GHG;</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effects of increased deployment of distributed low-carbon electricity generation resources;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impacts of laws and regulations related to renewable and distributed generation;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pricing, availability and transportation of fuel and other commodities and the ability to recover the costs of such commodities;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current and potential industrial and municipal customers’ ability to execute announced expansion plans;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real estate market conditions where our legacy Florida real estate investment is located may deteriorate;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success of efforts to realize value from, invest in, and develop new opportunities;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Alloy Parent or ALLETE may be unable to obtain governmental and regulatory approvals required for the Merger, or that required governmental and regulatory approvals or agreements with other parties interested therein may delay the Merger, may subject the Merger to or impose adverse conditions or costs, or may cause the parties to abandon the Merger;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timing and costs incurred to consummate the Merger;</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occurrence of any event, change or other circumstances that could give rise to the termination of the Merger Agreement or could otherwise cause the failure of the Merger to be consummated on the timeline anticipated;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6540"/>
                <wp:effectExtent l="0" t="0" r="0" b="0"/>
                <wp:wrapNone/>
                <wp:docPr id="5" name="Frame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Forward Looking Statements (Continued)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announcement and pendency of the Merger, during which ALLETE is subject to certain operating restrictions, could have an adverse effect on ALLETE’s businesses,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disclosures regarding factors that could cause our results or performance to differ from those anticipated by this report are discussed in Part I, Item 1A. Risk Factors of our 2024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10-Q and in other reports filed with the SEC that attempt to identify the risks and uncertainties that may affect ALLETE’s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6540"/>
                <wp:effectExtent l="0" t="0" r="0" b="0"/>
                <wp:wrapNone/>
                <wp:docPr id="6" name="Frame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10"/>
        <w:gridCol w:w="2305"/>
        <w:gridCol w:w="2293"/>
        <w:gridCol w:w="457"/>
        <w:gridCol w:w="414"/>
        <w:gridCol w:w="307"/>
        <w:gridCol w:w="109"/>
        <w:gridCol w:w="109"/>
        <w:gridCol w:w="109"/>
        <w:gridCol w:w="454"/>
        <w:gridCol w:w="417"/>
        <w:gridCol w:w="521"/>
      </w:tblGrid>
      <w:tr>
        <w:trPr/>
        <w:tc>
          <w:tcPr>
            <w:tcW w:w="271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of $1.8 and $1.7)</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 and Other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Non-Controlling Interest and Equity</w:t>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Due Within One Year</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3,477.5 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3,363.8 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Commitments, Guarantees and Contingencies (Note 6)</w:t>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Without Par Value, 80.0 Shares Authorized, 58.0 and 57.9 Shares Issued and Outstanding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1,827.4 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2,848.0 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3,390.1 </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Equity</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 </w:t>
            </w:r>
          </w:p>
        </w:tc>
        <w:tc>
          <w:tcPr>
            <w:tcW w:w="5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6540"/>
                <wp:effectExtent l="0" t="0" r="0" b="0"/>
                <wp:wrapNone/>
                <wp:docPr id="7" name="Frame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177" w:type="dxa"/>
        <w:jc w:val="left"/>
        <w:tblInd w:w="0" w:type="dxa"/>
        <w:tblLayout w:type="fixed"/>
        <w:tblCellMar>
          <w:top w:w="28" w:type="dxa"/>
          <w:left w:w="28" w:type="dxa"/>
          <w:bottom w:w="28" w:type="dxa"/>
          <w:right w:w="28" w:type="dxa"/>
        </w:tblCellMar>
      </w:tblPr>
      <w:tblGrid>
        <w:gridCol w:w="1493"/>
        <w:gridCol w:w="1311"/>
        <w:gridCol w:w="1321"/>
        <w:gridCol w:w="109"/>
        <w:gridCol w:w="109"/>
        <w:gridCol w:w="469"/>
        <w:gridCol w:w="469"/>
        <w:gridCol w:w="469"/>
        <w:gridCol w:w="469"/>
        <w:gridCol w:w="360"/>
        <w:gridCol w:w="361"/>
        <w:gridCol w:w="237"/>
      </w:tblGrid>
      <w:tr>
        <w:trP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58" w:type="dxa"/>
            <w:gridSpan w:val="3"/>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958" w:type="dxa"/>
            <w:gridSpan w:val="3"/>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4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6540"/>
                <wp:effectExtent l="0" t="0" r="0" b="0"/>
                <wp:wrapNone/>
                <wp:docPr id="8" name="Frame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551" w:type="dxa"/>
        <w:jc w:val="left"/>
        <w:tblInd w:w="0" w:type="dxa"/>
        <w:tblLayout w:type="fixed"/>
        <w:tblCellMar>
          <w:top w:w="28" w:type="dxa"/>
          <w:left w:w="28" w:type="dxa"/>
          <w:bottom w:w="28" w:type="dxa"/>
          <w:right w:w="28" w:type="dxa"/>
        </w:tblCellMar>
      </w:tblPr>
      <w:tblGrid>
        <w:gridCol w:w="1910"/>
        <w:gridCol w:w="1677"/>
        <w:gridCol w:w="1693"/>
        <w:gridCol w:w="109"/>
        <w:gridCol w:w="109"/>
        <w:gridCol w:w="374"/>
        <w:gridCol w:w="374"/>
        <w:gridCol w:w="374"/>
        <w:gridCol w:w="374"/>
        <w:gridCol w:w="377"/>
        <w:gridCol w:w="109"/>
        <w:gridCol w:w="109"/>
        <w:gridCol w:w="109"/>
        <w:gridCol w:w="308"/>
        <w:gridCol w:w="308"/>
        <w:gridCol w:w="237"/>
      </w:tblGrid>
      <w:tr>
        <w:trPr/>
        <w:tc>
          <w:tcPr>
            <w:tcW w:w="191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80" w:type="dxa"/>
            <w:gridSpan w:val="6"/>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180" w:type="dxa"/>
            <w:gridSpan w:val="6"/>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Expense of $— and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of Income Tax Benefit of $— and $0.1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3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6540"/>
                <wp:effectExtent l="0" t="0" r="0" b="0"/>
                <wp:wrapNone/>
                <wp:docPr id="9" name="Frame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128" w:type="dxa"/>
        <w:jc w:val="center"/>
        <w:tblInd w:w="0" w:type="dxa"/>
        <w:tblLayout w:type="fixed"/>
        <w:tblCellMar>
          <w:top w:w="28" w:type="dxa"/>
          <w:left w:w="28" w:type="dxa"/>
          <w:bottom w:w="28" w:type="dxa"/>
          <w:right w:w="28" w:type="dxa"/>
        </w:tblCellMar>
      </w:tblPr>
      <w:tblGrid>
        <w:gridCol w:w="2400"/>
        <w:gridCol w:w="2113"/>
        <w:gridCol w:w="2131"/>
        <w:gridCol w:w="344"/>
        <w:gridCol w:w="346"/>
        <w:gridCol w:w="204"/>
        <w:gridCol w:w="204"/>
        <w:gridCol w:w="204"/>
        <w:gridCol w:w="204"/>
        <w:gridCol w:w="344"/>
        <w:gridCol w:w="346"/>
        <w:gridCol w:w="288"/>
      </w:tblGrid>
      <w:tr>
        <w:trPr/>
        <w:tc>
          <w:tcPr>
            <w:tcW w:w="240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Three Months Ended</w:t>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March 31,</w:t>
            </w:r>
          </w:p>
        </w:tc>
      </w:tr>
      <w:tr>
        <w:trPr/>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w:t>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2024</w:t>
            </w:r>
          </w:p>
        </w:tc>
      </w:tr>
      <w:tr>
        <w:trPr/>
        <w:tc>
          <w:tcPr>
            <w:tcW w:w="6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Millions</w:t>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Operating Activities</w:t>
            </w:r>
          </w:p>
        </w:tc>
        <w:tc>
          <w:tcPr>
            <w:tcW w:w="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to Cash provided by Operating Activities:</w:t>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AFUDC – Equity</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from Equity Investments – Net of Dividends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on Investments and Property, Plant and Equipment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PSAs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Other Intangible Assets and Other Assets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Share-Based and ESOP Compensation Expense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Defined Benefit Pension and Other Postretirement Plan Benefit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Fuel Adjustment Clause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Bad Debt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Interim Rate Refund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Prepayments and Other</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Renewable Tax Credit Sales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Contributions to Defined Benefit Pension Plans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Assets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Regulatory and Other Non-Current Liabilities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Operating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60.1 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Investing Activities</w:t>
            </w:r>
          </w:p>
        </w:tc>
        <w:tc>
          <w:tcPr>
            <w:tcW w:w="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Available-for-sale Securities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Purchase of Available-for-sale Securities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Payments for Equity Method Investments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Plant and Equipment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(154.4)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(60.6)</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used in Investing Activities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(160.2)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(60.8)</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Financing Activities</w:t>
            </w:r>
          </w:p>
        </w:tc>
        <w:tc>
          <w:tcPr>
            <w:tcW w:w="8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Common Stock</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Issuance of Short-Term and Long-Term Debt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Short-Term and Long-Term Debt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(111.8)</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(158.0)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Non-Controlling Interest in Subsidiaries –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to Non-Controlling Interest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on Common Stock</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(0.9)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provided by (used in) Financing Activities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89.2 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Change in Cash, Cash Equivalents and Restricted Cash</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(39.1)</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Beginning of Period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79.4 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$94.4 </w:t>
            </w:r>
          </w:p>
        </w:tc>
        <w:tc>
          <w:tcPr>
            <w:tcW w:w="2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$40.3 </w:t>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6540"/>
                <wp:effectExtent l="0" t="0" r="0" b="0"/>
                <wp:wrapNone/>
                <wp:docPr id="10" name="Frame1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482" w:type="dxa"/>
        <w:jc w:val="center"/>
        <w:tblInd w:w="0" w:type="dxa"/>
        <w:tblLayout w:type="fixed"/>
        <w:tblCellMar>
          <w:top w:w="28" w:type="dxa"/>
          <w:left w:w="28" w:type="dxa"/>
          <w:bottom w:w="28" w:type="dxa"/>
          <w:right w:w="28" w:type="dxa"/>
        </w:tblCellMar>
      </w:tblPr>
      <w:tblGrid>
        <w:gridCol w:w="1910"/>
        <w:gridCol w:w="1679"/>
        <w:gridCol w:w="1691"/>
        <w:gridCol w:w="109"/>
        <w:gridCol w:w="109"/>
        <w:gridCol w:w="469"/>
        <w:gridCol w:w="469"/>
        <w:gridCol w:w="469"/>
        <w:gridCol w:w="469"/>
        <w:gridCol w:w="435"/>
        <w:gridCol w:w="436"/>
        <w:gridCol w:w="237"/>
      </w:tblGrid>
      <w:tr>
        <w:trPr/>
        <w:tc>
          <w:tcPr>
            <w:tcW w:w="1910"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108" w:type="dxa"/>
            <w:gridSpan w:val="3"/>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108" w:type="dxa"/>
            <w:gridSpan w:val="3"/>
            <w:tcBorders/>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$1,823.2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1,827.4 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1,807.4 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 Net of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Dividends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1,056.7 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Non-Controlling Interest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w:t>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Non-Controlling Interest in Subsidiaries –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Non-Controlling Interest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Redeemable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4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$0.705 </w:t>
            </w:r>
          </w:p>
        </w:tc>
        <w:tc>
          <w:tcPr>
            <w:tcW w:w="2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56540"/>
                <wp:effectExtent l="0" t="0" r="0" b="0"/>
                <wp:wrapNone/>
                <wp:docPr id="11" name="Frame1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 – UNAUDITED</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the instructions to Form 10-Q and Rule 10-01 of Regulation S-X, and do not include all of the information and notes required by GAAP for complete financial statements pursuant to such rules and regulations. Similarly, the December 31, 2024, Consolidated Balance Sheet was derived from audited financial statements, but does not include all disclosures required by GAAP. The presentation of certain prior period amounts on the Consolidated Financial Statements have been adjusted for comparative purposes. In management’s opinion, these unaudited financial statements include all adjustments necessary for a fair statement of financial results. All adjustments are of a normal, recurring nature, except as otherwise disclosed. Operating results for the three months ended March 31, 2025, are not necessarily indicative of results that may be expected for any other interim period or for the year ending December 31, 2025. For further information, refer to the Consolidated Financial Statements and notes included in our 2024 Form 10-K.</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Subsequent Events.</w:t>
      </w:r>
      <w:r>
        <w:rPr>
          <w:color w:val="000000"/>
        </w:rPr>
        <w:t xml:space="preserve"> </w:t>
      </w:r>
      <w:r>
        <w:rPr>
          <w:rFonts w:ascii="Times New Roman;sans-serif" w:hAnsi="Times New Roman;sans-serif"/>
          <w:b w:val="false"/>
          <w:color w:val="000000"/>
          <w:sz w:val="20"/>
        </w:rPr>
        <w:t xml:space="preserve">The Company performed an evaluation of subsequent events for potential recognition and disclosure through the date of the financial statements issuance.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Cash, Cash Equivalents and Restricted Cash. </w:t>
      </w:r>
      <w:r>
        <w:rPr>
          <w:rFonts w:ascii="Times New Roman;sans-serif" w:hAnsi="Times New Roman;sans-serif"/>
          <w:b w:val="false"/>
          <w:color w:val="000000"/>
          <w:sz w:val="20"/>
        </w:rPr>
        <w:t xml:space="preserve">We consider all investments purchased with original maturities of three months or less to be cash equivalents. As of March 31, 2025, restricted cash amounts included in Prepayments and Other on the Consolidated Balance Sheet include collateral deposits required under an ALLETE Clean Energy loan. The restricted cash amounts included in Other Non-Current Assets represent collateral deposits required under an ALLETE Clean Energy loan agreement as well as PSAs. The following table provides a reconciliation of cash, cash equivalents and restricted cash reported within the Consolidated Balance Sheet that aggregate to the amounts presented in the Consolidated Statement of Cash Flows. </w:t>
      </w:r>
    </w:p>
    <w:tbl>
      <w:tblPr>
        <w:tblW w:w="10205" w:type="dxa"/>
        <w:jc w:val="center"/>
        <w:tblInd w:w="0" w:type="dxa"/>
        <w:tblLayout w:type="fixed"/>
        <w:tblCellMar>
          <w:top w:w="28" w:type="dxa"/>
          <w:left w:w="28" w:type="dxa"/>
          <w:bottom w:w="28" w:type="dxa"/>
          <w:right w:w="28" w:type="dxa"/>
        </w:tblCellMar>
      </w:tblPr>
      <w:tblGrid>
        <w:gridCol w:w="1846"/>
        <w:gridCol w:w="1588"/>
        <w:gridCol w:w="1598"/>
        <w:gridCol w:w="324"/>
        <w:gridCol w:w="311"/>
        <w:gridCol w:w="287"/>
        <w:gridCol w:w="109"/>
        <w:gridCol w:w="109"/>
        <w:gridCol w:w="109"/>
        <w:gridCol w:w="380"/>
        <w:gridCol w:w="380"/>
        <w:gridCol w:w="382"/>
        <w:gridCol w:w="109"/>
        <w:gridCol w:w="109"/>
        <w:gridCol w:w="109"/>
        <w:gridCol w:w="324"/>
        <w:gridCol w:w="311"/>
        <w:gridCol w:w="287"/>
        <w:gridCol w:w="109"/>
        <w:gridCol w:w="109"/>
        <w:gridCol w:w="109"/>
        <w:gridCol w:w="358"/>
        <w:gridCol w:w="347"/>
        <w:gridCol w:w="501"/>
      </w:tblGrid>
      <w:tr>
        <w:trPr/>
        <w:tc>
          <w:tcPr>
            <w:tcW w:w="1846"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50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50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included in Prepayments and Other </w:t>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w:t>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on the Consolidated Statement of Cash Flows</w:t>
            </w:r>
          </w:p>
        </w:tc>
        <w:tc>
          <w:tcPr>
            <w:tcW w:w="6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8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50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Inventories – Net.</w:t>
      </w:r>
      <w:r>
        <w:rPr>
          <w:color w:val="000000"/>
        </w:rPr>
        <w:t xml:space="preserve"> </w:t>
      </w:r>
      <w:r>
        <w:rPr>
          <w:rFonts w:ascii="Times New Roman;sans-serif" w:hAnsi="Times New Roman;sans-serif"/>
          <w:b w:val="false"/>
          <w:color w:val="000000"/>
          <w:sz w:val="20"/>
        </w:rPr>
        <w:t xml:space="preserve">Inventories are stated at the lower of cost or net realizable value. Inventories in our Regulated Operations segment are carried at an average cost or first-in, first-out basis. Inventories in our ALLETE Clean Energy segment and Corporate and Other businesses are carried at an average cost, first-in, first-out or specific identification basis. </w:t>
      </w:r>
    </w:p>
    <w:p>
      <w:pPr>
        <w:pStyle w:val="TextBody"/>
        <w:bidi w:val="0"/>
        <w:spacing w:before="0" w:after="0"/>
        <w:jc w:val="both"/>
        <w:rPr/>
      </w:pPr>
      <w:r>
        <w:rPr/>
      </w:r>
    </w:p>
    <w:tbl>
      <w:tblPr>
        <w:tblW w:w="7057" w:type="dxa"/>
        <w:jc w:val="left"/>
        <w:tblInd w:w="0" w:type="dxa"/>
        <w:tblLayout w:type="fixed"/>
        <w:tblCellMar>
          <w:top w:w="28" w:type="dxa"/>
          <w:left w:w="28" w:type="dxa"/>
          <w:bottom w:w="28" w:type="dxa"/>
          <w:right w:w="28" w:type="dxa"/>
        </w:tblCellMar>
      </w:tblPr>
      <w:tblGrid>
        <w:gridCol w:w="1584"/>
        <w:gridCol w:w="1393"/>
        <w:gridCol w:w="1402"/>
        <w:gridCol w:w="379"/>
        <w:gridCol w:w="342"/>
        <w:gridCol w:w="326"/>
        <w:gridCol w:w="109"/>
        <w:gridCol w:w="109"/>
        <w:gridCol w:w="109"/>
        <w:gridCol w:w="381"/>
        <w:gridCol w:w="381"/>
        <w:gridCol w:w="542"/>
      </w:tblGrid>
      <w:tr>
        <w:trPr/>
        <w:tc>
          <w:tcPr>
            <w:tcW w:w="158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Inventories – Net</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43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w:t>
            </w:r>
            <w:r>
              <w:rPr>
                <w:rFonts w:ascii="Times New Roman;sans-serif" w:hAnsi="Times New Roman;sans-serif"/>
                <w:b w:val="false"/>
                <w:i/>
                <w:color w:val="000000"/>
                <w:sz w:val="18"/>
              </w:rPr>
              <w:t>(a)</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Materials and Supplies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Facilities Under Development </w:t>
            </w:r>
            <w:r>
              <w:rPr>
                <w:rFonts w:ascii="Times New Roman;sans-serif" w:hAnsi="Times New Roman;sans-serif"/>
                <w:b w:val="false"/>
                <w:i/>
                <w:color w:val="000000"/>
                <w:sz w:val="18"/>
              </w:rPr>
              <w:t>(b)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 – Net</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Fuel consists primarily of coal inventory at Minnesota Power.</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    Renewable Energy Facilities Under Development as of March 31, 2025, consists primarily of project costs related to renewable energy development projects at New Energy. </w:t>
      </w:r>
    </w:p>
    <w:p>
      <w:pPr>
        <w:pStyle w:val="TextBody"/>
        <w:bidi w:val="0"/>
        <w:spacing w:lineRule="auto" w:line="288" w:before="0" w:after="0"/>
        <w:ind w:left="0" w:right="0" w:hanging="360"/>
        <w:jc w:val="both"/>
        <w:rPr/>
      </w:pPr>
      <w:r>
        <w:rPr>
          <w:rFonts w:ascii="Times New Roman;sans-serif" w:hAnsi="Times New Roman;sans-serif"/>
          <w:b/>
          <w:color w:val="000000"/>
          <w:sz w:val="20"/>
        </w:rPr>
        <w:t>Goodwill.</w:t>
      </w:r>
      <w:r>
        <w:rPr>
          <w:color w:val="000000"/>
        </w:rPr>
        <w:t xml:space="preserve"> </w:t>
      </w:r>
      <w:r>
        <w:rPr>
          <w:rFonts w:ascii="Times New Roman;sans-serif" w:hAnsi="Times New Roman;sans-serif"/>
          <w:b w:val="false"/>
          <w:color w:val="000000"/>
          <w:sz w:val="20"/>
        </w:rPr>
        <w:t>The aggregate carrying amount of goodwill was $154.9 million as of March 31, 2025 ($154.9 million as of December 31, 2024). There have been no changes to goodwill by reportable segment for the three months ended March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6540"/>
                <wp:effectExtent l="0" t="0" r="0" b="0"/>
                <wp:wrapNone/>
                <wp:docPr id="12" name="Frame1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p>
      <w:pPr>
        <w:pStyle w:val="TextBody"/>
        <w:bidi w:val="0"/>
        <w:spacing w:before="0" w:after="0"/>
        <w:ind w:left="0" w:right="0" w:hanging="360"/>
        <w:jc w:val="both"/>
        <w:rPr/>
      </w:pPr>
      <w:r>
        <w:rPr/>
      </w:r>
    </w:p>
    <w:tbl>
      <w:tblPr>
        <w:tblW w:w="5588" w:type="dxa"/>
        <w:jc w:val="center"/>
        <w:tblInd w:w="0" w:type="dxa"/>
        <w:tblLayout w:type="fixed"/>
        <w:tblCellMar>
          <w:top w:w="28" w:type="dxa"/>
          <w:left w:w="28" w:type="dxa"/>
          <w:bottom w:w="28" w:type="dxa"/>
          <w:right w:w="28" w:type="dxa"/>
        </w:tblCellMar>
      </w:tblPr>
      <w:tblGrid>
        <w:gridCol w:w="1054"/>
        <w:gridCol w:w="925"/>
        <w:gridCol w:w="931"/>
        <w:gridCol w:w="360"/>
        <w:gridCol w:w="361"/>
        <w:gridCol w:w="326"/>
        <w:gridCol w:w="109"/>
        <w:gridCol w:w="109"/>
        <w:gridCol w:w="109"/>
        <w:gridCol w:w="381"/>
        <w:gridCol w:w="381"/>
        <w:gridCol w:w="542"/>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Non-Current Assets</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Postretirement Benefit Plans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Contract Assets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Properties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Assets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Contract Assets consist of payments made to customers as an incentive to execute or extend service agreements. The payments are being amortized over the term of the respective agreements as a reduction to revenue.     </w:t>
      </w:r>
    </w:p>
    <w:p>
      <w:pPr>
        <w:pStyle w:val="TextBody"/>
        <w:bidi w:val="0"/>
        <w:spacing w:before="0" w:after="0"/>
        <w:ind w:left="0" w:right="0" w:hanging="360"/>
        <w:jc w:val="left"/>
        <w:rPr/>
      </w:pPr>
      <w:r>
        <w:rPr/>
      </w:r>
    </w:p>
    <w:tbl>
      <w:tblPr>
        <w:tblW w:w="5515" w:type="dxa"/>
        <w:jc w:val="left"/>
        <w:tblInd w:w="0" w:type="dxa"/>
        <w:tblLayout w:type="fixed"/>
        <w:tblCellMar>
          <w:top w:w="28" w:type="dxa"/>
          <w:left w:w="28" w:type="dxa"/>
          <w:bottom w:w="28" w:type="dxa"/>
          <w:right w:w="28" w:type="dxa"/>
        </w:tblCellMar>
      </w:tblPr>
      <w:tblGrid>
        <w:gridCol w:w="1054"/>
        <w:gridCol w:w="925"/>
        <w:gridCol w:w="931"/>
        <w:gridCol w:w="324"/>
        <w:gridCol w:w="324"/>
        <w:gridCol w:w="326"/>
        <w:gridCol w:w="109"/>
        <w:gridCol w:w="109"/>
        <w:gridCol w:w="109"/>
        <w:gridCol w:w="381"/>
        <w:gridCol w:w="381"/>
        <w:gridCol w:w="542"/>
      </w:tblGrid>
      <w:tr>
        <w:trPr/>
        <w:tc>
          <w:tcPr>
            <w:tcW w:w="10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Current Liabilities</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9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9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 for Interim Rate Refund </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Current Liabilities</w:t>
            </w:r>
          </w:p>
        </w:tc>
        <w:tc>
          <w:tcPr>
            <w:tcW w:w="64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5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5678" w:type="dxa"/>
        <w:jc w:val="left"/>
        <w:tblInd w:w="0" w:type="dxa"/>
        <w:tblLayout w:type="fixed"/>
        <w:tblCellMar>
          <w:top w:w="28" w:type="dxa"/>
          <w:left w:w="28" w:type="dxa"/>
          <w:bottom w:w="28" w:type="dxa"/>
          <w:right w:w="28" w:type="dxa"/>
        </w:tblCellMar>
      </w:tblPr>
      <w:tblGrid>
        <w:gridCol w:w="1086"/>
        <w:gridCol w:w="954"/>
        <w:gridCol w:w="960"/>
        <w:gridCol w:w="360"/>
        <w:gridCol w:w="361"/>
        <w:gridCol w:w="326"/>
        <w:gridCol w:w="109"/>
        <w:gridCol w:w="109"/>
        <w:gridCol w:w="109"/>
        <w:gridCol w:w="381"/>
        <w:gridCol w:w="381"/>
        <w:gridCol w:w="542"/>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3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Asset Retirement Obligation </w:t>
            </w:r>
            <w:r>
              <w:rPr>
                <w:rFonts w:ascii="Times New Roman;sans-serif" w:hAnsi="Times New Roman;sans-serif"/>
                <w:b w:val="false"/>
                <w:i/>
                <w:color w:val="000000"/>
                <w:sz w:val="18"/>
              </w:rPr>
              <w:t>(a)(b)</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PSAs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Non-Current Liabilities</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$42.3 million in Other Non-Current Assets on the Consolidated Balance Sheet as of March 31, 2025 ($42.3 million as of December 31, 2024). </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(b)The increase in Asset Retirement Obligation in 2024 reflects the impact of estimated compliance costs related to the EPA’s CCR Legacy Impoundment Rule finalized in May 2024. (See Note 6. Commitments, Guarantees and Contingencies.)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56540"/>
                <wp:effectExtent l="0" t="0" r="0" b="0"/>
                <wp:wrapNone/>
                <wp:docPr id="13" name="Frame1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 OPERATIONS AND SIGNIFICANT ACCOUNTING POLICIES (Continued)</w:t>
      </w:r>
    </w:p>
    <w:tbl>
      <w:tblPr>
        <w:tblW w:w="8646" w:type="dxa"/>
        <w:jc w:val="center"/>
        <w:tblInd w:w="0" w:type="dxa"/>
        <w:tblLayout w:type="fixed"/>
        <w:tblCellMar>
          <w:top w:w="28" w:type="dxa"/>
          <w:left w:w="28" w:type="dxa"/>
          <w:bottom w:w="28" w:type="dxa"/>
          <w:right w:w="28" w:type="dxa"/>
        </w:tblCellMar>
      </w:tblPr>
      <w:tblGrid>
        <w:gridCol w:w="2102"/>
        <w:gridCol w:w="1847"/>
        <w:gridCol w:w="1855"/>
        <w:gridCol w:w="109"/>
        <w:gridCol w:w="109"/>
        <w:gridCol w:w="469"/>
        <w:gridCol w:w="469"/>
        <w:gridCol w:w="469"/>
        <w:gridCol w:w="469"/>
        <w:gridCol w:w="255"/>
        <w:gridCol w:w="256"/>
        <w:gridCol w:w="237"/>
      </w:tblGrid>
      <w:tr>
        <w:trPr/>
        <w:tc>
          <w:tcPr>
            <w:tcW w:w="2102"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748" w:type="dxa"/>
            <w:gridSpan w:val="3"/>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748" w:type="dxa"/>
            <w:gridSpan w:val="3"/>
            <w:tcBorders/>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7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Pension and Other Postretirement Benefit Plan Non-Service Credits </w:t>
            </w:r>
            <w:r>
              <w:rPr>
                <w:rFonts w:ascii="Times New Roman;sans-serif" w:hAnsi="Times New Roman;sans-serif"/>
                <w:b w:val="false"/>
                <w:i/>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r>
      <w:tr>
        <w:trPr/>
        <w:tc>
          <w:tcPr>
            <w:tcW w:w="5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are components of net periodic pension and other postretirement benefit cost other than service cost. (See Note 9. Pension and Other Postretirement Benefit Plans.) </w:t>
      </w:r>
    </w:p>
    <w:p>
      <w:pPr>
        <w:pStyle w:val="TextBody"/>
        <w:bidi w:val="0"/>
        <w:spacing w:before="0" w:after="0"/>
        <w:jc w:val="left"/>
        <w:rPr/>
      </w:pPr>
      <w:r>
        <w:rPr/>
      </w:r>
    </w:p>
    <w:tbl>
      <w:tblPr>
        <w:tblW w:w="9185" w:type="dxa"/>
        <w:jc w:val="left"/>
        <w:tblInd w:w="0" w:type="dxa"/>
        <w:tblLayout w:type="fixed"/>
        <w:tblCellMar>
          <w:top w:w="28" w:type="dxa"/>
          <w:left w:w="28" w:type="dxa"/>
          <w:bottom w:w="28" w:type="dxa"/>
          <w:right w:w="28" w:type="dxa"/>
        </w:tblCellMar>
      </w:tblPr>
      <w:tblGrid>
        <w:gridCol w:w="2537"/>
        <w:gridCol w:w="2228"/>
        <w:gridCol w:w="2239"/>
        <w:gridCol w:w="431"/>
        <w:gridCol w:w="297"/>
        <w:gridCol w:w="297"/>
        <w:gridCol w:w="427"/>
        <w:gridCol w:w="297"/>
        <w:gridCol w:w="432"/>
      </w:tblGrid>
      <w:tr>
        <w:trPr/>
        <w:tc>
          <w:tcPr>
            <w:tcW w:w="2537"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7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6"/>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Statement of Cash Flows Information</w:t>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7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 Net of Amounts Capitalized</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4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Investing and Financing Activities</w:t>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Accounts Payable for Capital Additions to Property, Plant and Equipment</w:t>
            </w:r>
          </w:p>
        </w:tc>
        <w:tc>
          <w:tcPr>
            <w:tcW w:w="1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Asset Retirement Costs</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AFUDC–Equity</w:t>
            </w:r>
          </w:p>
        </w:tc>
        <w:tc>
          <w:tcPr>
            <w:tcW w:w="72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9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43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004"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New Accounting Pronouncements and Disclosure Rules.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 Operations and Significant Accounting Policies to the Consolidated Financial Statements in our 2024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are no other new accounting pronouncements or rules that we anticipate having a material effect on the presentation of ALLETE’s consolidated financial statements.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6540"/>
                <wp:effectExtent l="0" t="0" r="0" b="0"/>
                <wp:wrapNone/>
                <wp:docPr id="14" name="Frame1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REGULATORY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matters are summarized in Note 4. Regulatory Matters to the Consolidated Financial Statements in our 2024 Form 10-K, with additional disclosure provided in the following paragraphs.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Electric Rates.</w:t>
      </w:r>
      <w:r>
        <w:rPr>
          <w:color w:val="000000"/>
        </w:rPr>
        <w:t xml:space="preserve"> </w:t>
      </w:r>
      <w:r>
        <w:rPr>
          <w:rFonts w:ascii="Times New Roman;sans-serif" w:hAnsi="Times New Roman;sans-serif"/>
          <w:b w:val="false"/>
          <w:color w:val="000000"/>
          <w:sz w:val="20"/>
        </w:rPr>
        <w:t xml:space="preserve">Entities within our Regulated Operations segment file for periodic rate revisions with the MPUC, PSCW or FERC. As authorized by the MPUC, Minnesota Power also recognizes revenue under cost recovery riders for transmission, renewable, and environmental investments and expenditures. Revenue from cost recovery riders was $11.2 million for the three months ended March 31, 2025 ($8.3 million for the three months ended March 31,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 xml:space="preserve">On November 1, 2023, Minnesota Power filed a retail rate increase request with the MPUC that sought an average 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In an order dated November 25, 2024, the MPUC approved the settlement agreement. Final rates were implemented in the first quarter of 2025; interim rates were collected through this period with reserves recorded as necessary. As a result of the settlement, Minnesota Power recorded a reserve for an interim rate refund of $27.9 million pre-tax as of March 31, 2025, which is expected to be refunded in the second quarter of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2022 Minnesota General Rate Case.</w:t>
      </w:r>
      <w:r>
        <w:rPr>
          <w:color w:val="000000"/>
        </w:rPr>
        <w:t xml:space="preserve"> </w:t>
      </w:r>
      <w:r>
        <w:rPr>
          <w:rFonts w:ascii="Times New Roman;sans-serif" w:hAnsi="Times New Roman;sans-serif"/>
          <w:b w:val="false"/>
          <w:color w:val="000000"/>
          <w:sz w:val="20"/>
        </w:rPr>
        <w:t>Minnesota Power appealed with the Minnesota Court of Appeals (Court) specific aspects of the MPUC’s February 2023 and May 2023 rate case orders for the ratemaking treatment of Taconite Harbor and Minnesota Power’s prepaid pension asset. On September 9, 2024, the Court affirmed the MPUC’s Taconite Harbor treatment, but reversed and remanded the treatment of Minnesota Power’s prepaid pension asset back to the MPUC. The Court directed the MPUC to determine the amount of Minnesota Power’s prepaid pension asset to be included in rate base. The MPUC has not yet determined the next procedural steps in implementing the Court’s decision.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Solar Cost Recovery Rider.</w:t>
      </w:r>
      <w:r>
        <w:rPr>
          <w:color w:val="000000"/>
        </w:rPr>
        <w:t xml:space="preserve"> </w:t>
      </w:r>
      <w:r>
        <w:rPr>
          <w:rFonts w:ascii="Times New Roman;sans-serif" w:hAnsi="Times New Roman;sans-serif"/>
          <w:b w:val="false"/>
          <w:color w:val="000000"/>
          <w:sz w:val="20"/>
        </w:rPr>
        <w:t xml:space="preserve">Minnesota Power has an approved cost recovery rider in place to charge retail customers on a current basis for solar costs related to investments and expenditures for meeting the state of Minnesota’s solar energy standard. Current customer billing rates were approved by the MPUC in an order dated February 13, 2025.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Adjustment Clause. </w:t>
      </w:r>
      <w:r>
        <w:rPr>
          <w:rFonts w:ascii="Times New Roman;sans-serif" w:hAnsi="Times New Roman;sans-serif"/>
          <w:b w:val="false"/>
          <w:color w:val="000000"/>
          <w:sz w:val="20"/>
        </w:rPr>
        <w:t xml:space="preserve">Minnesota Power incurred higher fuel and purchased power costs in 2024 than those factored in its fuel adjustment forecast filed in May 2023 for 2024, which resulted in the recognition of a $4.5 million regulatory asset as of March 31, 2025, and December 31, 2024. Minnesota Power requested to recover the regulatory asset over 12 months beginning in the third quarter of 2025 as part of its annual true-up filing submitted to the MPUC on March 3,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filed its annual forecasted fuel and purchased power rates for 2025 on May 1, 2024, which was subsequently approved by the MPUC in an order dated November 8, 2024. The fuel and purchased power rates for Minnesota Power retail customers are based on this filing beginning January 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56540"/>
                <wp:effectExtent l="0" t="0" r="0" b="0"/>
                <wp:wrapNone/>
                <wp:docPr id="15" name="Frame1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REGULATORY MATTERS (Continued)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Energy Conservation and Optimization (ECO) Plan.</w:t>
      </w:r>
      <w:r>
        <w:rPr>
          <w:color w:val="000000"/>
        </w:rPr>
        <w:t xml:space="preserve"> </w:t>
      </w:r>
      <w:r>
        <w:rPr>
          <w:rFonts w:ascii="Times New Roman;sans-serif" w:hAnsi="Times New Roman;sans-serif"/>
          <w:b w:val="false"/>
          <w:color w:val="000000"/>
          <w:sz w:val="20"/>
        </w:rPr>
        <w:t>On April 1, 2025, Minnesota Power submitted its 2024 ECO annual filing (formerly the Conservation Improvement Plan) detailing Minnesota Power’s ECO plan results and requesting a financial incentive of $2.6 million, which will be recognized upon approval by the MPUC. In 2024, a financial incentive of $2.2 million was recognized in the fourth quarter upon approval by the MPUC of the 2023 ECO annual filing. The financial incentives are recognized in the period in which the MPUC approves the filing.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Integrated Resource Plan.</w:t>
      </w:r>
      <w:r>
        <w:rPr>
          <w:color w:val="000000"/>
        </w:rPr>
        <w:t xml:space="preserve"> </w:t>
      </w:r>
      <w:r>
        <w:rPr>
          <w:rFonts w:ascii="Times New Roman;sans-serif" w:hAnsi="Times New Roman;sans-serif"/>
          <w:b w:val="false"/>
          <w:color w:val="000000"/>
          <w:sz w:val="20"/>
        </w:rPr>
        <w:t>On March 3, 2025, Minnesota Power filed its 2025 IRP, which outlines Minnesota Power’s next steps to provide safe and 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of wind and solar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2021 Integrated Resource Plan. </w:t>
      </w:r>
      <w:r>
        <w:rPr>
          <w:rFonts w:ascii="Times New Roman;sans-serif" w:hAnsi="Times New Roman;sans-serif"/>
          <w:b w:val="false"/>
          <w:color w:val="000000"/>
          <w:sz w:val="20"/>
        </w:rPr>
        <w:t>In 2021, Minnesota Power filed its 2021 IRP, which was approved by the MPUC in a January 2023 order. The approved 2021 IRP, which reflected a joint agreement reached with various stakeholders, outlined Minnesota Power’s clean-energy transition plans through 2035. Those plans included expanding its renewable energy supply, achieving coal-free operations at its facilities by 2035, and investing in a resilient and flexible transmission and distribution grid. As part of those plans, Minnesota Power is adding up to 700 MW of new wind and solar energy resources, and ceasing coal operations at Boswell Units 3 and 4 by 2030 and 2035, respectively. Minnesota Power’s plans recognized that advances in technology will play a significant role in completing its transition to carbon-free energy supply, reliably and affordably.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Regulatory Assets and Liabilities.</w:t>
      </w:r>
      <w:r>
        <w:rPr>
          <w:color w:val="000000"/>
        </w:rPr>
        <w:t xml:space="preserve"> </w:t>
      </w:r>
      <w:r>
        <w:rPr>
          <w:rFonts w:ascii="Times New Roman;sans-serif" w:hAnsi="Times New Roman;sans-serif"/>
          <w:b w:val="false"/>
          <w:color w:val="000000"/>
          <w:sz w:val="20"/>
        </w:rPr>
        <w:t>Our regulated utility operations are subject to accounting standards for the effects of certain types of regulation.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The recovery, refund or credit to rates for these regulatory assets and liabilities will occur over the periods either specified by the applicable regulatory authority or over the corresponding period related to the asset or liability.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56540"/>
                <wp:effectExtent l="0" t="0" r="0" b="0"/>
                <wp:wrapNone/>
                <wp:docPr id="16" name="Frame1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2. REGULATORY MATTERS (Continued)</w:t>
      </w:r>
    </w:p>
    <w:p>
      <w:pPr>
        <w:pStyle w:val="TextBody"/>
        <w:bidi w:val="0"/>
        <w:spacing w:before="0" w:after="0"/>
        <w:jc w:val="both"/>
        <w:rPr/>
      </w:pPr>
      <w:r>
        <w:rPr/>
      </w:r>
    </w:p>
    <w:tbl>
      <w:tblPr>
        <w:tblW w:w="8182" w:type="dxa"/>
        <w:jc w:val="left"/>
        <w:tblInd w:w="0" w:type="dxa"/>
        <w:tblLayout w:type="fixed"/>
        <w:tblCellMar>
          <w:top w:w="28" w:type="dxa"/>
          <w:left w:w="28" w:type="dxa"/>
          <w:bottom w:w="28" w:type="dxa"/>
          <w:right w:w="28" w:type="dxa"/>
        </w:tblCellMar>
      </w:tblPr>
      <w:tblGrid>
        <w:gridCol w:w="1909"/>
        <w:gridCol w:w="1681"/>
        <w:gridCol w:w="1690"/>
        <w:gridCol w:w="403"/>
        <w:gridCol w:w="324"/>
        <w:gridCol w:w="326"/>
        <w:gridCol w:w="109"/>
        <w:gridCol w:w="109"/>
        <w:gridCol w:w="109"/>
        <w:gridCol w:w="419"/>
        <w:gridCol w:w="419"/>
        <w:gridCol w:w="421"/>
        <w:gridCol w:w="109"/>
        <w:gridCol w:w="154"/>
      </w:tblGrid>
      <w:tr>
        <w:trPr/>
        <w:tc>
          <w:tcPr>
            <w:tcW w:w="190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Regulatory Assets and Liabilities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Assets </w:t>
            </w:r>
            <w:r>
              <w:rPr>
                <w:rFonts w:ascii="Times New Roman;sans-serif" w:hAnsi="Times New Roman;sans-serif"/>
                <w:b w:val="false"/>
                <w:i/>
                <w:color w:val="000000"/>
                <w:sz w:val="18"/>
              </w:rPr>
              <w:t>(a)</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Regulatory Assets</w:t>
            </w:r>
          </w:p>
        </w:tc>
        <w:tc>
          <w:tcPr>
            <w:tcW w:w="7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Assets</w:t>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 Retirement Obligations </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Taconite Harbor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Manufactured Gas Plant</w:t>
            </w:r>
            <w:r>
              <w:rPr>
                <w:color w:val="000000"/>
              </w:rPr>
              <w:t xml:space="preserve"> </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Recovery Riders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PPACA Income Tax Deferral</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Fuel Adjustment Clause </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Assets</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Current Regulatory Liabilities </w:t>
            </w:r>
            <w:r>
              <w:rPr>
                <w:rFonts w:ascii="Times New Roman;sans-serif" w:hAnsi="Times New Roman;sans-serif"/>
                <w:b w:val="false"/>
                <w:i/>
                <w:color w:val="000000"/>
                <w:sz w:val="18"/>
              </w:rPr>
              <w:t>(b)</w:t>
            </w:r>
          </w:p>
        </w:tc>
        <w:tc>
          <w:tcPr>
            <w:tcW w:w="10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Interim Rate Refund</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Current Regulatory Liabilities </w:t>
            </w:r>
          </w:p>
        </w:tc>
        <w:tc>
          <w:tcPr>
            <w:tcW w:w="7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Regulatory Liabilities</w:t>
            </w:r>
          </w:p>
        </w:tc>
        <w:tc>
          <w:tcPr>
            <w:tcW w:w="10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Taxes </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Wholesale and Retail Contra AFUDC </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Removal Obligations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Non-Jurisdictional Land Sales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Credits</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Boswell Units 1 and 2 Net Plant and Equipment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Adjustment Clause</w:t>
            </w:r>
          </w:p>
        </w:tc>
        <w:tc>
          <w:tcPr>
            <w:tcW w:w="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Non-Current Regulatory Liabilities</w:t>
            </w:r>
          </w:p>
        </w:tc>
        <w:tc>
          <w:tcPr>
            <w:tcW w:w="7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 </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(a)Current regulatory assets are presented within Prepayments and Other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(b)Current regulatory liabilities are presented within Other Current Liabilities on the Consolidated Balance Sheet.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3. EQUITY INVESTMENTS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Investment in ATC</w:t>
      </w:r>
      <w:r>
        <w:rPr>
          <w:rFonts w:ascii="Times New Roman;sans-serif" w:hAnsi="Times New Roman;sans-serif"/>
          <w:b w:val="false"/>
          <w:color w:val="000000"/>
          <w:sz w:val="20"/>
        </w:rPr>
        <w:t xml:space="preserve">. 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w:t>
      </w:r>
    </w:p>
    <w:tbl>
      <w:tblPr>
        <w:tblW w:w="6034" w:type="dxa"/>
        <w:jc w:val="left"/>
        <w:tblInd w:w="0" w:type="dxa"/>
        <w:tblLayout w:type="fixed"/>
        <w:tblCellMar>
          <w:top w:w="28" w:type="dxa"/>
          <w:left w:w="28" w:type="dxa"/>
          <w:bottom w:w="28" w:type="dxa"/>
          <w:right w:w="28" w:type="dxa"/>
        </w:tblCellMar>
      </w:tblPr>
      <w:tblGrid>
        <w:gridCol w:w="1869"/>
        <w:gridCol w:w="1639"/>
        <w:gridCol w:w="1651"/>
        <w:gridCol w:w="360"/>
        <w:gridCol w:w="361"/>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ATC</w:t>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Investments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ATC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ATC Earnings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Remeasurement of Deferred Income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March 31, 2025</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56540"/>
                <wp:effectExtent l="0" t="0" r="0" b="0"/>
                <wp:wrapNone/>
                <wp:docPr id="17" name="Frame1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EQUITY INVESTMENTS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FERC issued a Notice of Proposed Rulemaking in 2021 proposing to limit the 0.50 percent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Investment in Nobles 2. </w:t>
      </w:r>
      <w:r>
        <w:rPr>
          <w:rFonts w:ascii="Times New Roman;sans-serif" w:hAnsi="Times New Roman;sans-serif"/>
          <w:b w:val="false"/>
          <w:color w:val="000000"/>
          <w:sz w:val="20"/>
        </w:rPr>
        <w:t xml:space="preserve">Our subsidiary, ALLETE South Wind, owns 49 percent of Nobles 2, the entity that owns and operates a 250 MW wind energy facility in southwestern Minnesota pursuant to a 20-year PPA with Minnesota Power. We account for our investment in Nobles 2 under the equity method of accounting. </w:t>
      </w:r>
    </w:p>
    <w:p>
      <w:pPr>
        <w:pStyle w:val="TextBody"/>
        <w:bidi w:val="0"/>
        <w:spacing w:before="0" w:after="0"/>
        <w:jc w:val="left"/>
        <w:rPr/>
      </w:pPr>
      <w:r>
        <w:rPr/>
      </w:r>
    </w:p>
    <w:tbl>
      <w:tblPr>
        <w:tblW w:w="5239" w:type="dxa"/>
        <w:jc w:val="left"/>
        <w:tblInd w:w="0" w:type="dxa"/>
        <w:tblLayout w:type="fixed"/>
        <w:tblCellMar>
          <w:top w:w="28" w:type="dxa"/>
          <w:left w:w="28" w:type="dxa"/>
          <w:bottom w:w="28" w:type="dxa"/>
          <w:right w:w="28" w:type="dxa"/>
        </w:tblCellMar>
      </w:tblPr>
      <w:tblGrid>
        <w:gridCol w:w="1581"/>
        <w:gridCol w:w="1388"/>
        <w:gridCol w:w="1395"/>
        <w:gridCol w:w="360"/>
        <w:gridCol w:w="361"/>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ALLETE’s Investment in Nobles 2</w:t>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December 31,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Equity in Nobles 2 Earnings</w:t>
            </w:r>
            <w:r>
              <w:rPr>
                <w:color w:val="000000"/>
              </w:rPr>
              <w:t xml:space="preserve"> </w:t>
            </w:r>
            <w:r>
              <w:rPr>
                <w:rFonts w:ascii="Times New Roman;sans-serif" w:hAnsi="Times New Roman;sans-serif"/>
                <w:b w:val="false"/>
                <w:i/>
                <w:color w:val="000000"/>
                <w:sz w:val="18"/>
              </w:rPr>
              <w:t>(a)</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Distributed Nobles 2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Balance as of March 31, 2025</w:t>
            </w:r>
          </w:p>
        </w:tc>
        <w:tc>
          <w:tcPr>
            <w:tcW w:w="72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(a)The Company also recorded earnings from net loss attributable to non-controlling interest of $3.9 million related to its investment in Nobles 2.</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7. Fair Value to the Consolidated Financial Statements in our 2024 Form 10-K.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by level within the fair value hierarchy, our assets and liabilities that were accounted for at fair value on a recurring basis as of March 31, 2025, and December 31, 2024.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56540"/>
                <wp:effectExtent l="0" t="0" r="0" b="0"/>
                <wp:wrapNone/>
                <wp:docPr id="18" name="Frame1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4. FAIR VALUE (Continued)</w:t>
      </w:r>
    </w:p>
    <w:p>
      <w:pPr>
        <w:pStyle w:val="TextBody"/>
        <w:bidi w:val="0"/>
        <w:spacing w:before="0" w:after="0"/>
        <w:jc w:val="both"/>
        <w:rPr/>
      </w:pPr>
      <w:r>
        <w:rPr/>
      </w:r>
    </w:p>
    <w:tbl>
      <w:tblPr>
        <w:tblW w:w="10190" w:type="dxa"/>
        <w:jc w:val="left"/>
        <w:tblInd w:w="0" w:type="dxa"/>
        <w:tblLayout w:type="fixed"/>
        <w:tblCellMar>
          <w:top w:w="28" w:type="dxa"/>
          <w:left w:w="28" w:type="dxa"/>
          <w:bottom w:w="28" w:type="dxa"/>
          <w:right w:w="28" w:type="dxa"/>
        </w:tblCellMar>
      </w:tblPr>
      <w:tblGrid>
        <w:gridCol w:w="2049"/>
        <w:gridCol w:w="1797"/>
        <w:gridCol w:w="1808"/>
        <w:gridCol w:w="307"/>
        <w:gridCol w:w="309"/>
        <w:gridCol w:w="246"/>
        <w:gridCol w:w="134"/>
        <w:gridCol w:w="134"/>
        <w:gridCol w:w="134"/>
        <w:gridCol w:w="319"/>
        <w:gridCol w:w="297"/>
        <w:gridCol w:w="246"/>
        <w:gridCol w:w="134"/>
        <w:gridCol w:w="134"/>
        <w:gridCol w:w="134"/>
        <w:gridCol w:w="244"/>
        <w:gridCol w:w="244"/>
        <w:gridCol w:w="246"/>
        <w:gridCol w:w="134"/>
        <w:gridCol w:w="134"/>
        <w:gridCol w:w="134"/>
        <w:gridCol w:w="307"/>
        <w:gridCol w:w="309"/>
        <w:gridCol w:w="256"/>
      </w:tblGrid>
      <w:tr>
        <w:trPr/>
        <w:tc>
          <w:tcPr>
            <w:tcW w:w="204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March 31, 2025</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Available-for-sale – Corporate and Governmental Debt Securities </w:t>
            </w:r>
            <w:r>
              <w:rPr>
                <w:rFonts w:ascii="Times New Roman;sans-serif" w:hAnsi="Times New Roman;sans-serif"/>
                <w:b w:val="false"/>
                <w:i/>
                <w:color w:val="000000"/>
                <w:sz w:val="18"/>
              </w:rPr>
              <w:t>(b)</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as of December 31, 2024</w:t>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Recurring Fair Value Measures</w:t>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1</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2</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Level 3</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5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w:t>
            </w:r>
            <w:r>
              <w:rPr>
                <w:rFonts w:ascii="Times New Roman;sans-serif" w:hAnsi="Times New Roman;sans-serif"/>
                <w:b w:val="false"/>
                <w:i/>
                <w:color w:val="000000"/>
                <w:sz w:val="18"/>
              </w:rPr>
              <w:t>(a)</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Equity Securities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 Corporate and Governmental Debt Securities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Assets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Deferred Compensation </w:t>
            </w:r>
            <w:r>
              <w:rPr>
                <w:rFonts w:ascii="Times New Roman;sans-serif" w:hAnsi="Times New Roman;sans-serif"/>
                <w:b w:val="false"/>
                <w:i/>
                <w:color w:val="000000"/>
                <w:sz w:val="18"/>
              </w:rPr>
              <w:t>(c)</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Liabilities</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(a)Included in Other Non-Current Assets on the Consolidated Balance Sheet.</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(b)As of March 31, 2025, the aggregate amount of available-for-sale corporate and governmental debt securities maturing in one year or less was $2.1 million, in one year to less than three years was $2.9 million, in three years to less than five years was $0.9 million and in five or more years was $0.5 million.</w:t>
      </w:r>
    </w:p>
    <w:p>
      <w:pPr>
        <w:pStyle w:val="TextBody"/>
        <w:bidi w:val="0"/>
        <w:spacing w:lineRule="auto" w:line="288" w:before="0" w:after="0"/>
        <w:ind w:left="0" w:right="0" w:hanging="360"/>
        <w:jc w:val="left"/>
        <w:rPr>
          <w:rFonts w:ascii="Times New Roman;sans-serif" w:hAnsi="Times New Roman;sans-serif"/>
          <w:b w:val="false"/>
          <w:i/>
          <w:color w:val="000000"/>
          <w:sz w:val="18"/>
        </w:rPr>
      </w:pPr>
      <w:r>
        <w:rPr>
          <w:rFonts w:ascii="Times New Roman;sans-serif" w:hAnsi="Times New Roman;sans-serif"/>
          <w:b w:val="false"/>
          <w:i/>
          <w:color w:val="000000"/>
          <w:sz w:val="18"/>
        </w:rPr>
        <w:t xml:space="preserve">(c)Included in Other Non-Current Liabilities on the Consolidated Balance Sheet.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Fair Value of Financial Instruments.</w:t>
      </w:r>
      <w:r>
        <w:rPr>
          <w:color w:val="000000"/>
        </w:rPr>
        <w:t xml:space="preserve"> </w:t>
      </w:r>
      <w:r>
        <w:rPr>
          <w:rFonts w:ascii="Times New Roman;sans-serif" w:hAnsi="Times New Roman;sans-serif"/>
          <w:b w:val="false"/>
          <w:color w:val="000000"/>
          <w:sz w:val="20"/>
        </w:rPr>
        <w:t>With the exception of the item listed in the following table, the estimated fair value of all financial instruments approximates the carrying amount. The fair value for the item listed in the following table was based on quoted market prices for the same or similar instruments (Level 2).</w:t>
      </w:r>
    </w:p>
    <w:tbl>
      <w:tblPr>
        <w:tblW w:w="6040" w:type="dxa"/>
        <w:jc w:val="left"/>
        <w:tblInd w:w="0" w:type="dxa"/>
        <w:tblLayout w:type="fixed"/>
        <w:tblCellMar>
          <w:top w:w="28" w:type="dxa"/>
          <w:left w:w="28" w:type="dxa"/>
          <w:bottom w:w="28" w:type="dxa"/>
          <w:right w:w="28" w:type="dxa"/>
        </w:tblCellMar>
      </w:tblPr>
      <w:tblGrid>
        <w:gridCol w:w="1098"/>
        <w:gridCol w:w="963"/>
        <w:gridCol w:w="969"/>
        <w:gridCol w:w="539"/>
        <w:gridCol w:w="539"/>
        <w:gridCol w:w="541"/>
        <w:gridCol w:w="109"/>
        <w:gridCol w:w="109"/>
        <w:gridCol w:w="109"/>
        <w:gridCol w:w="311"/>
        <w:gridCol w:w="311"/>
        <w:gridCol w:w="442"/>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Instruments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$1,820.1</w:t>
            </w:r>
          </w:p>
        </w:tc>
      </w:tr>
      <w:tr>
        <w:trPr/>
        <w:tc>
          <w:tcPr>
            <w:tcW w:w="303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161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Assets and Liabilities Measured at Fair Value on a Nonrecurring Basis. </w:t>
      </w:r>
      <w:r>
        <w:rPr>
          <w:rFonts w:ascii="Times New Roman;sans-serif" w:hAnsi="Times New Roman;sans-serif"/>
          <w:b w:val="false"/>
          <w:color w:val="000000"/>
          <w:sz w:val="20"/>
        </w:rPr>
        <w:t xml:space="preserve">Non-financial assets such as equity method investments, goodwill, intangible assets, and property, plant and equipment are measured at fair value when there is an indicator of impairment and recorded at fair value only when an impairment is recognized. For the three months ended March 31, 2025, and the year ended December 31, 2024, there were no indicators of impairment for these non-financial assets.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monitor changes in the broader energy markets along with wind resource expectations that could indicate impairment at ALLETE Clean Energy wind energy facilities upon contract expirations. A decline or volatility in energy prices or lower wind resource expectations could result in a future impairment.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56540"/>
                <wp:effectExtent l="0" t="0" r="0" b="0"/>
                <wp:wrapNone/>
                <wp:docPr id="19" name="Frame1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5. SHORT-TERM AND LONG-TERM DEBT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short-term and long-term debt as of March 31, 2025, and December 31, 2024:</w:t>
      </w:r>
    </w:p>
    <w:tbl>
      <w:tblPr>
        <w:tblW w:w="7331" w:type="dxa"/>
        <w:jc w:val="left"/>
        <w:tblInd w:w="0" w:type="dxa"/>
        <w:tblLayout w:type="fixed"/>
        <w:tblCellMar>
          <w:top w:w="28" w:type="dxa"/>
          <w:left w:w="28" w:type="dxa"/>
          <w:bottom w:w="28" w:type="dxa"/>
          <w:right w:w="28" w:type="dxa"/>
        </w:tblCellMar>
      </w:tblPr>
      <w:tblGrid>
        <w:gridCol w:w="532"/>
        <w:gridCol w:w="468"/>
        <w:gridCol w:w="469"/>
        <w:gridCol w:w="435"/>
        <w:gridCol w:w="436"/>
        <w:gridCol w:w="301"/>
        <w:gridCol w:w="109"/>
        <w:gridCol w:w="109"/>
        <w:gridCol w:w="109"/>
        <w:gridCol w:w="969"/>
        <w:gridCol w:w="969"/>
        <w:gridCol w:w="971"/>
        <w:gridCol w:w="109"/>
        <w:gridCol w:w="109"/>
        <w:gridCol w:w="109"/>
        <w:gridCol w:w="435"/>
        <w:gridCol w:w="436"/>
        <w:gridCol w:w="256"/>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March 31, 2025</w:t>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Unamortized Debt Issuance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 </w:t>
            </w:r>
          </w:p>
        </w:tc>
        <w:tc>
          <w:tcPr>
            <w:tcW w:w="3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$1,927.0 </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629"/>
        <w:gridCol w:w="554"/>
        <w:gridCol w:w="556"/>
        <w:gridCol w:w="435"/>
        <w:gridCol w:w="436"/>
        <w:gridCol w:w="109"/>
        <w:gridCol w:w="109"/>
        <w:gridCol w:w="109"/>
        <w:gridCol w:w="109"/>
        <w:gridCol w:w="193"/>
        <w:gridCol w:w="193"/>
        <w:gridCol w:w="198"/>
        <w:gridCol w:w="109"/>
        <w:gridCol w:w="109"/>
        <w:gridCol w:w="109"/>
        <w:gridCol w:w="435"/>
        <w:gridCol w:w="43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December 31, 2024</w:t>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Millions</w:t>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Short-Term Debt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$1,799.4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had $20.2 outstanding standby letters of credit and no outstanding draws under our lines of credit as of March 31, 2025 ($16.2 million in standby letters of credit and $20.0 million outstanding draws on our lines of credit as of December 31, 2024). We also have standby letters of credit outstanding under other letter of credit facilities. (See Note 6. Commitments, Guarantees and Contingencies.)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2025, ALLETE issued and sold $150 million of senior unsecured notes (“Notes”) to certain institutional buyers in the private placement market. The Notes were sold in reliance on an exemption from registration under Section 4(a)(2) of the Securities Act of 1933, as amended, to institutional accredited investors. Of the Notes issued and sold, $120 million of the Notes bear interest at a rate of 5.38 percent and mature on March 25, 2030, and $30 million of the Notes bear interest at a rate of 5.82 percent and mature on March 25, 2035. Interest on the Notes will be payable semi-annually on April 1 and October 1 of each year, commencing on October 1, 2025. The Company has the option to prepay all or a portion of the Notes at its discretion, subject to a make-whole provision. The Notes are subject to additional terms and conditions which are customary for these types of transactions. Proceeds from the sale of the Notes were used for refinancing of debt and general corporate purposes.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Our long-term debt arrangements contain customary covenants. In addition, our lines of credit and letters of credit supporting certain 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2025, our ratio was approximately 0.38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however, under the Merger Agreement, the Company has agreed not to declare or pay dividends except for quarterly cash dividends payable by us in respect of shares of our common stock on a schedule consistent with our past practices in an amount not to exceed 5 percent per share more than the dividend payable during the prior 12-month period, subject to certain other exceptions. (See Note 11. Agreement and Plan of Merger.). As of March 31, 2025, ALLETE was in compliance with its financial covenants.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56540"/>
                <wp:effectExtent l="0" t="0" r="0" b="0"/>
                <wp:wrapNone/>
                <wp:docPr id="20" name="Frame2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Power Purchase and Sale Agreements.</w:t>
      </w:r>
      <w:r>
        <w:rPr>
          <w:color w:val="000000"/>
        </w:rPr>
        <w:t xml:space="preserve"> </w:t>
      </w:r>
      <w:r>
        <w:rPr>
          <w:rFonts w:ascii="Times New Roman;sans-serif" w:hAnsi="Times New Roman;sans-serif"/>
          <w:b w:val="false"/>
          <w:color w:val="000000"/>
          <w:sz w:val="20"/>
        </w:rPr>
        <w:t>Our long-term PPAs have been evaluated under the accounting guidance for variable interest entities. We have 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PPAs are summarized in Note 9. Commitments, Guarantees and Contingencies to the Consolidated Financial Statements in our 2024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Square Butte PPA.</w:t>
      </w:r>
      <w:r>
        <w:rPr>
          <w:color w:val="000000"/>
        </w:rPr>
        <w:t xml:space="preserve"> </w:t>
      </w:r>
      <w:r>
        <w:rPr>
          <w:rFonts w:ascii="Times New Roman;sans-serif" w:hAnsi="Times New Roman;sans-serif"/>
          <w:b w:val="false"/>
          <w:color w:val="000000"/>
          <w:sz w:val="20"/>
        </w:rPr>
        <w:t>As of March 31, 2025, Square Butte had total debt outstanding of $163.0 million. Fuel expenses are recoverable through Minnesota Power’s fuel adjustment clause and include the cost of coal purchased from BNI Energy under a long-term contract. Minnesota Power’s cost of power purchased from Square Butte during the three months ended March 31, 2025, was $20.3 million ($22.9 million for the same period in 2024). This reflects Minnesota Power’s pro rata share of total Square Butte costs based on the 50 percent output entitlement. Included in this amount was Minnesota Power’s pro rata share of interest expense of $1.0 million ($1.3 million for the same period in 2024). Minnesota Power’s payments to Square Butte are approved as a purchased power expense for ratemaking purposes by both the MPUC and the FERC.</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Minnkota Power PSA.</w:t>
      </w:r>
      <w:r>
        <w:rPr>
          <w:color w:val="000000"/>
        </w:rPr>
        <w:t xml:space="preserve"> </w:t>
      </w:r>
      <w:r>
        <w:rPr>
          <w:rFonts w:ascii="Times New Roman;sans-serif" w:hAnsi="Times New Roman;sans-serif"/>
          <w:b w:val="false"/>
          <w:color w:val="000000"/>
          <w:sz w:val="20"/>
        </w:rPr>
        <w:t>Minnesota Power has a PSA with Minnkota Power, which commenced in 2014. Under the PSA, 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Minnesota Power sold to Minnkota Power approximately 46 percent in 2025 and 41 percent in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Coal, Rail and Shipping Contracts.</w:t>
      </w:r>
      <w:r>
        <w:rPr>
          <w:color w:val="000000"/>
        </w:rPr>
        <w:t xml:space="preserve"> </w:t>
      </w:r>
      <w:r>
        <w:rPr>
          <w:rFonts w:ascii="Times New Roman;sans-serif" w:hAnsi="Times New Roman;sans-serif"/>
          <w:b w:val="false"/>
          <w:color w:val="000000"/>
          <w:sz w:val="20"/>
        </w:rPr>
        <w:t xml:space="preserve">Minnesota Power has coal supply agreements providing for the purchase of a significant portion of its coal requirements through December 2027. Minnesota Power also has coal transportation agreements in place for the delivery of a significant portion of its coal requirements through December 2027. The costs of fuel and related transportation costs for Minnesota Power’s generation are recoverable from Minnesota Power’s utility customers through the fuel adjustment clause.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56540"/>
                <wp:effectExtent l="0" t="0" r="0" b="0"/>
                <wp:wrapNone/>
                <wp:docPr id="21" name="Frame2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Federal Environmental Regulatory Agenda.</w:t>
      </w:r>
      <w:r>
        <w:rPr>
          <w:color w:val="000000"/>
        </w:rPr>
        <w:t xml:space="preserve"> </w:t>
      </w:r>
      <w:r>
        <w:rPr>
          <w:rFonts w:ascii="Times New Roman;sans-serif" w:hAnsi="Times New Roman;sans-serif"/>
          <w:b w:val="false"/>
          <w:color w:val="000000"/>
          <w:sz w:val="20"/>
        </w:rPr>
        <w:t>On March 12, 2025, the EPA announced its intent to reevaluate or reconsider numerous environmental regulations. This list includes various air, water, and waste environmental regulatory actions, many of which apply at the Company. The specific timing or outcome of this initiative is not yet known, but regular required rulemaking processes and procedures still apply, and litigation may also occur. The following disclosures do not attempt to discern potential impacts of these deregulatory actions until and unless formal rulemaking or other regulatory actions are announced and the potential impacts to ALLETE operations can be discerned. We are unable to predict the outcome of the reevaluation or reconsideration of these environmental regulations.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Air.</w:t>
      </w:r>
      <w:r>
        <w:rPr>
          <w:color w:val="000000"/>
        </w:rPr>
        <w:t xml:space="preserve"> </w:t>
      </w:r>
      <w:r>
        <w:rPr>
          <w:rFonts w:ascii="Times New Roman;sans-serif" w:hAnsi="Times New Roman;sans-serif"/>
          <w:b w:val="false"/>
          <w:color w:val="000000"/>
          <w:sz w:val="20"/>
        </w:rPr>
        <w:t>The electric utility industry is regulated both at the federal and state level to address air emissions. Minnesota Power’s thermal generating facilities mainly burn low-sulfur western sub-bituminous coal, as well as natural gas and biomass. All of Minnesota Power’s coal-fired generating facilities are equipped with pollution control equipment such as scrubbers, baghouses and low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technologies. Under currently applicable environmental regulations, these facilities are substantially compliant with emission requirements.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Cross-State Air Pollution Rule (CSAPR).</w:t>
      </w:r>
      <w:r>
        <w:rPr>
          <w:color w:val="000000"/>
        </w:rPr>
        <w:t xml:space="preserve"> </w:t>
      </w:r>
      <w:r>
        <w:rPr>
          <w:rFonts w:ascii="Times New Roman;sans-serif" w:hAnsi="Times New Roman;sans-serif"/>
          <w:b w:val="false"/>
          <w:color w:val="000000"/>
          <w:sz w:val="20"/>
        </w:rPr>
        <w:t>The CSAPR requires certain states in the eastern half of the U.S., including Minnesota, to reduce power plant 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and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allowances issued and pending issuance as well as consideration of current rules, we currently expect generation levels and emission rates will result in continued compliance with the CSAPR. Minnesota Power will continue to monitor ongoing CSAPR rulemakings and compliance implementation, including the EPA’s Good Neighbor Rule which modifies certain aspects of the CSAPR’s program scope and extent (see </w:t>
      </w: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National Ambient Air Quality Standards (NAAQS).</w:t>
      </w:r>
      <w:r>
        <w:rPr>
          <w:color w:val="000000"/>
        </w:rPr>
        <w:t xml:space="preserve"> </w:t>
      </w:r>
      <w:r>
        <w:rPr>
          <w:rFonts w:ascii="Times New Roman;sans-serif" w:hAnsi="Times New Roman;sans-serif"/>
          <w:b w:val="false"/>
          <w:color w:val="000000"/>
          <w:sz w:val="20"/>
        </w:rPr>
        <w:t>The EPA is required to review each NAAQS every five years. If the EPA determines that a state’s air quality is not in compliance with the NAAQS, the state is required to adopt plans describing how it will reduce emissions to attain the NAAQS. Minnesota Power actively monitors NAAQS developments, and the EPA has recently reassessed several primary and secondary NAAQS for NOx, SO</w:t>
      </w:r>
      <w:r>
        <w:rPr>
          <w:rFonts w:ascii="Times New Roman;sans-serif" w:hAnsi="Times New Roman;sans-serif"/>
          <w:b w:val="false"/>
          <w:color w:val="000000"/>
          <w:sz w:val="13"/>
        </w:rPr>
        <w:t>2</w:t>
      </w:r>
      <w:r>
        <w:rPr>
          <w:rFonts w:ascii="Times New Roman;sans-serif" w:hAnsi="Times New Roman;sans-serif"/>
          <w:b w:val="false"/>
          <w:color w:val="000000"/>
          <w:sz w:val="20"/>
        </w:rPr>
        <w:t>, and particulate matter. Implementation of the EPA’s February 2024 final rule lowering the annual primary standard for fine particulate matter began on May 6, 2024. On December 27, 2024, the EPA published a final rule in the Federal Register revising the secondary SO</w:t>
      </w: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NAAQS while retaining the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 xml:space="preserve">and particulate matter secondary standards, with a final rule effective date of January 27, 2025. Anticipated timelines and compliance costs related to this and other potential NAAQS revisions cannot yet be estimated but costs could be material. Minnesota Power would seek recovery of additional costs through a rate proceeding.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Good Neighbor Plan for 2015 Ozone NAAQS</w:t>
      </w:r>
      <w:r>
        <w:rPr>
          <w:rFonts w:ascii="Times New Roman;sans-serif" w:hAnsi="Times New Roman;sans-serif"/>
          <w:b w:val="false"/>
          <w:color w:val="000000"/>
          <w:sz w:val="20"/>
        </w:rPr>
        <w:t>. On June 5, 2023, after disapproving state implementation plans, the EPA published a final Federal Implementation Plan (FIP) rule in the Federal Register, the Good Neighbor Plan, to address regional ozone transport for the 2015 Ozone NAAQS by reducing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emissions during the period of May 1 through September 30 (ozone season). In its justification for the final rule, the EPA asserted that 23 states, including Minnesota, were modeled as significant contributors to downwind states’ challenges in attaining or maintaining ozone NAAQS compliance within their state borders. The Good Neighbor Plan is designed to resolve this interstate transport issue by implementing a variety of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reduction strategies, including federal implementation plan requirements,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 xml:space="preserve">emission limitations, and ozone season allowance program requirements. The final rule imposed restrictions on fossil-fuel fired power plants in 22 states and on certain industrial sources in 20 states, with implementation occurring through changes to the existing CSAPR program for power plants. </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56540"/>
                <wp:effectExtent l="0" t="0" r="0" b="0"/>
                <wp:wrapNone/>
                <wp:docPr id="22" name="Frame2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the EPA partially disapproved the Good Neighbor State Implementation Plans (SIPs) for the states of Minnesota and Wisconsin, among others, Minnesota became subject to the final Good Neighbor Plan. However, Minnesota Power and a coalition of other Minnesota utilities and industry (the parties) co-filed challenges to the EPA’s final Minnesota SIP disapproval, submitting a petition for reconsideration and stay to the EPA, and a petition for judicial review to the Eighth Circuit Court. The parties are challenging and requesting reconsideration of certain technical components of the EPA’s review and subsequent partial disapproval of the state of Minnesota’s SIP. In July 2023, the Eighth Circuit Court granted a stay of the SIP disapproval preventing the Good Neighbor Plan from taking effect in Minnesota; oral arguments occurred in October 2024. In April 2024, the EPA published a partial denial of several administrative reconsideration and stay petitions, including from the Minnesota coalition. On September 29, 2023, the EPA issued an updated final interim rule addressing the stays in Minnesota and five other states, formally delaying the effective date of the final FIP for states with active stays in place. The state of Minnesota therefore did not become subject to compliance obligations for the 2023 or 2024 ozone seasons.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Future compliance obligations will depend on resolution of the stay and outcomes of related litigation. Additional challenges have been filed against the final FIP rule by the Minnesota coalition parties and other entities, although the Minnesota coalition FIP challenge is currently in abeyance pending resolution of the SIP disapproval case. On June 27, 2024, the U.S. Supreme Court granted an emergency stay of the FIP rule requested by several states and industry groups, staying enforcement pending the D.C. Circuit’s review and any petition for writ of certiorari. In response to the U.S. Supreme Court’s stay order, the EPA published a third interim rule in the Federal Register on November 6, 2024, staying the effectiveness of the Good Neighbor FIP in the 10 remaining covered states, including Wisconsin. On March 10, 2025, the EPA filed a motion with the D.C. Circuit requesting a voluntary remand of its FIP, stating they anticipate completing replacement rulemaking by Fall 2026. Anticipated timelines and compliance costs related to final Good Neighbor Plan compliance cannot yet be estimated due to uncertainties about SIP approval resolution, implementation timing, FIP rule outcome, and allowance costs and facility emissions during the ozone season. However, the costs could be material, including costs of additional NO</w:t>
      </w:r>
      <w:r>
        <w:rPr>
          <w:rFonts w:ascii="Times New Roman;sans-serif" w:hAnsi="Times New Roman;sans-serif"/>
          <w:b w:val="false"/>
          <w:color w:val="000000"/>
          <w:sz w:val="13"/>
        </w:rPr>
        <w:t>x</w:t>
      </w:r>
      <w:r>
        <w:rPr>
          <w:color w:val="000000"/>
        </w:rPr>
        <w:t xml:space="preserve"> </w:t>
      </w:r>
      <w:r>
        <w:rPr>
          <w:rFonts w:ascii="Times New Roman;sans-serif" w:hAnsi="Times New Roman;sans-serif"/>
          <w:b w:val="false"/>
          <w:color w:val="000000"/>
          <w:sz w:val="20"/>
        </w:rPr>
        <w:t>controls, emission allowance program participation, or operational changes, if any are required. Minnesota Power would seek recovery of additional costs through a rate proceeding. Additionally, final rates in Minnesota Power’s most recent rate case were implemented on March 1, 2025, allowing any necessary allowance purchase costs to transfer to the fuel adjustment clause.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EPA National Emission Standards for Hazardous Air Pollutants for Major Sources: Industrial, Commercial and Institutional Boilers and Process Heaters (Industrial Boiler MACT) Rule</w:t>
      </w:r>
      <w:r>
        <w:rPr>
          <w:rFonts w:ascii="Times New Roman;sans-serif" w:hAnsi="Times New Roman;sans-serif"/>
          <w:b w:val="false"/>
          <w:color w:val="000000"/>
          <w:sz w:val="20"/>
        </w:rPr>
        <w:t xml:space="preserve">. A final rule issued by the EPA for Industrial Boiler MACT became effective in 2013 with compliance required at major existing sources in 2016, which applied to Minnesota Power’s Hibbard Renewable Energy Center and Rapids Energy Center. Compliance consisted largely of adjustments to fuels and operating practices and compliance costs were not material. After this initial rulemaking, litigation from 2016 through 2018 resulted in court orders directing that the EPA reconsider certain aspects of the regulation. A final rule incorporating these revisions became effective in December 2022, with a compliance deadline of October 6, 2025. Compliance costs are not expected to be material. </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EPA Mercury and Air Toxics Standards (MATS) Rule</w:t>
      </w:r>
      <w:r>
        <w:rPr>
          <w:rFonts w:ascii="Times New Roman;sans-serif" w:hAnsi="Times New Roman;sans-serif"/>
          <w:b w:val="false"/>
          <w:color w:val="000000"/>
          <w:sz w:val="20"/>
        </w:rPr>
        <w:t xml:space="preserve">. On April 25, 2024, the EPA published a final rule to revise the existing 2012 MATS Rule, which regulates air emissions of hazardous air pollutants from coal- and oil-fired electric generating units (EGUs). The final rule eliminates certain MATS compliance flexibility, lowers the particulate emission standard for all coal-fired EGUs, and reduces the mercury emission standard for lignite-fired EGUs. The rule became effective July 8, 2024, with compliance required beginning July 6, 2027. The MATS regulation applies at Minnesota Power’s Boswell facility, which is currently well-controlled for these emissions and already complying with some of the new requirements. The Company anticipates the new rule will not have material impacts at Boswell. However, compliance costs cannot yet be fully estimated, and recovery of any additional costs would be sought through a rate proceeding. Litigation against the EPA’s latest MATS Rule revision from a number of U.S. states, as well as several companies and industry groups, is ongoing. Motions to stay the rule were denied by the U.S. Court of Appeals for the D.C. Circuit on August 6, 2024, and the U.S. Supreme Court on October 4, 2024. On April 8, 2025, President Trump issued a proclamation entitled </w:t>
      </w:r>
      <w:r>
        <w:rPr>
          <w:rFonts w:ascii="Times New Roman;sans-serif" w:hAnsi="Times New Roman;sans-serif"/>
          <w:b w:val="false"/>
          <w:i/>
          <w:color w:val="000000"/>
          <w:sz w:val="20"/>
        </w:rPr>
        <w:t xml:space="preserve">Regulatory Relief for Certain Stationary Sources to Promote American Energy </w:t>
      </w:r>
      <w:r>
        <w:rPr>
          <w:rFonts w:ascii="Times New Roman;sans-serif" w:hAnsi="Times New Roman;sans-serif"/>
          <w:b w:val="false"/>
          <w:color w:val="000000"/>
          <w:sz w:val="20"/>
        </w:rPr>
        <w:t>granting a two-year compliance extension deadline to “certain stationary sources” subject to the 2024 MATS Rule. The list of the specific facilities who may qualify for the exemption has not yet been made available.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56540"/>
                <wp:effectExtent l="0" t="0" r="0" b="0"/>
                <wp:wrapNone/>
                <wp:docPr id="23" name="Frame2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Climate Change.</w:t>
      </w:r>
      <w:r>
        <w:rPr>
          <w:color w:val="000000"/>
        </w:rPr>
        <w:t xml:space="preserve"> </w:t>
      </w:r>
      <w:r>
        <w:rPr>
          <w:rFonts w:ascii="Times New Roman;sans-serif" w:hAnsi="Times New Roman;sans-serif"/>
          <w:b w:val="false"/>
          <w:color w:val="000000"/>
          <w:sz w:val="20"/>
        </w:rPr>
        <w:t>The scientific community generally accepts that emissions of GHGs are linked to global climate change which creates physical and 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Expanding renewable power supply for both our operations and the operations of others;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Providing energy conservation initiatives for our customers and engaging in other demand side management efforts;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Improving efficiency of our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Supporting research of technologies to reduce carbon emissions from generating facilities and carbon sequestration efforts;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Evaluating and developing less carbon intensive future generating assets such as efficient and flexible natural gas</w:t>
        <w:noBreakHyphen/>
        <w:t>fired generating facilities;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Managing vegetation on right-of-way corridors to reduce potential wildfire or storm damage risks; and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Practicing sound forestry management in our service territories to create landscapes more resilient to disruption from climate-related changes, including planting and managing long-lived conifer species.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EPA Regulation of GHG Emissions. </w:t>
      </w:r>
      <w:r>
        <w:rPr>
          <w:rFonts w:ascii="Times New Roman;sans-serif" w:hAnsi="Times New Roman;sans-serif"/>
          <w:b w:val="false"/>
          <w:color w:val="000000"/>
          <w:sz w:val="20"/>
        </w:rPr>
        <w:t>On April 25, 2024, the EPA issued several final greenhouse gas regulations to establish emissions standards and guidelines for fossil fuel-fired electric generating units (EGUs) under Section 111 of the Clean Air Act (CAA). The final rules revise new source performance standards (NSPS) for new, modified and reconstructed EGUs (Section 111(b) of the CAA) and creates new emission guidelines for existing EGUs (Section 111(d) of the CAA). The action also officially repeals the predecessor regulation “Affordable Clean Energy Rule”, first issued in 2019 and later vacated in 2021. Compliance will be required beginning January 1, 2030, for existing sources, and upon commencing operation of new units. The 111(d) rule also requires states to submit plans to provide for the establishment, implementation and enforcement of performance standards for existing sources. States must submit either a state plan or negative declaration letter to the EPA by May 11, 2026.</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final Section 111 rules apply to several Company assets, including existing EGUs at the Boswell and Laskin facilities as well as the proposed combined cycle natural gas-fired generating facility, Nemadji Trail Energy Center. The Company anticipates compliance with the rules may require operational or planning adjustments. The state implementation plan process for Section 111(d) existing units will also be a factor in determining specific requirements and timing. We are unable to predict compliance costs at this time; however, the costs could be material. Minnesota Power would seek recovery of additional costs through a rate proceeding. The Company is also monitoring endangerment finding evaluations by the EPA, as well as litigation of the final Section 111 rules. Litigation began when the rules were published in the Federal Register on May 9, 2024, and continues in federal court. Both the D.C. Circuit and the U.S. Supreme Court have declined requests to block the rule from becoming effective while litigation is ongoing. Oral arguments in the D.C. Circuit occurred on December 6, 2024, with a merits decision currently expected by mid-2025. Outcomes from ongoing litigation may impact both the timing of rule effectiveness and the ultimate compliance obligations required by the rule.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56540"/>
                <wp:effectExtent l="0" t="0" r="0" b="0"/>
                <wp:wrapNone/>
                <wp:docPr id="24" name="Frame2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Water.</w:t>
      </w:r>
      <w:r>
        <w:rPr>
          <w:color w:val="000000"/>
        </w:rPr>
        <w:t xml:space="preserve"> </w:t>
      </w:r>
      <w:r>
        <w:rPr>
          <w:rFonts w:ascii="Times New Roman;sans-serif" w:hAnsi="Times New Roman;sans-serif"/>
          <w:b w:val="false"/>
          <w:color w:val="000000"/>
          <w:sz w:val="20"/>
        </w:rPr>
        <w:t>The Clean Water Act requires NPDES permits be obtained from the EPA or delegated state agencies for any wastewater discharged into navigable waters. We have obtained all necessary NPDES permits, including NPDES storm water permits for applicable facilities, to conduct our operations.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Steam Electric Power Generating Effluent Limitations Guidelines. </w:t>
      </w:r>
      <w:r>
        <w:rPr>
          <w:rFonts w:ascii="Times New Roman;sans-serif" w:hAnsi="Times New Roman;sans-serif"/>
          <w:b w:val="false"/>
          <w:color w:val="000000"/>
          <w:sz w:val="20"/>
        </w:rPr>
        <w:t>In 2015, the EPA issued revised federal effluent limitation guidelines (ELG) for steam electric power generating stations under the Clean Water Act. It set effluent limits and prescribed Best Available Control Technology (BACT) for several wastewater streams, including flue gas desulphurization (FGD) water, bottom ash transport water and coal combustion landfill leachate. In October 2020, the EPA published a final ELG Rule allowing re-use of bottom ash transport water in FGD scrubber systems with limited discharges related to maintaining system water balance. The rule set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9, 2024, the EPA finalized revisions to the 2020 ELG rule. The final rule establishes zero discharge limitations for bottom ash transport water, FGD wastewater, and combustion residual leachate. A definition for legacy wastewater was established, with deferral to state permit programs for setting discharge limits based on best professional judgment. The rule maintains exemptions for units permanently ceasing coal combustion by 2028 and adds a new subcategory for units that are retiring by 2032 and have already complied with either the 2015 or 2020 ELG rules. Additionally, the rule establishes mercury and arsenic limitations for functionally equivalent discharges of leachate via groundwater to surface water. Compliance deadlines are determined by the applicable state permitting authority through permit incorporation as soon as July 8, 2024, but no later than December 31, 2029.</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Bottom ash transport and FGD wastewater ELGs are not expected to have a significant impact on Minnesota Power operations. Zero leachate discharge requirements have the potential to impact dewatering associated with the closed Taconite Harbor dry ash landfill. New limitations for arsenic and mercury related to functionally equivalent (groundwater to surface water) discharges are not currently anticipated to impact Minnesota Power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Permitted Water Discharges – Sulfate</w:t>
      </w:r>
      <w:r>
        <w:rPr>
          <w:rFonts w:ascii="Times New Roman;sans-serif" w:hAnsi="Times New Roman;sans-serif"/>
          <w:b w:val="false"/>
          <w:color w:val="000000"/>
          <w:sz w:val="20"/>
        </w:rPr>
        <w:t xml:space="preserve">. In 2017, the MPCA released a draft water quality standard in an attempt to update Minnesota’s existing 10 mg/L 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federal Clean Water Act requires the MPCA to update the state's impaired water list every two years. Beginning in 2021 through the latest release approved by the EPA in April 2024, this list now includes Minnesota lakes and streams identified as wild rice waters that are listed for sulfate impairment. The list could subsequently be used to set sulfate limits in discharge permits for power generation facilities and municipal and industrial customers, including paper and pulp facilities, and mining operations. While Boswell Energy Center has received a NPDES Wastewater Permit that includes site specific sulfate limits that will not materially impact operations, at this time, we are unable to determine the specific impacts these developments may have on other Minnesota Power operations or its customers, if any. Minnesota Power would seek recovery of additional costs through a rate proceeding.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56540"/>
                <wp:effectExtent l="0" t="0" r="0" b="0"/>
                <wp:wrapNone/>
                <wp:docPr id="25" name="Frame2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Solid and Hazardous Waste.</w:t>
      </w:r>
      <w:r>
        <w:rPr>
          <w:color w:val="000000"/>
        </w:rPr>
        <w:t xml:space="preserve"> </w:t>
      </w:r>
      <w:r>
        <w:rPr>
          <w:rFonts w:ascii="Times New Roman;sans-serif" w:hAnsi="Times New Roman;sans-serif"/>
          <w:b w:val="false"/>
          <w:color w:val="000000"/>
          <w:sz w:val="20"/>
        </w:rPr>
        <w:t>The Resource Conservation and Recovery Act of 1976 regulates the management and disposal of solid and hazardous wastes. We are required to notify the EPA of hazardous waste activity and, consequently, routinely submit reports to the EPA.</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Coal Ash Management Facilities.</w:t>
      </w:r>
      <w:r>
        <w:rPr>
          <w:color w:val="000000"/>
        </w:rPr>
        <w:t xml:space="preserve"> </w:t>
      </w:r>
      <w:r>
        <w:rPr>
          <w:rFonts w:ascii="Times New Roman;sans-serif" w:hAnsi="Times New Roman;sans-serif"/>
          <w:b w:val="false"/>
          <w:color w:val="000000"/>
          <w:sz w:val="20"/>
        </w:rPr>
        <w:t xml:space="preserve">Minnesota Power produces the majority of its coal ash at Boswell, with small amounts of ash generated at Hibbard Renewable Energy Center. Ash storage and disposal methods include storing ash in clay-lined onsite impoundments (ash ponds), disposing of dry ash in a lined dry ash landfill, applying ash to land as an approved beneficial use, and trucking ash to state permitted landfills.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Boswell Ash Wastewater Spill.</w:t>
      </w:r>
      <w:r>
        <w:rPr>
          <w:color w:val="000000"/>
        </w:rPr>
        <w:t xml:space="preserve"> </w:t>
      </w:r>
      <w:r>
        <w:rPr>
          <w:rFonts w:ascii="Times New Roman;sans-serif" w:hAnsi="Times New Roman;sans-serif"/>
          <w:b w:val="false"/>
          <w:color w:val="000000"/>
          <w:sz w:val="20"/>
        </w:rPr>
        <w:t xml:space="preserve">On August 12, 2024, Minnesota Power received a Notice of Violation (NOV) from the MPCA, related to the spill at Boswell from a pipeline carrying ash wastewater from an inactive onsite storage pond to Blackwater Creek, which the Company reported on July 16, 2024. Minnesota Power responded to the MPCA NOV, clarifying certain statements made by the MPCA, as well as providing a written report and required plans. We are awaiting a proposed Stipulation Agreement from the MPCA. Minnesota Power continues to work with state and federal agencies to evaluate and remediate the impacts from this event. We incurred remediation costs of approximately $2 million pre-tax in the first quarter of 2025. We are unable to predict the total amount of remediation or other costs related to the ash wastewater spill at this time; however, the costs could be material.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Coal Combustion Residuals from Electric Utilities. </w:t>
      </w:r>
      <w:r>
        <w:rPr>
          <w:rFonts w:ascii="Times New Roman;sans-serif" w:hAnsi="Times New Roman;sans-serif"/>
          <w:b w:val="false"/>
          <w:color w:val="000000"/>
          <w:sz w:val="20"/>
        </w:rPr>
        <w:t>In 2015, the EPA published a final rule (2015 Rule) regulating CCR as nonhazardous waste under Subtitle D of the Resource Conservation and Recovery Act (RCRA) in the Federal Register. The rule included additional requirements for new landfill and impoundment construction as well as closure activities related to certain existing impoundments. Costs of compliance for Boswell and Laskin are expected to be incurred primarily over the next 12 years and be between approximately $65 million and $120 million. Compliance costs for CCR at Taconite Harbor are not expected to be material. Minnesota Power would seek recovery of additional costs through a rate proceeding.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 continues to work on minimizing compliance costs through evaluation of beneficial re-use and recycling of CCR. In 2018, a U.S. District Court for the District of Columbia decision vacated specific provisions of the CCR rule, which resulted in a change to the status of existing clay-lined impoundments at Boswell being considered unlined. In September 2020, the EPA finalized the CCR Part A Rule, which required all unlined impoundments to cease disposal and initiate closure. Upon completion of dry ash conversion activities, Boswell ceased disposal in both impoundments in September 2022. Both impoundments are now inactive and have initiated closure.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8, 2024, the EPA's final CCR Legacy Impoundment Rule was published in the Federal Register. The final rule expands the scope of units regulated under the CCR rule to include legacy ponds (inactive surface impoundments at inactive facilities) and creates a new category of units called CCR management units (CCRMU), which includes inactive and closed impoundments and landfills as well as other non-containerized accumulations of CCR. The final rule requires all regulated generating facilities to evaluate and identify past deposits of CCR materials on their sites and close or re-close existing CCR units to meet current closure standards, as well as install groundwater monitoring systems, conduct groundwater monitoring, and implement groundwater corrective actions as necessary. The Final Rule requires a Facility Evaluation Report by February 2027, which will identify regulated units and applicable requirements. Additionally, the EPA finalized portions of the proposed CCR Part B Rule, which allows CCR units to certify closure while conducting groundwater remediation activities. Impacts to previously closed CCR units at Boswell and Laskin are anticipated. Compliance costs for Minnesota Power’s Boswell and Laskin facilities are estimated to be between approximately $50 million and $85 million and are expected to be incurred over the next 10 years based on our preliminary assessment. These estimates may be revised as Minnesota Power completes the required facility evaluations. Minnesota Power is expected to seek recovery of these costs through a rate proceeding. The Company included in its 2024 Remaining Life Depreciation Petition filed with the Minnesota Public Utilities Commission (Commission) on September 24, 2024 (Docket No. E015/D-24-324) an additional $67.8 million, the average of the estimated cost range, for the expected investigative costs and the increase in depreciation expense for these facilities. Furthermore, a petition seeking approval of deferred cost accounting treatment for these CCR Legacy Rule compliance costs was filed with the Commission on December 30, 2024, in Docket No. E015/M-24-437. We are currently recording depreciation expense related to this rule on the Consolidated Statement of Income, which would be moved to a deferred tracking account for MPUC review in a future rate case or other proceeding if the MPUC approves our request for deferral accounting treatment. We are unable to predict the outcome of this proceeding.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56540"/>
                <wp:effectExtent l="0" t="0" r="0" b="0"/>
                <wp:wrapNone/>
                <wp:docPr id="26" name="Frame2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 (Continued)</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EPA released a proposed CCR Part B rulemaking in February 2020 addressing options for beneficial reuse of CCR materials, alternative liner demonstrations and other CCR regulatory revisions. Portions of the Part B rule addressing alternative liner equivalency standards were finalized in November 2020. A final rule establishing the remaining CCR beneficial reuse requirements is expected but has been moved to EPA’s long-term rulemakings, without a publication target date currently. According to its latest Unified Agenda, the EPA had planned to publish the final CCR federal permit rule implementing a permitting program for tribal lands and nonparticipating states in December 2024, but that did not occur.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Letters of Credit, Surety Bonds and Other Indemnifications.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multiple credit facility agreements in place that provide the ability to issue standby letters of credit to satisfy contractual security requirements across our businesses. As of March 31, 2025, we had $142.8 million of outstanding letters of credit issued, including those issued under our revolving credit facility, and $133.2 million in outstanding surety bonds. We do not believe it is likely that any of these outstanding letters of credit or surety bonds will be drawn upon.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2024 and 2025, under the tax credit transferability provision of the Inflation Reduction Act, we entered into agreements with third parties to sell a portion of our renewable tax credits; to-date, under these agreements we have indemnified the parties for approximately $77.6 million of renewable tax credits. ALLETE has indemnified the parties for specified claims for reduction, loss, or disallowance of the transferred tax credits on an after-tax basis.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Regulated Operations. </w:t>
      </w:r>
      <w:r>
        <w:rPr>
          <w:rFonts w:ascii="Times New Roman;sans-serif" w:hAnsi="Times New Roman;sans-serif"/>
          <w:b w:val="false"/>
          <w:color w:val="000000"/>
          <w:sz w:val="20"/>
        </w:rPr>
        <w:t xml:space="preserve">As of March 31, 2025, we had $37.9 million outstanding in standby letters of credit and surety bonds at our Regulated Operations which are pledged as security to MISO, the NDPSC and state agencies.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ALLETE Clean Energy.</w:t>
      </w:r>
      <w:r>
        <w:rPr>
          <w:color w:val="000000"/>
        </w:rPr>
        <w:t xml:space="preserve"> </w:t>
      </w:r>
      <w:r>
        <w:rPr>
          <w:rFonts w:ascii="Times New Roman;sans-serif" w:hAnsi="Times New Roman;sans-serif"/>
          <w:b w:val="false"/>
          <w:color w:val="000000"/>
          <w:sz w:val="20"/>
        </w:rPr>
        <w:t xml:space="preserve">ALLETE Clean Energy is party to PSAs that expire in various years between 2027 and 2039. As of March 31, 2025, ALLETE Clean Energy has $86.6 million outstanding in standby letters of credit and surety bonds, the majority of which are pledged as security under these PSAs.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New Energy</w:t>
      </w:r>
      <w:r>
        <w:rPr>
          <w:rFonts w:ascii="Times New Roman;sans-serif" w:hAnsi="Times New Roman;sans-serif"/>
          <w:b w:val="false"/>
          <w:color w:val="000000"/>
          <w:sz w:val="20"/>
        </w:rPr>
        <w:t>. As of March 31, 2025, New Energy had standby letters of credit outstanding of $11.9 million related to the development of renewable energy projects.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BNI Energy</w:t>
      </w:r>
      <w:r>
        <w:rPr>
          <w:rFonts w:ascii="Times New Roman;sans-serif" w:hAnsi="Times New Roman;sans-serif"/>
          <w:b w:val="false"/>
          <w:color w:val="000000"/>
          <w:sz w:val="20"/>
        </w:rPr>
        <w:t>. As of March 31, 2025, BNI Energy had surety bonds outstanding of $99.7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$99.5 million. BNI Energy does not believe it is likely that any of these outstanding surety bonds will be drawn upon.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Investment in Nobles 2</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The Nobles 2 wind energy facility requires standby letters of credit as security for certain contractual obligations. As of March 31, 2025, ALLETE South Wind has $10.1 million outstanding in standby letters of credit, related to its portion of the security requirements relative to its ownership in Nobles 2.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South Shore Energy</w:t>
      </w:r>
      <w:r>
        <w:rPr>
          <w:rFonts w:ascii="Times New Roman;sans-serif" w:hAnsi="Times New Roman;sans-serif"/>
          <w:b w:val="false"/>
          <w:color w:val="000000"/>
          <w:sz w:val="20"/>
        </w:rPr>
        <w:t xml:space="preserve">. As of March 31, 2025, South Shore Energy had $29.7 million outstanding in standby letters of credit pledged as security in connection with the development of NTEC.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56540"/>
                <wp:effectExtent l="0" t="0" r="0" b="0"/>
                <wp:wrapNone/>
                <wp:docPr id="27" name="Frame2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6. COMMITMENTS, GUARANTEES AND CONTINGENCIES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Legal Proceedings.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Three complaints have been filed against ALLETE and its directors. The first was filed on July 1, 2024, in the U.S. District Court for the Southern District of New York, alleging violation of Sections 14(a) and 20(a) of the Securities Exchange Act of 1934, disclosure deficiency in the Preliminary Proxy, and seeking to enjoin the transaction until certain disclosures are corrected. On September 3, 2024, that complaint was voluntarily dismissed without prejudice. Two additional complaints were filed on August 6, 2024, and August 7, 2024, in the New York State Supreme Court, alleging negligent misrepresentation and negligence related to alleged deficiencies in the Preliminary Proxy. Those complaints have not been served on any defendant. The Company believes that the remaining complaints are without merit.</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7. EARNINGS PER SHARE AND COMMON STOCK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compute basic earnings per share using the weighted average number of shares of common stock outstanding during each period. The difference between basic and diluted earnings per share, if any, arises from non-vested restricted stock units and performance share awards granted under our Executive Long-Term Incentive Compensation Plan. </w:t>
      </w:r>
    </w:p>
    <w:tbl>
      <w:tblPr>
        <w:tblW w:w="10037" w:type="dxa"/>
        <w:jc w:val="left"/>
        <w:tblInd w:w="0" w:type="dxa"/>
        <w:tblLayout w:type="fixed"/>
        <w:tblCellMar>
          <w:top w:w="28" w:type="dxa"/>
          <w:left w:w="28" w:type="dxa"/>
          <w:bottom w:w="28" w:type="dxa"/>
          <w:right w:w="28" w:type="dxa"/>
        </w:tblCellMar>
      </w:tblPr>
      <w:tblGrid>
        <w:gridCol w:w="1135"/>
        <w:gridCol w:w="997"/>
        <w:gridCol w:w="1003"/>
        <w:gridCol w:w="308"/>
        <w:gridCol w:w="308"/>
        <w:gridCol w:w="191"/>
        <w:gridCol w:w="109"/>
        <w:gridCol w:w="109"/>
        <w:gridCol w:w="109"/>
        <w:gridCol w:w="308"/>
        <w:gridCol w:w="308"/>
        <w:gridCol w:w="315"/>
        <w:gridCol w:w="109"/>
        <w:gridCol w:w="109"/>
        <w:gridCol w:w="109"/>
        <w:gridCol w:w="308"/>
        <w:gridCol w:w="308"/>
        <w:gridCol w:w="241"/>
        <w:gridCol w:w="109"/>
        <w:gridCol w:w="109"/>
        <w:gridCol w:w="109"/>
        <w:gridCol w:w="308"/>
        <w:gridCol w:w="308"/>
        <w:gridCol w:w="191"/>
        <w:gridCol w:w="109"/>
        <w:gridCol w:w="109"/>
        <w:gridCol w:w="109"/>
        <w:gridCol w:w="308"/>
        <w:gridCol w:w="308"/>
        <w:gridCol w:w="315"/>
        <w:gridCol w:w="109"/>
        <w:gridCol w:w="109"/>
        <w:gridCol w:w="109"/>
        <w:gridCol w:w="308"/>
        <w:gridCol w:w="308"/>
        <w:gridCol w:w="31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 Ended March 31,</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Basic and Diluted</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Diluted</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 Except Per Share Amounts</w:t>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4" w:type="dxa"/>
            <w:gridSpan w:val="3"/>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Common Shares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31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0"/>
        <w:jc w:val="left"/>
        <w:rPr/>
      </w:pPr>
      <w:r>
        <w:rPr/>
      </w:r>
    </w:p>
    <w:p>
      <w:pPr>
        <w:pStyle w:val="TextBody"/>
        <w:bidi w:val="0"/>
        <w:spacing w:before="1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w:t>
      </w:r>
    </w:p>
    <w:tbl>
      <w:tblPr>
        <w:tblW w:w="6800" w:type="dxa"/>
        <w:jc w:val="left"/>
        <w:tblInd w:w="0" w:type="dxa"/>
        <w:tblLayout w:type="fixed"/>
        <w:tblCellMar>
          <w:top w:w="28" w:type="dxa"/>
          <w:left w:w="28" w:type="dxa"/>
          <w:bottom w:w="28" w:type="dxa"/>
          <w:right w:w="28" w:type="dxa"/>
        </w:tblCellMar>
      </w:tblPr>
      <w:tblGrid>
        <w:gridCol w:w="1200"/>
        <w:gridCol w:w="1055"/>
        <w:gridCol w:w="1059"/>
        <w:gridCol w:w="109"/>
        <w:gridCol w:w="109"/>
        <w:gridCol w:w="109"/>
        <w:gridCol w:w="109"/>
        <w:gridCol w:w="109"/>
        <w:gridCol w:w="374"/>
        <w:gridCol w:w="374"/>
        <w:gridCol w:w="374"/>
        <w:gridCol w:w="374"/>
        <w:gridCol w:w="377"/>
        <w:gridCol w:w="109"/>
        <w:gridCol w:w="109"/>
        <w:gridCol w:w="109"/>
        <w:gridCol w:w="239"/>
        <w:gridCol w:w="241"/>
        <w:gridCol w:w="261"/>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68" w:type="dxa"/>
            <w:gridSpan w:val="6"/>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68" w:type="dxa"/>
            <w:gridSpan w:val="6"/>
            <w:tcBorders/>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33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Income Tax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Federal </w:t>
            </w:r>
            <w:r>
              <w:rPr>
                <w:rFonts w:ascii="Times New Roman;sans-serif" w:hAnsi="Times New Roman;sans-serif"/>
                <w:b w:val="false"/>
                <w:i/>
                <w:color w:val="000000"/>
                <w:sz w:val="18"/>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Tax Credit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Income Tax Benefit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331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Expense </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(a)For three months ended March 31, 2025 and 2024, the federal current tax expense is partially offset by tax credits.</w:t>
      </w:r>
    </w:p>
    <w:p>
      <w:pPr>
        <w:pStyle w:val="TextBody"/>
        <w:bidi w:val="0"/>
        <w:spacing w:lineRule="auto" w:line="276"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(b)For three months ended March 31, 2025 and 2024, the federal deferred income tax benefit is primarily due to tax credits.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tax provision for interim periods is determined using an estimate of its annual effective tax rate, adjusted for discrete items arising in that quarter. In each quarter, the Company updates its estimate of the annual effective tax rate and if the estimated annual effective tax rate changes, the Company would make a cumulative adjustment in that quarter.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56540"/>
                <wp:effectExtent l="0" t="0" r="0" b="0"/>
                <wp:wrapNone/>
                <wp:docPr id="28" name="Frame2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8. INCOME TAX EXPENSE(Continued)</w:t>
      </w:r>
    </w:p>
    <w:tbl>
      <w:tblPr>
        <w:tblW w:w="7986" w:type="dxa"/>
        <w:jc w:val="center"/>
        <w:tblInd w:w="0" w:type="dxa"/>
        <w:tblLayout w:type="fixed"/>
        <w:tblCellMar>
          <w:top w:w="28" w:type="dxa"/>
          <w:left w:w="28" w:type="dxa"/>
          <w:bottom w:w="28" w:type="dxa"/>
          <w:right w:w="28" w:type="dxa"/>
        </w:tblCellMar>
      </w:tblPr>
      <w:tblGrid>
        <w:gridCol w:w="1694"/>
        <w:gridCol w:w="1490"/>
        <w:gridCol w:w="1496"/>
        <w:gridCol w:w="109"/>
        <w:gridCol w:w="288"/>
        <w:gridCol w:w="288"/>
        <w:gridCol w:w="328"/>
        <w:gridCol w:w="288"/>
        <w:gridCol w:w="723"/>
        <w:gridCol w:w="109"/>
        <w:gridCol w:w="109"/>
        <w:gridCol w:w="109"/>
        <w:gridCol w:w="308"/>
        <w:gridCol w:w="308"/>
        <w:gridCol w:w="339"/>
      </w:tblGrid>
      <w:tr>
        <w:trPr/>
        <w:tc>
          <w:tcPr>
            <w:tcW w:w="169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282" w:type="dxa"/>
            <w:gridSpan w:val="6"/>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Taxes from Federal Statutory</w:t>
            </w:r>
          </w:p>
        </w:tc>
        <w:tc>
          <w:tcPr>
            <w:tcW w:w="109" w:type="dxa"/>
            <w:tcBorders/>
            <w:vAlign w:val="center"/>
          </w:tcPr>
          <w:p>
            <w:pPr>
              <w:pStyle w:val="TableContents"/>
              <w:bidi w:val="0"/>
              <w:spacing w:before="0" w:after="283"/>
              <w:jc w:val="left"/>
              <w:rPr>
                <w:sz w:val="4"/>
                <w:szCs w:val="4"/>
              </w:rPr>
            </w:pPr>
            <w:r>
              <w:rPr>
                <w:sz w:val="4"/>
                <w:szCs w:val="4"/>
              </w:rPr>
            </w:r>
          </w:p>
        </w:tc>
        <w:tc>
          <w:tcPr>
            <w:tcW w:w="191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282" w:type="dxa"/>
            <w:gridSpan w:val="6"/>
            <w:tcBorders/>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Rate to Total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Statutory Federal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Computed at Statutory Federal Rate</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Income Tax Due to:</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Taxes – Net of Federal 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Production Tax Credits </w:t>
            </w:r>
            <w:r>
              <w:rPr>
                <w:rFonts w:ascii="Times New Roman;sans-serif" w:hAnsi="Times New Roman;sans-serif"/>
                <w:b w:val="false"/>
                <w:i/>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Investment Tax Credits</w:t>
            </w:r>
            <w:r>
              <w:rPr>
                <w:color w:val="000000"/>
              </w:rPr>
              <w:t xml:space="preserve"> </w:t>
            </w:r>
            <w:r>
              <w:rPr>
                <w:rFonts w:ascii="Times New Roman;sans-serif" w:hAnsi="Times New Roman;sans-serif"/>
                <w:b w:val="false"/>
                <w:i/>
                <w:color w:val="000000"/>
                <w:sz w:val="18"/>
              </w:rPr>
              <w:t>(a)</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Differences – Excess Deferred Tax</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AFUDC – Equity</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Nondeductible Portion of Transaction Costs</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7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(a)For three months ended March 31, 2025 and 2024, the credits are presented net of any estimated discount on the sale of certain credits.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effective tax rate was 17.8 percent (9.7 percent for the three months ended March 31, 2024). The effective tax rates for 2025 and 2024 were primarily impacted by tax credits.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Uncertain Tax Positions.</w:t>
      </w:r>
      <w:r>
        <w:rPr>
          <w:color w:val="000000"/>
        </w:rPr>
        <w:t xml:space="preserve"> </w:t>
      </w:r>
      <w:r>
        <w:rPr>
          <w:rFonts w:ascii="Times New Roman;sans-serif" w:hAnsi="Times New Roman;sans-serif"/>
          <w:b w:val="false"/>
          <w:color w:val="000000"/>
          <w:sz w:val="20"/>
        </w:rPr>
        <w:t>As of March 31, 2025, we had gross unrecognized tax benefits of $1.1 million ($1.1 million as of December 31, 2024). Of the total gross unrecognized tax benefits, $0.6 million represents the amount of unrecognized tax benefits included on the Consolidated Balance Sheet that, if recognized, would favorably impact the effective income tax rate. The unrecognized tax benefit amounts have been presented as an increase to the net deferred tax liability on the Consolidated Balance Sheet.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and its subsidiaries file a consolidated federal income tax return as well as combined and separate state income tax returns in various jurisdictions. ALLETE is currently under examination by the state of Minnesota for the tax years 2020 through 2022. ALLETE has no open federal audits and is no longer subject to federal examination for years before 2022 or state examination for years before 2021. Additionally, the statute of limitations related to the federal tax credit carryforwards will remain open until those credits are utilized in subsequent returns.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56540"/>
                <wp:effectExtent l="0" t="0" r="0" b="0"/>
                <wp:wrapNone/>
                <wp:docPr id="29" name="Frame2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PENSION AND OTHER POSTRETIREMENT BENEFIT PLANS</w:t>
      </w:r>
    </w:p>
    <w:tbl>
      <w:tblPr>
        <w:tblW w:w="8309" w:type="dxa"/>
        <w:jc w:val="left"/>
        <w:tblInd w:w="0" w:type="dxa"/>
        <w:tblLayout w:type="fixed"/>
        <w:tblCellMar>
          <w:top w:w="28" w:type="dxa"/>
          <w:left w:w="28" w:type="dxa"/>
          <w:bottom w:w="28" w:type="dxa"/>
          <w:right w:w="28" w:type="dxa"/>
        </w:tblCellMar>
      </w:tblPr>
      <w:tblGrid>
        <w:gridCol w:w="1537"/>
        <w:gridCol w:w="1352"/>
        <w:gridCol w:w="1356"/>
        <w:gridCol w:w="291"/>
        <w:gridCol w:w="294"/>
        <w:gridCol w:w="176"/>
        <w:gridCol w:w="109"/>
        <w:gridCol w:w="109"/>
        <w:gridCol w:w="109"/>
        <w:gridCol w:w="291"/>
        <w:gridCol w:w="294"/>
        <w:gridCol w:w="176"/>
        <w:gridCol w:w="109"/>
        <w:gridCol w:w="109"/>
        <w:gridCol w:w="109"/>
        <w:gridCol w:w="255"/>
        <w:gridCol w:w="256"/>
        <w:gridCol w:w="176"/>
        <w:gridCol w:w="149"/>
        <w:gridCol w:w="149"/>
        <w:gridCol w:w="149"/>
        <w:gridCol w:w="255"/>
        <w:gridCol w:w="256"/>
        <w:gridCol w:w="243"/>
      </w:tblGrid>
      <w:tr>
        <w:trPr/>
        <w:tc>
          <w:tcPr>
            <w:tcW w:w="153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Net Periodic Benefit Cost (Credit)</w:t>
            </w:r>
          </w:p>
        </w:tc>
        <w:tc>
          <w:tcPr>
            <w:tcW w:w="1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br/>
              <w:t>Postretirement</w:t>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Non-Service Cost Components </w:t>
            </w:r>
            <w:r>
              <w:rPr>
                <w:rFonts w:ascii="Times New Roman;sans-serif" w:hAnsi="Times New Roman;sans-serif"/>
                <w:b w:val="false"/>
                <w:i/>
                <w:color w:val="000000"/>
                <w:sz w:val="18"/>
              </w:rPr>
              <w:t>(a)</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Cost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Return on Plan Assets </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Prior Service Credits </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Net Loss (Gain)</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(Credit)</w:t>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4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(a)These components of net periodic benefit cost (credit) are included in the line item “Other” under Other Income (Expense) on the Consolidated Statement of Income.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Employer Contributions.</w:t>
      </w:r>
      <w:r>
        <w:rPr>
          <w:color w:val="000000"/>
        </w:rPr>
        <w:t xml:space="preserve"> </w:t>
      </w:r>
      <w:r>
        <w:rPr>
          <w:rFonts w:ascii="Times New Roman;sans-serif" w:hAnsi="Times New Roman;sans-serif"/>
          <w:b w:val="false"/>
          <w:color w:val="000000"/>
          <w:sz w:val="20"/>
        </w:rPr>
        <w:t>For the three months ended March 31, 2025, we contributed $19.1 million in cash to the defined benefit pension plans ($25.0 million for the three months ended March 31, 2024); we do not expect to make additional contributions to our defined benefit pension plans in 2025. For the three months ended March 31, 2025, and 2024, we made no contributions to our other postretirement benefit plans; we do not expect to make any contributions to our other postretirement benefit plans in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BUSINESS SEGMENTS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2025, management updated our reportable segment presentation to reflect New Energy’s increased contribution to net income attributable to ALLETE. We now present three reportable segments: Regulated Operations, ALLETE Clean Energy and New Energy. Prior period amounts have been revised to conform with the current business segment presentation. We measure performance of our operations through budgeting and monitoring of contributions to net income attributable to ALLETE by each reportable segment.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New Energy is a renewable energy company with a primary focus on developing solar and energy storage facilities for external sale and internal ownership while also offering comprehensive operations, maintenance and asset management services. We also present Corporate and Other which includes two operating segments,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identified that the Chief Operating Decision Maker (CODM) for the Company is not an individual, but rather the Executive Officers of ALLETE. These individuals represent various areas of the Company and provide direction for the allocation of resources. They interact with one another on a regular basis, with more formal meetings quarterly to discuss company strategy. The group is provided with monthly and quarterly financial materials that show net income attributable to ALLETE by segment with variances compared to the budget and prior year. No other measure of segment profit or loss is provided regularly to this group or used to assess performance and allocate resources. The group reviews the segment profit and loss taking into account the Company’s goals and strategy, and provides direction for the allocation of resources.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56540"/>
                <wp:effectExtent l="0" t="0" r="0" b="0"/>
                <wp:wrapNone/>
                <wp:docPr id="30" name="Frame3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10. BUSINESS SEGMENTS (Continued)</w:t>
      </w:r>
    </w:p>
    <w:p>
      <w:pPr>
        <w:pStyle w:val="TextBody"/>
        <w:bidi w:val="0"/>
        <w:spacing w:before="0" w:after="0"/>
        <w:ind w:left="0" w:right="0" w:hanging="360"/>
        <w:jc w:val="both"/>
        <w:rPr/>
      </w:pPr>
      <w:r>
        <w:rPr/>
      </w:r>
    </w:p>
    <w:tbl>
      <w:tblPr>
        <w:tblW w:w="6832" w:type="dxa"/>
        <w:jc w:val="center"/>
        <w:tblInd w:w="0" w:type="dxa"/>
        <w:tblLayout w:type="fixed"/>
        <w:tblCellMar>
          <w:top w:w="28" w:type="dxa"/>
          <w:left w:w="28" w:type="dxa"/>
          <w:bottom w:w="28" w:type="dxa"/>
          <w:right w:w="28" w:type="dxa"/>
        </w:tblCellMar>
      </w:tblPr>
      <w:tblGrid>
        <w:gridCol w:w="1368"/>
        <w:gridCol w:w="1201"/>
        <w:gridCol w:w="1211"/>
        <w:gridCol w:w="109"/>
        <w:gridCol w:w="109"/>
        <w:gridCol w:w="469"/>
        <w:gridCol w:w="469"/>
        <w:gridCol w:w="469"/>
        <w:gridCol w:w="469"/>
        <w:gridCol w:w="360"/>
        <w:gridCol w:w="361"/>
        <w:gridCol w:w="237"/>
      </w:tblGrid>
      <w:tr>
        <w:trPr/>
        <w:tc>
          <w:tcPr>
            <w:tcW w:w="136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58" w:type="dxa"/>
            <w:gridSpan w:val="3"/>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958" w:type="dxa"/>
            <w:gridSpan w:val="3"/>
            <w:tcBorders/>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PSA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ALLETE Clean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Renewable Development Projects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New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Contract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Net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7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4665" w:type="dxa"/>
        <w:jc w:val="left"/>
        <w:tblInd w:w="0" w:type="dxa"/>
        <w:tblLayout w:type="fixed"/>
        <w:tblCellMar>
          <w:top w:w="28" w:type="dxa"/>
          <w:left w:w="28" w:type="dxa"/>
          <w:bottom w:w="28" w:type="dxa"/>
          <w:right w:w="28" w:type="dxa"/>
        </w:tblCellMar>
      </w:tblPr>
      <w:tblGrid>
        <w:gridCol w:w="744"/>
        <w:gridCol w:w="653"/>
        <w:gridCol w:w="658"/>
        <w:gridCol w:w="435"/>
        <w:gridCol w:w="436"/>
        <w:gridCol w:w="326"/>
        <w:gridCol w:w="435"/>
        <w:gridCol w:w="436"/>
        <w:gridCol w:w="542"/>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r>
      <w:tr>
        <w:trPr/>
        <w:tc>
          <w:tcPr>
            <w:tcW w:w="20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Regulated Operations </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$4,560.2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$4,489.4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Total Assets </w:t>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 </w:t>
            </w:r>
          </w:p>
        </w:tc>
        <w:tc>
          <w:tcPr>
            <w:tcW w:w="54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56540"/>
                <wp:effectExtent l="0" t="0" r="0" b="0"/>
                <wp:wrapNone/>
                <wp:docPr id="31" name="Frame3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NOTE 10. BUSINESS SEGMENTS (Continued)</w:t>
      </w:r>
    </w:p>
    <w:tbl>
      <w:tblPr>
        <w:tblW w:w="10205" w:type="dxa"/>
        <w:jc w:val="left"/>
        <w:tblInd w:w="0" w:type="dxa"/>
        <w:tblLayout w:type="fixed"/>
        <w:tblCellMar>
          <w:top w:w="28" w:type="dxa"/>
          <w:left w:w="28" w:type="dxa"/>
          <w:bottom w:w="28" w:type="dxa"/>
          <w:right w:w="28" w:type="dxa"/>
        </w:tblCellMar>
      </w:tblPr>
      <w:tblGrid>
        <w:gridCol w:w="843"/>
        <w:gridCol w:w="441"/>
        <w:gridCol w:w="444"/>
        <w:gridCol w:w="552"/>
        <w:gridCol w:w="423"/>
        <w:gridCol w:w="424"/>
        <w:gridCol w:w="600"/>
        <w:gridCol w:w="403"/>
        <w:gridCol w:w="405"/>
        <w:gridCol w:w="379"/>
        <w:gridCol w:w="351"/>
        <w:gridCol w:w="279"/>
        <w:gridCol w:w="589"/>
        <w:gridCol w:w="459"/>
        <w:gridCol w:w="461"/>
        <w:gridCol w:w="583"/>
        <w:gridCol w:w="583"/>
        <w:gridCol w:w="585"/>
        <w:gridCol w:w="435"/>
        <w:gridCol w:w="436"/>
        <w:gridCol w:w="530"/>
      </w:tblGrid>
      <w:tr>
        <w:trPr/>
        <w:tc>
          <w:tcPr>
            <w:tcW w:w="8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2025</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Regulated Operations</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Clean Energy</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Energy</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Reportable Segments</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and Other / Eliminations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370.7 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color w:val="000000"/>
              </w:rPr>
              <w:t xml:space="preserve"> </w:t>
            </w:r>
            <w:r>
              <w:rPr>
                <w:rFonts w:ascii="Times New Roman;sans-serif" w:hAnsi="Times New Roman;sans-serif"/>
                <w:b w:val="false"/>
                <w:i/>
                <w:color w:val="000000"/>
                <w:sz w:val="18"/>
              </w:rPr>
              <w:t>(a)</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w:t>
            </w:r>
          </w:p>
        </w:tc>
        <w:tc>
          <w:tcPr>
            <w:tcW w:w="1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 Information:</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$4,560.2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 </w:t>
            </w:r>
          </w:p>
        </w:tc>
        <w:tc>
          <w:tcPr>
            <w:tcW w:w="4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5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tbl>
      <w:tblPr>
        <w:tblW w:w="10205" w:type="dxa"/>
        <w:jc w:val="left"/>
        <w:tblInd w:w="0" w:type="dxa"/>
        <w:tblLayout w:type="fixed"/>
        <w:tblCellMar>
          <w:top w:w="28" w:type="dxa"/>
          <w:left w:w="28" w:type="dxa"/>
          <w:bottom w:w="28" w:type="dxa"/>
          <w:right w:w="28" w:type="dxa"/>
        </w:tblCellMar>
      </w:tblPr>
      <w:tblGrid>
        <w:gridCol w:w="843"/>
        <w:gridCol w:w="441"/>
        <w:gridCol w:w="444"/>
        <w:gridCol w:w="552"/>
        <w:gridCol w:w="423"/>
        <w:gridCol w:w="424"/>
        <w:gridCol w:w="600"/>
        <w:gridCol w:w="403"/>
        <w:gridCol w:w="405"/>
        <w:gridCol w:w="379"/>
        <w:gridCol w:w="351"/>
        <w:gridCol w:w="279"/>
        <w:gridCol w:w="589"/>
        <w:gridCol w:w="459"/>
        <w:gridCol w:w="461"/>
        <w:gridCol w:w="583"/>
        <w:gridCol w:w="583"/>
        <w:gridCol w:w="585"/>
        <w:gridCol w:w="435"/>
        <w:gridCol w:w="436"/>
        <w:gridCol w:w="530"/>
      </w:tblGrid>
      <w:tr>
        <w:trPr/>
        <w:tc>
          <w:tcPr>
            <w:tcW w:w="84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2024</w:t>
            </w:r>
          </w:p>
        </w:tc>
        <w:tc>
          <w:tcPr>
            <w:tcW w:w="1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Regulated Operations</w:t>
            </w:r>
          </w:p>
        </w:tc>
        <w:tc>
          <w:tcPr>
            <w:tcW w:w="14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Clean Energy</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Energy</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Reportable Segments</w:t>
            </w:r>
          </w:p>
        </w:tc>
        <w:tc>
          <w:tcPr>
            <w:tcW w:w="1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 and Other / Eliminations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374.4 </w:t>
            </w:r>
          </w:p>
        </w:tc>
        <w:tc>
          <w:tcPr>
            <w:tcW w:w="4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Segment Expenses:</w:t>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Segment Items</w:t>
            </w:r>
            <w:r>
              <w:rPr>
                <w:color w:val="000000"/>
              </w:rPr>
              <w:t xml:space="preserve"> </w:t>
            </w:r>
            <w:r>
              <w:rPr>
                <w:rFonts w:ascii="Times New Roman;sans-serif" w:hAnsi="Times New Roman;sans-serif"/>
                <w:b w:val="false"/>
                <w:i/>
                <w:color w:val="000000"/>
                <w:sz w:val="18"/>
              </w:rPr>
              <w:t>(a)</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Segment Information:</w:t>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4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$6,604.6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5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97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73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46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5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Other Segment Items consist of interest expense, equity earnings, AFUDC – Equity and income tax expense for Regulated Operations, and interest expense, income tax benefit and net loss attributable to non-controlling interest for ALLETE Clean Energy and New Energy.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56540"/>
                <wp:effectExtent l="0" t="0" r="0" b="0"/>
                <wp:wrapNone/>
                <wp:docPr id="32" name="Frame3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The Merger Agreement provides that, on the terms and subject to the conditions set forth therein, Alloy Merger Sub will merge with and into ALLETE, with ALLETE continuing as the surviving corporation in the Merger and becoming a subsidiary of Alloy Parent.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set forth in the Merger Agreement, which has been unanimously approved by the board of directors of ALLETE and approved and adopted by the shareholders of ALLETE, at the effective time of the Merger (Effective Time), each share of common stock, without par value, of ALLETE (ALLETE common stock) issued and outstanding immediately prior to the Effective Time (other than shares of ALLETE common stock held by any holder who properly exercises dissenters’ rights under Minnesota law in respect of such shares and any shares of ALLETE common stock held by an affiliate of Alloy Parent) shall be converted into the right to receive $67.00 in cash, without interest (Merger Consideration). The aggregate equity value of the ALLETE common stock acquired by Parent will be approximately $3.9 billion as calculated as of May 5, 2024.</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at the Effective Time, each restricted stock unit (RSU) with respect to ALLETE common stock subject to time-based vesting that is outstanding immediately prior to the Effective Time will be cancelled and converted into a contingent right to receive an amount in cash, without interest, equal to the Merger Consideration, payable (i) in the case of such right converted from unvested RSUs, upon the same vesting conditions as applied to the corresponding RSU or (ii) in the case of such right converted from vested RSUs, as soon as reasonably practicable following the closing date of the Merger (the Closing Date). Each performance share award with respect to ALLETE common stock that is outstanding and unvested immediately prior to the Effective Time and was issued prior to the execution of the Merger Agreement will be cancelled and converted into a right to receive, without interest, the Merger Consideration multiplied by the number of shares of ALLETE common stock subject to the award, determined based on attainment of the greater of target and actual performance as of the last business day immediately preceding the Closing Date. A pro rata portion (based on the elapsed portion of the performance period at that time) of these converted performance share awards will be paid out as soon as reasonably practicable following the Closing Date, with the remainder of the award being subject to time-vesting for the remainder of the applicable performance period. Performance share awards issued following the signing of the Merger Agreement will also be cancelled and converted into a contingent right to receive, without interest, the Merger Consideration multiplied by the number of shares of ALLETE common stock subject to the performance share award, determined at the target level of performance, and shall be subject to time-based vesting following the Merger. Further, purchase rights accumulated during the offering period in effect under the Company’s ESPP immediately prior to closing will be automatically exercised into shares of ALLETE common stock no later than five business days prior to the Closing Date, and the ESPP will be terminated as of immediately prior to the Closing Date.</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Consummation of the Merger is subject to various closing conditions, including: (1) approval of the shareholders of ALLETE; (2) receipt of all required regulatory approvals without the imposition of a Burdensome Condition (as defined in the Merger Agreement); (3) absence of any law or order prohibiting the consummation of the Merger; (4) subject to materiality qualifiers, the accuracy of each party’s representations and warranties; (5) each party’s compliance in all material respects with its obligations and covenants under the Merger Agreement; and (6) the absence of a material adverse effect with respect to the Company. The Merger Agreement contains certain termination rights for ALLETE and Alloy Parent, which were described in a Current Report of Form 8-K filed by ALLETE on May 6, 2024. In the Merger Agreement, among other things, ALLETE has agreed, subject to certain exceptions, to, and to cause each of its subsidiaries to conduct its business in the ordinary course, consistent with past practice, from the date of the Merger Agreement until the Effective Time, and not to take certain actions prior to the closing of the Merger without the prior written consent of Alloy Parent (which consent shall not be unreasonably withheld, conditioned or delayed, except where ALLETE seeks Alloy Parent’s consent to enter into a material new line of business or cease operations of an existing material line of business). 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w:t>
      </w:r>
    </w:p>
    <w:p>
      <w:pPr>
        <w:pStyle w:val="TextBody"/>
        <w:bidi w:val="0"/>
        <w:spacing w:before="0" w:after="0"/>
        <w:jc w:val="left"/>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56540"/>
                <wp:effectExtent l="0" t="0" r="0" b="0"/>
                <wp:wrapNone/>
                <wp:docPr id="33" name="Frame3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11. AGREEMENT AND PLAN OF MERGER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10, 2024, ALLETE filed a definitive proxy statement relating to the special meeting of the shareholders held on August 21, 2024. At the special meeting, the shareholders of ALLETE voted to approve and adopt the Merger Agreement and approve the transactions contemplated thereby, including the Merger, among other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19, 2024, ALLETE filed requests for approval of the Merger with the MPUC, PSCW and FERC. On October 7, 2024, the MPUC issued an order referring the docket to the Minnesota Office of Administrative Hearings for a contested case proceeding and requesting the Administrative Law Judge issue a report and recommendation by July 15, 2025. ALLETE received approval from FERC on December 19, 2024, and on March 13, 2025, the PSCW approved the acquisition. ALLETE also received approval from CFIUS and all required international approvals in the third quarter of 2024. On January 31, 2025, ALLETE filed notification and report forms with the Antitrust Division of the Department of Justice and the Federal Trade Commission under the HSR Act with the applicable waiting periods expiring in the first quarter of 2025. Approval of the Merger from these and other regulators is required for consummation of the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should be read in conjunction with our Consolidated Financial Statements and notes to those statements, Management’s Discussion and Analysis of Financial Condition and Results of Operations from our 2024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and our 2024 Form 10-K under the headings: “Forward-Looking Statements” and “Risk Factors” located in Part I, Item 1A of our 2024 Form 10-K. The risks and uncertainties described in this Form 10-Q and our 2024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Basis of Presentation. </w:t>
      </w:r>
      <w:r>
        <w:rPr>
          <w:rFonts w:ascii="Times New Roman;sans-serif" w:hAnsi="Times New Roman;sans-serif"/>
          <w:b w:val="false"/>
          <w:color w:val="000000"/>
          <w:sz w:val="20"/>
        </w:rPr>
        <w:t xml:space="preserve">During the first quarter of 2025, management updated our reportable segment presentation to reflect New Energy’s increased contribution to net income attributable to ALLETE. We now present three reportable segments: Regulated Operations, ALLETE Clean Energy and New Energy. Prior period amounts have been revised to conform with the current business segment presentation.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includes our regulated utilities, Minnesota Power and SWL&amp;P, as well as our investment in ATC, a Wisconsin-based regulated 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(See Note 2. Regulatory Matters.)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ALLETE Clean Energy </w:t>
      </w:r>
      <w:r>
        <w:rPr>
          <w:rFonts w:ascii="Times New Roman;sans-serif" w:hAnsi="Times New Roman;sans-serif"/>
          <w:b w:val="false"/>
          <w:color w:val="000000"/>
          <w:sz w:val="20"/>
        </w:rPr>
        <w:t>focuses on developing, acquiring, and operating clean and renewable energy projects. ALLETE Clean Energy currently owns, operates, or has developed more than 1,600 megawatts of wind energy generation in five major energy markets and eight states across the U.S. with a majority contracted under PSAs of various durations. In addition, ALLETE Clean Energy engages in the development of wind energy facilities to operate under long-term PSAs or for sale to others upon completion.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New Energy</w:t>
      </w:r>
      <w:r>
        <w:rPr>
          <w:color w:val="000000"/>
        </w:rPr>
        <w:t xml:space="preserve"> </w:t>
      </w:r>
      <w:r>
        <w:rPr>
          <w:rFonts w:ascii="Times New Roman;sans-serif" w:hAnsi="Times New Roman;sans-serif"/>
          <w:b w:val="false"/>
          <w:color w:val="000000"/>
          <w:sz w:val="20"/>
        </w:rPr>
        <w:t>is a renewable energy company with a primary focus on developing solar and energy storage facilities for external sale and internal ownership while also offering comprehensive operations, maintenance and asset management services.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56540"/>
                <wp:effectExtent l="0" t="0" r="0" b="0"/>
                <wp:wrapNone/>
                <wp:docPr id="34" name="Frame3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CONDITION AND RESULTS OF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Corporate and Other</w:t>
      </w:r>
      <w:r>
        <w:rPr>
          <w:color w:val="000000"/>
        </w:rPr>
        <w:t xml:space="preserve"> </w:t>
      </w:r>
      <w:r>
        <w:rPr>
          <w:rFonts w:ascii="Times New Roman;sans-serif" w:hAnsi="Times New Roman;sans-serif"/>
          <w:b w:val="false"/>
          <w:color w:val="000000"/>
          <w:sz w:val="20"/>
        </w:rPr>
        <w:t>is comprised of our investment in Nobles 2, an entity that owns and operates a 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incorporated under the laws of Minnesota. Our corporate headquarters are in Duluth, Minnesota. Statistical information is presented as of March 31, 2025, unless otherwise indicated. All subsidiaries are wholly-owned unless otherwise specifically indicated. References in this report to “we,” “us” and “our” are to ALLETE and its subsidiaries, collectively.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The Merger Agreement provides that, on and subject to the conditions set forth therein, Alloy Merger Sub will merge with and into ALLETE, with ALLETE continuing as the surviving corporation in the Merger and becoming a subsidiary of Alloy Parent. (See 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Financial Overview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net income discussion summarizes a comparison of the three months ended March 31, 2025, to the three months ended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ALLETE for the three months ended March 31, 2025, was $56.1 million, or $0.97 per diluted share, compared to $50.7 million, or $0.88 per diluted share, for the same period in 2024. Net income in 2025 includes transaction expenses of $2.1 million after-tax, or $0.04 per share, related to the Merger. Net income in 2024 included transaction expenses of $1.2 million after-tax, or $0.02 per share. (See Note 11. Agreement and Plan of Merger.)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net income attributable to ALLETE was $38.4 million for the three months ended March 31, 2025, compared to $44.2 million for the same period in 2024. Net income at Minnesota Power was lower than 2024 reflecting lower margins from industrial customers, higher operating and maintenance expense and higher depreciation expense. These decreases were partially offset by higher margins from residential, commercial and municipal customers. Net income at SWL&amp;P was higher than 2024 reflecting new rates implemented in 2025 as well as higher kWh and gas sales. Our after-tax equity earnings in ATC were higher than 2024 primarily due to additional equity investments. (See Note 3.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ALLETE Clean Energy</w:t>
      </w:r>
      <w:r>
        <w:rPr>
          <w:color w:val="000000"/>
        </w:rPr>
        <w:t xml:space="preserve"> </w:t>
      </w:r>
      <w:r>
        <w:rPr>
          <w:rFonts w:ascii="Times New Roman;sans-serif" w:hAnsi="Times New Roman;sans-serif"/>
          <w:b w:val="false"/>
          <w:color w:val="000000"/>
          <w:sz w:val="20"/>
        </w:rPr>
        <w:t xml:space="preserve">net income attributable to ALLETE was $7.4 million for the three months ended March 31, 2025, compared to $3.8 million for the same period in 2024. Net income in 2025 reflects higher production at ALLETE Clean Energy’s tax equity financed wind energy facilities. Net income in 2024 was negatively impacted by a network outage located near its Caddo wind energy facility.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New Energy </w:t>
      </w:r>
      <w:r>
        <w:rPr>
          <w:rFonts w:ascii="Times New Roman;sans-serif" w:hAnsi="Times New Roman;sans-serif"/>
          <w:b w:val="false"/>
          <w:color w:val="000000"/>
          <w:sz w:val="20"/>
        </w:rPr>
        <w:t>net income attributable to ALLETE was $9.2 million for the three months ended March 31, 2025, compared to net income of $4.0 million for the same period in 2024. Net income in 2025 includes higher sales of renewable energy projects and investment tax credits at New Energy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Corporate and Other </w:t>
      </w:r>
      <w:r>
        <w:rPr>
          <w:rFonts w:ascii="Times New Roman;sans-serif" w:hAnsi="Times New Roman;sans-serif"/>
          <w:b w:val="false"/>
          <w:color w:val="000000"/>
          <w:sz w:val="20"/>
        </w:rPr>
        <w:t>net income attributable to ALLETE was $1.1 million for the three months ended March 31, 2025, compared to a net loss of $1.3 million for the same period in 2024. Net income in 2025 includes lower income tax expense. This increase was partially offset by higher transaction expenses related to the merger in 2025. Transaction expenses were $2.1 million after-tax in 2025 and $1.2 million in 2024. (See Note 11. Agreement and Plan of Merger.)</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56540"/>
                <wp:effectExtent l="0" t="0" r="0" b="0"/>
                <wp:wrapNone/>
                <wp:docPr id="35" name="Frame3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COMPARISON OF THE THREE MONTHS ENDED MARCH 31. 2025 AND 2024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(See Note 10. Business Segments for financial results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Regulated Operations</w:t>
      </w:r>
    </w:p>
    <w:p>
      <w:pPr>
        <w:pStyle w:val="TextBody"/>
        <w:bidi w:val="0"/>
        <w:spacing w:before="0" w:after="0"/>
        <w:jc w:val="both"/>
        <w:rPr/>
      </w:pPr>
      <w:r>
        <w:rPr/>
      </w:r>
    </w:p>
    <w:tbl>
      <w:tblPr>
        <w:tblW w:w="5214" w:type="dxa"/>
        <w:jc w:val="right"/>
        <w:tblInd w:w="0" w:type="dxa"/>
        <w:tblLayout w:type="fixed"/>
        <w:tblCellMar>
          <w:top w:w="28" w:type="dxa"/>
          <w:left w:w="28" w:type="dxa"/>
          <w:bottom w:w="28" w:type="dxa"/>
          <w:right w:w="28" w:type="dxa"/>
        </w:tblCellMar>
      </w:tblPr>
      <w:tblGrid>
        <w:gridCol w:w="1217"/>
        <w:gridCol w:w="1069"/>
        <w:gridCol w:w="1073"/>
        <w:gridCol w:w="360"/>
        <w:gridCol w:w="361"/>
        <w:gridCol w:w="176"/>
        <w:gridCol w:w="360"/>
        <w:gridCol w:w="361"/>
        <w:gridCol w:w="237"/>
      </w:tblGrid>
      <w:tr>
        <w:trPr/>
        <w:tc>
          <w:tcPr>
            <w:tcW w:w="121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3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color w:val="000000"/>
        </w:rPr>
        <w:t xml:space="preserve">– </w:t>
      </w:r>
      <w:r>
        <w:rPr>
          <w:rFonts w:ascii="Times New Roman;sans-serif" w:hAnsi="Times New Roman;sans-serif"/>
          <w:b/>
          <w:i/>
          <w:color w:val="000000"/>
          <w:sz w:val="20"/>
        </w:rPr>
        <w:t>Utility</w:t>
      </w:r>
      <w:r>
        <w:rPr>
          <w:color w:val="000000"/>
        </w:rPr>
        <w:t xml:space="preserve"> </w:t>
      </w:r>
      <w:r>
        <w:rPr>
          <w:rFonts w:ascii="Times New Roman;sans-serif" w:hAnsi="Times New Roman;sans-serif"/>
          <w:b w:val="false"/>
          <w:color w:val="000000"/>
          <w:sz w:val="20"/>
        </w:rPr>
        <w:t xml:space="preserve">decreased $5.5 million from 2024 primarily due to lower fuel adjustment clause recoveries. This decrease was partially offset by higher gas sales, rider revenue and revenue from kWh sales compared to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Fuel adjustment clause revenue decreased $14.4 million primarily due to lower fuel and purchased power costs attributable to retail and municipal customers.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Revenue from gas sales at SWL&amp;P increased $3.6 million reflecting the implementation of new rates beginning January 1, 2025, higher gas sales resulting from colder winter weather and higher gas prices in 2025 compared to 2024. (See </w:t>
      </w:r>
      <w:r>
        <w:rPr>
          <w:rFonts w:ascii="Times New Roman;sans-serif" w:hAnsi="Times New Roman;sans-serif"/>
          <w:b w:val="false"/>
          <w:i/>
          <w:color w:val="000000"/>
          <w:sz w:val="20"/>
        </w:rPr>
        <w:t>Fuel, Purchased Power and Gas – Utility</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Cost recovery rider revenue increased $2.9 million reflecting fewer production tax credits generated by Minnesota Power in 2025 compared to 2024. If production tax credits are generated at a level below those assumed in Minnesota Power’s retail rates, an increase in cost recovery rider revenue is recognized to offset the impact of higher production tax credits on income tax expense.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56540"/>
                <wp:effectExtent l="0" t="0" r="0" b="0"/>
                <wp:wrapNone/>
                <wp:docPr id="36" name="Frame3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kWh sales increased $2.3 million from 2024 reflecting higher sales to residential, commercial and municipal customers as well as higher sales to other power suppliers, partially offset by lower sales to industrial customers. Sales to residential, commercial and municipal customers increased from 2024 primarily due to colder weather in 2025 compared to 2024. Sales to other power suppliers, which are sold at market-based prices into the MISO market on a daily basis or through PSAs of various durations, increased reflecting higher market sales in 2025 compared to 2024. Sales to industrial customers decreased primarily due to lower sales to taconite customers in 2025 compared to 2024. (See Outlook – Industrial Customers.)</w:t>
      </w:r>
    </w:p>
    <w:p>
      <w:pPr>
        <w:pStyle w:val="TextBody"/>
        <w:bidi w:val="0"/>
        <w:spacing w:before="0" w:after="0"/>
        <w:jc w:val="left"/>
        <w:rPr/>
      </w:pPr>
      <w:r>
        <w:rPr/>
      </w:r>
    </w:p>
    <w:tbl>
      <w:tblPr>
        <w:tblW w:w="8027" w:type="dxa"/>
        <w:jc w:val="left"/>
        <w:tblInd w:w="0" w:type="dxa"/>
        <w:tblLayout w:type="fixed"/>
        <w:tblCellMar>
          <w:top w:w="28" w:type="dxa"/>
          <w:left w:w="28" w:type="dxa"/>
          <w:bottom w:w="28" w:type="dxa"/>
          <w:right w:w="28" w:type="dxa"/>
        </w:tblCellMar>
      </w:tblPr>
      <w:tblGrid>
        <w:gridCol w:w="1343"/>
        <w:gridCol w:w="1178"/>
        <w:gridCol w:w="1183"/>
        <w:gridCol w:w="308"/>
        <w:gridCol w:w="308"/>
        <w:gridCol w:w="176"/>
        <w:gridCol w:w="109"/>
        <w:gridCol w:w="109"/>
        <w:gridCol w:w="109"/>
        <w:gridCol w:w="308"/>
        <w:gridCol w:w="308"/>
        <w:gridCol w:w="176"/>
        <w:gridCol w:w="109"/>
        <w:gridCol w:w="109"/>
        <w:gridCol w:w="109"/>
        <w:gridCol w:w="285"/>
        <w:gridCol w:w="285"/>
        <w:gridCol w:w="286"/>
        <w:gridCol w:w="109"/>
        <w:gridCol w:w="109"/>
        <w:gridCol w:w="109"/>
        <w:gridCol w:w="293"/>
        <w:gridCol w:w="293"/>
        <w:gridCol w:w="316"/>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Variance</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Quantity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0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electric sales to taconite customers accounted for 28 percent of regulated operating revenue in 2025 (32 percent in 2024). Revenue from electric sales to paper, pulp and secondary wood product customers accounted for 5 percent of regulated operating revenue in 2025 (5 percent in 2024). Revenue from electric sales to pipelines and other industrial customers accounted for 9 percent of regulated operating revenue in 2025 (10 percent in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Operating Expenses</w:t>
      </w:r>
      <w:r>
        <w:rPr>
          <w:color w:val="000000"/>
        </w:rPr>
        <w:t xml:space="preserve"> </w:t>
      </w:r>
      <w:r>
        <w:rPr>
          <w:rFonts w:ascii="Times New Roman;sans-serif" w:hAnsi="Times New Roman;sans-serif"/>
          <w:b w:val="false"/>
          <w:color w:val="000000"/>
          <w:sz w:val="20"/>
        </w:rPr>
        <w:t>decreased $9.3 million, or 3 percent, from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Fuel, Purchased Power and Gas – Utility </w:t>
      </w:r>
      <w:r>
        <w:rPr>
          <w:rFonts w:ascii="Times New Roman;sans-serif" w:hAnsi="Times New Roman;sans-serif"/>
          <w:b w:val="false"/>
          <w:color w:val="000000"/>
          <w:sz w:val="20"/>
        </w:rPr>
        <w:t>expense decreased $10.4 million, or 8 percent, from 2024 primarily due to lower fuel costs and more company-owned generation in 2025 compared to 2024 resulting in fewer sales being supplied through higher cost purchased power. These decreases were partially offset by higher gas sales and prices.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Transmission Services – Utility </w:t>
      </w:r>
      <w:r>
        <w:rPr>
          <w:rFonts w:ascii="Times New Roman;sans-serif" w:hAnsi="Times New Roman;sans-serif"/>
          <w:b w:val="false"/>
          <w:color w:val="000000"/>
          <w:sz w:val="20"/>
        </w:rPr>
        <w:t>expense decreased $3.7 million, or 16 percent, from 2024 primarily due to lower MISO-related expense.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and Maintenance</w:t>
      </w:r>
      <w:r>
        <w:rPr>
          <w:color w:val="000000"/>
        </w:rPr>
        <w:t xml:space="preserve"> </w:t>
      </w:r>
      <w:r>
        <w:rPr>
          <w:rFonts w:ascii="Times New Roman;sans-serif" w:hAnsi="Times New Roman;sans-serif"/>
          <w:b w:val="false"/>
          <w:color w:val="000000"/>
          <w:sz w:val="20"/>
        </w:rPr>
        <w:t>expense</w:t>
      </w:r>
      <w:r>
        <w:rPr>
          <w:color w:val="000000"/>
        </w:rPr>
        <w:t xml:space="preserve"> </w:t>
      </w:r>
      <w:r>
        <w:rPr>
          <w:rFonts w:ascii="Times New Roman;sans-serif" w:hAnsi="Times New Roman;sans-serif"/>
          <w:b w:val="false"/>
          <w:color w:val="000000"/>
          <w:sz w:val="20"/>
        </w:rPr>
        <w:t>increased $1.9 million, or 3 percent, from 2024 primarily due to mitigation costs related to the ash wastewater spill at Boswell. (See Note 6. Commitments, Guarantees and Contingencies.)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56540"/>
                <wp:effectExtent l="0" t="0" r="0" b="0"/>
                <wp:wrapNone/>
                <wp:docPr id="37" name="Frame3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Regulated Operations (Continued)</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rPr>
        <w:t xml:space="preserve">Depreciation and Amortization </w:t>
      </w:r>
      <w:r>
        <w:rPr>
          <w:rFonts w:ascii="Times New Roman;sans-serif" w:hAnsi="Times New Roman;sans-serif"/>
          <w:b w:val="false"/>
          <w:color w:val="000000"/>
          <w:sz w:val="20"/>
        </w:rPr>
        <w:t>expense increased $4.3 million, or 9 percent, from 2024 primarily due to the impact of estimated compliance costs related to the EPA’s CCR Legacy Impoundment Rule finalized in May 2024 and a higher plant in service balance in 2025.</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Taxes Other than Income Taxes</w:t>
      </w:r>
      <w:r>
        <w:rPr>
          <w:color w:val="000000"/>
        </w:rPr>
        <w:t xml:space="preserve"> </w:t>
      </w:r>
      <w:r>
        <w:rPr>
          <w:rFonts w:ascii="Times New Roman;sans-serif" w:hAnsi="Times New Roman;sans-serif"/>
          <w:b w:val="false"/>
          <w:color w:val="000000"/>
          <w:sz w:val="20"/>
        </w:rPr>
        <w:t xml:space="preserve">decreased $1.4 million, or 9 percent, from 2024 primarily due to lower property tax expense.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Interest Expense</w:t>
      </w:r>
      <w:r>
        <w:rPr>
          <w:color w:val="000000"/>
        </w:rPr>
        <w:t xml:space="preserve"> </w:t>
      </w:r>
      <w:r>
        <w:rPr>
          <w:rFonts w:ascii="Times New Roman;sans-serif" w:hAnsi="Times New Roman;sans-serif"/>
          <w:b w:val="false"/>
          <w:color w:val="000000"/>
          <w:sz w:val="20"/>
        </w:rPr>
        <w:t>increased $1.1 million from 2024 reflecting higher interest rates in 2025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Other Income</w:t>
      </w:r>
      <w:r>
        <w:rPr>
          <w:color w:val="000000"/>
        </w:rPr>
        <w:t xml:space="preserve"> </w:t>
      </w:r>
      <w:r>
        <w:rPr>
          <w:rFonts w:ascii="Times New Roman;sans-serif" w:hAnsi="Times New Roman;sans-serif"/>
          <w:b w:val="false"/>
          <w:color w:val="000000"/>
          <w:sz w:val="20"/>
        </w:rPr>
        <w:t>decreased $4.0 million from 2024 reflecting higher pension and other postretirement benefit plan non-service costs.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Income Tax Expense </w:t>
      </w:r>
      <w:r>
        <w:rPr>
          <w:rFonts w:ascii="Times New Roman;sans-serif" w:hAnsi="Times New Roman;sans-serif"/>
          <w:b w:val="false"/>
          <w:color w:val="000000"/>
          <w:sz w:val="20"/>
        </w:rPr>
        <w:t>increased $5.3 million from 2024 primarily due to lower production tax credits.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ALLETE Clean Energy</w:t>
      </w:r>
    </w:p>
    <w:tbl>
      <w:tblPr>
        <w:tblW w:w="5770" w:type="dxa"/>
        <w:jc w:val="right"/>
        <w:tblInd w:w="0" w:type="dxa"/>
        <w:tblLayout w:type="fixed"/>
        <w:tblCellMar>
          <w:top w:w="28" w:type="dxa"/>
          <w:left w:w="28" w:type="dxa"/>
          <w:bottom w:w="28" w:type="dxa"/>
          <w:right w:w="28" w:type="dxa"/>
        </w:tblCellMar>
      </w:tblPr>
      <w:tblGrid>
        <w:gridCol w:w="1495"/>
        <w:gridCol w:w="1312"/>
        <w:gridCol w:w="1318"/>
        <w:gridCol w:w="308"/>
        <w:gridCol w:w="308"/>
        <w:gridCol w:w="176"/>
        <w:gridCol w:w="308"/>
        <w:gridCol w:w="308"/>
        <w:gridCol w:w="237"/>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 Non-utility </w:t>
            </w:r>
            <w:r>
              <w:rPr>
                <w:rFonts w:ascii="Times New Roman;sans-serif" w:hAnsi="Times New Roman;sans-serif"/>
                <w:b w:val="false"/>
                <w:i/>
                <w:color w:val="000000"/>
                <w:sz w:val="18"/>
              </w:rPr>
              <w:t>(a)</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 xml:space="preserve">(a)Represents non-cash amortization of differences between contract prices and estimated market prices on assumed PSAs.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decreased $2.6 million from 2024 primarily due to less favorable pricing at the Diamond Spring wind energy facility in 2025 compared to 2024, partially offset by higher kWh sales at various wind energy facilities. Operating revenue in 2024 was negatively impacted by a network outage located near Caddo. The network outage began in the fourth quarter of 2023 resulting from a forced outage of a substation and the transmission lines feeding that substation. This forced outage increased congestion experienced by Caddo resulting in lower kWh sales and pricing in 2024. The forced outage was resolved in June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56540"/>
                <wp:effectExtent l="0" t="0" r="0" b="0"/>
                <wp:wrapNone/>
                <wp:docPr id="38" name="Frame3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2025 AND 2024 (Continued)</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ALLETE Clean Energy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Income Tax Benefit</w:t>
      </w:r>
      <w:r>
        <w:rPr>
          <w:color w:val="000000"/>
        </w:rPr>
        <w:t xml:space="preserve"> </w:t>
      </w:r>
      <w:r>
        <w:rPr>
          <w:rFonts w:ascii="Times New Roman;sans-serif" w:hAnsi="Times New Roman;sans-serif"/>
          <w:b w:val="false"/>
          <w:color w:val="000000"/>
          <w:sz w:val="20"/>
        </w:rPr>
        <w:t>decreased $2.0 million from 2024 primarily due to higher loss attributable to non-controlling interest.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Net Loss Attributable to Non-Controlling Interest</w:t>
      </w:r>
      <w:r>
        <w:rPr>
          <w:color w:val="000000"/>
        </w:rPr>
        <w:t xml:space="preserve"> </w:t>
      </w:r>
      <w:r>
        <w:rPr>
          <w:rFonts w:ascii="Times New Roman;sans-serif" w:hAnsi="Times New Roman;sans-serif"/>
          <w:b w:val="false"/>
          <w:color w:val="000000"/>
          <w:sz w:val="20"/>
        </w:rPr>
        <w:t>increased $9.7 million from 2024 reflecting higher production at ALLETE Clean Energy’s tax equity financed wind energy facilities. Net Loss Attributable to Non-Controlling Interest in 2024 reflected the impact of a network outage near Caddo.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New Energy</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increased $4.4 million, or 26 percent, from 2024 primarily due to higher sales of renewable energy projects.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Income Attributable to ALLETE </w:t>
      </w:r>
      <w:r>
        <w:rPr>
          <w:rFonts w:ascii="Times New Roman;sans-serif" w:hAnsi="Times New Roman;sans-serif"/>
          <w:b w:val="false"/>
          <w:color w:val="000000"/>
          <w:sz w:val="20"/>
        </w:rPr>
        <w:t>was $9.2 million in 2025 compared to net income of $4.0 million in 2024. Net income in 2025 includes higher sales of renewable energy projects and investment tax credits at New Energy compared to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ans-serif" w:hAnsi="Times New Roman;sans-serif"/>
          <w:b/>
          <w:color w:val="000000"/>
          <w:sz w:val="20"/>
        </w:rPr>
      </w:pPr>
      <w:r>
        <w:rPr>
          <w:rFonts w:ascii="Times New Roman;sans-serif" w:hAnsi="Times New Roman;sans-serif"/>
          <w:b/>
          <w:color w:val="000000"/>
          <w:sz w:val="20"/>
        </w:rPr>
        <w:t>Corporate and Other</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i/>
          <w:color w:val="000000"/>
          <w:sz w:val="20"/>
        </w:rPr>
        <w:t xml:space="preserve">Operating Revenue </w:t>
      </w:r>
      <w:r>
        <w:rPr>
          <w:rFonts w:ascii="Times New Roman;sans-serif" w:hAnsi="Times New Roman;sans-serif"/>
          <w:b w:val="false"/>
          <w:color w:val="000000"/>
          <w:sz w:val="20"/>
        </w:rPr>
        <w:t>was similar to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 xml:space="preserve">Net Income Attributable to ALLETE </w:t>
      </w:r>
      <w:r>
        <w:rPr>
          <w:rFonts w:ascii="Times New Roman;sans-serif" w:hAnsi="Times New Roman;sans-serif"/>
          <w:b w:val="false"/>
          <w:color w:val="000000"/>
          <w:sz w:val="20"/>
        </w:rPr>
        <w:t>was $1.1 million in 2025 compared to a net loss of $1.3 million in 2024. Net income in 2025 includes lower income tax expense. This increase was partially offset by higher transaction expenses related to the merger in 2025. Transaction expenses were $2.1 million after-tax in 2025 and $1.2 million in 2024. (See Note 11. Agreement and Plan of Merger.)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Income Taxes – Consolidated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effective tax rate was an expense of 17.8 percent (9.7 percent for the three months ended March 31, 2024). The higher effective tax rate for 2025 is primarily due to higher loss attributable to non-controlling interest.</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our annual effective tax rate in 2025 to be higher than 2024 primarily due to higher loss attributable to non-controlling interest and higher estimated pre-tax income. The estimated annual effective tax rate can differ from what a quarterly effective tax rate would otherwise be on a standalone basis, and this may cause quarter to quarter differences in the timing of income taxes. (See Note 8. Income Tax Expense.)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goodwill, impairment of long-lived assets, and taxation. These policies are reviewed with the Audit Committee of our Board of Directors on a regular basis and summarized in Part II, Item 7. Management’s Discussion and Analysis of Financial Condition and Results of Operations of our 2024 Form 10-K.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6540"/>
                <wp:effectExtent l="0" t="0" r="0" b="0"/>
                <wp:wrapNone/>
                <wp:docPr id="39" name="Frame3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OUTLOOK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our 2024 Form 10-K.</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5, 2024, ALLETE entered into the Merger Agreement. (See Note 11. Agreement and Plan of Merger.) As a result of the Merger, transaction costs are expected to be material in 2025.</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2025. ALLETE expects its businesses to generally provide regulated, contracted or recurring revenues, and to support sustained growth in net income and cash flow.</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Minnesota Carbon-Free Legislation.</w:t>
      </w:r>
      <w:r>
        <w:rPr>
          <w:color w:val="000000"/>
        </w:rPr>
        <w:t xml:space="preserve"> </w:t>
      </w:r>
      <w:r>
        <w:rPr>
          <w:rFonts w:ascii="Times New Roman;sans-serif" w:hAnsi="Times New Roman;sans-serif"/>
          <w:b w:val="false"/>
          <w:color w:val="000000"/>
          <w:sz w:val="20"/>
        </w:rPr>
        <w:t>In February 2023, the Minnesota Governor signed a law that updated the state’s 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Ongoing progress towards compliance with Minnesota's Carbon Free Standard is evaluated in the IRP proceedings at the MPUC. Minnesota Power's most recent IRP was filed on March 3, 2025, and discusses progress towards compliance with the 2040 law. (</w:t>
      </w:r>
      <w:r>
        <w:rPr>
          <w:rFonts w:ascii="Times New Roman;sans-serif" w:hAnsi="Times New Roman;sans-serif"/>
          <w:b w:val="false"/>
          <w:i/>
          <w:color w:val="000000"/>
          <w:sz w:val="20"/>
        </w:rPr>
        <w:t>See Note 2. Regulatory Matters - Integrated Resource Plan.</w:t>
      </w:r>
      <w:r>
        <w:rPr>
          <w:rFonts w:ascii="Times New Roman;sans-serif" w:hAnsi="Times New Roman;sans-serif"/>
          <w:b w:val="false"/>
          <w:color w:val="000000"/>
          <w:sz w:val="20"/>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ans-serif" w:hAnsi="Times New Roman;sans-serif"/>
          <w:b/>
          <w:color w:val="000000"/>
          <w:sz w:val="20"/>
        </w:rPr>
        <w:t>Regulated Operations.</w:t>
      </w:r>
      <w:r>
        <w:rPr>
          <w:color w:val="000000"/>
        </w:rPr>
        <w:t xml:space="preserve"> </w:t>
      </w:r>
      <w:r>
        <w:rPr>
          <w:rFonts w:ascii="Times New Roman;sans-serif" w:hAnsi="Times New Roman;sans-serif"/>
          <w:b w:val="false"/>
          <w:color w:val="000000"/>
          <w:sz w:val="20"/>
        </w:rPr>
        <w:t>Minnesota Power’s long-term strategy is to be the leading electric energy provider in northeastern Minnesota by providing safe, 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In 2021, Minnesota Power announced its vision of delivering 100 percent carbon-free energy by 2050.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2024 Minnesota General Rate Case. </w:t>
      </w:r>
      <w:r>
        <w:rPr>
          <w:rFonts w:ascii="Times New Roman;sans-serif" w:hAnsi="Times New Roman;sans-serif"/>
          <w:b w:val="false"/>
          <w:color w:val="000000"/>
          <w:sz w:val="20"/>
        </w:rPr>
        <w:t xml:space="preserve">On November 1, 2023, Minnesota Power filed a retail rate increase request with the MPUC that sought an average increase of approximately 12.00 percent for retail customers, net of rider revenue incorporated into base rates. The rate filing sought a return on equity of 10.30 percent and a 53.00 percent equity ratio. On an annualized basis, the requested final rate increase would have generated approximately $89 million in additional revenue. In separate orders dated December 19, 2023, the MPUC accepted the filing as complete and approved an annual interim rate increase of approximately $64 million, net of rider revenue, beginning January 1, 2024, subject to refund.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 2024, Minnesota Power entered into a settlement agreement with the Minnesota Department of Commerce, Minnesota Office of the Attorney General, Residential Utilities Division, and Large Power Intervenors to settle the retail rate increase request. As part of the settlement agreement, the parties agreed on all issues, including an overall rate increase of $33.97 million, net of rider revenue and amounts transferring to the fuel adjustment clause, a return on equity of 9.78 percent, all non-financial items and cost allocation. In an order dated November 25, 2024, the MPUC approved the settlement agreement. Final rates were implemented in the first quarter of 2025; interim rates were collected through this period with reserves recorded as necessary. As a result of the settlement, Minnesota Power recorded a reserve for an interim rate refund of $27.9 million pre-tax as of March 31, 2025, which is expected to be refunded in the second quarter of 2025.</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6540"/>
                <wp:effectExtent l="0" t="0" r="0" b="0"/>
                <wp:wrapNone/>
                <wp:docPr id="40" name="Frame40"/>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Regulated Operations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Integrated Resource Plan.</w:t>
      </w:r>
      <w:r>
        <w:rPr>
          <w:color w:val="000000"/>
        </w:rPr>
        <w:t xml:space="preserve"> </w:t>
      </w:r>
      <w:r>
        <w:rPr>
          <w:rFonts w:ascii="Times New Roman;sans-serif" w:hAnsi="Times New Roman;sans-serif"/>
          <w:b w:val="false"/>
          <w:color w:val="000000"/>
          <w:sz w:val="20"/>
        </w:rPr>
        <w:t>On March 3, 2025, Minnesota Power filed its 2025 IRP, which outlines Minnesota Power’s next steps to provide safe and reliable energy to customers while adding new resources, meeting increasing demand for energy and reducing carbon emissions. The 2025 IRP calls for adding renewable projects, customer-focused demand response, energy storage and natural gas generation, and positions Minnesota Power to cease coal use for its customers at the Boswell Energy Center in Cohasset and meet the requirements of the state of Minnesota’s carbon-free standard. As part of the 2025 IRP, Minnesota Power anticipates maximizing and expanding customer-focused programs including energy efficiency, energy conservation and demand response, adding 400 MW of new wind energy resources by 2035, in addition to the 700 MW announced in its 2021 IRP, expanding energy storage resources by 100 MW by 2035, and adding approximately 1,000 MW of natural gas capacity, including the refuel of Boswell Unit 3 to run solely on natural gas by 2030. Minnesota Power will continue to explore biomass fuel opportunities at Boswell Unit 3 and will develop natural gas replacement options for Boswell Unit 4. A final decision on the 2025 IRP is expected in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Industrial Customers.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Industrial Customers.</w:t>
      </w:r>
      <w:r>
        <w:rPr>
          <w:color w:val="000000"/>
        </w:rPr>
        <w:t xml:space="preserve"> </w:t>
      </w:r>
      <w:r>
        <w:rPr>
          <w:rFonts w:ascii="Times New Roman;sans-serif" w:hAnsi="Times New Roman;sans-serif"/>
          <w:b w:val="false"/>
          <w:color w:val="000000"/>
          <w:sz w:val="20"/>
        </w:rPr>
        <w:t>Electric power is one of several key inputs in the taconite mining, paper, pulp and secondary wood products, pipeline and other industries. Approximately 47 percent of our regulated utility kWh sales in the three months ended March 31, 2025, were made to our industrial customers (54 percent in the three months ended March 31,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u w:val="single"/>
        </w:rPr>
        <w:t>Taconite</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u w:val="single"/>
        </w:rPr>
        <w:t>USS Corporation</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In December 2023, USS Corporation announced it entered into a definitive agreement in which Nippon Steel will acquire all of the shares of USS Corporation. USS Corporation expected the transaction to close by the end of 2024, subject to regulatory approvals, at which time USS Corporation stated it will continue to operate under the U.S. Steel brand name and will maintain its headquarters in Pittsburgh, Pennsylvania. On January 3, 2025, President Biden issued an order blocking the transaction, a decision currently being challenged in court. On April 7, 2025, President Trump issued an order to direct CFIUS to conduct a new review of the acquisition of USS Corporation by Nippon Steel.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27, 2025, USS Corporation exercised its rights under its electric service agreement with Minnesota Power to provide a four-year notice of termination. Minnesota Power and USS Corporation are working together to meet USS Corporation’s evolving energy needs. Absent any other action by the parties, the termination of the current electric service agreement would be effective January 27, 2029, and USS Corporation would become a non-contract large power customer of Minnesota Power. USS Corporation has the capability to annually produce approximately 15 million tons of blast furnace-grade pellets at its Minntac plant and 5 million tons of blast-furnace grade pellets, or 4 million tons of DR-grade pellets, at its Keetac plant.</w:t>
      </w:r>
    </w:p>
    <w:p>
      <w:pPr>
        <w:pStyle w:val="TextBody"/>
        <w:bidi w:val="0"/>
        <w:spacing w:before="0" w:after="0"/>
        <w:jc w:val="both"/>
        <w:rPr/>
      </w:pPr>
      <w:r>
        <w:rPr/>
      </w:r>
    </w:p>
    <w:p>
      <w:pPr>
        <w:pStyle w:val="TextBody"/>
        <w:bidi w:val="0"/>
        <w:spacing w:lineRule="auto" w:line="268" w:before="0" w:after="0"/>
        <w:jc w:val="both"/>
        <w:rPr/>
      </w:pPr>
      <w:r>
        <w:rPr>
          <w:rFonts w:ascii="Times New Roman;sans-serif" w:hAnsi="Times New Roman;sans-serif"/>
          <w:b w:val="false"/>
          <w:i/>
          <w:color w:val="000000"/>
          <w:sz w:val="20"/>
          <w:u w:val="single"/>
        </w:rPr>
        <w:t>Cleveland-Cliffs, Inc. (Cliffs)</w:t>
      </w:r>
      <w:r>
        <w:rPr>
          <w:rFonts w:ascii="Times New Roman;sans-serif" w:hAnsi="Times New Roman;sans-serif"/>
          <w:b w:val="false"/>
          <w:color w:val="000000"/>
          <w:sz w:val="20"/>
        </w:rPr>
        <w:t xml:space="preserve">. Cliffs is the largest flat-rolled steel producer and the largest iron ore pellet producer in North America, and is also Minnesota Power’s largest customer. In March 2025, Cliffs announced it would temporarily idle its Minorca Mine in Virginia, Minnesota, and partially idle Hibbing Taconite in Hibbing, Minnesota. Both of these plants are Large Power industrial customers of Minnesota Power. The Hibbing Taconite plant has the capability to annually produce approximately 8 million tons of blast furnace-grade pellets and the Minorca Plant has the capability to produce approximately 3 million tons of blast-furnace grade pellets.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6540"/>
                <wp:effectExtent l="0" t="0" r="0" b="0"/>
                <wp:wrapNone/>
                <wp:docPr id="41" name="Frame41"/>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OUTLOOK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Transmission</w:t>
      </w:r>
      <w:r>
        <w:rPr>
          <w:rFonts w:ascii="Times New Roman;sans-serif" w:hAnsi="Times New Roman;sans-serif"/>
          <w:b/>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make investments in transmission opportunities that strengthen or enhance the transmission grid or take advantage of our geographical location between sources of renewable energy and end users. These include investments to enhance our own transmission facilities and investments in other transmission assets (individually or in combination with others) and our investment in ATC. Transmission investments are summarized in Item 7. Management’s Discussion and Analysis of Financial Condition and Results of Operations – Outlook – Transmission in our 2024 Form 10-K, with additional disclosure provided in the following paragraphs.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HVDC Transmission System Project.</w:t>
      </w:r>
      <w:r>
        <w:rPr>
          <w:color w:val="000000"/>
        </w:rPr>
        <w:t xml:space="preserve"> </w:t>
      </w:r>
      <w:r>
        <w:rPr>
          <w:rFonts w:ascii="Times New Roman;sans-serif" w:hAnsi="Times New Roman;sans-serif"/>
          <w:b w:val="false"/>
          <w:color w:val="000000"/>
          <w:sz w:val="20"/>
        </w:rPr>
        <w:t xml:space="preserve">On June 1, 2023, Minnesota Power submitted an application for a certificate of need and route permit with the MPUC to replace aging critical infrastructure and modernize the terminal stations of its HVDC transmission line. In an October 25, 2024, order, the MPUC approved the certificate of need and route permit. Minnesota Power uses the 465-mile, 250-kV HVDC transmission line that runs from Center, North Dakota, to Duluth, Minnesota, to transport wind energy from North Dakota while gradually phasing out coal-based electricity delivered to its system over this transmission line from Square Butte’s lignite coal-fired generating unit. On March 17, 2025, the FERC approved Minnesota Power's request to recover on construction work in progress related to this project from Minnesota Power’s wholesale customers for project assets in Minnesota and conditionally approved its request related to project assets located in North Dakota. The HVDC transmission system project is expected to improve reliability of the transmission system, improve system resiliency, expand the operating capacity of the HVDC terminals, and replace critical infrastructure. Construction on the Minnesota end of the project will begin in early 2025. Construction on the North Dakota end of the project will begin later in 2025, pending regulatory approvals in North Dakota. The project will be placed in-service between 2028 and 2030. The project is estimated to cost between $800 million and $940 million. On October 18, 2023, the U.S. Department of Energy awarded a $50 million grant to Minnesota Power for this project, which will be used to prepare the HVDC transmission system for future expansion and help reduce project costs to customers. In addition, this project was awarded $15 million in state funding as part of an energy and climate budget bill passed by the Minnesota Legislature in 2023. Further, Minnesota Power’s application to the Minnesota Department of Commerce (DOC) State Competitiveness Fund Match Program received notification the DOC is reserving $10 million as a cost share for the project. In total, Minnesota Power has been awarded $75 million in federal and state dollars in support of the project.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ALLETE Clean Energy.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New Energy.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Energy is a renewable energy company with a primary focus on developing solar and energy storage facilities for external sale and internal ownership while also offering comprehensive operations, maintenance and asset management services. New Energy is a leading developer of community, commercial and industrial, and small utility-scale renewable energy projects that has completed more than 600 MW in its history, totaling more than $1.5 billion of capital. New Energy currently has a robust project pipeline with greater than 2,000 MW of renewable projects in development across over 20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 New Energy will continue its current strategy of developing, owning and operating renewable energy projects.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Corporate and Other.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 and Other includes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in Minnesota, and earnings on cash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6540"/>
                <wp:effectExtent l="0" t="0" r="0" b="0"/>
                <wp:wrapNone/>
                <wp:docPr id="42" name="Frame42"/>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Liquidity Position.</w:t>
      </w:r>
      <w:r>
        <w:rPr>
          <w:color w:val="000000"/>
        </w:rPr>
        <w:t xml:space="preserve"> </w:t>
      </w:r>
      <w:r>
        <w:rPr>
          <w:rFonts w:ascii="Times New Roman;sans-serif" w:hAnsi="Times New Roman;sans-serif"/>
          <w:b w:val="false"/>
          <w:color w:val="000000"/>
          <w:sz w:val="20"/>
        </w:rPr>
        <w:t xml:space="preserve">ALLETE is well-positioned to meet the Company’s liquidity needs. As of March 31, 2025, we had cash and cash equivalents of $92.0 million, $341.8 million in available consolidated lines of credit, 2.1 million original issue shares of common stock available for issuance through a distribution agreement with Lampert Capital Markets, the option (per the Merger Agreement) to request that Alloy Parent purchase up to a total of $300 million of preferred stock of ALLETE in the second half of 2025 (see Securities), and a debt-to-capital ratio of 36 percent.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color w:val="000000"/>
          <w:sz w:val="20"/>
        </w:rPr>
        <w:t>Capital Structure.</w:t>
      </w:r>
      <w:r>
        <w:rPr>
          <w:color w:val="000000"/>
        </w:rPr>
        <w:t xml:space="preserve"> </w:t>
      </w:r>
      <w:r>
        <w:rPr>
          <w:rFonts w:ascii="Times New Roman;sans-serif" w:hAnsi="Times New Roman;sans-serif"/>
          <w:b w:val="false"/>
          <w:color w:val="000000"/>
          <w:sz w:val="20"/>
        </w:rPr>
        <w:t>ALLETE’s capital structure is as follows:</w:t>
      </w:r>
    </w:p>
    <w:tbl>
      <w:tblPr>
        <w:tblW w:w="8039" w:type="dxa"/>
        <w:jc w:val="left"/>
        <w:tblInd w:w="0" w:type="dxa"/>
        <w:tblLayout w:type="fixed"/>
        <w:tblCellMar>
          <w:top w:w="28" w:type="dxa"/>
          <w:left w:w="28" w:type="dxa"/>
          <w:bottom w:w="28" w:type="dxa"/>
          <w:right w:w="28" w:type="dxa"/>
        </w:tblCellMar>
      </w:tblPr>
      <w:tblGrid>
        <w:gridCol w:w="1217"/>
        <w:gridCol w:w="1072"/>
        <w:gridCol w:w="1085"/>
        <w:gridCol w:w="435"/>
        <w:gridCol w:w="436"/>
        <w:gridCol w:w="326"/>
        <w:gridCol w:w="109"/>
        <w:gridCol w:w="109"/>
        <w:gridCol w:w="109"/>
        <w:gridCol w:w="231"/>
        <w:gridCol w:w="235"/>
        <w:gridCol w:w="109"/>
        <w:gridCol w:w="109"/>
        <w:gridCol w:w="109"/>
        <w:gridCol w:w="109"/>
        <w:gridCol w:w="435"/>
        <w:gridCol w:w="436"/>
        <w:gridCol w:w="421"/>
        <w:gridCol w:w="109"/>
        <w:gridCol w:w="109"/>
        <w:gridCol w:w="109"/>
        <w:gridCol w:w="231"/>
        <w:gridCol w:w="235"/>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Equity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 in Subsidiaries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Short-Term and Long-Term Debt </w:t>
            </w:r>
            <w:r>
              <w:rPr>
                <w:rFonts w:ascii="Times New Roman;sans-serif" w:hAnsi="Times New Roman;sans-serif"/>
                <w:b w:val="false"/>
                <w:i/>
                <w:color w:val="000000"/>
                <w:sz w:val="18"/>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$5,324.9 </w:t>
            </w:r>
          </w:p>
        </w:tc>
        <w:tc>
          <w:tcPr>
            <w:tcW w:w="3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$5,198.5 </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(a)Excludes unamortized debt issuance costs.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Cash Flows.</w:t>
      </w:r>
      <w:r>
        <w:rPr>
          <w:color w:val="000000"/>
        </w:rPr>
        <w:t xml:space="preserve"> </w:t>
      </w:r>
      <w:r>
        <w:rPr>
          <w:rFonts w:ascii="Times New Roman;sans-serif" w:hAnsi="Times New Roman;sans-serif"/>
          <w:b w:val="false"/>
          <w:color w:val="000000"/>
          <w:sz w:val="20"/>
        </w:rPr>
        <w:t>Selected information from the Consolidated Statement of Cash Flows is as follows:</w:t>
      </w:r>
    </w:p>
    <w:tbl>
      <w:tblPr>
        <w:tblW w:w="7640" w:type="dxa"/>
        <w:jc w:val="left"/>
        <w:tblInd w:w="0" w:type="dxa"/>
        <w:tblLayout w:type="fixed"/>
        <w:tblCellMar>
          <w:top w:w="28" w:type="dxa"/>
          <w:left w:w="28" w:type="dxa"/>
          <w:bottom w:w="28" w:type="dxa"/>
          <w:right w:w="28" w:type="dxa"/>
        </w:tblCellMar>
      </w:tblPr>
      <w:tblGrid>
        <w:gridCol w:w="2026"/>
        <w:gridCol w:w="1781"/>
        <w:gridCol w:w="1787"/>
        <w:gridCol w:w="344"/>
        <w:gridCol w:w="346"/>
        <w:gridCol w:w="176"/>
        <w:gridCol w:w="109"/>
        <w:gridCol w:w="109"/>
        <w:gridCol w:w="109"/>
        <w:gridCol w:w="308"/>
        <w:gridCol w:w="308"/>
        <w:gridCol w:w="237"/>
      </w:tblGrid>
      <w:tr>
        <w:trPr/>
        <w:tc>
          <w:tcPr>
            <w:tcW w:w="202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For the Three Months Ended March 31,</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5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Millions</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(used in)</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69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Operating Activities.</w:t>
      </w:r>
      <w:r>
        <w:rPr>
          <w:color w:val="000000"/>
        </w:rPr>
        <w:t xml:space="preserve"> </w:t>
      </w:r>
      <w:r>
        <w:rPr>
          <w:rFonts w:ascii="Times New Roman;sans-serif" w:hAnsi="Times New Roman;sans-serif"/>
          <w:b w:val="false"/>
          <w:color w:val="000000"/>
          <w:sz w:val="20"/>
        </w:rPr>
        <w:t>Cash provided by operating activities was higher in 2025 compared to 2024 reflecting cash proceeds from the sale of renewable tax credits in 2025 as well as the timing of payments and cash receipts for accounts payable and accounts receivable, respectively.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Investing Activities.</w:t>
      </w:r>
      <w:r>
        <w:rPr>
          <w:color w:val="000000"/>
        </w:rPr>
        <w:t xml:space="preserve"> </w:t>
      </w:r>
      <w:r>
        <w:rPr>
          <w:rFonts w:ascii="Times New Roman;sans-serif" w:hAnsi="Times New Roman;sans-serif"/>
          <w:b w:val="false"/>
          <w:color w:val="000000"/>
          <w:sz w:val="20"/>
        </w:rPr>
        <w:t>Cash used in investing activities was higher in 2025 compared to 2024 reflecting more payments for additions to property, plant and equipment compared to 2024.</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i/>
          <w:color w:val="000000"/>
          <w:sz w:val="20"/>
        </w:rPr>
        <w:t>Financing Activities.</w:t>
      </w:r>
      <w:r>
        <w:rPr>
          <w:color w:val="000000"/>
        </w:rPr>
        <w:t xml:space="preserve"> </w:t>
      </w:r>
      <w:r>
        <w:rPr>
          <w:rFonts w:ascii="Times New Roman;sans-serif" w:hAnsi="Times New Roman;sans-serif"/>
          <w:b w:val="false"/>
          <w:color w:val="000000"/>
          <w:sz w:val="20"/>
        </w:rPr>
        <w:t xml:space="preserve">Cash provided by financing activities in 2025 reflected higher proceeds from the issuance of long-term debt, partially offset by higher repayments of long-term debt compared to cash used in financing activities in 2024.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Working Capital.</w:t>
      </w:r>
      <w:r>
        <w:rPr>
          <w:color w:val="000000"/>
        </w:rPr>
        <w:t xml:space="preserve"> </w:t>
      </w:r>
      <w:r>
        <w:rPr>
          <w:rFonts w:ascii="Times New Roman;sans-serif" w:hAnsi="Times New Roman;sans-serif"/>
          <w:b w:val="false"/>
          <w:color w:val="000000"/>
          <w:sz w:val="20"/>
        </w:rPr>
        <w:t>Additional working capital, if and when needed, generally is provided by consolidated bank lines of credit and the issuance of securities, including long-term debt, common stock and commercial paper. As of March 31, 2025, we had consolidated bank lines of credit aggregating $362.0 million ($362.0 million as of December 31, 2024), the majority of which expire in January 2027. (See Note 5. Short-Term and Long-Term Debt.) We had $20.2 million outstanding standby letters of credit and no outstanding draws under our lines of credit as of March 31, 2025 ($16.2 million in standby letters of credit and $20.0 million outstanding draws on our lines of credit as of December 31, 2024). As of March 31, 2025, we also had $122.6 million outstanding in standby letters of credit under other credit facility agreements.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In addition, as of March 31, 2025, we had 2.4 million original issue shares of our common stock available for issuance through Invest Direct, our direct stock purchase and dividend reinvestment plan, and 2.1 million original issue shares of common stock available for issuance through a distribution agreement with Lampert Capital Markets. (See </w:t>
      </w:r>
      <w:r>
        <w:rPr>
          <w:rFonts w:ascii="Times New Roman;sans-serif" w:hAnsi="Times New Roman;sans-serif"/>
          <w:b w:val="false"/>
          <w:i/>
          <w:color w:val="000000"/>
          <w:sz w:val="20"/>
        </w:rPr>
        <w:t>Securities</w:t>
      </w:r>
      <w:r>
        <w:rPr>
          <w:rFonts w:ascii="Times New Roman;sans-serif" w:hAnsi="Times New Roman;sans-serif"/>
          <w:b w:val="false"/>
          <w:color w:val="000000"/>
          <w:sz w:val="20"/>
        </w:rPr>
        <w:t>.) The amount and timing of future sales of our securities will depend upon market conditions and our specific needs.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6540"/>
                <wp:effectExtent l="0" t="0" r="0" b="0"/>
                <wp:wrapNone/>
                <wp:docPr id="43" name="Frame43"/>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 (Continued)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Securities.</w:t>
      </w:r>
      <w:r>
        <w:rPr>
          <w:color w:val="000000"/>
        </w:rPr>
        <w:t xml:space="preserve"> </w:t>
      </w:r>
      <w:r>
        <w:rPr>
          <w:rFonts w:ascii="Times New Roman;sans-serif" w:hAnsi="Times New Roman;sans-serif"/>
          <w:b w:val="false"/>
          <w:color w:val="000000"/>
          <w:sz w:val="20"/>
        </w:rPr>
        <w:t>The Merger Agreement also provides that ALLETE may notify Alloy Parent of our intent to raise equity capital of up to a total of $300 million in the second half of 2025, subject to certain parameters. If Alloy Parent declines to participate in the equity capital raises or fails to provide timely notice with respect thereto, ALLETE will have the right to issue ALLETE common stock in the public markets for an amount equal to any unfunded amounts under such equity capital raises up to certain limits. (See Note 11. Agreement and Plan of Merger.)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we issued 0.1 million shares of common stock through Invest Direct, ESPP, and RSOP, resulting in net proceeds of $2.5 million (0.1 million shares were issued for the three months ended March 31, 2024, resulting in net proceeds of $2.0 million).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Financial Covenants.</w:t>
      </w:r>
      <w:r>
        <w:rPr>
          <w:color w:val="000000"/>
        </w:rPr>
        <w:t xml:space="preserve"> </w:t>
      </w:r>
      <w:r>
        <w:rPr>
          <w:rFonts w:ascii="Times New Roman;sans-serif" w:hAnsi="Times New Roman;sans-serif"/>
          <w:b w:val="false"/>
          <w:color w:val="000000"/>
          <w:sz w:val="20"/>
        </w:rPr>
        <w:t>See Note 5. Short-Term and Long-Term Debt for information regarding our financial covenants.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Pension and Other Postretirement Benefit Plans.</w:t>
      </w:r>
      <w:r>
        <w:rPr>
          <w:color w:val="000000"/>
        </w:rPr>
        <w:t> </w:t>
      </w:r>
      <w:r>
        <w:rPr>
          <w:rFonts w:ascii="Times New Roman;sans-serif" w:hAnsi="Times New Roman;sans-serif"/>
          <w:b w:val="false"/>
          <w:color w:val="000000"/>
          <w:sz w:val="20"/>
        </w:rPr>
        <w:t>Management considers various factors when making funding decisions, such as regulatory requirements, actuarially determined minimum contribution requirements and contributions required to avoid benefit restrictions for the defined benefit pension plans. (See Note 9. Pension and Other Postretirement Benefit Plans.)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 xml:space="preserve">Off-Balance Sheet Arrangements. </w:t>
      </w:r>
      <w:r>
        <w:rPr>
          <w:rFonts w:ascii="Times New Roman;sans-serif" w:hAnsi="Times New Roman;sans-serif"/>
          <w:b w:val="false"/>
          <w:color w:val="000000"/>
          <w:sz w:val="20"/>
        </w:rPr>
        <w:t>Off-balance sheet arrangements are summarized in our 2024 Form 10-K, with additional disclosure in Note 6. Commitments, Guarantees and Contingencies.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Credit Ratings</w:t>
      </w:r>
      <w:r>
        <w:rPr>
          <w:rFonts w:ascii="Times New Roman;sans-serif" w:hAnsi="Times New Roman;sans-serif"/>
          <w:b w:val="false"/>
          <w:color w:val="000000"/>
          <w:sz w:val="20"/>
        </w:rPr>
        <w:t>. Access to reasonably priced capital markets is dependent in part on credit and ratings. Our securities have been rated by S&amp;P Global Ratings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tbl>
      <w:tblPr>
        <w:tblW w:w="4861" w:type="dxa"/>
        <w:jc w:val="left"/>
        <w:tblInd w:w="0" w:type="dxa"/>
        <w:tblLayout w:type="fixed"/>
        <w:tblCellMar>
          <w:top w:w="28" w:type="dxa"/>
          <w:left w:w="28" w:type="dxa"/>
          <w:bottom w:w="28" w:type="dxa"/>
          <w:right w:w="28" w:type="dxa"/>
        </w:tblCellMar>
      </w:tblPr>
      <w:tblGrid>
        <w:gridCol w:w="683"/>
        <w:gridCol w:w="602"/>
        <w:gridCol w:w="605"/>
        <w:gridCol w:w="694"/>
        <w:gridCol w:w="694"/>
        <w:gridCol w:w="697"/>
        <w:gridCol w:w="259"/>
        <w:gridCol w:w="259"/>
        <w:gridCol w:w="368"/>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Credit Ratings</w:t>
            </w:r>
          </w:p>
        </w:tc>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S&amp;P Global Ratings</w:t>
            </w:r>
            <w:r>
              <w:rPr>
                <w:color w:val="000000"/>
              </w:rPr>
              <w:t xml:space="preserve"> </w:t>
            </w:r>
            <w:r>
              <w:rPr>
                <w:rFonts w:ascii="Times New Roman;sans-serif" w:hAnsi="Times New Roman;sans-serif"/>
                <w:b w:val="false"/>
                <w:i/>
                <w:color w:val="000000"/>
                <w:sz w:val="18"/>
              </w:rPr>
              <w:t>(a)</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Moody’s</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Credit Rating</w:t>
            </w:r>
          </w:p>
        </w:tc>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Baa1</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P-2</w:t>
            </w:r>
          </w:p>
        </w:tc>
      </w:tr>
      <w:tr>
        <w:trPr/>
        <w:tc>
          <w:tcPr>
            <w:tcW w:w="18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Mortgage Bonds</w:t>
            </w:r>
          </w:p>
        </w:tc>
        <w:tc>
          <w:tcPr>
            <w:tcW w:w="208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(b)</w:t>
            </w:r>
          </w:p>
        </w:tc>
        <w:tc>
          <w:tcPr>
            <w:tcW w:w="88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A2</w:t>
            </w:r>
          </w:p>
        </w:tc>
      </w:tr>
    </w:tbl>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(a)    On May 7, 2024, S&amp;P Global Ratings revised its outlook on ALLETE to negative from stable and affirmed all of its ratings on ALLETE. S&amp;P Global Ratings cited the possibility for higher leverage and weaker financial measures because of the Merger as its rationale for issuing the negative outlook.</w:t>
      </w:r>
    </w:p>
    <w:p>
      <w:pPr>
        <w:pStyle w:val="TextBody"/>
        <w:bidi w:val="0"/>
        <w:spacing w:lineRule="auto" w:line="288" w:before="0" w:after="0"/>
        <w:ind w:left="0" w:right="0" w:hanging="360"/>
        <w:jc w:val="both"/>
        <w:rPr>
          <w:rFonts w:ascii="Times New Roman;sans-serif" w:hAnsi="Times New Roman;sans-serif"/>
          <w:b w:val="false"/>
          <w:i/>
          <w:color w:val="000000"/>
          <w:sz w:val="18"/>
        </w:rPr>
      </w:pPr>
      <w:r>
        <w:rPr>
          <w:rFonts w:ascii="Times New Roman;sans-serif" w:hAnsi="Times New Roman;sans-serif"/>
          <w:b w:val="false"/>
          <w:i/>
          <w:color w:val="000000"/>
          <w:sz w:val="18"/>
        </w:rPr>
        <w:t>(b)    Not rated by S&amp;P Global Ratings.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Capital Requirements.</w:t>
      </w:r>
      <w:r>
        <w:rPr>
          <w:color w:val="000000"/>
        </w:rPr>
        <w:t xml:space="preserve"> </w:t>
      </w:r>
      <w:r>
        <w:rPr>
          <w:rFonts w:ascii="Times New Roman;sans-serif" w:hAnsi="Times New Roman;sans-serif"/>
          <w:b w:val="false"/>
          <w:color w:val="000000"/>
          <w:sz w:val="20"/>
        </w:rPr>
        <w:t>Our capital expenditures for 2025 are now expected to be approximately $900 million reflecting higher capital expenditures at Minnesota Power primarily related to timing of expenditures for the HVDC transmission system project. For the three months ended March 31, 2025, capital expenditures totaled $145.2 million ($51.8 million for the three months ended March 31, 2024). The expenditures were primarily made in the Regulated Operations segment.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6540"/>
                <wp:effectExtent l="0" t="0" r="0" b="0"/>
                <wp:wrapNone/>
                <wp:docPr id="44" name="Frame44"/>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Environmental Matters.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6. Commitments, Guarantees and Contingencies.)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ALLETE had 1,638 employees, of which 1,595 were full-time.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Minnesota Power and SWL&amp;P have an aggregate of 502 employees covered under collective bargaining agreements, of which most are members of International Brotherhood of Electrical Workers (IBEW) Local 31. The current labor agreements with IBEW Local 31 expire on April 30, 2028, for Minnesota Power and January 31, 2029, for SWL&amp;P.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BNI Energy has 183 employees, of which 134 are subject to a labor agreement with IBEW Local 1593. The current labor agreement with IBEW Local 1593 expires on March 31, 2026.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accounting pronouncements are discussed in Note 1. Operations and Significant Accounting Policies.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6540"/>
                <wp:effectExtent l="0" t="0" r="0" b="0"/>
                <wp:wrapNone/>
                <wp:docPr id="45" name="Frame45"/>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SECURITIES INVESTMENTS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Available-for-Sale Securities</w:t>
      </w:r>
      <w:r>
        <w:rPr>
          <w:rFonts w:ascii="Times New Roman;sans-serif" w:hAnsi="Times New Roman;sans-serif"/>
          <w:b w:val="false"/>
          <w:color w:val="000000"/>
          <w:sz w:val="20"/>
        </w:rPr>
        <w:t>. As of March 31, 2025, our available-for-sale securities portfolio consisted primarily of securities held in other postretirement plans to fund employee benefits.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POWER MARKETING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credit risk primarily through our power marketing activities. We use credit policies to manage credit risk, which includes utilizing an established credit approval process and monitoring counterparty limits.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as of March 31, 2025, an increase of 100 basis points in interest rates would impact the amount of pre-tax interest expense by $0.3 million. This amount was determined by considering the impact of a hypothetical 100 basis point increase to the average variable interest rate on the variable rate debt outstanding as of March 31,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6540"/>
                <wp:effectExtent l="0" t="0" r="0" b="0"/>
                <wp:wrapNone/>
                <wp:docPr id="46" name="Frame46"/>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0"/>
        </w:rPr>
        <w:t>Evaluation of Disclosure Controls and Procedures.</w:t>
      </w:r>
      <w:r>
        <w:rPr>
          <w:color w:val="000000"/>
        </w:rPr>
        <w:t xml:space="preserve"> </w:t>
      </w:r>
      <w:r>
        <w:rPr>
          <w:rFonts w:ascii="Times New Roman;sans-serif" w:hAnsi="Times New Roman;sans-serif"/>
          <w:b w:val="false"/>
          <w:color w:val="000000"/>
          <w:sz w:val="20"/>
        </w:rPr>
        <w:t>As of March 31, 2025,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0"/>
        </w:rPr>
        <w:t>Changes in Internal Controls.</w:t>
      </w:r>
      <w:r>
        <w:rPr>
          <w:color w:val="000000"/>
        </w:rPr>
        <w:t xml:space="preserve"> </w:t>
      </w:r>
      <w:r>
        <w:rPr>
          <w:rFonts w:ascii="Times New Roman;sans-serif" w:hAnsi="Times New Roman;sans-serif"/>
          <w:b w:val="false"/>
          <w:color w:val="000000"/>
          <w:sz w:val="20"/>
        </w:rPr>
        <w:t>There has been no change in our internal control over financial reporting that occurred during our most recent fiscal quarter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information regarding material legal and regulatory proceedings, see Note 4. Regulatory Matters and Note 9. Commitments, Guarantees and Contingencies to the Consolidated Financial Statements in our 2024 Form 10-K and Note 2. Regulatory Matters and Note 6. Commitments, Guarantees and Contingencies herein. Such information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2024 Form 10-K includes a detailed discussion of our risk factors. There have been no material changes from the risk factors disclosed in Part I, Item 1A. Risk Factors of our 2024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6540"/>
                <wp:effectExtent l="0" t="0" r="0" b="0"/>
                <wp:wrapNone/>
                <wp:docPr id="47" name="Frame47"/>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0"/>
        </w:rPr>
        <w:t xml:space="preserve">Trading Plans. </w:t>
      </w:r>
      <w:r>
        <w:rPr>
          <w:rFonts w:ascii="Times New Roman;sans-serif" w:hAnsi="Times New Roman;sans-serif"/>
          <w:b w:val="false"/>
          <w:color w:val="000000"/>
          <w:sz w:val="20"/>
        </w:rPr>
        <w:t>During the quarter ended March 31, 2025, no director or officer of the Company adopted or terminated a “Rule 10b5-1 trading arrangement” or “non-Rule 10b5-1 trading arrangement,” as each term is defined in Item 408(a) of Regulation S-K.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2"/>
        <w:gridCol w:w="248"/>
        <w:gridCol w:w="249"/>
        <w:gridCol w:w="109"/>
        <w:gridCol w:w="109"/>
        <w:gridCol w:w="109"/>
        <w:gridCol w:w="3056"/>
        <w:gridCol w:w="2830"/>
        <w:gridCol w:w="2838"/>
        <w:gridCol w:w="109"/>
        <w:gridCol w:w="109"/>
        <w:gridCol w:w="157"/>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2</w:t>
              </w:r>
            </w:hyperlink>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20"/>
                  <w:u w:val="single"/>
                </w:rPr>
                <w:t>Agreement and Plan of Merger by and among ALLETE, Inc., Alloy Parent LLC and Alloy Merger Sub LLC, dated as of May 5, 2024 (filed as Exhibit 2.1 to the May 6, 2024, Form 8-K, File No. 1-3548).*</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4.htm">
              <w:r>
                <w:rPr>
                  <w:rStyle w:val="InternetLink"/>
                  <w:rFonts w:ascii="Times New Roman;sans-serif" w:hAnsi="Times New Roman;sans-serif"/>
                  <w:b w:val="false"/>
                  <w:color w:val="0000FF"/>
                  <w:sz w:val="20"/>
                  <w:u w:val="singl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4.htm">
              <w:r>
                <w:rPr>
                  <w:rStyle w:val="InternetLink"/>
                  <w:rFonts w:ascii="Times New Roman;sans-serif" w:hAnsi="Times New Roman;sans-serif"/>
                  <w:b w:val="false"/>
                  <w:color w:val="0000FF"/>
                  <w:sz w:val="20"/>
                  <w:u w:val="single"/>
                </w:rPr>
                <w:t>Note Purchase Agreement, dated March 25, 2025, between ALLETE and the purchasers named therein.</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31a.htm">
              <w:r>
                <w:rPr>
                  <w:rStyle w:val="InternetLink"/>
                  <w:rFonts w:ascii="Times New Roman;sans-serif" w:hAnsi="Times New Roman;sans-serif"/>
                  <w:b w:val="false"/>
                  <w:color w:val="0000FF"/>
                  <w:sz w:val="20"/>
                  <w:u w:val="single"/>
                </w:rPr>
                <w:t>31(a)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31a.htm">
              <w:r>
                <w:rPr>
                  <w:rStyle w:val="InternetLink"/>
                  <w:rFonts w:ascii="Times New Roman;sans-serif" w:hAnsi="Times New Roman;sans-serif"/>
                  <w:b w:val="false"/>
                  <w:color w:val="0000FF"/>
                  <w:sz w:val="20"/>
                  <w:u w:val="single"/>
                </w:rPr>
                <w:t>Rule 13a-14(a)/15d-14(a) Certification by the Chief Executive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31b.htm">
              <w:r>
                <w:rPr>
                  <w:rStyle w:val="InternetLink"/>
                  <w:rFonts w:ascii="Times New Roman;sans-serif" w:hAnsi="Times New Roman;sans-serif"/>
                  <w:b w:val="false"/>
                  <w:color w:val="0000FF"/>
                  <w:sz w:val="20"/>
                  <w:u w:val="single"/>
                </w:rPr>
                <w:t>31(b)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31b.htm">
              <w:r>
                <w:rPr>
                  <w:rStyle w:val="InternetLink"/>
                  <w:rFonts w:ascii="Times New Roman;sans-serif" w:hAnsi="Times New Roman;sans-serif"/>
                  <w:b w:val="false"/>
                  <w:color w:val="0000FF"/>
                  <w:sz w:val="20"/>
                  <w:u w:val="single"/>
                </w:rPr>
                <w:t>Rule 13a-14(a)/15d-14(a) Certification by the Chief Financial Officer Pursuant to Section 302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32.htm">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32.htm">
              <w:r>
                <w:rPr>
                  <w:rStyle w:val="InternetLink"/>
                  <w:rFonts w:ascii="Times New Roman;sans-serif" w:hAnsi="Times New Roman;sans-serif"/>
                  <w:b w:val="false"/>
                  <w:color w:val="0000FF"/>
                  <w:sz w:val="20"/>
                  <w:u w:val="single"/>
                </w:rPr>
                <w:t>Section 1350 Certification of Periodic Report by the Chief Executive Officer and the Chief Financial Officer Pursuant to Section 906 of the Sarbanes-Oxley Act of 2002.</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95.htm">
              <w:r>
                <w:rPr>
                  <w:rStyle w:val="InternetLink"/>
                  <w:rFonts w:ascii="Times New Roman;sans-serif" w:hAnsi="Times New Roman;sans-serif"/>
                  <w:b w:val="false"/>
                  <w:color w:val="0000FF"/>
                  <w:sz w:val="20"/>
                  <w:u w:val="single"/>
                </w:rPr>
                <w:t>95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95.htm">
              <w:r>
                <w:rPr>
                  <w:rStyle w:val="InternetLink"/>
                  <w:rFonts w:ascii="Times New Roman;sans-serif" w:hAnsi="Times New Roman;sans-serif"/>
                  <w:b w:val="false"/>
                  <w:color w:val="0000FF"/>
                  <w:sz w:val="20"/>
                  <w:u w:val="single"/>
                </w:rPr>
                <w:t>Mine Safety.</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ale3-31x2025exx99.htm">
              <w:r>
                <w:rPr>
                  <w:rStyle w:val="InternetLink"/>
                  <w:rFonts w:ascii="Times New Roman;sans-serif" w:hAnsi="Times New Roman;sans-serif"/>
                  <w:b w:val="false"/>
                  <w:color w:val="0000FF"/>
                  <w:sz w:val="20"/>
                  <w:u w:val="single"/>
                </w:rPr>
                <w:t>99</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ale3-31x2025exx99.htm">
              <w:r>
                <w:rPr>
                  <w:rStyle w:val="InternetLink"/>
                  <w:rFonts w:ascii="Times New Roman;sans-serif" w:hAnsi="Times New Roman;sans-serif"/>
                  <w:b w:val="false"/>
                  <w:color w:val="0000FF"/>
                  <w:sz w:val="20"/>
                  <w:u w:val="single"/>
                </w:rPr>
                <w:t>ALLETE News Release dated May 8, 2025, announcing 2025 first quarter earnings. (This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hyperlink>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4"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Schema</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Calculation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Definition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Label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XBRL Presentation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*Schedules and exhibits have been omitted pursuant to Item 601(b)(2) of Regulation S-K. A copy of any omitted schedules will be furnished supplementally to the SEC upon request; provided, however, that the parties may request confidential treatment pursuant to Rule 24b-2 of the Exchange Act for any document so furnished.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ALLETE agrees to furnish to the SEC upon request any instrument with respect to long-term debt that ALLETE has not filed as an exhibit pursuant to the exemption provided by Item 601(b)(4)(iii)(A)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6540"/>
                <wp:effectExtent l="0" t="0" r="0" b="0"/>
                <wp:wrapNone/>
                <wp:docPr id="48" name="Frame48"/>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6222"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386"/>
        <w:gridCol w:w="1386"/>
        <w:gridCol w:w="1968"/>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ALLETE, INC.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J. Scissons</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Jeffrey J. Scissons</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Vice President, Chief Financial Officer and </w:t>
              <w:br/>
              <w:t>Corporate Treasurer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Colin B. Anderson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Colin B. Anderson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Accounting Officer, and Controller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r>
        <w:rPr>
          <w:color w:val="000000"/>
        </w:rPr>
        <w:t>        </w:t>
      </w: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6540"/>
                <wp:effectExtent l="0" t="0" r="0" b="0"/>
                <wp:wrapNone/>
                <wp:docPr id="49" name="Frame49"/>
                <a:graphic xmlns:a="http://schemas.openxmlformats.org/drawingml/2006/main">
                  <a:graphicData uri="http://schemas.microsoft.com/office/word/2010/wordprocessingShape">
                    <wps:wsp>
                      <wps:cNvSpPr txBox="1"/>
                      <wps:spPr>
                        <a:xfrm>
                          <a:off x="0" y="0"/>
                          <a:ext cx="6480175" cy="25654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ALLETE, Inc. First Quarter 2025 Form 10-Q</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val="false"/>
          <w:i/>
          <w:color w:val="000000"/>
          <w:sz w:val="24"/>
        </w:rPr>
      </w:pPr>
      <w:r>
        <w:rPr>
          <w:rFonts w:ascii="Times New Roman;sans-serif" w:hAnsi="Times New Roman;sans-serif"/>
          <w:b w:val="false"/>
          <w:i/>
          <w:color w:val="000000"/>
          <w:sz w:val="24"/>
        </w:rPr>
        <w:t>EXECUTION COPY</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489" w:type="dxa"/>
        <w:jc w:val="left"/>
        <w:tblInd w:w="0" w:type="dxa"/>
        <w:tblLayout w:type="fixed"/>
        <w:tblCellMar>
          <w:top w:w="28" w:type="dxa"/>
          <w:left w:w="28" w:type="dxa"/>
          <w:bottom w:w="28" w:type="dxa"/>
          <w:right w:w="28" w:type="dxa"/>
        </w:tblCellMar>
      </w:tblPr>
      <w:tblGrid>
        <w:gridCol w:w="1758"/>
        <w:gridCol w:w="1544"/>
        <w:gridCol w:w="2187"/>
      </w:tblGrid>
      <w:tr>
        <w:trPr/>
        <w:tc>
          <w:tcPr>
            <w:tcW w:w="175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60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ableContents"/>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$120,000,000 5.38% Senior Notes Due March 25, 2030</w:t>
            </w:r>
          </w:p>
          <w:p>
            <w:pPr>
              <w:pStyle w:val="TableContents"/>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$30,000,000 5.82% Senior Notes Due March 25, 2035</w:t>
            </w:r>
          </w:p>
          <w:p>
            <w:pPr>
              <w:pStyle w:val="TableContents"/>
              <w:bidi w:val="0"/>
              <w:spacing w:before="0" w:after="120"/>
              <w:jc w:val="center"/>
              <w:rPr/>
            </w:pPr>
            <w:r>
              <w:rPr/>
            </w:r>
          </w:p>
          <w:p>
            <w:pPr>
              <w:pStyle w:val="TableContents"/>
              <w:bidi w:val="0"/>
              <w:spacing w:lineRule="auto" w:line="324"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w:t>
            </w:r>
          </w:p>
          <w:p>
            <w:pPr>
              <w:pStyle w:val="TableContents"/>
              <w:bidi w:val="0"/>
              <w:spacing w:lineRule="auto" w:line="288" w:before="0" w:after="600"/>
              <w:jc w:val="center"/>
              <w:rPr>
                <w:rFonts w:ascii="Times New Roman;sans-serif" w:hAnsi="Times New Roman;sans-serif"/>
                <w:b w:val="false"/>
                <w:color w:val="000000"/>
                <w:sz w:val="28"/>
              </w:rPr>
            </w:pPr>
            <w:r>
              <w:rPr>
                <w:rFonts w:ascii="Times New Roman;sans-serif" w:hAnsi="Times New Roman;sans-serif"/>
                <w:b w:val="false"/>
                <w:color w:val="000000"/>
                <w:sz w:val="28"/>
              </w:rPr>
              <w:t>Note Purchase Agreement</w:t>
            </w:r>
          </w:p>
          <w:p>
            <w:pPr>
              <w:pStyle w:val="TableContents"/>
              <w:bidi w:val="0"/>
              <w:spacing w:lineRule="auto" w:line="324"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w:t>
            </w:r>
          </w:p>
          <w:p>
            <w:pPr>
              <w:pStyle w:val="TableContents"/>
              <w:bidi w:val="0"/>
              <w:spacing w:lineRule="auto" w:line="288" w:before="0" w:after="600"/>
              <w:jc w:val="center"/>
              <w:rPr>
                <w:rFonts w:ascii="Times New Roman;sans-serif" w:hAnsi="Times New Roman;sans-serif"/>
                <w:b w:val="false"/>
                <w:color w:val="000000"/>
                <w:sz w:val="24"/>
              </w:rPr>
            </w:pPr>
            <w:r>
              <w:rPr>
                <w:rFonts w:ascii="Times New Roman;sans-serif" w:hAnsi="Times New Roman;sans-serif"/>
                <w:b w:val="false"/>
                <w:color w:val="000000"/>
                <w:sz w:val="24"/>
              </w:rPr>
              <w:t>Dated March 25, 2025</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w:t>
                      </w:r>
                      <w:r>
                        <w:rPr>
                          <w:color w:val="000000"/>
                        </w:rPr>
                        <w:t>        </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Page</w:t>
      </w:r>
    </w:p>
    <w:p>
      <w:pPr>
        <w:pStyle w:val="TextBody"/>
        <w:bidi w:val="0"/>
        <w:spacing w:lineRule="auto" w:line="288" w:before="120" w:after="120"/>
        <w:jc w:val="left"/>
        <w:rPr/>
      </w:pPr>
      <w:r>
        <w:rPr>
          <w:rFonts w:ascii="Times New Roman;sans-serif" w:hAnsi="Times New Roman;sans-serif"/>
          <w:b w:val="false"/>
          <w:color w:val="000000"/>
          <w:sz w:val="24"/>
        </w:rPr>
        <w:t>SECTION 2.</w:t>
      </w:r>
      <w:r>
        <w:rPr>
          <w:color w:val="000000"/>
        </w:rPr>
        <w:t>    </w:t>
      </w:r>
      <w:r>
        <w:rPr>
          <w:rFonts w:ascii="Times New Roman;sans-serif" w:hAnsi="Times New Roman;sans-serif"/>
          <w:b w:val="false"/>
          <w:color w:val="000000"/>
          <w:sz w:val="24"/>
        </w:rPr>
        <w:t>Sale and Purchase of Notes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120" w:after="120"/>
        <w:jc w:val="left"/>
        <w:rPr/>
      </w:pPr>
      <w:r>
        <w:rPr>
          <w:rFonts w:ascii="Times New Roman;sans-serif" w:hAnsi="Times New Roman;sans-serif"/>
          <w:b w:val="false"/>
          <w:color w:val="000000"/>
          <w:sz w:val="24"/>
        </w:rPr>
        <w:t>SECTION 3.</w:t>
      </w:r>
      <w:r>
        <w:rPr>
          <w:color w:val="000000"/>
        </w:rPr>
        <w:t>    </w:t>
      </w:r>
      <w:r>
        <w:rPr>
          <w:rFonts w:ascii="Times New Roman;sans-serif" w:hAnsi="Times New Roman;sans-serif"/>
          <w:b w:val="false"/>
          <w:color w:val="000000"/>
          <w:sz w:val="24"/>
        </w:rPr>
        <w:t>Closing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w:t>
        </w:r>
      </w:hyperlink>
    </w:p>
    <w:p>
      <w:pPr>
        <w:pStyle w:val="TextBody"/>
        <w:bidi w:val="0"/>
        <w:spacing w:lineRule="auto" w:line="288" w:before="120" w:after="120"/>
        <w:jc w:val="left"/>
        <w:rPr/>
      </w:pPr>
      <w:r>
        <w:rPr>
          <w:rFonts w:ascii="Times New Roman;sans-serif" w:hAnsi="Times New Roman;sans-serif"/>
          <w:b w:val="false"/>
          <w:color w:val="000000"/>
          <w:sz w:val="24"/>
        </w:rPr>
        <w:t>SECTION 4.</w:t>
      </w:r>
      <w:r>
        <w:rPr>
          <w:color w:val="000000"/>
        </w:rPr>
        <w:t>    </w:t>
      </w:r>
      <w:r>
        <w:rPr>
          <w:rFonts w:ascii="Times New Roman;sans-serif" w:hAnsi="Times New Roman;sans-serif"/>
          <w:b w:val="false"/>
          <w:color w:val="000000"/>
          <w:sz w:val="24"/>
        </w:rPr>
        <w:t>Conditions to Closing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4.1</w:t>
      </w:r>
      <w:r>
        <w:rPr>
          <w:color w:val="000000"/>
        </w:rPr>
        <w:t>    </w:t>
      </w:r>
      <w:r>
        <w:rPr>
          <w:rFonts w:ascii="Times New Roman;sans-serif" w:hAnsi="Times New Roman;sans-serif"/>
          <w:b/>
          <w:color w:val="000000"/>
          <w:sz w:val="24"/>
        </w:rPr>
        <w:t>Representations and Warranties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4.2</w:t>
      </w:r>
      <w:r>
        <w:rPr>
          <w:color w:val="000000"/>
        </w:rPr>
        <w:t>    </w:t>
      </w:r>
      <w:r>
        <w:rPr>
          <w:rFonts w:ascii="Times New Roman;sans-serif" w:hAnsi="Times New Roman;sans-serif"/>
          <w:b/>
          <w:color w:val="000000"/>
          <w:sz w:val="24"/>
        </w:rPr>
        <w:t>Performance; No Default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4.3</w:t>
      </w:r>
      <w:r>
        <w:rPr>
          <w:color w:val="000000"/>
        </w:rPr>
        <w:t>    </w:t>
      </w:r>
      <w:r>
        <w:rPr>
          <w:rFonts w:ascii="Times New Roman;sans-serif" w:hAnsi="Times New Roman;sans-serif"/>
          <w:b/>
          <w:color w:val="000000"/>
          <w:sz w:val="24"/>
        </w:rPr>
        <w:t>Compliance Certificates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4.4</w:t>
      </w:r>
      <w:r>
        <w:rPr>
          <w:color w:val="000000"/>
        </w:rPr>
        <w:t>    </w:t>
      </w:r>
      <w:r>
        <w:rPr>
          <w:rFonts w:ascii="Times New Roman;sans-serif" w:hAnsi="Times New Roman;sans-serif"/>
          <w:b/>
          <w:color w:val="000000"/>
          <w:sz w:val="24"/>
        </w:rPr>
        <w:t>Opinions of Counsel</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w:t>
        </w:r>
      </w:hyperlink>
    </w:p>
    <w:p>
      <w:pPr>
        <w:pStyle w:val="TextBody"/>
        <w:bidi w:val="0"/>
        <w:spacing w:lineRule="auto" w:line="288" w:before="0" w:after="0"/>
        <w:jc w:val="left"/>
        <w:rPr/>
      </w:pPr>
      <w:r>
        <w:rPr>
          <w:rFonts w:ascii="Times New Roman;sans-serif" w:hAnsi="Times New Roman;sans-serif"/>
          <w:b/>
          <w:color w:val="000000"/>
          <w:sz w:val="24"/>
        </w:rPr>
        <w:t>Section 4.5</w:t>
      </w:r>
      <w:r>
        <w:rPr>
          <w:color w:val="000000"/>
        </w:rPr>
        <w:t>    </w:t>
      </w:r>
      <w:r>
        <w:rPr>
          <w:rFonts w:ascii="Times New Roman;sans-serif" w:hAnsi="Times New Roman;sans-serif"/>
          <w:b/>
          <w:color w:val="000000"/>
          <w:sz w:val="24"/>
        </w:rPr>
        <w:t>Purchase Permitted By Applicable Law,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4.6</w:t>
      </w:r>
      <w:r>
        <w:rPr>
          <w:color w:val="000000"/>
        </w:rPr>
        <w:t>    </w:t>
      </w:r>
      <w:r>
        <w:rPr>
          <w:rFonts w:ascii="Times New Roman;sans-serif" w:hAnsi="Times New Roman;sans-serif"/>
          <w:b/>
          <w:color w:val="000000"/>
          <w:sz w:val="24"/>
        </w:rPr>
        <w:t>Sale of Other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4.7</w:t>
      </w:r>
      <w:r>
        <w:rPr>
          <w:color w:val="000000"/>
        </w:rPr>
        <w:t>    </w:t>
      </w:r>
      <w:r>
        <w:rPr>
          <w:rFonts w:ascii="Times New Roman;sans-serif" w:hAnsi="Times New Roman;sans-serif"/>
          <w:b/>
          <w:color w:val="000000"/>
          <w:sz w:val="24"/>
        </w:rPr>
        <w:t>Payment of Special Counsel Fees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4.8</w:t>
      </w:r>
      <w:r>
        <w:rPr>
          <w:color w:val="000000"/>
        </w:rPr>
        <w:t>    </w:t>
      </w:r>
      <w:r>
        <w:rPr>
          <w:rFonts w:ascii="Times New Roman;sans-serif" w:hAnsi="Times New Roman;sans-serif"/>
          <w:b/>
          <w:color w:val="000000"/>
          <w:sz w:val="24"/>
        </w:rPr>
        <w:t>Private Placement Number</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4.9</w:t>
      </w:r>
      <w:r>
        <w:rPr>
          <w:color w:val="000000"/>
        </w:rPr>
        <w:t>    </w:t>
      </w:r>
      <w:r>
        <w:rPr>
          <w:rFonts w:ascii="Times New Roman;sans-serif" w:hAnsi="Times New Roman;sans-serif"/>
          <w:b/>
          <w:color w:val="000000"/>
          <w:sz w:val="24"/>
        </w:rPr>
        <w:t>Changes in Corporate Structure</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4.10</w:t>
      </w:r>
      <w:r>
        <w:rPr>
          <w:color w:val="000000"/>
        </w:rPr>
        <w:t>    </w:t>
      </w:r>
      <w:r>
        <w:rPr>
          <w:rFonts w:ascii="Times New Roman;sans-serif" w:hAnsi="Times New Roman;sans-serif"/>
          <w:b/>
          <w:color w:val="000000"/>
          <w:sz w:val="24"/>
        </w:rPr>
        <w:t>Funding Instructions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w:t>
        </w:r>
      </w:hyperlink>
    </w:p>
    <w:p>
      <w:pPr>
        <w:pStyle w:val="TextBody"/>
        <w:bidi w:val="0"/>
        <w:spacing w:lineRule="auto" w:line="288" w:before="0" w:after="0"/>
        <w:jc w:val="left"/>
        <w:rPr/>
      </w:pPr>
      <w:r>
        <w:rPr>
          <w:rFonts w:ascii="Times New Roman;sans-serif" w:hAnsi="Times New Roman;sans-serif"/>
          <w:b/>
          <w:color w:val="000000"/>
          <w:sz w:val="24"/>
        </w:rPr>
        <w:t>Section 4.11</w:t>
      </w:r>
      <w:r>
        <w:rPr>
          <w:color w:val="000000"/>
        </w:rPr>
        <w:t>    </w:t>
      </w:r>
      <w:r>
        <w:rPr>
          <w:rFonts w:ascii="Times New Roman;sans-serif" w:hAnsi="Times New Roman;sans-serif"/>
          <w:b/>
          <w:color w:val="000000"/>
          <w:sz w:val="24"/>
        </w:rPr>
        <w:t>Proceedings and Documents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120" w:after="120"/>
        <w:jc w:val="left"/>
        <w:rPr/>
      </w:pPr>
      <w:r>
        <w:rPr>
          <w:rFonts w:ascii="Times New Roman;sans-serif" w:hAnsi="Times New Roman;sans-serif"/>
          <w:b w:val="false"/>
          <w:color w:val="000000"/>
          <w:sz w:val="24"/>
        </w:rPr>
        <w:t>SECTION 5.</w:t>
      </w:r>
      <w:r>
        <w:rPr>
          <w:color w:val="000000"/>
        </w:rPr>
        <w:t>    </w:t>
      </w:r>
      <w:r>
        <w:rPr>
          <w:rFonts w:ascii="Times New Roman;sans-serif" w:hAnsi="Times New Roman;sans-serif"/>
          <w:b w:val="false"/>
          <w:color w:val="000000"/>
          <w:sz w:val="24"/>
        </w:rPr>
        <w:t>Representations and Warranties of the Company.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5.1</w:t>
      </w:r>
      <w:r>
        <w:rPr>
          <w:color w:val="000000"/>
        </w:rPr>
        <w:t>    </w:t>
      </w:r>
      <w:r>
        <w:rPr>
          <w:rFonts w:ascii="Times New Roman;sans-serif" w:hAnsi="Times New Roman;sans-serif"/>
          <w:b/>
          <w:color w:val="000000"/>
          <w:sz w:val="24"/>
        </w:rPr>
        <w:t>Organization; Power and Authority</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5.2</w:t>
      </w:r>
      <w:r>
        <w:rPr>
          <w:color w:val="000000"/>
        </w:rPr>
        <w:t>    </w:t>
      </w:r>
      <w:r>
        <w:rPr>
          <w:rFonts w:ascii="Times New Roman;sans-serif" w:hAnsi="Times New Roman;sans-serif"/>
          <w:b/>
          <w:color w:val="000000"/>
          <w:sz w:val="24"/>
        </w:rPr>
        <w:t>Authorization,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5.3</w:t>
      </w:r>
      <w:r>
        <w:rPr>
          <w:color w:val="000000"/>
        </w:rPr>
        <w:t>    </w:t>
      </w:r>
      <w:r>
        <w:rPr>
          <w:rFonts w:ascii="Times New Roman;sans-serif" w:hAnsi="Times New Roman;sans-serif"/>
          <w:b/>
          <w:color w:val="000000"/>
          <w:sz w:val="24"/>
        </w:rPr>
        <w:t>Disclosure</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5.4</w:t>
      </w:r>
      <w:r>
        <w:rPr>
          <w:color w:val="000000"/>
        </w:rPr>
        <w:t>    </w:t>
      </w:r>
      <w:r>
        <w:rPr>
          <w:rFonts w:ascii="Times New Roman;sans-serif" w:hAnsi="Times New Roman;sans-serif"/>
          <w:b/>
          <w:color w:val="000000"/>
          <w:sz w:val="24"/>
        </w:rPr>
        <w:t>Organization and Ownership of Shares of Subsidiaries; Affiliates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w:t>
        </w:r>
      </w:hyperlink>
    </w:p>
    <w:p>
      <w:pPr>
        <w:pStyle w:val="TextBody"/>
        <w:bidi w:val="0"/>
        <w:spacing w:lineRule="auto" w:line="288" w:before="0" w:after="0"/>
        <w:jc w:val="left"/>
        <w:rPr/>
      </w:pPr>
      <w:r>
        <w:rPr>
          <w:rFonts w:ascii="Times New Roman;sans-serif" w:hAnsi="Times New Roman;sans-serif"/>
          <w:b/>
          <w:color w:val="000000"/>
          <w:sz w:val="24"/>
        </w:rPr>
        <w:t>Section 5.5</w:t>
      </w:r>
      <w:r>
        <w:rPr>
          <w:color w:val="000000"/>
        </w:rPr>
        <w:t>    </w:t>
      </w:r>
      <w:r>
        <w:rPr>
          <w:rFonts w:ascii="Times New Roman;sans-serif" w:hAnsi="Times New Roman;sans-serif"/>
          <w:b/>
          <w:color w:val="000000"/>
          <w:sz w:val="24"/>
        </w:rPr>
        <w:t>Financial Statements; Material Liabilities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5</w:t>
        </w:r>
      </w:hyperlink>
    </w:p>
    <w:p>
      <w:pPr>
        <w:pStyle w:val="TextBody"/>
        <w:bidi w:val="0"/>
        <w:spacing w:lineRule="auto" w:line="288" w:before="0" w:after="0"/>
        <w:jc w:val="left"/>
        <w:rPr/>
      </w:pPr>
      <w:r>
        <w:rPr>
          <w:rFonts w:ascii="Times New Roman;sans-serif" w:hAnsi="Times New Roman;sans-serif"/>
          <w:b/>
          <w:color w:val="000000"/>
          <w:sz w:val="24"/>
        </w:rPr>
        <w:t>Section 5.6</w:t>
      </w:r>
      <w:r>
        <w:rPr>
          <w:color w:val="000000"/>
        </w:rPr>
        <w:t>    </w:t>
      </w:r>
      <w:r>
        <w:rPr>
          <w:rFonts w:ascii="Times New Roman;sans-serif" w:hAnsi="Times New Roman;sans-serif"/>
          <w:b/>
          <w:color w:val="000000"/>
          <w:sz w:val="24"/>
        </w:rPr>
        <w:t>Compliance with Laws, Other Instruments,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5</w:t>
        </w:r>
      </w:hyperlink>
    </w:p>
    <w:p>
      <w:pPr>
        <w:pStyle w:val="TextBody"/>
        <w:bidi w:val="0"/>
        <w:spacing w:lineRule="auto" w:line="288" w:before="0" w:after="0"/>
        <w:jc w:val="left"/>
        <w:rPr/>
      </w:pPr>
      <w:r>
        <w:rPr>
          <w:rFonts w:ascii="Times New Roman;sans-serif" w:hAnsi="Times New Roman;sans-serif"/>
          <w:b/>
          <w:color w:val="000000"/>
          <w:sz w:val="24"/>
        </w:rPr>
        <w:t>Section 5.7</w:t>
      </w:r>
      <w:r>
        <w:rPr>
          <w:color w:val="000000"/>
        </w:rPr>
        <w:t>    </w:t>
      </w:r>
      <w:r>
        <w:rPr>
          <w:rFonts w:ascii="Times New Roman;sans-serif" w:hAnsi="Times New Roman;sans-serif"/>
          <w:b/>
          <w:color w:val="000000"/>
          <w:sz w:val="24"/>
        </w:rPr>
        <w:t>Governmental Authorizations,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5.8</w:t>
      </w:r>
      <w:r>
        <w:rPr>
          <w:color w:val="000000"/>
        </w:rPr>
        <w:t>    </w:t>
      </w:r>
      <w:r>
        <w:rPr>
          <w:rFonts w:ascii="Times New Roman;sans-serif" w:hAnsi="Times New Roman;sans-serif"/>
          <w:b/>
          <w:color w:val="000000"/>
          <w:sz w:val="24"/>
        </w:rPr>
        <w:t>Litigation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5.9</w:t>
      </w:r>
      <w:r>
        <w:rPr>
          <w:color w:val="000000"/>
        </w:rPr>
        <w:t>    </w:t>
      </w:r>
      <w:r>
        <w:rPr>
          <w:rFonts w:ascii="Times New Roman;sans-serif" w:hAnsi="Times New Roman;sans-serif"/>
          <w:b/>
          <w:color w:val="000000"/>
          <w:sz w:val="24"/>
        </w:rPr>
        <w:t>Taxes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5.10</w:t>
      </w:r>
      <w:r>
        <w:rPr>
          <w:color w:val="000000"/>
        </w:rPr>
        <w:t>    </w:t>
      </w:r>
      <w:r>
        <w:rPr>
          <w:rFonts w:ascii="Times New Roman;sans-serif" w:hAnsi="Times New Roman;sans-serif"/>
          <w:b/>
          <w:color w:val="000000"/>
          <w:sz w:val="24"/>
        </w:rPr>
        <w:t>Title to Property; Leases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6</w:t>
        </w:r>
      </w:hyperlink>
    </w:p>
    <w:p>
      <w:pPr>
        <w:pStyle w:val="TextBody"/>
        <w:bidi w:val="0"/>
        <w:spacing w:lineRule="auto" w:line="288" w:before="0" w:after="0"/>
        <w:jc w:val="left"/>
        <w:rPr/>
      </w:pPr>
      <w:r>
        <w:rPr>
          <w:rFonts w:ascii="Times New Roman;sans-serif" w:hAnsi="Times New Roman;sans-serif"/>
          <w:b/>
          <w:color w:val="000000"/>
          <w:sz w:val="24"/>
        </w:rPr>
        <w:t>Section 5.11</w:t>
      </w:r>
      <w:r>
        <w:rPr>
          <w:color w:val="000000"/>
        </w:rPr>
        <w:t>    </w:t>
      </w:r>
      <w:r>
        <w:rPr>
          <w:rFonts w:ascii="Times New Roman;sans-serif" w:hAnsi="Times New Roman;sans-serif"/>
          <w:b/>
          <w:color w:val="000000"/>
          <w:sz w:val="24"/>
        </w:rPr>
        <w:t>Licenses, Permits,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jc w:val="left"/>
        <w:rPr/>
      </w:pPr>
      <w:r>
        <w:rPr>
          <w:rFonts w:ascii="Times New Roman;sans-serif" w:hAnsi="Times New Roman;sans-serif"/>
          <w:b/>
          <w:color w:val="000000"/>
          <w:sz w:val="24"/>
        </w:rPr>
        <w:t>Section 5.12</w:t>
      </w:r>
      <w:r>
        <w:rPr>
          <w:color w:val="000000"/>
        </w:rPr>
        <w:t>    </w:t>
      </w:r>
      <w:r>
        <w:rPr>
          <w:rFonts w:ascii="Times New Roman;sans-serif" w:hAnsi="Times New Roman;sans-serif"/>
          <w:b/>
          <w:color w:val="000000"/>
          <w:sz w:val="24"/>
        </w:rPr>
        <w:t>Compliance with Employee Benefit Plans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7</w:t>
        </w:r>
      </w:hyperlink>
    </w:p>
    <w:p>
      <w:pPr>
        <w:pStyle w:val="TextBody"/>
        <w:bidi w:val="0"/>
        <w:spacing w:lineRule="auto" w:line="288" w:before="0" w:after="0"/>
        <w:jc w:val="left"/>
        <w:rPr/>
      </w:pPr>
      <w:r>
        <w:rPr>
          <w:rFonts w:ascii="Times New Roman;sans-serif" w:hAnsi="Times New Roman;sans-serif"/>
          <w:b/>
          <w:color w:val="000000"/>
          <w:sz w:val="24"/>
        </w:rPr>
        <w:t>Section 5.13</w:t>
      </w:r>
      <w:r>
        <w:rPr>
          <w:color w:val="000000"/>
        </w:rPr>
        <w:t>    </w:t>
      </w:r>
      <w:r>
        <w:rPr>
          <w:rFonts w:ascii="Times New Roman;sans-serif" w:hAnsi="Times New Roman;sans-serif"/>
          <w:b/>
          <w:color w:val="000000"/>
          <w:sz w:val="24"/>
        </w:rPr>
        <w:t>Private Offering by the Company</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5.14</w:t>
      </w:r>
      <w:r>
        <w:rPr>
          <w:color w:val="000000"/>
        </w:rPr>
        <w:t>    </w:t>
      </w:r>
      <w:r>
        <w:rPr>
          <w:rFonts w:ascii="Times New Roman;sans-serif" w:hAnsi="Times New Roman;sans-serif"/>
          <w:b/>
          <w:color w:val="000000"/>
          <w:sz w:val="24"/>
        </w:rPr>
        <w:t>Use of Proceeds; Margin Regulations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5.15</w:t>
      </w:r>
      <w:r>
        <w:rPr>
          <w:color w:val="000000"/>
        </w:rPr>
        <w:t>    </w:t>
      </w:r>
      <w:r>
        <w:rPr>
          <w:rFonts w:ascii="Times New Roman;sans-serif" w:hAnsi="Times New Roman;sans-serif"/>
          <w:b/>
          <w:color w:val="000000"/>
          <w:sz w:val="24"/>
        </w:rPr>
        <w:t>Existing Indebtedness; Future Liens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8</w:t>
        </w:r>
      </w:hyperlink>
    </w:p>
    <w:p>
      <w:pPr>
        <w:pStyle w:val="TextBody"/>
        <w:bidi w:val="0"/>
        <w:spacing w:lineRule="auto" w:line="288" w:before="0" w:after="0"/>
        <w:jc w:val="left"/>
        <w:rPr/>
      </w:pPr>
      <w:r>
        <w:rPr>
          <w:rFonts w:ascii="Times New Roman;sans-serif" w:hAnsi="Times New Roman;sans-serif"/>
          <w:b/>
          <w:color w:val="000000"/>
          <w:sz w:val="24"/>
        </w:rPr>
        <w:t>Section 5.16</w:t>
      </w:r>
      <w:r>
        <w:rPr>
          <w:color w:val="000000"/>
        </w:rPr>
        <w:t>    </w:t>
      </w:r>
      <w:r>
        <w:rPr>
          <w:rFonts w:ascii="Times New Roman;sans-serif" w:hAnsi="Times New Roman;sans-serif"/>
          <w:b/>
          <w:color w:val="000000"/>
          <w:sz w:val="24"/>
        </w:rPr>
        <w:t>Foreign Assets Control Regulations,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9</w:t>
        </w:r>
      </w:hyperlink>
    </w:p>
    <w:p>
      <w:pPr>
        <w:pStyle w:val="TextBody"/>
        <w:bidi w:val="0"/>
        <w:spacing w:lineRule="auto" w:line="288" w:before="0" w:after="0"/>
        <w:jc w:val="left"/>
        <w:rPr/>
      </w:pPr>
      <w:r>
        <w:rPr>
          <w:rFonts w:ascii="Times New Roman;sans-serif" w:hAnsi="Times New Roman;sans-serif"/>
          <w:b/>
          <w:color w:val="000000"/>
          <w:sz w:val="24"/>
        </w:rPr>
        <w:t>Section 5.17</w:t>
      </w:r>
      <w:r>
        <w:rPr>
          <w:color w:val="000000"/>
        </w:rPr>
        <w:t>    </w:t>
      </w:r>
      <w:r>
        <w:rPr>
          <w:rFonts w:ascii="Times New Roman;sans-serif" w:hAnsi="Times New Roman;sans-serif"/>
          <w:b/>
          <w:color w:val="000000"/>
          <w:sz w:val="24"/>
        </w:rPr>
        <w:t>Status under Investment Company Act and ICC Termination Act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jc w:val="left"/>
        <w:rPr/>
      </w:pPr>
      <w:r>
        <w:rPr>
          <w:rFonts w:ascii="Times New Roman;sans-serif" w:hAnsi="Times New Roman;sans-serif"/>
          <w:b/>
          <w:color w:val="000000"/>
          <w:sz w:val="24"/>
        </w:rPr>
        <w:t>Section 5.18</w:t>
      </w:r>
      <w:r>
        <w:rPr>
          <w:color w:val="000000"/>
        </w:rPr>
        <w:t>    </w:t>
      </w:r>
      <w:r>
        <w:rPr>
          <w:rFonts w:ascii="Times New Roman;sans-serif" w:hAnsi="Times New Roman;sans-serif"/>
          <w:b/>
          <w:color w:val="000000"/>
          <w:sz w:val="24"/>
        </w:rPr>
        <w:t>Environmental Matters</w:t>
      </w:r>
      <w:r>
        <w:rPr>
          <w:rFonts w:ascii="Times New Roman;sans-serif" w:hAnsi="Times New Roman;sans-serif"/>
          <w:b w:val="false"/>
          <w:color w:val="000000"/>
          <w:sz w:val="24"/>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120" w:after="120"/>
        <w:jc w:val="left"/>
        <w:rPr/>
      </w:pPr>
      <w:r>
        <w:rPr>
          <w:rFonts w:ascii="Times New Roman;sans-serif" w:hAnsi="Times New Roman;sans-serif"/>
          <w:b w:val="false"/>
          <w:color w:val="000000"/>
          <w:sz w:val="24"/>
        </w:rPr>
        <w:t>SECTION 6.</w:t>
      </w:r>
      <w:r>
        <w:rPr>
          <w:color w:val="000000"/>
        </w:rPr>
        <w:t>    </w:t>
      </w:r>
      <w:r>
        <w:rPr>
          <w:rFonts w:ascii="Times New Roman;sans-serif" w:hAnsi="Times New Roman;sans-serif"/>
          <w:b w:val="false"/>
          <w:color w:val="000000"/>
          <w:sz w:val="24"/>
        </w:rPr>
        <w:t>Representations of the Purchasers.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jc w:val="left"/>
        <w:rPr/>
      </w:pPr>
      <w:r>
        <w:rPr>
          <w:rFonts w:ascii="Times New Roman;sans-serif" w:hAnsi="Times New Roman;sans-serif"/>
          <w:b/>
          <w:color w:val="000000"/>
          <w:sz w:val="24"/>
        </w:rPr>
        <w:t>Section 6.1</w:t>
      </w:r>
      <w:r>
        <w:rPr>
          <w:color w:val="000000"/>
        </w:rPr>
        <w:t>    </w:t>
      </w:r>
      <w:r>
        <w:rPr>
          <w:rFonts w:ascii="Times New Roman;sans-serif" w:hAnsi="Times New Roman;sans-serif"/>
          <w:b/>
          <w:color w:val="000000"/>
          <w:sz w:val="24"/>
        </w:rPr>
        <w:t>Purchase for Investment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jc w:val="left"/>
        <w:rPr/>
      </w:pPr>
      <w:r>
        <w:rPr>
          <w:rFonts w:ascii="Times New Roman;sans-serif" w:hAnsi="Times New Roman;sans-serif"/>
          <w:b/>
          <w:color w:val="000000"/>
          <w:sz w:val="24"/>
        </w:rPr>
        <w:t>Section 6.2</w:t>
      </w:r>
      <w:r>
        <w:rPr>
          <w:color w:val="000000"/>
        </w:rPr>
        <w:t>    </w:t>
      </w:r>
      <w:r>
        <w:rPr>
          <w:rFonts w:ascii="Times New Roman;sans-serif" w:hAnsi="Times New Roman;sans-serif"/>
          <w:b/>
          <w:color w:val="000000"/>
          <w:sz w:val="24"/>
        </w:rPr>
        <w:t>Source of Funds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10</w:t>
        </w:r>
      </w:hyperlink>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w:t>
                            </w: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w:t>
                      </w:r>
                      <w:r>
                        <w:rPr>
                          <w:color w:val="000000"/>
                        </w:rPr>
                        <w:t>        </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val="false"/>
          <w:color w:val="000000"/>
          <w:sz w:val="24"/>
        </w:rPr>
        <w:t>SECTION 7.</w:t>
      </w:r>
      <w:r>
        <w:rPr>
          <w:color w:val="000000"/>
        </w:rPr>
        <w:t>    </w:t>
      </w:r>
      <w:r>
        <w:rPr>
          <w:rFonts w:ascii="Times New Roman;sans-serif" w:hAnsi="Times New Roman;sans-serif"/>
          <w:b w:val="false"/>
          <w:color w:val="000000"/>
          <w:sz w:val="24"/>
        </w:rPr>
        <w:t>Information as to Company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0"/>
        <w:jc w:val="left"/>
        <w:rPr/>
      </w:pPr>
      <w:r>
        <w:rPr>
          <w:rFonts w:ascii="Times New Roman;sans-serif" w:hAnsi="Times New Roman;sans-serif"/>
          <w:b/>
          <w:color w:val="000000"/>
          <w:sz w:val="24"/>
        </w:rPr>
        <w:t>Section 7.1</w:t>
      </w:r>
      <w:r>
        <w:rPr>
          <w:color w:val="000000"/>
        </w:rPr>
        <w:t>    </w:t>
      </w:r>
      <w:r>
        <w:rPr>
          <w:rFonts w:ascii="Times New Roman;sans-serif" w:hAnsi="Times New Roman;sans-serif"/>
          <w:b/>
          <w:color w:val="000000"/>
          <w:sz w:val="24"/>
        </w:rPr>
        <w:t>Financial and Business Information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12</w:t>
        </w:r>
      </w:hyperlink>
    </w:p>
    <w:p>
      <w:pPr>
        <w:pStyle w:val="TextBody"/>
        <w:bidi w:val="0"/>
        <w:spacing w:lineRule="auto" w:line="288" w:before="0" w:after="0"/>
        <w:jc w:val="left"/>
        <w:rPr/>
      </w:pPr>
      <w:r>
        <w:rPr>
          <w:rFonts w:ascii="Times New Roman;sans-serif" w:hAnsi="Times New Roman;sans-serif"/>
          <w:b/>
          <w:color w:val="000000"/>
          <w:sz w:val="24"/>
        </w:rPr>
        <w:t>Section 7.2</w:t>
      </w:r>
      <w:r>
        <w:rPr>
          <w:color w:val="000000"/>
        </w:rPr>
        <w:t>    </w:t>
      </w:r>
      <w:r>
        <w:rPr>
          <w:rFonts w:ascii="Times New Roman;sans-serif" w:hAnsi="Times New Roman;sans-serif"/>
          <w:b/>
          <w:color w:val="000000"/>
          <w:sz w:val="24"/>
        </w:rPr>
        <w:t>Officer’s Certificate</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14</w:t>
        </w:r>
      </w:hyperlink>
    </w:p>
    <w:p>
      <w:pPr>
        <w:pStyle w:val="TextBody"/>
        <w:bidi w:val="0"/>
        <w:spacing w:lineRule="auto" w:line="288" w:before="0" w:after="0"/>
        <w:jc w:val="left"/>
        <w:rPr/>
      </w:pPr>
      <w:r>
        <w:rPr>
          <w:rFonts w:ascii="Times New Roman;sans-serif" w:hAnsi="Times New Roman;sans-serif"/>
          <w:b/>
          <w:color w:val="000000"/>
          <w:sz w:val="24"/>
        </w:rPr>
        <w:t>Section 7.3</w:t>
      </w:r>
      <w:r>
        <w:rPr>
          <w:color w:val="000000"/>
        </w:rPr>
        <w:t>    </w:t>
      </w:r>
      <w:r>
        <w:rPr>
          <w:rFonts w:ascii="Times New Roman;sans-serif" w:hAnsi="Times New Roman;sans-serif"/>
          <w:b/>
          <w:color w:val="000000"/>
          <w:sz w:val="24"/>
        </w:rPr>
        <w:t>Visitation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15</w:t>
        </w:r>
      </w:hyperlink>
    </w:p>
    <w:p>
      <w:pPr>
        <w:pStyle w:val="TextBody"/>
        <w:bidi w:val="0"/>
        <w:spacing w:lineRule="auto" w:line="288" w:before="0" w:after="0"/>
        <w:jc w:val="left"/>
        <w:rPr/>
      </w:pPr>
      <w:r>
        <w:rPr>
          <w:rFonts w:ascii="Times New Roman;sans-serif" w:hAnsi="Times New Roman;sans-serif"/>
          <w:b/>
          <w:color w:val="000000"/>
          <w:sz w:val="24"/>
        </w:rPr>
        <w:t>Section 7.4</w:t>
      </w:r>
      <w:r>
        <w:rPr>
          <w:color w:val="000000"/>
        </w:rPr>
        <w:t>    </w:t>
      </w:r>
      <w:r>
        <w:rPr>
          <w:rFonts w:ascii="Times New Roman;sans-serif" w:hAnsi="Times New Roman;sans-serif"/>
          <w:b/>
          <w:color w:val="000000"/>
          <w:sz w:val="24"/>
        </w:rPr>
        <w:t>Electronic Delivery</w:t>
      </w:r>
      <w:r>
        <w:rPr>
          <w:rFonts w:ascii="Times New Roman;sans-serif" w:hAnsi="Times New Roman;sans-serif"/>
          <w:b w:val="false"/>
          <w:color w:val="000000"/>
          <w:sz w:val="24"/>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15</w:t>
        </w:r>
      </w:hyperlink>
    </w:p>
    <w:p>
      <w:pPr>
        <w:pStyle w:val="TextBody"/>
        <w:bidi w:val="0"/>
        <w:spacing w:lineRule="auto" w:line="288" w:before="120" w:after="120"/>
        <w:jc w:val="left"/>
        <w:rPr/>
      </w:pPr>
      <w:r>
        <w:rPr>
          <w:rFonts w:ascii="Times New Roman;sans-serif" w:hAnsi="Times New Roman;sans-serif"/>
          <w:b w:val="false"/>
          <w:color w:val="000000"/>
          <w:sz w:val="24"/>
        </w:rPr>
        <w:t>SECTION 8.</w:t>
      </w:r>
      <w:r>
        <w:rPr>
          <w:color w:val="000000"/>
        </w:rPr>
        <w:t>    </w:t>
      </w:r>
      <w:r>
        <w:rPr>
          <w:rFonts w:ascii="Times New Roman;sans-serif" w:hAnsi="Times New Roman;sans-serif"/>
          <w:b w:val="false"/>
          <w:color w:val="000000"/>
          <w:sz w:val="24"/>
        </w:rPr>
        <w:t>Payment and Prepayment of the Notes.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8.1</w:t>
      </w:r>
      <w:r>
        <w:rPr>
          <w:color w:val="000000"/>
        </w:rPr>
        <w:t>    </w:t>
      </w:r>
      <w:r>
        <w:rPr>
          <w:rFonts w:ascii="Times New Roman;sans-serif" w:hAnsi="Times New Roman;sans-serif"/>
          <w:b/>
          <w:color w:val="000000"/>
          <w:sz w:val="24"/>
        </w:rPr>
        <w:t>Maturity</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8.2</w:t>
      </w:r>
      <w:r>
        <w:rPr>
          <w:color w:val="000000"/>
        </w:rPr>
        <w:t>    </w:t>
      </w:r>
      <w:r>
        <w:rPr>
          <w:rFonts w:ascii="Times New Roman;sans-serif" w:hAnsi="Times New Roman;sans-serif"/>
          <w:b/>
          <w:color w:val="000000"/>
          <w:sz w:val="24"/>
        </w:rPr>
        <w:t>Optional Prepayments with Make-Whole Amount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16</w:t>
        </w:r>
      </w:hyperlink>
    </w:p>
    <w:p>
      <w:pPr>
        <w:pStyle w:val="TextBody"/>
        <w:bidi w:val="0"/>
        <w:spacing w:lineRule="auto" w:line="288" w:before="0" w:after="0"/>
        <w:jc w:val="left"/>
        <w:rPr/>
      </w:pPr>
      <w:r>
        <w:rPr>
          <w:rFonts w:ascii="Times New Roman;sans-serif" w:hAnsi="Times New Roman;sans-serif"/>
          <w:b/>
          <w:color w:val="000000"/>
          <w:sz w:val="24"/>
        </w:rPr>
        <w:t>Section 8.3</w:t>
      </w:r>
      <w:r>
        <w:rPr>
          <w:color w:val="000000"/>
        </w:rPr>
        <w:t>    </w:t>
      </w:r>
      <w:r>
        <w:rPr>
          <w:rFonts w:ascii="Times New Roman;sans-serif" w:hAnsi="Times New Roman;sans-serif"/>
          <w:b/>
          <w:color w:val="000000"/>
          <w:sz w:val="24"/>
        </w:rPr>
        <w:t>Change in Control</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17</w:t>
        </w:r>
      </w:hyperlink>
    </w:p>
    <w:p>
      <w:pPr>
        <w:pStyle w:val="TextBody"/>
        <w:bidi w:val="0"/>
        <w:spacing w:lineRule="auto" w:line="288" w:before="0" w:after="0"/>
        <w:jc w:val="left"/>
        <w:rPr/>
      </w:pPr>
      <w:r>
        <w:rPr>
          <w:rFonts w:ascii="Times New Roman;sans-serif" w:hAnsi="Times New Roman;sans-serif"/>
          <w:b/>
          <w:color w:val="000000"/>
          <w:sz w:val="24"/>
        </w:rPr>
        <w:t>Section 8.4</w:t>
      </w:r>
      <w:r>
        <w:rPr>
          <w:color w:val="000000"/>
        </w:rPr>
        <w:t>    </w:t>
      </w:r>
      <w:r>
        <w:rPr>
          <w:rFonts w:ascii="Times New Roman;sans-serif" w:hAnsi="Times New Roman;sans-serif"/>
          <w:b/>
          <w:color w:val="000000"/>
          <w:sz w:val="24"/>
        </w:rPr>
        <w:t>Allocation of Partial Prepayments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jc w:val="left"/>
        <w:rPr/>
      </w:pPr>
      <w:r>
        <w:rPr>
          <w:rFonts w:ascii="Times New Roman;sans-serif" w:hAnsi="Times New Roman;sans-serif"/>
          <w:b/>
          <w:color w:val="000000"/>
          <w:sz w:val="24"/>
        </w:rPr>
        <w:t>Section 8.5</w:t>
      </w:r>
      <w:r>
        <w:rPr>
          <w:color w:val="000000"/>
        </w:rPr>
        <w:t>    </w:t>
      </w:r>
      <w:r>
        <w:rPr>
          <w:rFonts w:ascii="Times New Roman;sans-serif" w:hAnsi="Times New Roman;sans-serif"/>
          <w:b/>
          <w:color w:val="000000"/>
          <w:sz w:val="24"/>
        </w:rPr>
        <w:t>Maturity; Surrender,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jc w:val="left"/>
        <w:rPr/>
      </w:pPr>
      <w:r>
        <w:rPr>
          <w:rFonts w:ascii="Times New Roman;sans-serif" w:hAnsi="Times New Roman;sans-serif"/>
          <w:b/>
          <w:color w:val="000000"/>
          <w:sz w:val="24"/>
        </w:rPr>
        <w:t>Section 8.6</w:t>
      </w:r>
      <w:r>
        <w:rPr>
          <w:color w:val="000000"/>
        </w:rPr>
        <w:t>    </w:t>
      </w:r>
      <w:r>
        <w:rPr>
          <w:rFonts w:ascii="Times New Roman;sans-serif" w:hAnsi="Times New Roman;sans-serif"/>
          <w:b/>
          <w:color w:val="000000"/>
          <w:sz w:val="24"/>
        </w:rPr>
        <w:t>Purchase of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19</w:t>
        </w:r>
      </w:hyperlink>
    </w:p>
    <w:p>
      <w:pPr>
        <w:pStyle w:val="TextBody"/>
        <w:bidi w:val="0"/>
        <w:spacing w:lineRule="auto" w:line="288" w:before="0" w:after="0"/>
        <w:jc w:val="left"/>
        <w:rPr/>
      </w:pPr>
      <w:r>
        <w:rPr>
          <w:rFonts w:ascii="Times New Roman;sans-serif" w:hAnsi="Times New Roman;sans-serif"/>
          <w:b/>
          <w:color w:val="000000"/>
          <w:sz w:val="24"/>
        </w:rPr>
        <w:t>Section 8.7</w:t>
      </w:r>
      <w:r>
        <w:rPr>
          <w:color w:val="000000"/>
        </w:rPr>
        <w:t>    </w:t>
      </w:r>
      <w:r>
        <w:rPr>
          <w:rFonts w:ascii="Times New Roman;sans-serif" w:hAnsi="Times New Roman;sans-serif"/>
          <w:b/>
          <w:color w:val="000000"/>
          <w:sz w:val="24"/>
        </w:rPr>
        <w:t>Make-Whole Amount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20</w:t>
        </w:r>
      </w:hyperlink>
    </w:p>
    <w:p>
      <w:pPr>
        <w:pStyle w:val="TextBody"/>
        <w:bidi w:val="0"/>
        <w:spacing w:lineRule="auto" w:line="288" w:before="0" w:after="0"/>
        <w:jc w:val="left"/>
        <w:rPr/>
      </w:pPr>
      <w:r>
        <w:rPr>
          <w:rFonts w:ascii="Times New Roman;sans-serif" w:hAnsi="Times New Roman;sans-serif"/>
          <w:b/>
          <w:color w:val="000000"/>
          <w:sz w:val="24"/>
        </w:rPr>
        <w:t>Section 8.8</w:t>
      </w:r>
      <w:r>
        <w:rPr>
          <w:color w:val="000000"/>
        </w:rPr>
        <w:t>    </w:t>
      </w:r>
      <w:r>
        <w:rPr>
          <w:rFonts w:ascii="Times New Roman;sans-serif" w:hAnsi="Times New Roman;sans-serif"/>
          <w:b/>
          <w:color w:val="000000"/>
          <w:sz w:val="24"/>
        </w:rPr>
        <w:t>Payments Due on Non-Business Days</w:t>
      </w:r>
      <w:r>
        <w:rPr>
          <w:rFonts w:ascii="Times New Roman;sans-serif" w:hAnsi="Times New Roman;sans-serif"/>
          <w:b w:val="false"/>
          <w:color w:val="000000"/>
          <w:sz w:val="24"/>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120" w:after="120"/>
        <w:jc w:val="left"/>
        <w:rPr/>
      </w:pPr>
      <w:r>
        <w:rPr>
          <w:rFonts w:ascii="Times New Roman;sans-serif" w:hAnsi="Times New Roman;sans-serif"/>
          <w:b w:val="false"/>
          <w:color w:val="000000"/>
          <w:sz w:val="24"/>
        </w:rPr>
        <w:t>SECTION 9.</w:t>
      </w:r>
      <w:r>
        <w:rPr>
          <w:color w:val="000000"/>
        </w:rPr>
        <w:t>    </w:t>
      </w:r>
      <w:r>
        <w:rPr>
          <w:rFonts w:ascii="Times New Roman;sans-serif" w:hAnsi="Times New Roman;sans-serif"/>
          <w:b w:val="false"/>
          <w:color w:val="000000"/>
          <w:sz w:val="24"/>
        </w:rPr>
        <w:t>Affirmative Covenants.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9.1</w:t>
      </w:r>
      <w:r>
        <w:rPr>
          <w:color w:val="000000"/>
        </w:rPr>
        <w:t>    </w:t>
      </w:r>
      <w:r>
        <w:rPr>
          <w:rFonts w:ascii="Times New Roman;sans-serif" w:hAnsi="Times New Roman;sans-serif"/>
          <w:b/>
          <w:color w:val="000000"/>
          <w:sz w:val="24"/>
        </w:rPr>
        <w:t>Compliance with Law</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21</w:t>
        </w:r>
      </w:hyperlink>
    </w:p>
    <w:p>
      <w:pPr>
        <w:pStyle w:val="TextBody"/>
        <w:bidi w:val="0"/>
        <w:spacing w:lineRule="auto" w:line="288" w:before="0" w:after="0"/>
        <w:jc w:val="left"/>
        <w:rPr/>
      </w:pPr>
      <w:r>
        <w:rPr>
          <w:rFonts w:ascii="Times New Roman;sans-serif" w:hAnsi="Times New Roman;sans-serif"/>
          <w:b/>
          <w:color w:val="000000"/>
          <w:sz w:val="24"/>
        </w:rPr>
        <w:t>Section 9.2</w:t>
      </w:r>
      <w:r>
        <w:rPr>
          <w:color w:val="000000"/>
        </w:rPr>
        <w:t>    </w:t>
      </w:r>
      <w:r>
        <w:rPr>
          <w:rFonts w:ascii="Times New Roman;sans-serif" w:hAnsi="Times New Roman;sans-serif"/>
          <w:b/>
          <w:color w:val="000000"/>
          <w:sz w:val="24"/>
        </w:rPr>
        <w:t>Insurance</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9.3</w:t>
      </w:r>
      <w:r>
        <w:rPr>
          <w:color w:val="000000"/>
        </w:rPr>
        <w:t>    </w:t>
      </w:r>
      <w:r>
        <w:rPr>
          <w:rFonts w:ascii="Times New Roman;sans-serif" w:hAnsi="Times New Roman;sans-serif"/>
          <w:b/>
          <w:color w:val="000000"/>
          <w:sz w:val="24"/>
        </w:rPr>
        <w:t>Maintenance of Properties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9.4</w:t>
      </w:r>
      <w:r>
        <w:rPr>
          <w:color w:val="000000"/>
        </w:rPr>
        <w:t>    </w:t>
      </w:r>
      <w:r>
        <w:rPr>
          <w:rFonts w:ascii="Times New Roman;sans-serif" w:hAnsi="Times New Roman;sans-serif"/>
          <w:b/>
          <w:color w:val="000000"/>
          <w:sz w:val="24"/>
        </w:rPr>
        <w:t>Payment of Taxes and Claims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9.5</w:t>
      </w:r>
      <w:r>
        <w:rPr>
          <w:color w:val="000000"/>
        </w:rPr>
        <w:t>    </w:t>
      </w:r>
      <w:r>
        <w:rPr>
          <w:rFonts w:ascii="Times New Roman;sans-serif" w:hAnsi="Times New Roman;sans-serif"/>
          <w:b/>
          <w:color w:val="000000"/>
          <w:sz w:val="24"/>
        </w:rPr>
        <w:t>Corporate Existence,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22</w:t>
        </w:r>
      </w:hyperlink>
    </w:p>
    <w:p>
      <w:pPr>
        <w:pStyle w:val="TextBody"/>
        <w:bidi w:val="0"/>
        <w:spacing w:lineRule="auto" w:line="288" w:before="0" w:after="0"/>
        <w:jc w:val="left"/>
        <w:rPr/>
      </w:pPr>
      <w:r>
        <w:rPr>
          <w:rFonts w:ascii="Times New Roman;sans-serif" w:hAnsi="Times New Roman;sans-serif"/>
          <w:b/>
          <w:color w:val="000000"/>
          <w:sz w:val="24"/>
        </w:rPr>
        <w:t>Section 9.6</w:t>
      </w:r>
      <w:r>
        <w:rPr>
          <w:color w:val="000000"/>
        </w:rPr>
        <w:t>    </w:t>
      </w:r>
      <w:r>
        <w:rPr>
          <w:rFonts w:ascii="Times New Roman;sans-serif" w:hAnsi="Times New Roman;sans-serif"/>
          <w:b/>
          <w:color w:val="000000"/>
          <w:sz w:val="24"/>
        </w:rPr>
        <w:t>Books and Records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0" w:after="0"/>
        <w:jc w:val="left"/>
        <w:rPr/>
      </w:pPr>
      <w:r>
        <w:rPr>
          <w:rFonts w:ascii="Times New Roman;sans-serif" w:hAnsi="Times New Roman;sans-serif"/>
          <w:b/>
          <w:color w:val="000000"/>
          <w:sz w:val="24"/>
        </w:rPr>
        <w:t>Section 9.7</w:t>
      </w:r>
      <w:r>
        <w:rPr>
          <w:color w:val="000000"/>
        </w:rPr>
        <w:t>    </w:t>
      </w:r>
      <w:r>
        <w:rPr>
          <w:rFonts w:ascii="Times New Roman;sans-serif" w:hAnsi="Times New Roman;sans-serif"/>
          <w:b/>
          <w:color w:val="000000"/>
          <w:sz w:val="24"/>
        </w:rPr>
        <w:t>Subsidiary Guarantors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23</w:t>
        </w:r>
      </w:hyperlink>
    </w:p>
    <w:p>
      <w:pPr>
        <w:pStyle w:val="TextBody"/>
        <w:bidi w:val="0"/>
        <w:spacing w:lineRule="auto" w:line="288" w:before="120" w:after="120"/>
        <w:jc w:val="left"/>
        <w:rPr/>
      </w:pPr>
      <w:r>
        <w:rPr>
          <w:rFonts w:ascii="Times New Roman;sans-serif" w:hAnsi="Times New Roman;sans-serif"/>
          <w:b w:val="false"/>
          <w:color w:val="000000"/>
          <w:sz w:val="24"/>
        </w:rPr>
        <w:t>SECTION 10.</w:t>
      </w:r>
      <w:r>
        <w:rPr>
          <w:color w:val="000000"/>
        </w:rPr>
        <w:t>    </w:t>
      </w:r>
      <w:r>
        <w:rPr>
          <w:rFonts w:ascii="Times New Roman;sans-serif" w:hAnsi="Times New Roman;sans-serif"/>
          <w:b w:val="false"/>
          <w:color w:val="000000"/>
          <w:sz w:val="24"/>
        </w:rPr>
        <w:t>Negative Covenants.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jc w:val="left"/>
        <w:rPr/>
      </w:pPr>
      <w:r>
        <w:rPr>
          <w:rFonts w:ascii="Times New Roman;sans-serif" w:hAnsi="Times New Roman;sans-serif"/>
          <w:b/>
          <w:color w:val="000000"/>
          <w:sz w:val="24"/>
        </w:rPr>
        <w:t>Section 10.1</w:t>
      </w:r>
      <w:r>
        <w:rPr>
          <w:color w:val="000000"/>
        </w:rPr>
        <w:t>    </w:t>
      </w:r>
      <w:r>
        <w:rPr>
          <w:rFonts w:ascii="Times New Roman;sans-serif" w:hAnsi="Times New Roman;sans-serif"/>
          <w:b/>
          <w:color w:val="000000"/>
          <w:sz w:val="24"/>
        </w:rPr>
        <w:t>Transactions with Affiliates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24</w:t>
        </w:r>
      </w:hyperlink>
    </w:p>
    <w:p>
      <w:pPr>
        <w:pStyle w:val="TextBody"/>
        <w:bidi w:val="0"/>
        <w:spacing w:lineRule="auto" w:line="288" w:before="0" w:after="0"/>
        <w:jc w:val="left"/>
        <w:rPr/>
      </w:pPr>
      <w:r>
        <w:rPr>
          <w:rFonts w:ascii="Times New Roman;sans-serif" w:hAnsi="Times New Roman;sans-serif"/>
          <w:b/>
          <w:color w:val="000000"/>
          <w:sz w:val="24"/>
        </w:rPr>
        <w:t>Section 10.2</w:t>
      </w:r>
      <w:r>
        <w:rPr>
          <w:color w:val="000000"/>
        </w:rPr>
        <w:t>    </w:t>
      </w:r>
      <w:r>
        <w:rPr>
          <w:rFonts w:ascii="Times New Roman;sans-serif" w:hAnsi="Times New Roman;sans-serif"/>
          <w:b/>
          <w:color w:val="000000"/>
          <w:sz w:val="24"/>
        </w:rPr>
        <w:t>Merger, Consolidation,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25</w:t>
        </w:r>
      </w:hyperlink>
    </w:p>
    <w:p>
      <w:pPr>
        <w:pStyle w:val="TextBody"/>
        <w:bidi w:val="0"/>
        <w:spacing w:lineRule="auto" w:line="288" w:before="0" w:after="0"/>
        <w:jc w:val="left"/>
        <w:rPr/>
      </w:pPr>
      <w:r>
        <w:rPr>
          <w:rFonts w:ascii="Times New Roman;sans-serif" w:hAnsi="Times New Roman;sans-serif"/>
          <w:b/>
          <w:color w:val="000000"/>
          <w:sz w:val="24"/>
        </w:rPr>
        <w:t>Section 10.3</w:t>
      </w:r>
      <w:r>
        <w:rPr>
          <w:color w:val="000000"/>
        </w:rPr>
        <w:t>    </w:t>
      </w:r>
      <w:r>
        <w:rPr>
          <w:rFonts w:ascii="Times New Roman;sans-serif" w:hAnsi="Times New Roman;sans-serif"/>
          <w:b/>
          <w:color w:val="000000"/>
          <w:sz w:val="24"/>
        </w:rPr>
        <w:t>Economic Sanctions,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26</w:t>
        </w:r>
      </w:hyperlink>
    </w:p>
    <w:p>
      <w:pPr>
        <w:pStyle w:val="TextBody"/>
        <w:bidi w:val="0"/>
        <w:spacing w:lineRule="auto" w:line="288" w:before="0" w:after="0"/>
        <w:jc w:val="left"/>
        <w:rPr/>
      </w:pPr>
      <w:r>
        <w:rPr>
          <w:rFonts w:ascii="Times New Roman;sans-serif" w:hAnsi="Times New Roman;sans-serif"/>
          <w:b/>
          <w:color w:val="000000"/>
          <w:sz w:val="24"/>
        </w:rPr>
        <w:t>Section 10.4</w:t>
      </w:r>
      <w:r>
        <w:rPr>
          <w:color w:val="000000"/>
        </w:rPr>
        <w:t>    </w:t>
      </w:r>
      <w:r>
        <w:rPr>
          <w:rFonts w:ascii="Times New Roman;sans-serif" w:hAnsi="Times New Roman;sans-serif"/>
          <w:b/>
          <w:color w:val="000000"/>
          <w:sz w:val="24"/>
        </w:rPr>
        <w:t>Liens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26</w:t>
        </w:r>
      </w:hyperlink>
    </w:p>
    <w:p>
      <w:pPr>
        <w:pStyle w:val="TextBody"/>
        <w:bidi w:val="0"/>
        <w:spacing w:lineRule="auto" w:line="288" w:before="0" w:after="0"/>
        <w:jc w:val="left"/>
        <w:rPr/>
      </w:pPr>
      <w:r>
        <w:rPr>
          <w:rFonts w:ascii="Times New Roman;sans-serif" w:hAnsi="Times New Roman;sans-serif"/>
          <w:b/>
          <w:color w:val="000000"/>
          <w:sz w:val="24"/>
        </w:rPr>
        <w:t>Section 10.5</w:t>
      </w:r>
      <w:r>
        <w:rPr>
          <w:color w:val="000000"/>
        </w:rPr>
        <w:t>    </w:t>
      </w:r>
      <w:r>
        <w:rPr>
          <w:rFonts w:ascii="Times New Roman;sans-serif" w:hAnsi="Times New Roman;sans-serif"/>
          <w:b/>
          <w:color w:val="000000"/>
          <w:sz w:val="24"/>
        </w:rPr>
        <w:t>Maximum Ratio of Total Indebtedness to Total Capitalization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120" w:after="120"/>
        <w:jc w:val="left"/>
        <w:rPr/>
      </w:pPr>
      <w:r>
        <w:rPr>
          <w:rFonts w:ascii="Times New Roman;sans-serif" w:hAnsi="Times New Roman;sans-serif"/>
          <w:b w:val="false"/>
          <w:color w:val="000000"/>
          <w:sz w:val="24"/>
        </w:rPr>
        <w:t>SECTION 11.</w:t>
      </w:r>
      <w:r>
        <w:rPr>
          <w:color w:val="000000"/>
        </w:rPr>
        <w:t>    </w:t>
      </w:r>
      <w:r>
        <w:rPr>
          <w:rFonts w:ascii="Times New Roman;sans-serif" w:hAnsi="Times New Roman;sans-serif"/>
          <w:b w:val="false"/>
          <w:color w:val="000000"/>
          <w:sz w:val="24"/>
        </w:rPr>
        <w:t>Events of Default.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30</w:t>
        </w:r>
      </w:hyperlink>
    </w:p>
    <w:p>
      <w:pPr>
        <w:pStyle w:val="TextBody"/>
        <w:bidi w:val="0"/>
        <w:spacing w:lineRule="auto" w:line="288" w:before="120" w:after="120"/>
        <w:jc w:val="left"/>
        <w:rPr/>
      </w:pPr>
      <w:r>
        <w:rPr>
          <w:rFonts w:ascii="Times New Roman;sans-serif" w:hAnsi="Times New Roman;sans-serif"/>
          <w:b w:val="false"/>
          <w:color w:val="000000"/>
          <w:sz w:val="24"/>
        </w:rPr>
        <w:t>SECTION 12.</w:t>
      </w:r>
      <w:r>
        <w:rPr>
          <w:color w:val="000000"/>
        </w:rPr>
        <w:t>    </w:t>
      </w:r>
      <w:r>
        <w:rPr>
          <w:rFonts w:ascii="Times New Roman;sans-serif" w:hAnsi="Times New Roman;sans-serif"/>
          <w:b w:val="false"/>
          <w:color w:val="000000"/>
          <w:sz w:val="24"/>
        </w:rPr>
        <w:t>Remedies on Default, Etc.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33</w:t>
        </w:r>
      </w:hyperlink>
    </w:p>
    <w:p>
      <w:pPr>
        <w:pStyle w:val="TextBody"/>
        <w:bidi w:val="0"/>
        <w:spacing w:lineRule="auto" w:line="288" w:before="0" w:after="0"/>
        <w:jc w:val="left"/>
        <w:rPr/>
      </w:pPr>
      <w:r>
        <w:rPr>
          <w:rFonts w:ascii="Times New Roman;sans-serif" w:hAnsi="Times New Roman;sans-serif"/>
          <w:b/>
          <w:color w:val="000000"/>
          <w:sz w:val="24"/>
        </w:rPr>
        <w:t>Section 12.1</w:t>
      </w:r>
      <w:r>
        <w:rPr>
          <w:color w:val="000000"/>
        </w:rPr>
        <w:t>    </w:t>
      </w:r>
      <w:r>
        <w:rPr>
          <w:rFonts w:ascii="Times New Roman;sans-serif" w:hAnsi="Times New Roman;sans-serif"/>
          <w:b/>
          <w:color w:val="000000"/>
          <w:sz w:val="24"/>
        </w:rPr>
        <w:t>Acceleration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33</w:t>
        </w:r>
      </w:hyperlink>
    </w:p>
    <w:p>
      <w:pPr>
        <w:pStyle w:val="TextBody"/>
        <w:bidi w:val="0"/>
        <w:spacing w:lineRule="auto" w:line="288" w:before="0" w:after="0"/>
        <w:jc w:val="left"/>
        <w:rPr/>
      </w:pPr>
      <w:r>
        <w:rPr>
          <w:rFonts w:ascii="Times New Roman;sans-serif" w:hAnsi="Times New Roman;sans-serif"/>
          <w:b/>
          <w:color w:val="000000"/>
          <w:sz w:val="24"/>
        </w:rPr>
        <w:t>Section 12.2</w:t>
      </w:r>
      <w:r>
        <w:rPr>
          <w:color w:val="000000"/>
        </w:rPr>
        <w:t>    </w:t>
      </w:r>
      <w:r>
        <w:rPr>
          <w:rFonts w:ascii="Times New Roman;sans-serif" w:hAnsi="Times New Roman;sans-serif"/>
          <w:b/>
          <w:color w:val="000000"/>
          <w:sz w:val="24"/>
        </w:rPr>
        <w:t>Other Remedies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before="0" w:after="0"/>
        <w:jc w:val="left"/>
        <w:rPr/>
      </w:pPr>
      <w:r>
        <w:rPr>
          <w:rFonts w:ascii="Times New Roman;sans-serif" w:hAnsi="Times New Roman;sans-serif"/>
          <w:b/>
          <w:color w:val="000000"/>
          <w:sz w:val="24"/>
        </w:rPr>
        <w:t>Section 12.3</w:t>
      </w:r>
      <w:r>
        <w:rPr>
          <w:color w:val="000000"/>
        </w:rPr>
        <w:t>    </w:t>
      </w:r>
      <w:r>
        <w:rPr>
          <w:rFonts w:ascii="Times New Roman;sans-serif" w:hAnsi="Times New Roman;sans-serif"/>
          <w:b/>
          <w:color w:val="000000"/>
          <w:sz w:val="24"/>
        </w:rPr>
        <w:t>Rescission</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before="0" w:after="0"/>
        <w:jc w:val="left"/>
        <w:rPr/>
      </w:pPr>
      <w:r>
        <w:rPr>
          <w:rFonts w:ascii="Times New Roman;sans-serif" w:hAnsi="Times New Roman;sans-serif"/>
          <w:b/>
          <w:color w:val="000000"/>
          <w:sz w:val="24"/>
        </w:rPr>
        <w:t>Section 12.4</w:t>
      </w:r>
      <w:r>
        <w:rPr>
          <w:color w:val="000000"/>
        </w:rPr>
        <w:t>    </w:t>
      </w:r>
      <w:r>
        <w:rPr>
          <w:rFonts w:ascii="Times New Roman;sans-serif" w:hAnsi="Times New Roman;sans-serif"/>
          <w:b/>
          <w:color w:val="000000"/>
          <w:sz w:val="24"/>
        </w:rPr>
        <w:t>No Waivers or Election of Remedies, Expenses,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34</w:t>
        </w:r>
      </w:hyperlink>
    </w:p>
    <w:p>
      <w:pPr>
        <w:pStyle w:val="TextBody"/>
        <w:bidi w:val="0"/>
        <w:spacing w:lineRule="auto" w:line="288" w:before="120" w:after="120"/>
        <w:jc w:val="left"/>
        <w:rPr/>
      </w:pPr>
      <w:r>
        <w:rPr>
          <w:rFonts w:ascii="Times New Roman;sans-serif" w:hAnsi="Times New Roman;sans-serif"/>
          <w:b w:val="false"/>
          <w:color w:val="000000"/>
          <w:sz w:val="24"/>
        </w:rPr>
        <w:t>SECTION 13.</w:t>
      </w:r>
      <w:r>
        <w:rPr>
          <w:color w:val="000000"/>
        </w:rPr>
        <w:t>    </w:t>
      </w:r>
      <w:r>
        <w:rPr>
          <w:rFonts w:ascii="Times New Roman;sans-serif" w:hAnsi="Times New Roman;sans-serif"/>
          <w:b w:val="false"/>
          <w:color w:val="000000"/>
          <w:sz w:val="24"/>
        </w:rPr>
        <w:t>Registration; Exchange; Substitution of Notes.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left"/>
        <w:rPr/>
      </w:pPr>
      <w:r>
        <w:rPr>
          <w:rFonts w:ascii="Times New Roman;sans-serif" w:hAnsi="Times New Roman;sans-serif"/>
          <w:b/>
          <w:color w:val="000000"/>
          <w:sz w:val="24"/>
        </w:rPr>
        <w:t>Section 13.1</w:t>
      </w:r>
      <w:r>
        <w:rPr>
          <w:color w:val="000000"/>
        </w:rPr>
        <w:t>    </w:t>
      </w:r>
      <w:r>
        <w:rPr>
          <w:rFonts w:ascii="Times New Roman;sans-serif" w:hAnsi="Times New Roman;sans-serif"/>
          <w:b/>
          <w:color w:val="000000"/>
          <w:sz w:val="24"/>
        </w:rPr>
        <w:t>Registration of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left"/>
        <w:rPr/>
      </w:pPr>
      <w:r>
        <w:rPr>
          <w:rFonts w:ascii="Times New Roman;sans-serif" w:hAnsi="Times New Roman;sans-serif"/>
          <w:b/>
          <w:color w:val="000000"/>
          <w:sz w:val="24"/>
        </w:rPr>
        <w:t>Section 13.2</w:t>
      </w:r>
      <w:r>
        <w:rPr>
          <w:color w:val="000000"/>
        </w:rPr>
        <w:t>    </w:t>
      </w:r>
      <w:r>
        <w:rPr>
          <w:rFonts w:ascii="Times New Roman;sans-serif" w:hAnsi="Times New Roman;sans-serif"/>
          <w:b/>
          <w:color w:val="000000"/>
          <w:sz w:val="24"/>
        </w:rPr>
        <w:t>Transfer and Exchange of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jc w:val="left"/>
        <w:rPr/>
      </w:pPr>
      <w:r>
        <w:rPr>
          <w:rFonts w:ascii="Times New Roman;sans-serif" w:hAnsi="Times New Roman;sans-serif"/>
          <w:b/>
          <w:color w:val="000000"/>
          <w:sz w:val="24"/>
        </w:rPr>
        <w:t>Section 13.3</w:t>
      </w:r>
      <w:r>
        <w:rPr>
          <w:color w:val="000000"/>
        </w:rPr>
        <w:t>    </w:t>
      </w:r>
      <w:r>
        <w:rPr>
          <w:rFonts w:ascii="Times New Roman;sans-serif" w:hAnsi="Times New Roman;sans-serif"/>
          <w:b/>
          <w:color w:val="000000"/>
          <w:sz w:val="24"/>
        </w:rPr>
        <w:t>Replacement of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35</w:t>
        </w:r>
      </w:hyperlink>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ii -</w:t>
                      </w:r>
                    </w:p>
                  </w:txbxContent>
                </v:textbox>
                <w10:wrap type="none"/>
              </v:rect>
            </w:pict>
          </mc:Fallback>
        </mc:AlternateContent>
      </w:r>
    </w:p>
    <w:p>
      <w:pPr>
        <w:pStyle w:val="TextBody"/>
        <w:bidi w:val="0"/>
        <w:spacing w:lineRule="auto" w:line="288" w:before="120" w:after="120"/>
        <w:jc w:val="left"/>
        <w:rPr/>
      </w:pPr>
      <w:r>
        <w:rPr>
          <w:rFonts w:ascii="Times New Roman;sans-serif" w:hAnsi="Times New Roman;sans-serif"/>
          <w:b w:val="false"/>
          <w:color w:val="000000"/>
          <w:sz w:val="24"/>
        </w:rPr>
        <w:t>SECTION 14.</w:t>
      </w:r>
      <w:r>
        <w:rPr>
          <w:color w:val="000000"/>
        </w:rPr>
        <w:t>    </w:t>
      </w:r>
      <w:r>
        <w:rPr>
          <w:rFonts w:ascii="Times New Roman;sans-serif" w:hAnsi="Times New Roman;sans-serif"/>
          <w:b w:val="false"/>
          <w:color w:val="000000"/>
          <w:sz w:val="24"/>
        </w:rPr>
        <w:t>Payments on Notes.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36</w:t>
        </w:r>
      </w:hyperlink>
    </w:p>
    <w:p>
      <w:pPr>
        <w:pStyle w:val="TextBody"/>
        <w:bidi w:val="0"/>
        <w:spacing w:lineRule="auto" w:line="288" w:before="0" w:after="0"/>
        <w:jc w:val="left"/>
        <w:rPr/>
      </w:pPr>
      <w:r>
        <w:rPr>
          <w:rFonts w:ascii="Times New Roman;sans-serif" w:hAnsi="Times New Roman;sans-serif"/>
          <w:b/>
          <w:color w:val="000000"/>
          <w:sz w:val="24"/>
        </w:rPr>
        <w:t>Section 14.1</w:t>
      </w:r>
      <w:r>
        <w:rPr>
          <w:color w:val="000000"/>
        </w:rPr>
        <w:t>    </w:t>
      </w:r>
      <w:r>
        <w:rPr>
          <w:rFonts w:ascii="Times New Roman;sans-serif" w:hAnsi="Times New Roman;sans-serif"/>
          <w:b/>
          <w:color w:val="000000"/>
          <w:sz w:val="24"/>
        </w:rPr>
        <w:t>Place of Payment</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36</w:t>
        </w:r>
      </w:hyperlink>
    </w:p>
    <w:p>
      <w:pPr>
        <w:pStyle w:val="TextBody"/>
        <w:bidi w:val="0"/>
        <w:spacing w:lineRule="auto" w:line="288" w:before="0" w:after="0"/>
        <w:jc w:val="left"/>
        <w:rPr/>
      </w:pPr>
      <w:r>
        <w:rPr>
          <w:rFonts w:ascii="Times New Roman;sans-serif" w:hAnsi="Times New Roman;sans-serif"/>
          <w:b/>
          <w:color w:val="000000"/>
          <w:sz w:val="24"/>
        </w:rPr>
        <w:t>Section 14.2</w:t>
      </w:r>
      <w:r>
        <w:rPr>
          <w:color w:val="000000"/>
        </w:rPr>
        <w:t>    </w:t>
      </w:r>
      <w:r>
        <w:rPr>
          <w:rFonts w:ascii="Times New Roman;sans-serif" w:hAnsi="Times New Roman;sans-serif"/>
          <w:b/>
          <w:color w:val="000000"/>
          <w:sz w:val="24"/>
        </w:rPr>
        <w:t>Payment by Wire Transfer</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36</w:t>
        </w:r>
      </w:hyperlink>
    </w:p>
    <w:p>
      <w:pPr>
        <w:pStyle w:val="TextBody"/>
        <w:bidi w:val="0"/>
        <w:spacing w:lineRule="auto" w:line="288" w:before="0" w:after="0"/>
        <w:jc w:val="left"/>
        <w:rPr/>
      </w:pPr>
      <w:r>
        <w:rPr>
          <w:rFonts w:ascii="Times New Roman;sans-serif" w:hAnsi="Times New Roman;sans-serif"/>
          <w:b/>
          <w:color w:val="000000"/>
          <w:sz w:val="24"/>
        </w:rPr>
        <w:t>Section 14.3</w:t>
      </w:r>
      <w:r>
        <w:rPr>
          <w:color w:val="000000"/>
        </w:rPr>
        <w:t>    </w:t>
      </w:r>
      <w:r>
        <w:rPr>
          <w:rFonts w:ascii="Times New Roman;sans-serif" w:hAnsi="Times New Roman;sans-serif"/>
          <w:b/>
          <w:color w:val="000000"/>
          <w:sz w:val="24"/>
        </w:rPr>
        <w:t>FATCA Information</w:t>
      </w:r>
      <w:r>
        <w:rPr>
          <w:rFonts w:ascii="Times New Roman;sans-serif" w:hAnsi="Times New Roman;sans-serif"/>
          <w:b w:val="false"/>
          <w:color w:val="000000"/>
          <w:sz w:val="24"/>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120" w:after="120"/>
        <w:jc w:val="left"/>
        <w:rPr/>
      </w:pPr>
      <w:r>
        <w:rPr>
          <w:rFonts w:ascii="Times New Roman;sans-serif" w:hAnsi="Times New Roman;sans-serif"/>
          <w:b w:val="false"/>
          <w:color w:val="000000"/>
          <w:sz w:val="24"/>
        </w:rPr>
        <w:t>SECTION 15.</w:t>
      </w:r>
      <w:r>
        <w:rPr>
          <w:color w:val="000000"/>
        </w:rPr>
        <w:t>    </w:t>
      </w:r>
      <w:r>
        <w:rPr>
          <w:rFonts w:ascii="Times New Roman;sans-serif" w:hAnsi="Times New Roman;sans-serif"/>
          <w:b w:val="false"/>
          <w:color w:val="000000"/>
          <w:sz w:val="24"/>
        </w:rPr>
        <w:t>Expenses, Etc.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0" w:after="0"/>
        <w:jc w:val="left"/>
        <w:rPr/>
      </w:pPr>
      <w:r>
        <w:rPr>
          <w:rFonts w:ascii="Times New Roman;sans-serif" w:hAnsi="Times New Roman;sans-serif"/>
          <w:b/>
          <w:color w:val="000000"/>
          <w:sz w:val="24"/>
        </w:rPr>
        <w:t>Section 15.1</w:t>
      </w:r>
      <w:r>
        <w:rPr>
          <w:color w:val="000000"/>
        </w:rPr>
        <w:t>    </w:t>
      </w:r>
      <w:r>
        <w:rPr>
          <w:rFonts w:ascii="Times New Roman;sans-serif" w:hAnsi="Times New Roman;sans-serif"/>
          <w:b/>
          <w:color w:val="000000"/>
          <w:sz w:val="24"/>
        </w:rPr>
        <w:t>Transaction Expenses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37</w:t>
        </w:r>
      </w:hyperlink>
    </w:p>
    <w:p>
      <w:pPr>
        <w:pStyle w:val="TextBody"/>
        <w:bidi w:val="0"/>
        <w:spacing w:lineRule="auto" w:line="288" w:before="0" w:after="0"/>
        <w:jc w:val="left"/>
        <w:rPr/>
      </w:pPr>
      <w:r>
        <w:rPr>
          <w:rFonts w:ascii="Times New Roman;sans-serif" w:hAnsi="Times New Roman;sans-serif"/>
          <w:b/>
          <w:color w:val="000000"/>
          <w:sz w:val="24"/>
        </w:rPr>
        <w:t>Section 15.2</w:t>
      </w:r>
      <w:r>
        <w:rPr>
          <w:color w:val="000000"/>
        </w:rPr>
        <w:t>    </w:t>
      </w:r>
      <w:r>
        <w:rPr>
          <w:rFonts w:ascii="Times New Roman;sans-serif" w:hAnsi="Times New Roman;sans-serif"/>
          <w:b/>
          <w:color w:val="000000"/>
          <w:sz w:val="24"/>
        </w:rPr>
        <w:t>Certain Taxes</w:t>
      </w:r>
      <w:r>
        <w:rPr>
          <w:rFonts w:ascii="Times New Roman;sans-serif" w:hAnsi="Times New Roman;sans-serif"/>
          <w:b w:val="false"/>
          <w:color w:val="000000"/>
          <w:sz w:val="24"/>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0" w:after="0"/>
        <w:jc w:val="left"/>
        <w:rPr/>
      </w:pPr>
      <w:r>
        <w:rPr>
          <w:rFonts w:ascii="Times New Roman;sans-serif" w:hAnsi="Times New Roman;sans-serif"/>
          <w:b/>
          <w:color w:val="000000"/>
          <w:sz w:val="24"/>
        </w:rPr>
        <w:t>Section 15.3</w:t>
      </w:r>
      <w:r>
        <w:rPr>
          <w:color w:val="000000"/>
        </w:rPr>
        <w:t>    </w:t>
      </w:r>
      <w:r>
        <w:rPr>
          <w:rFonts w:ascii="Times New Roman;sans-serif" w:hAnsi="Times New Roman;sans-serif"/>
          <w:b/>
          <w:color w:val="000000"/>
          <w:sz w:val="24"/>
        </w:rPr>
        <w:t>Survival</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120" w:after="120"/>
        <w:jc w:val="left"/>
        <w:rPr/>
      </w:pPr>
      <w:r>
        <w:rPr>
          <w:rFonts w:ascii="Times New Roman;sans-serif" w:hAnsi="Times New Roman;sans-serif"/>
          <w:b w:val="false"/>
          <w:color w:val="000000"/>
          <w:sz w:val="24"/>
        </w:rPr>
        <w:t>SECTION 16.</w:t>
      </w:r>
      <w:r>
        <w:rPr>
          <w:color w:val="000000"/>
        </w:rPr>
        <w:t>    </w:t>
      </w:r>
      <w:r>
        <w:rPr>
          <w:rFonts w:ascii="Times New Roman;sans-serif" w:hAnsi="Times New Roman;sans-serif"/>
          <w:b w:val="false"/>
          <w:color w:val="000000"/>
          <w:sz w:val="24"/>
        </w:rPr>
        <w:t>Survival of Representations and Warranties; Entire Agreement.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120" w:after="120"/>
        <w:jc w:val="left"/>
        <w:rPr/>
      </w:pPr>
      <w:r>
        <w:rPr>
          <w:rFonts w:ascii="Times New Roman;sans-serif" w:hAnsi="Times New Roman;sans-serif"/>
          <w:b w:val="false"/>
          <w:color w:val="000000"/>
          <w:sz w:val="24"/>
        </w:rPr>
        <w:t>SECTION 17.</w:t>
      </w:r>
      <w:r>
        <w:rPr>
          <w:color w:val="000000"/>
        </w:rPr>
        <w:t>    </w:t>
      </w:r>
      <w:r>
        <w:rPr>
          <w:rFonts w:ascii="Times New Roman;sans-serif" w:hAnsi="Times New Roman;sans-serif"/>
          <w:b w:val="false"/>
          <w:color w:val="000000"/>
          <w:sz w:val="24"/>
        </w:rPr>
        <w:t>Amendment and Waiver.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0" w:after="0"/>
        <w:jc w:val="left"/>
        <w:rPr/>
      </w:pPr>
      <w:r>
        <w:rPr>
          <w:rFonts w:ascii="Times New Roman;sans-serif" w:hAnsi="Times New Roman;sans-serif"/>
          <w:b/>
          <w:color w:val="000000"/>
          <w:sz w:val="24"/>
        </w:rPr>
        <w:t>Section 17.1</w:t>
      </w:r>
      <w:r>
        <w:rPr>
          <w:color w:val="000000"/>
        </w:rPr>
        <w:t>    </w:t>
      </w:r>
      <w:r>
        <w:rPr>
          <w:rFonts w:ascii="Times New Roman;sans-serif" w:hAnsi="Times New Roman;sans-serif"/>
          <w:b/>
          <w:color w:val="000000"/>
          <w:sz w:val="24"/>
        </w:rPr>
        <w:t>Requirements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38</w:t>
        </w:r>
      </w:hyperlink>
    </w:p>
    <w:p>
      <w:pPr>
        <w:pStyle w:val="TextBody"/>
        <w:bidi w:val="0"/>
        <w:spacing w:lineRule="auto" w:line="288" w:before="0" w:after="0"/>
        <w:jc w:val="left"/>
        <w:rPr/>
      </w:pPr>
      <w:r>
        <w:rPr>
          <w:rFonts w:ascii="Times New Roman;sans-serif" w:hAnsi="Times New Roman;sans-serif"/>
          <w:b/>
          <w:color w:val="000000"/>
          <w:sz w:val="24"/>
        </w:rPr>
        <w:t>Section 17.2</w:t>
      </w:r>
      <w:r>
        <w:rPr>
          <w:color w:val="000000"/>
        </w:rPr>
        <w:t>    </w:t>
      </w:r>
      <w:r>
        <w:rPr>
          <w:rFonts w:ascii="Times New Roman;sans-serif" w:hAnsi="Times New Roman;sans-serif"/>
          <w:b/>
          <w:color w:val="000000"/>
          <w:sz w:val="24"/>
        </w:rPr>
        <w:t>Solicitation of Holders of Notes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39</w:t>
        </w:r>
      </w:hyperlink>
    </w:p>
    <w:p>
      <w:pPr>
        <w:pStyle w:val="TextBody"/>
        <w:bidi w:val="0"/>
        <w:spacing w:lineRule="auto" w:line="288" w:before="0" w:after="0"/>
        <w:jc w:val="left"/>
        <w:rPr/>
      </w:pPr>
      <w:r>
        <w:rPr>
          <w:rFonts w:ascii="Times New Roman;sans-serif" w:hAnsi="Times New Roman;sans-serif"/>
          <w:b/>
          <w:color w:val="000000"/>
          <w:sz w:val="24"/>
        </w:rPr>
        <w:t>Section 17.3</w:t>
      </w:r>
      <w:r>
        <w:rPr>
          <w:color w:val="000000"/>
        </w:rPr>
        <w:t>    </w:t>
      </w:r>
      <w:r>
        <w:rPr>
          <w:rFonts w:ascii="Times New Roman;sans-serif" w:hAnsi="Times New Roman;sans-serif"/>
          <w:b/>
          <w:color w:val="000000"/>
          <w:sz w:val="24"/>
        </w:rPr>
        <w:t>Binding Effect,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39</w:t>
        </w:r>
      </w:hyperlink>
    </w:p>
    <w:p>
      <w:pPr>
        <w:pStyle w:val="TextBody"/>
        <w:bidi w:val="0"/>
        <w:spacing w:lineRule="auto" w:line="288" w:before="0" w:after="0"/>
        <w:jc w:val="left"/>
        <w:rPr/>
      </w:pPr>
      <w:r>
        <w:rPr>
          <w:rFonts w:ascii="Times New Roman;sans-serif" w:hAnsi="Times New Roman;sans-serif"/>
          <w:b/>
          <w:color w:val="000000"/>
          <w:sz w:val="24"/>
        </w:rPr>
        <w:t>Section 17.4</w:t>
      </w:r>
      <w:r>
        <w:rPr>
          <w:color w:val="000000"/>
        </w:rPr>
        <w:t>    </w:t>
      </w:r>
      <w:r>
        <w:rPr>
          <w:rFonts w:ascii="Times New Roman;sans-serif" w:hAnsi="Times New Roman;sans-serif"/>
          <w:b/>
          <w:color w:val="000000"/>
          <w:sz w:val="24"/>
        </w:rPr>
        <w:t>Notes Held by Company,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40</w:t>
        </w:r>
      </w:hyperlink>
    </w:p>
    <w:p>
      <w:pPr>
        <w:pStyle w:val="TextBody"/>
        <w:bidi w:val="0"/>
        <w:spacing w:lineRule="auto" w:line="288" w:before="120" w:after="120"/>
        <w:jc w:val="left"/>
        <w:rPr/>
      </w:pPr>
      <w:r>
        <w:rPr>
          <w:rFonts w:ascii="Times New Roman;sans-serif" w:hAnsi="Times New Roman;sans-serif"/>
          <w:b w:val="false"/>
          <w:color w:val="000000"/>
          <w:sz w:val="24"/>
        </w:rPr>
        <w:t>SECTION 18.</w:t>
      </w:r>
      <w:r>
        <w:rPr>
          <w:color w:val="000000"/>
        </w:rPr>
        <w:t>    </w:t>
      </w:r>
      <w:r>
        <w:rPr>
          <w:rFonts w:ascii="Times New Roman;sans-serif" w:hAnsi="Times New Roman;sans-serif"/>
          <w:b w:val="false"/>
          <w:color w:val="000000"/>
          <w:sz w:val="24"/>
        </w:rPr>
        <w:t>Notices.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40</w:t>
        </w:r>
      </w:hyperlink>
    </w:p>
    <w:p>
      <w:pPr>
        <w:pStyle w:val="TextBody"/>
        <w:bidi w:val="0"/>
        <w:spacing w:lineRule="auto" w:line="288" w:before="120" w:after="120"/>
        <w:jc w:val="left"/>
        <w:rPr/>
      </w:pPr>
      <w:r>
        <w:rPr>
          <w:rFonts w:ascii="Times New Roman;sans-serif" w:hAnsi="Times New Roman;sans-serif"/>
          <w:b w:val="false"/>
          <w:color w:val="000000"/>
          <w:sz w:val="24"/>
        </w:rPr>
        <w:t>SECTION 19.</w:t>
      </w:r>
      <w:r>
        <w:rPr>
          <w:color w:val="000000"/>
        </w:rPr>
        <w:t>    </w:t>
      </w:r>
      <w:r>
        <w:rPr>
          <w:rFonts w:ascii="Times New Roman;sans-serif" w:hAnsi="Times New Roman;sans-serif"/>
          <w:b w:val="false"/>
          <w:color w:val="000000"/>
          <w:sz w:val="24"/>
        </w:rPr>
        <w:t>Reproduction of Documents.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120" w:after="120"/>
        <w:jc w:val="left"/>
        <w:rPr/>
      </w:pPr>
      <w:r>
        <w:rPr>
          <w:rFonts w:ascii="Times New Roman;sans-serif" w:hAnsi="Times New Roman;sans-serif"/>
          <w:b w:val="false"/>
          <w:color w:val="000000"/>
          <w:sz w:val="24"/>
        </w:rPr>
        <w:t>SECTION 20.</w:t>
      </w:r>
      <w:r>
        <w:rPr>
          <w:color w:val="000000"/>
        </w:rPr>
        <w:t>    </w:t>
      </w:r>
      <w:r>
        <w:rPr>
          <w:rFonts w:ascii="Times New Roman;sans-serif" w:hAnsi="Times New Roman;sans-serif"/>
          <w:b w:val="false"/>
          <w:color w:val="000000"/>
          <w:sz w:val="24"/>
        </w:rPr>
        <w:t>Confidential Information.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41</w:t>
        </w:r>
      </w:hyperlink>
    </w:p>
    <w:p>
      <w:pPr>
        <w:pStyle w:val="TextBody"/>
        <w:bidi w:val="0"/>
        <w:spacing w:lineRule="auto" w:line="288" w:before="120" w:after="120"/>
        <w:jc w:val="left"/>
        <w:rPr/>
      </w:pPr>
      <w:r>
        <w:rPr>
          <w:rFonts w:ascii="Times New Roman;sans-serif" w:hAnsi="Times New Roman;sans-serif"/>
          <w:b w:val="false"/>
          <w:color w:val="000000"/>
          <w:sz w:val="24"/>
        </w:rPr>
        <w:t>SECTION 21.</w:t>
      </w:r>
      <w:r>
        <w:rPr>
          <w:color w:val="000000"/>
        </w:rPr>
        <w:t>    </w:t>
      </w:r>
      <w:r>
        <w:rPr>
          <w:rFonts w:ascii="Times New Roman;sans-serif" w:hAnsi="Times New Roman;sans-serif"/>
          <w:b w:val="false"/>
          <w:color w:val="000000"/>
          <w:sz w:val="24"/>
        </w:rPr>
        <w:t>Substitution of Purchaser.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120" w:after="120"/>
        <w:jc w:val="left"/>
        <w:rPr/>
      </w:pPr>
      <w:r>
        <w:rPr>
          <w:rFonts w:ascii="Times New Roman;sans-serif" w:hAnsi="Times New Roman;sans-serif"/>
          <w:b w:val="false"/>
          <w:color w:val="000000"/>
          <w:sz w:val="24"/>
        </w:rPr>
        <w:t>SECTION 22.</w:t>
      </w:r>
      <w:r>
        <w:rPr>
          <w:color w:val="000000"/>
        </w:rPr>
        <w:t>    </w:t>
      </w:r>
      <w:r>
        <w:rPr>
          <w:rFonts w:ascii="Times New Roman;sans-serif" w:hAnsi="Times New Roman;sans-serif"/>
          <w:b w:val="false"/>
          <w:color w:val="000000"/>
          <w:sz w:val="24"/>
        </w:rPr>
        <w:t>Miscellaneous.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0" w:after="0"/>
        <w:jc w:val="left"/>
        <w:rPr/>
      </w:pPr>
      <w:r>
        <w:rPr>
          <w:rFonts w:ascii="Times New Roman;sans-serif" w:hAnsi="Times New Roman;sans-serif"/>
          <w:b/>
          <w:color w:val="000000"/>
          <w:sz w:val="24"/>
        </w:rPr>
        <w:t>Section 22.1</w:t>
      </w:r>
      <w:r>
        <w:rPr>
          <w:color w:val="000000"/>
        </w:rPr>
        <w:t>    </w:t>
      </w:r>
      <w:r>
        <w:rPr>
          <w:rFonts w:ascii="Times New Roman;sans-serif" w:hAnsi="Times New Roman;sans-serif"/>
          <w:b/>
          <w:color w:val="000000"/>
          <w:sz w:val="24"/>
        </w:rPr>
        <w:t>Successors and Assigns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42</w:t>
        </w:r>
      </w:hyperlink>
    </w:p>
    <w:p>
      <w:pPr>
        <w:pStyle w:val="TextBody"/>
        <w:bidi w:val="0"/>
        <w:spacing w:lineRule="auto" w:line="288" w:before="0" w:after="0"/>
        <w:jc w:val="left"/>
        <w:rPr/>
      </w:pPr>
      <w:r>
        <w:rPr>
          <w:rFonts w:ascii="Times New Roman;sans-serif" w:hAnsi="Times New Roman;sans-serif"/>
          <w:b/>
          <w:color w:val="000000"/>
          <w:sz w:val="24"/>
        </w:rPr>
        <w:t>Section 22.2</w:t>
      </w:r>
      <w:r>
        <w:rPr>
          <w:color w:val="000000"/>
        </w:rPr>
        <w:t>    </w:t>
      </w:r>
      <w:r>
        <w:rPr>
          <w:rFonts w:ascii="Times New Roman;sans-serif" w:hAnsi="Times New Roman;sans-serif"/>
          <w:b/>
          <w:color w:val="000000"/>
          <w:sz w:val="24"/>
        </w:rPr>
        <w:t>Accounting Terms</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lineRule="auto" w:line="288" w:before="0" w:after="0"/>
        <w:jc w:val="left"/>
        <w:rPr/>
      </w:pPr>
      <w:r>
        <w:rPr>
          <w:rFonts w:ascii="Times New Roman;sans-serif" w:hAnsi="Times New Roman;sans-serif"/>
          <w:b/>
          <w:color w:val="000000"/>
          <w:sz w:val="24"/>
        </w:rPr>
        <w:t>Section 22.3</w:t>
      </w:r>
      <w:r>
        <w:rPr>
          <w:color w:val="000000"/>
        </w:rPr>
        <w:t>    </w:t>
      </w:r>
      <w:r>
        <w:rPr>
          <w:rFonts w:ascii="Times New Roman;sans-serif" w:hAnsi="Times New Roman;sans-serif"/>
          <w:b/>
          <w:color w:val="000000"/>
          <w:sz w:val="24"/>
        </w:rPr>
        <w:t>Severability</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lineRule="auto" w:line="288" w:before="0" w:after="0"/>
        <w:jc w:val="left"/>
        <w:rPr/>
      </w:pPr>
      <w:r>
        <w:rPr>
          <w:rFonts w:ascii="Times New Roman;sans-serif" w:hAnsi="Times New Roman;sans-serif"/>
          <w:b/>
          <w:color w:val="000000"/>
          <w:sz w:val="24"/>
        </w:rPr>
        <w:t>Section 22.4</w:t>
      </w:r>
      <w:r>
        <w:rPr>
          <w:color w:val="000000"/>
        </w:rPr>
        <w:t>    </w:t>
      </w:r>
      <w:r>
        <w:rPr>
          <w:rFonts w:ascii="Times New Roman;sans-serif" w:hAnsi="Times New Roman;sans-serif"/>
          <w:b/>
          <w:color w:val="000000"/>
          <w:sz w:val="24"/>
        </w:rPr>
        <w:t>Construction, Etc</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43</w:t>
        </w:r>
      </w:hyperlink>
    </w:p>
    <w:p>
      <w:pPr>
        <w:pStyle w:val="TextBody"/>
        <w:bidi w:val="0"/>
        <w:spacing w:lineRule="auto" w:line="288" w:before="0" w:after="0"/>
        <w:jc w:val="left"/>
        <w:rPr/>
      </w:pPr>
      <w:r>
        <w:rPr>
          <w:rFonts w:ascii="Times New Roman;sans-serif" w:hAnsi="Times New Roman;sans-serif"/>
          <w:b/>
          <w:color w:val="000000"/>
          <w:sz w:val="24"/>
        </w:rPr>
        <w:t>Section 22.5</w:t>
      </w:r>
      <w:r>
        <w:rPr>
          <w:color w:val="000000"/>
        </w:rPr>
        <w:t>    </w:t>
      </w:r>
      <w:r>
        <w:rPr>
          <w:rFonts w:ascii="Times New Roman;sans-serif" w:hAnsi="Times New Roman;sans-serif"/>
          <w:b/>
          <w:color w:val="000000"/>
          <w:sz w:val="24"/>
        </w:rPr>
        <w:t>Counterparts; Electronic Contracting</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44</w:t>
        </w:r>
      </w:hyperlink>
    </w:p>
    <w:p>
      <w:pPr>
        <w:pStyle w:val="TextBody"/>
        <w:bidi w:val="0"/>
        <w:spacing w:lineRule="auto" w:line="288" w:before="0" w:after="0"/>
        <w:jc w:val="left"/>
        <w:rPr/>
      </w:pPr>
      <w:r>
        <w:rPr>
          <w:rFonts w:ascii="Times New Roman;sans-serif" w:hAnsi="Times New Roman;sans-serif"/>
          <w:b/>
          <w:color w:val="000000"/>
          <w:sz w:val="24"/>
        </w:rPr>
        <w:t>Section 22.6</w:t>
      </w:r>
      <w:r>
        <w:rPr>
          <w:color w:val="000000"/>
        </w:rPr>
        <w:t>    </w:t>
      </w:r>
      <w:r>
        <w:rPr>
          <w:rFonts w:ascii="Times New Roman;sans-serif" w:hAnsi="Times New Roman;sans-serif"/>
          <w:b/>
          <w:color w:val="000000"/>
          <w:sz w:val="24"/>
        </w:rPr>
        <w:t>Governing Law</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44</w:t>
        </w:r>
      </w:hyperlink>
    </w:p>
    <w:p>
      <w:pPr>
        <w:pStyle w:val="TextBody"/>
        <w:bidi w:val="0"/>
        <w:spacing w:lineRule="auto" w:line="288" w:before="0" w:after="0"/>
        <w:jc w:val="left"/>
        <w:rPr/>
      </w:pPr>
      <w:r>
        <w:rPr>
          <w:rFonts w:ascii="Times New Roman;sans-serif" w:hAnsi="Times New Roman;sans-serif"/>
          <w:b/>
          <w:color w:val="000000"/>
          <w:sz w:val="24"/>
        </w:rPr>
        <w:t>Section 22.7</w:t>
      </w:r>
      <w:r>
        <w:rPr>
          <w:color w:val="000000"/>
        </w:rPr>
        <w:t>    </w:t>
      </w:r>
      <w:r>
        <w:rPr>
          <w:rFonts w:ascii="Times New Roman;sans-serif" w:hAnsi="Times New Roman;sans-serif"/>
          <w:b/>
          <w:color w:val="000000"/>
          <w:sz w:val="24"/>
        </w:rPr>
        <w:t>Jurisdiction and Process; Waiver of Jury Trial</w:t>
      </w:r>
      <w:r>
        <w:rPr>
          <w:color w:val="000000"/>
        </w:rPr>
        <w:t>    </w:t>
      </w:r>
      <w:hyperlink w:anchor="i44278a97e392469094cadfe14ce7be70_279">
        <w:r>
          <w:rPr>
            <w:rStyle w:val="InternetLink"/>
            <w:rFonts w:ascii="Times New Roman;sans-serif" w:hAnsi="Times New Roman;sans-serif"/>
            <w:b w:val="false"/>
            <w:strike w:val="false"/>
            <w:dstrike w:val="false"/>
            <w:color w:val="000000"/>
            <w:sz w:val="24"/>
            <w:u w:val="none"/>
            <w:effect w:val="none"/>
          </w:rPr>
          <w:t>44</w:t>
        </w:r>
      </w:hyperlink>
    </w:p>
    <w:p>
      <w:pPr>
        <w:pStyle w:val="TextBody"/>
        <w:bidi w:val="0"/>
        <w:spacing w:before="0" w:after="0"/>
        <w:jc w:val="left"/>
        <w:rPr/>
      </w:pPr>
      <w:r>
        <w:rPr/>
      </w:r>
    </w:p>
    <w:p>
      <w:pPr>
        <w:pStyle w:val="TextBody"/>
        <w:bidi w:val="0"/>
        <w:spacing w:before="0" w:after="0"/>
        <w:jc w:val="both"/>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iii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iii -</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A    —    Information Relating to Purchasers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B    —    Defined Terms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5.3    —    Disclosure Materials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5.4     —    Subsidiaries of the Company and Ownership of Subsidiary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5.15    —    Existing Indebtedness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1 (a)    —    Form of 5.38% Senior Note due March 25, 2030</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1 (b)    —    Form of 5.82% Senior Note due March 25, 2035</w:t>
      </w:r>
    </w:p>
    <w:p>
      <w:pPr>
        <w:pStyle w:val="TextBody"/>
        <w:bidi w:val="0"/>
        <w:spacing w:before="0" w:after="0"/>
        <w:jc w:val="left"/>
        <w:rPr/>
      </w:pPr>
      <w:r>
        <w:rPr/>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4.4(a)     —     Form of Opinion of the Vice President, Chief Legal Officer and Corporate Secretary of ALLETE, Inc.</w:t>
      </w:r>
    </w:p>
    <w:p>
      <w:pPr>
        <w:pStyle w:val="TextBody"/>
        <w:bidi w:val="0"/>
        <w:spacing w:lineRule="auto" w:line="288" w:before="0" w:after="240"/>
        <w:ind w:left="0" w:right="0" w:hanging="2160"/>
        <w:jc w:val="left"/>
        <w:rPr>
          <w:rFonts w:ascii="Times New Roman;sans-serif" w:hAnsi="Times New Roman;sans-serif"/>
          <w:b w:val="false"/>
          <w:color w:val="000000"/>
          <w:sz w:val="24"/>
        </w:rPr>
      </w:pPr>
      <w:r>
        <w:rPr>
          <w:rFonts w:ascii="Times New Roman;sans-serif" w:hAnsi="Times New Roman;sans-serif"/>
          <w:b w:val="false"/>
          <w:color w:val="000000"/>
          <w:sz w:val="24"/>
        </w:rPr>
        <w:t>Exhibit 4.4(b)     —    Form of Opinion of Cohen Tauber Spievack &amp; Wagner P.C.</w:t>
      </w:r>
    </w:p>
    <w:p>
      <w:pPr>
        <w:pStyle w:val="TextBody"/>
        <w:bidi w:val="0"/>
        <w:spacing w:lineRule="auto" w:line="324"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Exhibit 4.4(c)     —    Form of Opinion of Chapman and Cutler LLP</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iv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iv -</w:t>
                      </w:r>
                    </w:p>
                  </w:txbxContent>
                </v:textbox>
                <w10:wrap type="none"/>
              </v:rect>
            </w:pict>
          </mc:Fallback>
        </mc:AlternateContent>
      </w:r>
    </w:p>
    <w:p>
      <w:pPr>
        <w:pStyle w:val="TextBody"/>
        <w:bidi w:val="0"/>
        <w:spacing w:lineRule="auto" w:line="276"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Allete, Inc.</w:t>
      </w:r>
    </w:p>
    <w:p>
      <w:pPr>
        <w:pStyle w:val="TextBody"/>
        <w:bidi w:val="0"/>
        <w:spacing w:lineRule="auto" w:line="324"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30 West Superior Street</w:t>
        <w:br/>
        <w:t>Duluth, Minnesota 55802</w:t>
      </w:r>
    </w:p>
    <w:p>
      <w:pPr>
        <w:pStyle w:val="TextBody"/>
        <w:bidi w:val="0"/>
        <w:spacing w:lineRule="auto" w:line="32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$120,000,000 5.38% Senior Notes due March 25, 2030</w:t>
      </w:r>
    </w:p>
    <w:p>
      <w:pPr>
        <w:pStyle w:val="TextBody"/>
        <w:bidi w:val="0"/>
        <w:spacing w:lineRule="auto" w:line="324"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$30,000,000 5.82% Senior Notes due March 25, 2035</w:t>
      </w:r>
    </w:p>
    <w:p>
      <w:pPr>
        <w:pStyle w:val="TextBody"/>
        <w:bidi w:val="0"/>
        <w:spacing w:before="0" w:after="360"/>
        <w:jc w:val="center"/>
        <w:rPr/>
      </w:pPr>
      <w:r>
        <w:rPr/>
      </w:r>
    </w:p>
    <w:p>
      <w:pPr>
        <w:pStyle w:val="TextBody"/>
        <w:bidi w:val="0"/>
        <w:spacing w:lineRule="auto" w:line="324"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March 25, 2025</w:t>
      </w:r>
    </w:p>
    <w:p>
      <w:pPr>
        <w:pStyle w:val="TextBody"/>
        <w:bidi w:val="0"/>
        <w:spacing w:lineRule="auto" w:line="324"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 in</w:t>
        <w:br/>
        <w:t>Schedule A Hereto:</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ALLETE, Inc., a Minnesota corporation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agrees with each of the Purchasers as follows:</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1.Authorization of 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Company will authorize the issue and sale of (a) $120,000,000 aggregate principal amount of its 5.38% Senior Notes due March 25, 2030 (the </w:t>
      </w:r>
      <w:r>
        <w:rPr>
          <w:color w:val="000000"/>
        </w:rPr>
        <w:t>“</w:t>
      </w:r>
      <w:r>
        <w:rPr>
          <w:rFonts w:ascii="Times New Roman;sans-serif" w:hAnsi="Times New Roman;sans-serif"/>
          <w:b/>
          <w:color w:val="000000"/>
          <w:sz w:val="24"/>
        </w:rPr>
        <w:t>2030 Notes”</w:t>
      </w:r>
      <w:r>
        <w:rPr>
          <w:rFonts w:ascii="Times New Roman;sans-serif" w:hAnsi="Times New Roman;sans-serif"/>
          <w:b w:val="false"/>
          <w:color w:val="000000"/>
          <w:sz w:val="24"/>
        </w:rPr>
        <w:t xml:space="preserve">) and (b) $30,000,000 aggregate principal amount of its 5.82% Senior Notes due March 25, 2035 (the </w:t>
      </w:r>
      <w:r>
        <w:rPr>
          <w:color w:val="000000"/>
        </w:rPr>
        <w:t>“</w:t>
      </w:r>
      <w:r>
        <w:rPr>
          <w:rFonts w:ascii="Times New Roman;sans-serif" w:hAnsi="Times New Roman;sans-serif"/>
          <w:b/>
          <w:color w:val="000000"/>
          <w:sz w:val="24"/>
        </w:rPr>
        <w:t>2035 Notes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the 2030 Notes and the 2035 Notes are hereinafter collectively referred to as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The Notes shall be substantially in the form set out in Exhibit 1(a) and Exhibit 1(b), respectively, with such changes therefrom, if any, as may be approved by you and the Company. Certain capitalized and other terms used in this Agreement are defined in Schedule B and, for purposes of this Agreement, the rules of construction set forth in Section 22.4 shall govern.</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2.Sale and Purchase of Notes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Subject to the terms and conditions of this Agreement, the Company will issue and sell to each Purchaser and each Purchaser will purchase from the Company, at the Closing provided for in Section 3, Notes in the principal amount and of the series specified opposite such Purchaser’s name in Schedule A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3.Closing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sale and purchase of the Notes to be purchased by each Purchaser shall occur at the offices of Cohen Tauber Spievack &amp; Wagner P.C., 420 Lexington Avenue, Suite 2400, New York, New York 10170, at 10:00 a.m., New York time, at a closing (the </w:t>
      </w:r>
      <w:r>
        <w:rPr>
          <w:color w:val="000000"/>
        </w:rPr>
        <w:t>“</w:t>
      </w:r>
      <w:r>
        <w:rPr>
          <w:rFonts w:ascii="Times New Roman;sans-serif" w:hAnsi="Times New Roman;sans-serif"/>
          <w:b/>
          <w:color w:val="000000"/>
          <w:sz w:val="24"/>
        </w:rPr>
        <w:t>Closing”</w:t>
      </w:r>
      <w:r>
        <w:rPr>
          <w:rFonts w:ascii="Times New Roman;sans-serif" w:hAnsi="Times New Roman;sans-serif"/>
          <w:b w:val="false"/>
          <w:color w:val="000000"/>
          <w:sz w:val="24"/>
        </w:rPr>
        <w:t xml:space="preserve">) on March 25, 2025 or on such other Business Day thereafter as may be agreed upon by the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and the Purchasers. At the Closing, the Company will deliver to each Purchaser the Notes to be purchased by such Purchaser in the form of a single 2030 Note or 2035 Note, as the case may be (or such greater number of Notes in denominations of at least $100,000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for the account of the Company at Wells Fargo Bank, San Francisco, CA, ABA 121 000 248 for further credit to Minnesota Power Account 002-0000-364, Attn: Calla Gilbertson, 218-355-3686.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such failure by the Company to tender such Notes or any of the conditions specified in Section 4 not having been fulfilled to such Purchaser’s satisfaction. If at the Closing any Purchaser shall fail to purchase the Notes which it is obligated to purchase under this Agreement, the Company shall have the option (i) of terminating its obligation to sell any and all of the Notes of such series to all Purchasers and be relieved of all further obligations under this Agreement with respect to such series, or (ii) of terminating its obligation to sell any Notes of such series only to any such defaulting Purchaser and be relieved of all further obligations under this Agreement only with respect to any such defaulting Purchaser.</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4.Conditions to Closing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Purchaser’s obligation to purchase and pay for the Notes to be sold to such Purchaser at the Closing is subject to the fulfillment to such Purchaser’s satisfaction, prior to or at the Closing, of the following conditions:</w:t>
      </w:r>
    </w:p>
    <w:p>
      <w:pPr>
        <w:pStyle w:val="TextBody"/>
        <w:bidi w:val="0"/>
        <w:spacing w:lineRule="auto" w:line="288" w:before="0" w:after="240"/>
        <w:ind w:left="0" w:right="0" w:firstLine="720"/>
        <w:jc w:val="both"/>
        <w:rPr/>
      </w:pPr>
      <w:r>
        <w:rPr>
          <w:rFonts w:ascii="Times New Roman;sans-serif" w:hAnsi="Times New Roman;sans-serif"/>
          <w:b/>
          <w:color w:val="000000"/>
          <w:sz w:val="24"/>
        </w:rPr>
        <w:t xml:space="preserve">4.1.Representations and Warranties. </w:t>
      </w:r>
      <w:r>
        <w:rPr>
          <w:rFonts w:ascii="Times New Roman;sans-serif" w:hAnsi="Times New Roman;sans-serif"/>
          <w:b w:val="false"/>
          <w:color w:val="000000"/>
          <w:sz w:val="24"/>
        </w:rPr>
        <w:t>The representations and warranties of the Company in this Agreement shall be correct when made and at the Closing.</w:t>
      </w:r>
    </w:p>
    <w:p>
      <w:pPr>
        <w:pStyle w:val="TextBody"/>
        <w:bidi w:val="0"/>
        <w:spacing w:lineRule="auto" w:line="288" w:before="0" w:after="240"/>
        <w:ind w:left="0" w:right="0" w:firstLine="720"/>
        <w:jc w:val="both"/>
        <w:rPr/>
      </w:pPr>
      <w:r>
        <w:rPr>
          <w:rFonts w:ascii="Times New Roman;sans-serif" w:hAnsi="Times New Roman;sans-serif"/>
          <w:b/>
          <w:color w:val="000000"/>
          <w:sz w:val="24"/>
        </w:rPr>
        <w:t>4.2.Performance; No Default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The Company shall have 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Section 5.14), no Default or Event of Default shall have occurred and be continuing.</w:t>
      </w:r>
    </w:p>
    <w:p>
      <w:pPr>
        <w:pStyle w:val="TextBody"/>
        <w:bidi w:val="0"/>
        <w:spacing w:lineRule="auto" w:line="288" w:before="0" w:after="240"/>
        <w:ind w:left="0" w:right="0" w:firstLine="720"/>
        <w:jc w:val="both"/>
        <w:rPr/>
      </w:pPr>
      <w:r>
        <w:rPr>
          <w:rFonts w:ascii="Times New Roman;sans-serif" w:hAnsi="Times New Roman;sans-serif"/>
          <w:b/>
          <w:color w:val="000000"/>
          <w:sz w:val="24"/>
        </w:rPr>
        <w:t>4.3.Compliance Certificates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4.3.1.</w:t>
      </w:r>
      <w:r>
        <w:rPr>
          <w:rFonts w:ascii="Times New Roman;sans-serif" w:hAnsi="Times New Roman;sans-serif"/>
          <w:b w:val="false"/>
          <w:i/>
          <w:color w:val="000000"/>
          <w:sz w:val="24"/>
        </w:rPr>
        <w:t>Officer’s Certificate</w:t>
      </w:r>
      <w:r>
        <w:rPr>
          <w:rFonts w:ascii="Times New Roman;sans-serif" w:hAnsi="Times New Roman;sans-serif"/>
          <w:b w:val="false"/>
          <w:color w:val="000000"/>
          <w:sz w:val="24"/>
        </w:rPr>
        <w:t>. The Company shall have delivered to such Purchaser an Officer’s Certificate, dated the date of the Closing, certifying that the conditions specified in Sections 4.1, 4.2 and 4.9 have been fulfilled.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4.3.2.</w:t>
      </w:r>
      <w:r>
        <w:rPr>
          <w:rFonts w:ascii="Times New Roman;sans-serif" w:hAnsi="Times New Roman;sans-serif"/>
          <w:b w:val="false"/>
          <w:i/>
          <w:color w:val="000000"/>
          <w:sz w:val="24"/>
        </w:rPr>
        <w:t>Secretary’s Certificate</w:t>
      </w:r>
      <w:r>
        <w:rPr>
          <w:rFonts w:ascii="Times New Roman;sans-serif" w:hAnsi="Times New Roman;sans-serif"/>
          <w:b w:val="false"/>
          <w:color w:val="000000"/>
          <w:sz w:val="24"/>
        </w:rPr>
        <w:t xml:space="preserve">. The Company shall have delivered to such Purchaser a certificate of its Secretary or Assistant Secretary, dated the date of the Closing, certifying as to (i) the resolutions attached thereto and other corporate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proceedings relating to the authorization, execution and delivery of the Notes and this Agreement and (ii) the Company’s organizational documents as then in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4.4.Opinions of Counsel</w:t>
      </w:r>
      <w:r>
        <w:rPr>
          <w:rFonts w:ascii="Times New Roman;sans-serif" w:hAnsi="Times New Roman;sans-serif"/>
          <w:b w:val="false"/>
          <w:color w:val="000000"/>
          <w:sz w:val="24"/>
        </w:rPr>
        <w:t>. Such Purchaser shall have received opinions in form and substance satisfactory to such Purchaser, dated the date of the Closing (a) from the Vice President, Chief Legal Officer and Corporate Secretary of ALLETE, Inc., and Cohen Tauber Spievack &amp; Wagner P.C., counsel for the Company, covering the matters set forth in Exhibit 4.4(a) and 4.4(b), respectively,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Exhibit 4.4(c) and covering such other matters incident to such transactions as such Purchaser may reasonably request.</w:t>
      </w:r>
    </w:p>
    <w:p>
      <w:pPr>
        <w:pStyle w:val="TextBody"/>
        <w:bidi w:val="0"/>
        <w:spacing w:lineRule="auto" w:line="288" w:before="0" w:after="240"/>
        <w:ind w:left="0" w:right="0" w:firstLine="720"/>
        <w:jc w:val="both"/>
        <w:rPr/>
      </w:pPr>
      <w:r>
        <w:rPr>
          <w:rFonts w:ascii="Times New Roman;sans-serif" w:hAnsi="Times New Roman;sans-serif"/>
          <w:b/>
          <w:color w:val="000000"/>
          <w:sz w:val="24"/>
        </w:rPr>
        <w:t>4.5.Purchase Permitted By Applicable Law, Etc</w:t>
      </w:r>
      <w:r>
        <w:rPr>
          <w:rFonts w:ascii="Times New Roman;sans-serif" w:hAnsi="Times New Roman;sans-serif"/>
          <w:b w:val="false"/>
          <w:color w:val="000000"/>
          <w:sz w:val="24"/>
        </w:rPr>
        <w:t>.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w:t>
      </w:r>
    </w:p>
    <w:p>
      <w:pPr>
        <w:pStyle w:val="TextBody"/>
        <w:bidi w:val="0"/>
        <w:spacing w:lineRule="auto" w:line="288" w:before="0" w:after="240"/>
        <w:ind w:left="0" w:right="0" w:firstLine="720"/>
        <w:jc w:val="both"/>
        <w:rPr/>
      </w:pPr>
      <w:r>
        <w:rPr>
          <w:rFonts w:ascii="Times New Roman;sans-serif" w:hAnsi="Times New Roman;sans-serif"/>
          <w:b/>
          <w:color w:val="000000"/>
          <w:sz w:val="24"/>
        </w:rPr>
        <w:t>4.6.Sale of Other Notes</w:t>
      </w:r>
      <w:r>
        <w:rPr>
          <w:rFonts w:ascii="Times New Roman;sans-serif" w:hAnsi="Times New Roman;sans-serif"/>
          <w:b w:val="false"/>
          <w:color w:val="000000"/>
          <w:sz w:val="24"/>
        </w:rPr>
        <w:t>. Contemporaneously with the Closing the Company shall sell to each other Purchaser and each other Purchaser shall purchase the Notes to be purchased by it at the Closing as specified in Schedule A.</w:t>
      </w:r>
    </w:p>
    <w:p>
      <w:pPr>
        <w:pStyle w:val="TextBody"/>
        <w:bidi w:val="0"/>
        <w:spacing w:lineRule="auto" w:line="288" w:before="0" w:after="240"/>
        <w:ind w:left="0" w:right="0" w:firstLine="720"/>
        <w:jc w:val="both"/>
        <w:rPr/>
      </w:pPr>
      <w:r>
        <w:rPr>
          <w:rFonts w:ascii="Times New Roman;sans-serif" w:hAnsi="Times New Roman;sans-serif"/>
          <w:b/>
          <w:color w:val="000000"/>
          <w:sz w:val="24"/>
        </w:rPr>
        <w:t>4.7.Payment of Special Counsel Fees</w:t>
      </w:r>
      <w:r>
        <w:rPr>
          <w:rFonts w:ascii="Times New Roman;sans-serif" w:hAnsi="Times New Roman;sans-serif"/>
          <w:b w:val="false"/>
          <w:color w:val="000000"/>
          <w:sz w:val="24"/>
        </w:rPr>
        <w:t>. Without limiting Section 15.1, the Company shall have paid on or before the Closing the fees, charges and disbursements of the Purchasers’ special counsel referred to in Section 4.4 to the extent reflected in a statement of such counsel rendered to the Company at least one Business Day prior to the date of the Closing.</w:t>
      </w:r>
    </w:p>
    <w:p>
      <w:pPr>
        <w:pStyle w:val="TextBody"/>
        <w:bidi w:val="0"/>
        <w:spacing w:lineRule="auto" w:line="288" w:before="0" w:after="240"/>
        <w:ind w:left="0" w:right="0" w:firstLine="720"/>
        <w:jc w:val="both"/>
        <w:rPr/>
      </w:pPr>
      <w:r>
        <w:rPr>
          <w:rFonts w:ascii="Times New Roman;sans-serif" w:hAnsi="Times New Roman;sans-serif"/>
          <w:b/>
          <w:color w:val="000000"/>
          <w:sz w:val="24"/>
        </w:rPr>
        <w:t>4.8.Private Placement Number</w:t>
      </w:r>
      <w:r>
        <w:rPr>
          <w:rFonts w:ascii="Times New Roman;sans-serif" w:hAnsi="Times New Roman;sans-serif"/>
          <w:b w:val="false"/>
          <w:color w:val="000000"/>
          <w:sz w:val="24"/>
        </w:rPr>
        <w:t>. A Private Placement Number issued by PPN CUSIP Unit of CUSIP Global Services (in cooperation with the SVO) shall have been obtained for each series of the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4.9.Changes in Corporate Structure</w:t>
      </w:r>
      <w:r>
        <w:rPr>
          <w:rFonts w:ascii="Times New Roman;sans-serif" w:hAnsi="Times New Roman;sans-serif"/>
          <w:b w:val="false"/>
          <w:color w:val="000000"/>
          <w:sz w:val="24"/>
        </w:rPr>
        <w:t xml:space="preserv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referred to in Section 5.5. </w:t>
      </w:r>
    </w:p>
    <w:p>
      <w:pPr>
        <w:pStyle w:val="TextBody"/>
        <w:bidi w:val="0"/>
        <w:spacing w:lineRule="auto" w:line="288" w:before="0" w:after="240"/>
        <w:ind w:left="0" w:right="0" w:firstLine="720"/>
        <w:jc w:val="both"/>
        <w:rPr/>
      </w:pPr>
      <w:r>
        <w:rPr>
          <w:rFonts w:ascii="Times New Roman;sans-serif" w:hAnsi="Times New Roman;sans-serif"/>
          <w:b/>
          <w:color w:val="000000"/>
          <w:sz w:val="24"/>
        </w:rPr>
        <w:t>4.10.</w:t>
      </w:r>
      <w:r>
        <w:rPr>
          <w:rFonts w:ascii="Times New Roman;sans-serif" w:hAnsi="Times New Roman;sans-serif"/>
          <w:b/>
          <w:color w:val="000000"/>
          <w:sz w:val="24"/>
        </w:rPr>
        <w:t>Funding Instructions</w:t>
      </w:r>
      <w:r>
        <w:rPr>
          <w:rFonts w:ascii="Times New Roman;sans-serif" w:hAnsi="Times New Roman;sans-serif"/>
          <w:b w:val="false"/>
          <w:color w:val="000000"/>
          <w:sz w:val="24"/>
        </w:rPr>
        <w:t xml:space="preserve">. At least three Business Days prior to the date of the Closing, each Purchaser shall have received written instructions signed by a Responsible Officer on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letterhead of the Company confirming the information specified in Section 3 including (i) the name and address of the transferee bank, (ii) such transferee bank’s ABA number and (iii) the account name and number into which the purchase price for the Notes is to be deposited.</w:t>
      </w:r>
    </w:p>
    <w:p>
      <w:pPr>
        <w:pStyle w:val="TextBody"/>
        <w:bidi w:val="0"/>
        <w:spacing w:lineRule="auto" w:line="288" w:before="0" w:after="240"/>
        <w:ind w:left="0" w:right="0" w:firstLine="720"/>
        <w:jc w:val="both"/>
        <w:rPr/>
      </w:pPr>
      <w:r>
        <w:rPr>
          <w:rFonts w:ascii="Times New Roman;sans-serif" w:hAnsi="Times New Roman;sans-serif"/>
          <w:b/>
          <w:color w:val="000000"/>
          <w:sz w:val="24"/>
        </w:rPr>
        <w:t>4.11.</w:t>
      </w:r>
      <w:r>
        <w:rPr>
          <w:rFonts w:ascii="Times New Roman;sans-serif" w:hAnsi="Times New Roman;sans-serif"/>
          <w:b/>
          <w:color w:val="000000"/>
          <w:sz w:val="24"/>
        </w:rPr>
        <w:t>Proceedings and Documents</w:t>
      </w:r>
      <w:r>
        <w:rPr>
          <w:rFonts w:ascii="Times New Roman;sans-serif" w:hAnsi="Times New Roman;sans-serif"/>
          <w:b w:val="false"/>
          <w:color w:val="000000"/>
          <w:sz w:val="24"/>
        </w:rPr>
        <w:t xml:space="preserve">.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 </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5.Representations and Warranties of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represents and warrants to each Purchaser that:</w:t>
      </w:r>
    </w:p>
    <w:p>
      <w:pPr>
        <w:pStyle w:val="TextBody"/>
        <w:bidi w:val="0"/>
        <w:spacing w:lineRule="auto" w:line="288" w:before="0" w:after="240"/>
        <w:ind w:left="0" w:right="0" w:firstLine="720"/>
        <w:jc w:val="both"/>
        <w:rPr/>
      </w:pPr>
      <w:r>
        <w:rPr>
          <w:rFonts w:ascii="Times New Roman;sans-serif" w:hAnsi="Times New Roman;sans-serif"/>
          <w:b/>
          <w:color w:val="000000"/>
          <w:sz w:val="24"/>
        </w:rPr>
        <w:t>5.1.Organization; Power and Authority</w:t>
      </w:r>
      <w:r>
        <w:rPr>
          <w:rFonts w:ascii="Times New Roman;sans-serif" w:hAnsi="Times New Roman;sans-serif"/>
          <w:b w:val="false"/>
          <w:color w:val="000000"/>
          <w:sz w:val="24"/>
        </w:rPr>
        <w:t>.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The Company has the corporate power and authority to own or hold under lease the properties it purports to own or hold under lease, to transact the business it transacts and proposes to transact, to execute and deliver this Agreement and the Notes and to perform the provisions hereof and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5.2.Authorization, Etc</w:t>
      </w:r>
      <w:r>
        <w:rPr>
          <w:rFonts w:ascii="Times New Roman;sans-serif" w:hAnsi="Times New Roman;sans-serif"/>
          <w:b w:val="false"/>
          <w:color w:val="000000"/>
          <w:sz w:val="24"/>
        </w:rPr>
        <w:t>.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w:t>
      </w:r>
    </w:p>
    <w:p>
      <w:pPr>
        <w:pStyle w:val="TextBody"/>
        <w:bidi w:val="0"/>
        <w:spacing w:lineRule="auto" w:line="288" w:before="0" w:after="240"/>
        <w:ind w:left="0" w:right="0" w:firstLine="720"/>
        <w:jc w:val="both"/>
        <w:rPr/>
      </w:pPr>
      <w:r>
        <w:rPr>
          <w:rFonts w:ascii="Times New Roman;sans-serif" w:hAnsi="Times New Roman;sans-serif"/>
          <w:b/>
          <w:color w:val="000000"/>
          <w:sz w:val="24"/>
        </w:rPr>
        <w:t>5.3.Disclosure</w:t>
      </w:r>
      <w:r>
        <w:rPr>
          <w:rFonts w:ascii="Times New Roman;sans-serif" w:hAnsi="Times New Roman;sans-serif"/>
          <w:b w:val="false"/>
          <w:color w:val="000000"/>
          <w:sz w:val="24"/>
        </w:rPr>
        <w:t>. The Company, through its public filings, has made available to each Purchaser a copy of the Company’s Annual Report on Form 10-K for the year ended December 31, 2024, a copy of the Company’s Current Report on Form 8-K filed with the SEC on March 11, 2025, and a copy of the Company’s Current Report on Form 8-K/A filed with the SEC on March 14, 2025, each of which has also been filed with the SEC under the Exchange Act (collectively, the “</w:t>
      </w:r>
      <w:r>
        <w:rPr>
          <w:rFonts w:ascii="Times New Roman;sans-serif" w:hAnsi="Times New Roman;sans-serif"/>
          <w:b/>
          <w:color w:val="000000"/>
          <w:sz w:val="24"/>
        </w:rPr>
        <w:t>Disclosure Documents</w:t>
      </w:r>
      <w:r>
        <w:rPr>
          <w:color w:val="000000"/>
        </w:rPr>
        <w:t>”</w:t>
      </w:r>
      <w:r>
        <w:rPr>
          <w:rFonts w:ascii="Times New Roman;sans-serif" w:hAnsi="Times New Roman;sans-serif"/>
          <w:b w:val="false"/>
          <w:color w:val="000000"/>
          <w:sz w:val="24"/>
        </w:rPr>
        <w:t xml:space="preserve">). The Disclosure Documents fairly describe, in all material respects and as of their respective dates, the general nature of the business and principal properties of the Company and its Subsidiaries. The Disclosure Documents do not contain, as of their respective dates, any untrue statement of a material fact or omit to state any material fact necessary to make the statements therein not misleading in light of the circumstances under which they were made. Except as disclosed in the Disclosure Documents or on Schedule 5.3, since December 31, 2024, there has been no change in the financial condition, operations, business or properties of the Company or any Subsidiary except changes that individually or in the aggregate could not reasonably be expected to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have a Material Adverse Effect. There is no fact known to the Company that could reasonably be expected to have a Material Adverse Effect that has not been set forth herein, in the Disclosure Documents or on Schedule 5.3.</w:t>
      </w:r>
    </w:p>
    <w:p>
      <w:pPr>
        <w:pStyle w:val="TextBody"/>
        <w:bidi w:val="0"/>
        <w:spacing w:lineRule="auto" w:line="288" w:before="0" w:after="240"/>
        <w:ind w:left="0" w:right="0" w:firstLine="720"/>
        <w:jc w:val="both"/>
        <w:rPr/>
      </w:pPr>
      <w:r>
        <w:rPr>
          <w:rFonts w:ascii="Times New Roman;sans-serif" w:hAnsi="Times New Roman;sans-serif"/>
          <w:b/>
          <w:color w:val="000000"/>
          <w:sz w:val="24"/>
        </w:rPr>
        <w:t>5.4.Organization and Ownership of Shares of Subsidiaries; Affiliates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5.4.1.Schedule 5.4 contains a complete and correct legal organization chart which lists the Company’s active Subsidiaries. As to each Subsidiary, all of the shares of each class of its capital stock or similar equity interests outstanding is owned, directly or indirectly, by the Company, except as noted therein.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5.4.2.All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5.4.3.Each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could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5.4.4.No Significant Subsidiary nor Superior Water, Light and Power Company (“</w:t>
      </w:r>
      <w:r>
        <w:rPr>
          <w:rFonts w:ascii="Times New Roman;sans-serif" w:hAnsi="Times New Roman;sans-serif"/>
          <w:b/>
          <w:color w:val="000000"/>
          <w:sz w:val="24"/>
        </w:rPr>
        <w:t>SWL&amp;P</w:t>
      </w:r>
      <w:r>
        <w:rPr>
          <w:color w:val="000000"/>
        </w:rPr>
        <w:t>”</w:t>
      </w:r>
      <w:r>
        <w:rPr>
          <w:rFonts w:ascii="Times New Roman;sans-serif" w:hAnsi="Times New Roman;sans-serif"/>
          <w:b w:val="false"/>
          <w:color w:val="000000"/>
          <w:sz w:val="24"/>
        </w:rPr>
        <w:t>) is a party to, or otherwise subject to any legal, regulatory, contractual or other restriction (other than this Agreement, the agreements listed on Schedule 5.4 and customary limitations imposed by corporate law, the Federal Power Act or similar statutes) restricting the ability of such Significant Subsidiary or SWL&amp;P to pay dividends out of profits or make any other similar distributions of profits to the Company or any of its Subsidiaries that owns outstanding shares of capital stock or similar equity interests of such Significant Subsidiary or SWL&amp;P.</w:t>
      </w:r>
    </w:p>
    <w:p>
      <w:pPr>
        <w:pStyle w:val="TextBody"/>
        <w:bidi w:val="0"/>
        <w:spacing w:lineRule="auto" w:line="288" w:before="0" w:after="240"/>
        <w:ind w:left="0" w:right="0" w:firstLine="720"/>
        <w:jc w:val="both"/>
        <w:rPr/>
      </w:pPr>
      <w:r>
        <w:rPr>
          <w:rFonts w:ascii="Times New Roman;sans-serif" w:hAnsi="Times New Roman;sans-serif"/>
          <w:b/>
          <w:color w:val="000000"/>
          <w:sz w:val="24"/>
        </w:rPr>
        <w:t>5.5.Financial Statements; Material Liabilities</w:t>
      </w:r>
      <w:r>
        <w:rPr>
          <w:rFonts w:ascii="Times New Roman;sans-serif" w:hAnsi="Times New Roman;sans-serif"/>
          <w:b w:val="false"/>
          <w:color w:val="000000"/>
          <w:sz w:val="24"/>
        </w:rPr>
        <w:t>. The financial statements included in the Disclosure Documents (including the schedules and notes) fairly present in all material respects the consolidated financial position of the Company and its Subsidiaries as of the respective dates specified in such financial statements and the consolidated results of their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on such financial statements or otherwise disclosed in the Disclosure Documents.</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5.6.Compliance with Laws, Other Instruments, Etc</w:t>
      </w:r>
      <w:r>
        <w:rPr>
          <w:rFonts w:ascii="Times New Roman;sans-serif" w:hAnsi="Times New Roman;sans-serif"/>
          <w:b w:val="false"/>
          <w:color w:val="000000"/>
          <w:sz w:val="24"/>
        </w:rPr>
        <w:t xml:space="preserve">. 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regulations or by-laws, shareholders agreement or any other Material agreement or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Significant Subsidiary or (iii) violate any provision of any statute or other rule or regulation of any Governmental Authority applicable to the Company or any Significant Subsidiary. </w:t>
      </w:r>
    </w:p>
    <w:p>
      <w:pPr>
        <w:pStyle w:val="TextBody"/>
        <w:bidi w:val="0"/>
        <w:spacing w:lineRule="auto" w:line="288" w:before="0" w:after="240"/>
        <w:ind w:left="0" w:right="0" w:firstLine="720"/>
        <w:jc w:val="both"/>
        <w:rPr/>
      </w:pPr>
      <w:r>
        <w:rPr>
          <w:rFonts w:ascii="Times New Roman;sans-serif" w:hAnsi="Times New Roman;sans-serif"/>
          <w:b/>
          <w:color w:val="000000"/>
          <w:sz w:val="24"/>
        </w:rPr>
        <w:t>5.7.Governmental Authorizations, Etc</w:t>
      </w:r>
      <w:r>
        <w:rPr>
          <w:rFonts w:ascii="Times New Roman;sans-serif" w:hAnsi="Times New Roman;sans-serif"/>
          <w:b w:val="false"/>
          <w:color w:val="000000"/>
          <w:sz w:val="24"/>
        </w:rPr>
        <w:t>. No consent, approval or authorization of, or registration, filing or declaration with, any Governmental Authority is required in connection with the execution, delivery or performance by the Company of this Agreement or the Notes other than such which have been obtained or made and which shall be in full force and effect at the Closing.</w:t>
      </w:r>
    </w:p>
    <w:p>
      <w:pPr>
        <w:pStyle w:val="TextBody"/>
        <w:bidi w:val="0"/>
        <w:spacing w:lineRule="auto" w:line="288" w:before="0" w:after="240"/>
        <w:ind w:left="0" w:right="0" w:firstLine="720"/>
        <w:jc w:val="both"/>
        <w:rPr/>
      </w:pPr>
      <w:r>
        <w:rPr>
          <w:rFonts w:ascii="Times New Roman;sans-serif" w:hAnsi="Times New Roman;sans-serif"/>
          <w:b/>
          <w:color w:val="000000"/>
          <w:sz w:val="24"/>
        </w:rPr>
        <w:t>5.8.Litigation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5.8.1.Except as described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which, if adversely determined, would individually or in the aggregate, reasonably be expected to have a Material Adverse Effect.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5.8.2.Neither the Company nor any Subsidiary is (i) in violation of any order, judgment, decree or ruling of any court, any arbitrator of any kind or any Governmental Authority or (ii) in violation of any applicable law, ordinance, rule or regulation of any Governmental Authority (including Environmental Laws, the USA Patriot Act or any of the other laws or regulations referred to in Section 5.16), which violation would, individually or in the aggregate,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5.9.Taxes</w:t>
      </w:r>
      <w:r>
        <w:rPr>
          <w:rFonts w:ascii="Times New Roman;sans-serif" w:hAnsi="Times New Roman;sans-serif"/>
          <w:b w:val="false"/>
          <w:color w:val="000000"/>
          <w:sz w:val="24"/>
        </w:rPr>
        <w:t>. The Company and its Subsidiaries have filed all tax returns that are required to have been filed in any jurisdiction, and have paid all taxes shown to be due and payable on such returns and all other taxes and assessments levied upon them or their properties, assets, income or franchises, to the extent such taxes and assessments have become due and payable and before they have become delinquent, except for any taxes and assessments (i) the amount of which, individually or in the aggregate, is not Material or (ii) the amount, applicability or validity of which is currently being contested in good faith by appropriate proceedings and with respect to which the Company or a Subsidiary, as the case may be, has established adequate reserves in accordance with GAAP.</w:t>
      </w:r>
    </w:p>
    <w:p>
      <w:pPr>
        <w:pStyle w:val="TextBody"/>
        <w:bidi w:val="0"/>
        <w:spacing w:lineRule="auto" w:line="288" w:before="0" w:after="240"/>
        <w:ind w:left="0" w:right="0" w:firstLine="720"/>
        <w:jc w:val="both"/>
        <w:rPr/>
      </w:pPr>
      <w:r>
        <w:rPr>
          <w:rFonts w:ascii="Times New Roman;sans-serif" w:hAnsi="Times New Roman;sans-serif"/>
          <w:b/>
          <w:color w:val="000000"/>
          <w:sz w:val="24"/>
        </w:rPr>
        <w:t>5.10.</w:t>
      </w:r>
      <w:r>
        <w:rPr>
          <w:rFonts w:ascii="Times New Roman;sans-serif" w:hAnsi="Times New Roman;sans-serif"/>
          <w:b/>
          <w:color w:val="000000"/>
          <w:sz w:val="24"/>
        </w:rPr>
        <w:t>Title to Property; Leases</w:t>
      </w:r>
      <w:r>
        <w:rPr>
          <w:rFonts w:ascii="Times New Roman;sans-serif" w:hAnsi="Times New Roman;sans-serif"/>
          <w:b w:val="false"/>
          <w:color w:val="000000"/>
          <w:sz w:val="24"/>
        </w:rPr>
        <w:t xml:space="preserve">. The Company and its Subsidiaries have good and sufficient title to their respective properties that individually or in the aggregate are Material,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including all such properties reflected in the most recent audited balance sheet referred to in Section 5.5 or purported to have been acquired by the Company or any Subsidiary after such date (except as sold or otherwise disposed of in the ordinary course of business), in each case free and clear of Liens prohibited by this Agreement. All leases that individually or in the aggregate are Material are valid and subsisting and are in full force and effect in all material respects. </w:t>
      </w:r>
    </w:p>
    <w:p>
      <w:pPr>
        <w:pStyle w:val="TextBody"/>
        <w:bidi w:val="0"/>
        <w:spacing w:lineRule="auto" w:line="288" w:before="0" w:after="240"/>
        <w:ind w:left="0" w:right="0" w:firstLine="720"/>
        <w:jc w:val="both"/>
        <w:rPr/>
      </w:pPr>
      <w:r>
        <w:rPr>
          <w:rFonts w:ascii="Times New Roman;sans-serif" w:hAnsi="Times New Roman;sans-serif"/>
          <w:b/>
          <w:color w:val="000000"/>
          <w:sz w:val="24"/>
        </w:rPr>
        <w:t>5.11.</w:t>
      </w:r>
      <w:r>
        <w:rPr>
          <w:rFonts w:ascii="Times New Roman;sans-serif" w:hAnsi="Times New Roman;sans-serif"/>
          <w:b/>
          <w:color w:val="000000"/>
          <w:sz w:val="24"/>
        </w:rPr>
        <w:t>Licenses, Permits, Etc</w:t>
      </w:r>
      <w:r>
        <w:rPr>
          <w:rFonts w:ascii="Times New Roman;sans-serif" w:hAnsi="Times New Roman;sans-serif"/>
          <w:b w:val="false"/>
          <w:color w:val="000000"/>
          <w:sz w:val="24"/>
        </w:rPr>
        <w:t>. Except as set forth or contemplated in the Disclosure Documents,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w:t>
      </w:r>
    </w:p>
    <w:p>
      <w:pPr>
        <w:pStyle w:val="TextBody"/>
        <w:bidi w:val="0"/>
        <w:spacing w:lineRule="auto" w:line="288" w:before="0" w:after="240"/>
        <w:ind w:left="0" w:right="0" w:firstLine="720"/>
        <w:jc w:val="both"/>
        <w:rPr/>
      </w:pPr>
      <w:r>
        <w:rPr>
          <w:rFonts w:ascii="Times New Roman;sans-serif" w:hAnsi="Times New Roman;sans-serif"/>
          <w:b/>
          <w:color w:val="000000"/>
          <w:sz w:val="24"/>
        </w:rPr>
        <w:t>5.12.</w:t>
      </w:r>
      <w:r>
        <w:rPr>
          <w:rFonts w:ascii="Times New Roman;sans-serif" w:hAnsi="Times New Roman;sans-serif"/>
          <w:b/>
          <w:color w:val="000000"/>
          <w:sz w:val="24"/>
        </w:rPr>
        <w:t>Compliance with Employee Benefit Plans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5.12.1.The Company and each ERISA Affiliate have operated and administered each Plan in compliance with all applicable laws except for such instances of noncompliance as have not resulted in and could not, individually or in the aggregate,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could,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be individually or in the aggregate Material.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5.12.2.The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$51,892,441 in the case of any single Plan and by more than $13,589,246 in the aggregate for all Plans.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5.12.3.The Company and its ERISA Affiliates have not incurred withdrawal liabilities (and are not subject to contingent withdrawal liabilities) under section 4201 or 4204 of ERISA in respect of Multiemployer Plans that individually or in the aggregate are Material.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5.12.4.The expected postretirement benefit obligation (determined as of the last day of the Company’s most recently ended fiscal year in accordance with Financial Accounting Standards Board Accounting Standards Codification Topic 715-60, without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regard to liabilities attributable to continuation coverage mandated by section 4980B of the Code) of the Company and its Subsidiaries is approximately $713,227,928. A substantial portion of the annual postretirement benefit costs recognized by the Company’s regulated companies are recovered through rates filed with the Company’s regulatory jurisdictions, as more fully described in Note 12 to the Consolidated Financial Statements in the Company’s Annual Report on Form 10-K for the year ended December 31, 2024.</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5.12.5.The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5.12.6.The Company and its Subsidiaries do not have any Non-U.S. Plans.</w:t>
      </w:r>
    </w:p>
    <w:p>
      <w:pPr>
        <w:pStyle w:val="TextBody"/>
        <w:bidi w:val="0"/>
        <w:spacing w:lineRule="auto" w:line="288" w:before="0" w:after="240"/>
        <w:ind w:left="0" w:right="0" w:firstLine="720"/>
        <w:jc w:val="both"/>
        <w:rPr/>
      </w:pPr>
      <w:r>
        <w:rPr>
          <w:rFonts w:ascii="Times New Roman;sans-serif" w:hAnsi="Times New Roman;sans-serif"/>
          <w:b/>
          <w:color w:val="000000"/>
          <w:sz w:val="24"/>
        </w:rPr>
        <w:t>5.13.</w:t>
      </w:r>
      <w:r>
        <w:rPr>
          <w:rFonts w:ascii="Times New Roman;sans-serif" w:hAnsi="Times New Roman;sans-serif"/>
          <w:b/>
          <w:color w:val="000000"/>
          <w:sz w:val="24"/>
        </w:rPr>
        <w:t>Private Offering by the Company</w:t>
      </w:r>
      <w:r>
        <w:rPr>
          <w:rFonts w:ascii="Times New Roman;sans-serif" w:hAnsi="Times New Roman;sans-serif"/>
          <w:b w:val="false"/>
          <w:color w:val="000000"/>
          <w:sz w:val="24"/>
        </w:rPr>
        <w:t>. Neither the Company nor anyone acting on its behalf has offered the Notes or any similar Securities for sale to, or solicited any offer to buy the Notes or any similar Securities from, or otherwise approached or negotiated in respect thereof with, any Person other than the Purchasers and not more than 35 other Institutional Investors,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w:t>
      </w:r>
    </w:p>
    <w:p>
      <w:pPr>
        <w:pStyle w:val="TextBody"/>
        <w:bidi w:val="0"/>
        <w:spacing w:lineRule="auto" w:line="288" w:before="0" w:after="240"/>
        <w:ind w:left="0" w:right="0" w:firstLine="720"/>
        <w:jc w:val="both"/>
        <w:rPr/>
      </w:pPr>
      <w:r>
        <w:rPr>
          <w:rFonts w:ascii="Times New Roman;sans-serif" w:hAnsi="Times New Roman;sans-serif"/>
          <w:b/>
          <w:color w:val="000000"/>
          <w:sz w:val="24"/>
        </w:rPr>
        <w:t>5.14.</w:t>
      </w:r>
      <w:r>
        <w:rPr>
          <w:rFonts w:ascii="Times New Roman;sans-serif" w:hAnsi="Times New Roman;sans-serif"/>
          <w:b/>
          <w:color w:val="000000"/>
          <w:sz w:val="24"/>
        </w:rPr>
        <w:t>Use of Proceeds; Margin Regulations</w:t>
      </w:r>
      <w:r>
        <w:rPr>
          <w:rFonts w:ascii="Times New Roman;sans-serif" w:hAnsi="Times New Roman;sans-serif"/>
          <w:b w:val="false"/>
          <w:color w:val="000000"/>
          <w:sz w:val="24"/>
        </w:rPr>
        <w:t xml:space="preserve">. The Company will apply the proceeds of the sale of the Notes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20 % of the value of the consolidated assets of the Company and its Subsidiaries and the Company does not have any present intention that margin stock will constitute more than 20% of the value of such assets. As used in this Section, the terms </w:t>
      </w:r>
      <w:r>
        <w:rPr>
          <w:color w:val="000000"/>
        </w:rPr>
        <w:t>“</w:t>
      </w:r>
      <w:r>
        <w:rPr>
          <w:rFonts w:ascii="Times New Roman;sans-serif" w:hAnsi="Times New Roman;sans-serif"/>
          <w:b/>
          <w:color w:val="000000"/>
          <w:sz w:val="24"/>
        </w:rPr>
        <w:t>margin stock”</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purpose of buying or carrying”</w:t>
      </w:r>
      <w:r>
        <w:rPr>
          <w:color w:val="000000"/>
        </w:rPr>
        <w:t xml:space="preserve"> </w:t>
      </w:r>
      <w:r>
        <w:rPr>
          <w:rFonts w:ascii="Times New Roman;sans-serif" w:hAnsi="Times New Roman;sans-serif"/>
          <w:b w:val="false"/>
          <w:color w:val="000000"/>
          <w:sz w:val="24"/>
        </w:rPr>
        <w:t>shall have the meanings assigned to them in said Regulation U.</w:t>
      </w:r>
    </w:p>
    <w:p>
      <w:pPr>
        <w:pStyle w:val="TextBody"/>
        <w:bidi w:val="0"/>
        <w:spacing w:lineRule="auto" w:line="288" w:before="0" w:after="240"/>
        <w:ind w:left="0" w:right="0" w:firstLine="720"/>
        <w:jc w:val="both"/>
        <w:rPr/>
      </w:pPr>
      <w:r>
        <w:rPr>
          <w:rFonts w:ascii="Times New Roman;sans-serif" w:hAnsi="Times New Roman;sans-serif"/>
          <w:b/>
          <w:color w:val="000000"/>
          <w:sz w:val="24"/>
        </w:rPr>
        <w:t>5.15.</w:t>
      </w:r>
      <w:r>
        <w:rPr>
          <w:rFonts w:ascii="Times New Roman;sans-serif" w:hAnsi="Times New Roman;sans-serif"/>
          <w:b/>
          <w:color w:val="000000"/>
          <w:sz w:val="24"/>
        </w:rPr>
        <w:t>Existing Indebtedness; Future Liens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5.15.1.Except as described therein, Schedule 5.15 sets forth a complete and correct list of all outstanding Indebtedness that is Material of the Company and its Significant Subsidiaries as of December 31, 2024, since which date there has been no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Material change in the amounts, interest rates, sinking funds, installment payments or maturities of the Indebtedness of the Company or its Significant Subsidiaries. Neither the Company nor any Significant Subsidiary is in default and no waiver of default is currently in effect, in the payment of any principal or interest on any such Indebtedness and no event or condition exists with respect to such Indebtedness that would permit (or that with notice or the lapse of time, or both, would permit) one or more Persons to cause such Indebtedness to become due and payable before its stated maturity or before its regularly scheduled dates of payment.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5.15.2.Except as disclosed in Schedule 5.15, neither the Company nor any Significant Subsidiary has agreed or consented to cause or permit in the future (upon the happening of a contingency or otherwise) any of its property, whether now owned or hereafter acquired, to be subject to a Lien not permitted by Section 10.4.</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5.15.3.Neither the Company nor any Subsidiary is a party to, or otherwise subject to any provision contained in, any instrument evidencing Indebtedness that is Material of the Company or such Subsidiary, any agreement relating thereto or any other agreement (including its charter or any other organizational document) which limits the amount of, or otherwise imposes restrictions on the incurring of, Indebtedness of the Company, except as specifically indicated in Schedule 5.15.</w:t>
      </w:r>
    </w:p>
    <w:p>
      <w:pPr>
        <w:pStyle w:val="TextBody"/>
        <w:bidi w:val="0"/>
        <w:spacing w:lineRule="auto" w:line="288" w:before="0" w:after="240"/>
        <w:ind w:left="0" w:right="0" w:firstLine="720"/>
        <w:jc w:val="both"/>
        <w:rPr/>
      </w:pPr>
      <w:r>
        <w:rPr>
          <w:rFonts w:ascii="Times New Roman;sans-serif" w:hAnsi="Times New Roman;sans-serif"/>
          <w:b/>
          <w:color w:val="000000"/>
          <w:sz w:val="24"/>
        </w:rPr>
        <w:t>5.16.</w:t>
      </w:r>
      <w:r>
        <w:rPr>
          <w:rFonts w:ascii="Times New Roman;sans-serif" w:hAnsi="Times New Roman;sans-serif"/>
          <w:b/>
          <w:color w:val="000000"/>
          <w:sz w:val="24"/>
        </w:rPr>
        <w:t>Foreign Assets Control Regulations, Etc</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5.16.1.Neither the Company nor any Controlled Entity (i) is a Blocked Person, (ii) has been notified that its name appears or may in the future appear on a State Sanctions List or (iii) is a target of sanctions that have been imposed by the United Nations or the European Union.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5.16.2.Neither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 </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No part of the proceeds from the sale of the Notes hereunder:</w: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(i)    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w: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(ii)    will be used, directly or indirectly, in violation of, or cause any Purchaser to be in violation of, any applicable Anti-Money Laundering Laws; or</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280" w:after="283"/>
        <w:ind w:left="0" w:right="0" w:firstLine="540"/>
        <w:jc w:val="both"/>
        <w:rPr>
          <w:color w:val="000000"/>
        </w:rPr>
      </w:pPr>
      <w:r>
        <w:rPr>
          <w:color w:val="000000"/>
        </w:rPr>
        <w:t>        </w:t>
      </w:r>
      <w:r>
        <w:rPr>
          <w:rFonts w:ascii="Times New Roman;sans-serif" w:hAnsi="Times New Roman;sans-serif"/>
          <w:b w:val="false"/>
          <w:color w:val="000000"/>
          <w:sz w:val="24"/>
        </w:rPr>
        <w:t>(iii)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5.16.3.</w:t>
      </w:r>
    </w:p>
    <w:p>
      <w:pPr>
        <w:pStyle w:val="TextBody"/>
        <w:bidi w:val="0"/>
        <w:spacing w:lineRule="auto" w:line="288" w:before="0" w:after="240"/>
        <w:ind w:left="0" w:right="0" w:firstLine="720"/>
        <w:jc w:val="both"/>
        <w:rPr/>
      </w:pPr>
      <w:r>
        <w:rPr>
          <w:rFonts w:ascii="Times New Roman;sans-serif" w:hAnsi="Times New Roman;sans-serif"/>
          <w:b/>
          <w:color w:val="000000"/>
          <w:sz w:val="24"/>
        </w:rPr>
        <w:t>5.17.</w:t>
      </w:r>
      <w:r>
        <w:rPr>
          <w:rFonts w:ascii="Times New Roman;sans-serif" w:hAnsi="Times New Roman;sans-serif"/>
          <w:b/>
          <w:color w:val="000000"/>
          <w:sz w:val="24"/>
        </w:rPr>
        <w:t>Status under Investment Company Act and ICC Termination Act</w:t>
      </w:r>
      <w:r>
        <w:rPr>
          <w:rFonts w:ascii="Times New Roman;sans-serif" w:hAnsi="Times New Roman;sans-serif"/>
          <w:b w:val="false"/>
          <w:color w:val="000000"/>
          <w:sz w:val="24"/>
        </w:rPr>
        <w:t>. Neither the Company nor any Subsidiary is subject to regulation under the Investment Company Act of 1940, as amended, or the ICC Termination Act of 1995, as amended.</w:t>
      </w:r>
    </w:p>
    <w:p>
      <w:pPr>
        <w:pStyle w:val="TextBody"/>
        <w:bidi w:val="0"/>
        <w:spacing w:lineRule="auto" w:line="288" w:before="0" w:after="0"/>
        <w:ind w:left="0" w:right="0" w:firstLine="720"/>
        <w:jc w:val="both"/>
        <w:rPr/>
      </w:pPr>
      <w:r>
        <w:rPr>
          <w:rFonts w:ascii="Times New Roman;sans-serif" w:hAnsi="Times New Roman;sans-serif"/>
          <w:b/>
          <w:color w:val="000000"/>
          <w:sz w:val="24"/>
        </w:rPr>
        <w:t>5.18.</w:t>
      </w:r>
      <w:r>
        <w:rPr>
          <w:rFonts w:ascii="Times New Roman;sans-serif" w:hAnsi="Times New Roman;sans-serif"/>
          <w:b/>
          <w:color w:val="000000"/>
          <w:sz w:val="24"/>
        </w:rPr>
        <w:t>Environmental Matters</w:t>
      </w:r>
      <w:r>
        <w:rPr>
          <w:rFonts w:ascii="Times New Roman;sans-serif" w:hAnsi="Times New Roman;sans-serif"/>
          <w:b w:val="false"/>
          <w:color w:val="000000"/>
          <w:sz w:val="24"/>
        </w:rPr>
        <w:t>. Except as disclosed in the Disclosure Documents, the Company and its Subsidiaries (i) are in compliance with all Environmental Laws, (ii) have received all permits, licenses or other approvals required of them under applicable Environmental Laws to conduct their respective businesses, and (iii) are in compliance with all terms and conditions of any such permit, license or approval; except, in each case, such as could not reasonably be expected to result in a Material Adverse Effect.</w:t>
      </w:r>
    </w:p>
    <w:p>
      <w:pPr>
        <w:pStyle w:val="TextBody"/>
        <w:bidi w:val="0"/>
        <w:spacing w:before="0" w:after="0"/>
        <w:jc w:val="both"/>
        <w:rPr/>
      </w:pPr>
      <w:r>
        <w:rPr/>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6.Representations of the Purchasers.</w:t>
      </w:r>
    </w:p>
    <w:p>
      <w:pPr>
        <w:pStyle w:val="TextBody"/>
        <w:bidi w:val="0"/>
        <w:spacing w:lineRule="auto" w:line="288" w:before="0" w:after="240"/>
        <w:ind w:left="0" w:right="0" w:firstLine="720"/>
        <w:jc w:val="both"/>
        <w:rPr/>
      </w:pPr>
      <w:r>
        <w:rPr>
          <w:rFonts w:ascii="Times New Roman;sans-serif" w:hAnsi="Times New Roman;sans-serif"/>
          <w:b/>
          <w:color w:val="000000"/>
          <w:sz w:val="24"/>
        </w:rPr>
        <w:t>6.1.Purchase for Investment</w:t>
      </w:r>
      <w:r>
        <w:rPr>
          <w:rFonts w:ascii="Times New Roman;sans-serif" w:hAnsi="Times New Roman;sans-serif"/>
          <w:b w:val="false"/>
          <w:color w:val="000000"/>
          <w:sz w:val="24"/>
        </w:rPr>
        <w:t xml:space="preserve">. Each Purchaser severally represents that it is purchasing the Notes for its own account or for one or more separate accounts maintained by such Purchaser or for the account of one or more pension or trust funds and not with a view to the distribution thereof,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disposition of such Purchaser’s or their property shall at all times be within such Purchaser’s or their control.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6.2.Source of Funds</w:t>
      </w:r>
      <w:r>
        <w:rPr>
          <w:rFonts w:ascii="Times New Roman;sans-serif" w:hAnsi="Times New Roman;sans-serif"/>
          <w:b w:val="false"/>
          <w:color w:val="000000"/>
          <w:sz w:val="24"/>
        </w:rPr>
        <w:t>. Each Purchaser severally represents that at least one of the following statements is an accurate representation as to each source of funds (a “Source”) to be used by such Purchaser to pay the purchase price of the Notes to be purchased by such Purchaser hereunder: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6.2.1.the Source is an “insurance company general account” (as the term is defined in the United States Department of Labor’s Prohibited Transaction Exemption (</w:t>
      </w:r>
      <w:r>
        <w:rPr>
          <w:color w:val="000000"/>
        </w:rPr>
        <w:t>“</w:t>
      </w:r>
      <w:r>
        <w:rPr>
          <w:rFonts w:ascii="Times New Roman;sans-serif" w:hAnsi="Times New Roman;sans-serif"/>
          <w:b/>
          <w:color w:val="000000"/>
          <w:sz w:val="24"/>
        </w:rPr>
        <w:t>PTE”</w:t>
      </w:r>
      <w:r>
        <w:rPr>
          <w:rFonts w:ascii="Times New Roman;sans-serif" w:hAnsi="Times New Roman;sans-serif"/>
          <w:b w:val="false"/>
          <w:color w:val="000000"/>
          <w:sz w:val="24"/>
        </w:rPr>
        <w:t xml:space="preserve">) 95-60) in respect of which the reserves and liabilities (as defined by the annual statement for life insurance companies approved by the NAIC (the </w:t>
      </w:r>
      <w:r>
        <w:rPr>
          <w:color w:val="000000"/>
        </w:rPr>
        <w:t>“</w:t>
      </w:r>
      <w:r>
        <w:rPr>
          <w:rFonts w:ascii="Times New Roman;sans-serif" w:hAnsi="Times New Roman;sans-serif"/>
          <w:b/>
          <w:color w:val="000000"/>
          <w:sz w:val="24"/>
        </w:rPr>
        <w:t>NAIC Annual Statement”</w:t>
      </w:r>
      <w:r>
        <w:rPr>
          <w:rFonts w:ascii="Times New Roman;sans-serif" w:hAnsi="Times New Roman;sans-serif"/>
          <w:b w:val="false"/>
          <w:color w:val="000000"/>
          <w:sz w:val="24"/>
        </w:rPr>
        <w:t xml:space="preserve">))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employee organization in the general account do not exceed 10% of the total reserves and liabilities of the general account (exclusive of separate account liabilities) plus surplus as set forth in the NAIC Annual Statement filed with such Purchaser’s state of domicile;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6.2.2.the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6.2.3.the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6.2.4.the Source constitutes assets of an “investment fund” (within the meaning of Part VI of PTE 84-14 (the </w:t>
      </w:r>
      <w:r>
        <w:rPr>
          <w:color w:val="000000"/>
        </w:rPr>
        <w:t>“</w:t>
      </w:r>
      <w:r>
        <w:rPr>
          <w:rFonts w:ascii="Times New Roman;sans-serif" w:hAnsi="Times New Roman;sans-serif"/>
          <w:b/>
          <w:color w:val="000000"/>
          <w:sz w:val="24"/>
        </w:rPr>
        <w:t>QPAM Exemption”</w:t>
      </w:r>
      <w:r>
        <w:rPr>
          <w:rFonts w:ascii="Times New Roman;sans-serif" w:hAnsi="Times New Roman;sans-serif"/>
          <w:b w:val="false"/>
          <w:color w:val="000000"/>
          <w:sz w:val="24"/>
        </w:rPr>
        <w:t>))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any affiliate (within the meaning of Part VI(c)(1) of the QPAM Exemption) of such employer or by the same employee organization, represent 10% or more of the assets of such investment fund, have been disclosed to the Company in writing pursuant to this clause (d);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6.2.5.the Source constitutes assets of a “plan(s)” (within the meaning of Part IV(h) of PTE 96-23 (the </w:t>
      </w:r>
      <w:r>
        <w:rPr>
          <w:color w:val="000000"/>
        </w:rPr>
        <w:t>“</w:t>
      </w:r>
      <w:r>
        <w:rPr>
          <w:rFonts w:ascii="Times New Roman;sans-serif" w:hAnsi="Times New Roman;sans-serif"/>
          <w:b/>
          <w:color w:val="000000"/>
          <w:sz w:val="24"/>
        </w:rPr>
        <w:t>INHAM Exemption”</w:t>
      </w:r>
      <w:r>
        <w:rPr>
          <w:rFonts w:ascii="Times New Roman;sans-serif" w:hAnsi="Times New Roman;sans-serif"/>
          <w:b w:val="false"/>
          <w:color w:val="000000"/>
          <w:sz w:val="24"/>
        </w:rPr>
        <w:t xml:space="preserve">))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benefit plan(s) whose assets constitute the Source have been disclosed to the Company in writing pursuant to this clause (e);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6.2.6.the Source is a governmental plan;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6.2.7.the Source is one or more employee benefit plans, or a separate account or trust fund comprised of one or more employee benefit plans, each of which has been identified to the Company in writing pursuant to this clause (g);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6.2.8.the Source does not include assets of any employee benefit plan, other than a plan exempt from the coverage of ERISA.</w:t>
      </w:r>
    </w:p>
    <w:p>
      <w:pPr>
        <w:pStyle w:val="TextBody"/>
        <w:bidi w:val="0"/>
        <w:spacing w:lineRule="auto" w:line="288" w:before="0" w:after="240"/>
        <w:jc w:val="both"/>
        <w:rPr/>
      </w:pPr>
      <w:r>
        <w:rPr>
          <w:rFonts w:ascii="Times New Roman;sans-serif" w:hAnsi="Times New Roman;sans-serif"/>
          <w:b w:val="false"/>
          <w:color w:val="000000"/>
          <w:sz w:val="24"/>
        </w:rPr>
        <w:t xml:space="preserve">As used in this Section 6.2, the terms </w:t>
      </w:r>
      <w:r>
        <w:rPr>
          <w:color w:val="000000"/>
        </w:rPr>
        <w:t>“</w:t>
      </w:r>
      <w:r>
        <w:rPr>
          <w:rFonts w:ascii="Times New Roman;sans-serif" w:hAnsi="Times New Roman;sans-serif"/>
          <w:b/>
          <w:color w:val="000000"/>
          <w:sz w:val="24"/>
        </w:rPr>
        <w:t>employee benefit plan,”</w:t>
      </w:r>
      <w:r>
        <w:rPr>
          <w:color w:val="000000"/>
        </w:rPr>
        <w:t xml:space="preserve"> “</w:t>
      </w:r>
      <w:r>
        <w:rPr>
          <w:rFonts w:ascii="Times New Roman;sans-serif" w:hAnsi="Times New Roman;sans-serif"/>
          <w:b/>
          <w:color w:val="000000"/>
          <w:sz w:val="24"/>
        </w:rPr>
        <w:t>governmental plan,”</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separate account”</w:t>
      </w:r>
      <w:r>
        <w:rPr>
          <w:color w:val="000000"/>
        </w:rPr>
        <w:t xml:space="preserve"> </w:t>
      </w:r>
      <w:r>
        <w:rPr>
          <w:rFonts w:ascii="Times New Roman;sans-serif" w:hAnsi="Times New Roman;sans-serif"/>
          <w:b w:val="false"/>
          <w:color w:val="000000"/>
          <w:sz w:val="24"/>
        </w:rPr>
        <w:t>shall have the respective meanings assigned to such terms in section 3 of ERISA.</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7.Information as to Company</w:t>
      </w:r>
    </w:p>
    <w:p>
      <w:pPr>
        <w:pStyle w:val="TextBody"/>
        <w:bidi w:val="0"/>
        <w:spacing w:lineRule="auto" w:line="288" w:before="0" w:after="240"/>
        <w:ind w:left="0" w:right="0" w:firstLine="720"/>
        <w:jc w:val="both"/>
        <w:rPr/>
      </w:pPr>
      <w:r>
        <w:rPr>
          <w:rFonts w:ascii="Times New Roman;sans-serif" w:hAnsi="Times New Roman;sans-serif"/>
          <w:b/>
          <w:color w:val="000000"/>
          <w:sz w:val="24"/>
        </w:rPr>
        <w:t>7.1.Financial and Business Information</w:t>
      </w:r>
      <w:r>
        <w:rPr>
          <w:rFonts w:ascii="Times New Roman;sans-serif" w:hAnsi="Times New Roman;sans-serif"/>
          <w:b w:val="false"/>
          <w:color w:val="000000"/>
          <w:sz w:val="24"/>
        </w:rPr>
        <w:t>. The Company shall deliver to each holder of a Note that is an Institutional Investor: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7.1.1.</w:t>
      </w:r>
      <w:r>
        <w:rPr>
          <w:rFonts w:ascii="Times New Roman;sans-serif" w:hAnsi="Times New Roman;sans-serif"/>
          <w:b w:val="false"/>
          <w:i/>
          <w:color w:val="000000"/>
          <w:sz w:val="24"/>
        </w:rPr>
        <w:t>Quarterly Statements</w:t>
      </w:r>
      <w:r>
        <w:rPr>
          <w:color w:val="000000"/>
        </w:rPr>
        <w:t xml:space="preserve"> — </w:t>
      </w:r>
      <w:r>
        <w:rPr>
          <w:rFonts w:ascii="Times New Roman;sans-serif" w:hAnsi="Times New Roman;sans-serif"/>
          <w:b w:val="false"/>
          <w:color w:val="000000"/>
          <w:sz w:val="24"/>
        </w:rPr>
        <w:t xml:space="preserve">within 60 days (or such shorter period as is the earlier of (x) 15 days greater than the period applicable to the filing of the Company’s Quarterly Report on Form 10-Q (the </w:t>
      </w:r>
      <w:r>
        <w:rPr>
          <w:color w:val="000000"/>
        </w:rPr>
        <w:t>“</w:t>
      </w:r>
      <w:r>
        <w:rPr>
          <w:rFonts w:ascii="Times New Roman;sans-serif" w:hAnsi="Times New Roman;sans-serif"/>
          <w:b/>
          <w:color w:val="000000"/>
          <w:sz w:val="24"/>
        </w:rPr>
        <w:t>Form 10-Q”</w:t>
      </w:r>
      <w:r>
        <w:rPr>
          <w:rFonts w:ascii="Times New Roman;sans-serif" w:hAnsi="Times New Roman;sans-serif"/>
          <w:b w:val="false"/>
          <w:color w:val="000000"/>
          <w:sz w:val="24"/>
        </w:rPr>
        <w:t>) with the SEC regardless of whether the Company is subject to the filing requirements thereof and (y) the date by which such financial statements are required to be delivered under any Material Credit Facility) after the end of each quarterly fiscal period in each fiscal year of the Company (other than the last quarterly fiscal period of each such fiscal year), duplicate copies 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7.1.1.1.a consolidated balance sheet of the Company and its Subsidiaries as at the end of such quarter,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7.1.1.2.consolidated statements of income, changes in shareholders’ equity and cash flows of the Company and its Subsidiaries, for such quarter and (in the case of the second and third quarters) for the portion of the fiscal year ending with such quarter,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setting forth in each case in comparative form the figures for the corresponding periods in the previous fiscal year, all in reasonable detail, prepared in accordance with GAAP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7.1.2.</w:t>
      </w:r>
      <w:r>
        <w:rPr>
          <w:rFonts w:ascii="Times New Roman;sans-serif" w:hAnsi="Times New Roman;sans-serif"/>
          <w:b w:val="false"/>
          <w:i/>
          <w:color w:val="000000"/>
          <w:sz w:val="24"/>
        </w:rPr>
        <w:t>Annual Statements</w:t>
      </w:r>
      <w:r>
        <w:rPr>
          <w:color w:val="000000"/>
        </w:rPr>
        <w:t xml:space="preserve"> — </w:t>
      </w:r>
      <w:r>
        <w:rPr>
          <w:rFonts w:ascii="Times New Roman;sans-serif" w:hAnsi="Times New Roman;sans-serif"/>
          <w:b w:val="false"/>
          <w:color w:val="000000"/>
          <w:sz w:val="24"/>
        </w:rPr>
        <w:t xml:space="preserve">within 120 days (or such shorter period as is the earlier of (x) 15 days greater than the period applicable to the filing of the Company’s Annual Report on Form 10-K (the </w:t>
      </w:r>
      <w:r>
        <w:rPr>
          <w:color w:val="000000"/>
        </w:rPr>
        <w:t>“</w:t>
      </w:r>
      <w:r>
        <w:rPr>
          <w:rFonts w:ascii="Times New Roman;sans-serif" w:hAnsi="Times New Roman;sans-serif"/>
          <w:b/>
          <w:color w:val="000000"/>
          <w:sz w:val="24"/>
        </w:rPr>
        <w:t>Form 10-K”</w:t>
      </w:r>
      <w:r>
        <w:rPr>
          <w:rFonts w:ascii="Times New Roman;sans-serif" w:hAnsi="Times New Roman;sans-serif"/>
          <w:b w:val="false"/>
          <w:color w:val="000000"/>
          <w:sz w:val="24"/>
        </w:rPr>
        <w:t xml:space="preserve">) with the SEC regardless of whether the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Company is subject to the filing requirements thereof and (y) the date by which such financial statements are required to be delivered under any Material Credit Facility) after the end of each fiscal year of the Company, duplicate copies 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7.1.2.1.a consolidated balance sheet of the Company and its Subsidiaries as at the end of such year,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7.1.2.2.consolidated statements of income, changes in shareholders’ equity and cash flows of the Company and its Subsidiaries for such year,</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accountants in connection with such financial statements has been made in accordance with generally accepted auditing standards, and that such audit provides a reasonable basis for such opinion in the circumstances;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7.1.3.</w:t>
      </w:r>
      <w:r>
        <w:rPr>
          <w:rFonts w:ascii="Times New Roman;sans-serif" w:hAnsi="Times New Roman;sans-serif"/>
          <w:b w:val="false"/>
          <w:i/>
          <w:color w:val="000000"/>
          <w:sz w:val="24"/>
        </w:rPr>
        <w:t>SEC and Other Reports</w:t>
      </w:r>
      <w:r>
        <w:rPr>
          <w:color w:val="000000"/>
        </w:rPr>
        <w:t xml:space="preserve"> — </w:t>
      </w:r>
      <w:r>
        <w:rPr>
          <w:rFonts w:ascii="Times New Roman;sans-serif" w:hAnsi="Times New Roman;sans-serif"/>
          <w:b w:val="false"/>
          <w:color w:val="000000"/>
          <w:sz w:val="24"/>
        </w:rPr>
        <w:t xml:space="preserve">promptly upon their becoming available, one copy of (i) each financial statement, report, notice, proxy statement or similar document sent by the Company or any Subsidiary (x) to its creditors under any Material Credit Facility (excluding information sent to such creditors in the ordinary course of administration of a credit facility, such as information relating to pricing and borrowing availability) or (y) to its public Securities holders generally, and (ii) each regular or periodic report, each registration statement (without exhibits except as expressly requested by such holder), and each prospectus and all amendments thereto filed by the Company or any Subsidiary with the SEC;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7.1.4.</w:t>
      </w:r>
      <w:r>
        <w:rPr>
          <w:rFonts w:ascii="Times New Roman;sans-serif" w:hAnsi="Times New Roman;sans-serif"/>
          <w:b w:val="false"/>
          <w:i/>
          <w:color w:val="000000"/>
          <w:sz w:val="24"/>
        </w:rPr>
        <w:t>Notice of Default or Event of Default</w:t>
      </w:r>
      <w:r>
        <w:rPr>
          <w:color w:val="000000"/>
        </w:rPr>
        <w:t xml:space="preserve"> — </w:t>
      </w:r>
      <w:r>
        <w:rPr>
          <w:rFonts w:ascii="Times New Roman;sans-serif" w:hAnsi="Times New Roman;sans-serif"/>
          <w:b w:val="false"/>
          <w:color w:val="000000"/>
          <w:sz w:val="24"/>
        </w:rPr>
        <w:t>promptly, and in any event within five days after a Responsible Officer becoming aware of the existence of any Default or Event of Default or that any Person has given any notice or taken any action with respect to a claimed default hereunder or that any Person has given any notice or taken any action with respect to a claimed default of the type referred to in Section 11(f), a written notice specifying the nature and period of existence thereof and what action the Company is taking or proposes to take with respect thereto, provided, however, that the Company shall not be required to comply with the provisions of this Section 7.1(d) for so long as the Company is subject to the public reporting requirements of the Exchange Act;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7.1.5.</w:t>
      </w:r>
      <w:r>
        <w:rPr>
          <w:rFonts w:ascii="Times New Roman;sans-serif" w:hAnsi="Times New Roman;sans-serif"/>
          <w:b w:val="false"/>
          <w:i/>
          <w:color w:val="000000"/>
          <w:sz w:val="24"/>
        </w:rPr>
        <w:t>Employee Benefits Matters</w:t>
      </w:r>
      <w:r>
        <w:rPr>
          <w:color w:val="000000"/>
        </w:rPr>
        <w:t xml:space="preserve"> — </w:t>
      </w:r>
      <w:r>
        <w:rPr>
          <w:rFonts w:ascii="Times New Roman;sans-serif" w:hAnsi="Times New Roman;sans-serif"/>
          <w:b w:val="false"/>
          <w:color w:val="000000"/>
          <w:sz w:val="24"/>
        </w:rPr>
        <w:t xml:space="preserve">promptly, and in any event within five days after a Responsible Officer becoming aware of any of the following, a written notice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setting forth the nature thereof and the action, if any, that the Company or an ERISA Affiliate proposes to take with respect thereto:</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7.1.5.1.with respect to any Plan, any reportable event, as defined in section 4043(c) of ERISA and the regulations thereunder, for which notice thereof has not been waived pursuant to such regulations as in effect on the date hereof;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7.1.5.2.the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7.1.5.3.any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7.1.5.4.receipt of notice of the imposition of a Material financial penalty (which for this purpose shall mean any tax, penalty or other liability, whether by way of indemnity or otherwise) with respect to one or more Non-U.S Plans;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7.1.6.</w:t>
      </w:r>
      <w:r>
        <w:rPr>
          <w:rFonts w:ascii="Times New Roman;sans-serif" w:hAnsi="Times New Roman;sans-serif"/>
          <w:b w:val="false"/>
          <w:i/>
          <w:color w:val="000000"/>
          <w:sz w:val="24"/>
        </w:rPr>
        <w:t xml:space="preserve">Resignation or Replacement of Auditors </w:t>
      </w:r>
      <w:r>
        <w:rPr>
          <w:color w:val="000000"/>
        </w:rPr>
        <w:t xml:space="preserve">— </w:t>
      </w:r>
      <w:r>
        <w:rPr>
          <w:rFonts w:ascii="Times New Roman;sans-serif" w:hAnsi="Times New Roman;sans-serif"/>
          <w:b w:val="false"/>
          <w:color w:val="000000"/>
          <w:sz w:val="24"/>
        </w:rPr>
        <w:t xml:space="preserve">within 10 days following the date on which the Company’s auditors resign or the Company elects to change auditors, as the case may be, notification hereof, together with such further information as the Required Holders may request; and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7.1.7.</w:t>
      </w:r>
      <w:r>
        <w:rPr>
          <w:rFonts w:ascii="Times New Roman;sans-serif" w:hAnsi="Times New Roman;sans-serif"/>
          <w:b w:val="false"/>
          <w:i/>
          <w:color w:val="000000"/>
          <w:sz w:val="24"/>
        </w:rPr>
        <w:t>Requested Information</w:t>
      </w:r>
      <w:r>
        <w:rPr>
          <w:color w:val="000000"/>
        </w:rPr>
        <w:t xml:space="preserve"> — </w:t>
      </w:r>
      <w:r>
        <w:rPr>
          <w:rFonts w:ascii="Times New Roman;sans-serif" w:hAnsi="Times New Roman;sans-serif"/>
          <w:b w:val="false"/>
          <w:color w:val="000000"/>
          <w:sz w:val="24"/>
        </w:rPr>
        <w:t>with reasonable promptness, such other data and information relating to the business, operations, affairs, financial condition, assets or properties of the Company or any of its Subsidiaries (including actual copies of the Company’s Form 10-Q and Form 10-K, if the Company files such forms with the SEC) or relating to the ability of the Company to perform its obligations hereunder and under the Notes as from time to time may be reasonably requested by any such holder of a Note.</w:t>
      </w:r>
    </w:p>
    <w:p>
      <w:pPr>
        <w:pStyle w:val="TextBody"/>
        <w:bidi w:val="0"/>
        <w:spacing w:lineRule="auto" w:line="288" w:before="0" w:after="240"/>
        <w:ind w:left="0" w:right="0" w:firstLine="720"/>
        <w:jc w:val="both"/>
        <w:rPr/>
      </w:pPr>
      <w:r>
        <w:rPr>
          <w:rFonts w:ascii="Times New Roman;sans-serif" w:hAnsi="Times New Roman;sans-serif"/>
          <w:b/>
          <w:color w:val="000000"/>
          <w:sz w:val="24"/>
        </w:rPr>
        <w:t>7.2.Officer’s Certificate</w:t>
      </w:r>
      <w:r>
        <w:rPr>
          <w:rFonts w:ascii="Times New Roman;sans-serif" w:hAnsi="Times New Roman;sans-serif"/>
          <w:b w:val="false"/>
          <w:color w:val="000000"/>
          <w:sz w:val="24"/>
        </w:rPr>
        <w:t xml:space="preserve">. Each set of financial statements delivered to a holder of a Note pursuant to Section 7.1(a) or Section 7.1(b) shall be accompanied by a certificate of a Senior Financial Officer: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7.2.1.</w:t>
      </w:r>
      <w:r>
        <w:rPr>
          <w:rFonts w:ascii="Times New Roman;sans-serif" w:hAnsi="Times New Roman;sans-serif"/>
          <w:b w:val="false"/>
          <w:i/>
          <w:color w:val="000000"/>
          <w:sz w:val="24"/>
        </w:rPr>
        <w:t xml:space="preserve">Covenant Compliance </w:t>
      </w:r>
      <w:r>
        <w:rPr>
          <w:color w:val="000000"/>
        </w:rPr>
        <w:t xml:space="preserve">— </w:t>
      </w:r>
      <w:r>
        <w:rPr>
          <w:rFonts w:ascii="Times New Roman;sans-serif" w:hAnsi="Times New Roman;sans-serif"/>
          <w:b w:val="false"/>
          <w:color w:val="000000"/>
          <w:sz w:val="24"/>
        </w:rPr>
        <w:t xml:space="preserve">setting forth the information from such financial statements that is required in order to establish whether the Company was in compliance with the requirements of Section 10.4 or Section 10.5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Section 22.2) as to the period covered by any such financial statement, such Senior Financial Officer’s certificate as to such period shall include a reconciliation from GAAP with respect to such election;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7.2.2.</w:t>
      </w:r>
      <w:r>
        <w:rPr>
          <w:rFonts w:ascii="Times New Roman;sans-serif" w:hAnsi="Times New Roman;sans-serif"/>
          <w:b w:val="false"/>
          <w:i/>
          <w:color w:val="000000"/>
          <w:sz w:val="24"/>
        </w:rPr>
        <w:t>Event of Default</w:t>
      </w:r>
      <w:r>
        <w:rPr>
          <w:color w:val="000000"/>
        </w:rPr>
        <w:t xml:space="preserve"> — </w:t>
      </w:r>
      <w:r>
        <w:rPr>
          <w:rFonts w:ascii="Times New Roman;sans-serif" w:hAnsi="Times New Roman;sans-serif"/>
          <w:b w:val="false"/>
          <w:color w:val="000000"/>
          <w:sz w:val="24"/>
        </w:rPr>
        <w:t>certifying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 and</w:t>
      </w:r>
    </w:p>
    <w:p>
      <w:pPr>
        <w:pStyle w:val="TextBody"/>
        <w:bidi w:val="0"/>
        <w:spacing w:lineRule="auto" w:line="288" w:before="280" w:after="283"/>
        <w:jc w:val="both"/>
        <w:rPr/>
      </w:pPr>
      <w:r>
        <w:rPr>
          <w:color w:val="000000"/>
        </w:rPr>
        <w:t>    </w:t>
      </w:r>
      <w:r>
        <w:rPr>
          <w:rFonts w:ascii="Times New Roman;sans-serif" w:hAnsi="Times New Roman;sans-serif"/>
          <w:b w:val="false"/>
          <w:color w:val="000000"/>
          <w:sz w:val="24"/>
        </w:rPr>
        <w:t>(c)    </w:t>
      </w:r>
      <w:r>
        <w:rPr>
          <w:rFonts w:ascii="Times New Roman;sans-serif" w:hAnsi="Times New Roman;sans-serif"/>
          <w:b w:val="false"/>
          <w:i/>
          <w:color w:val="000000"/>
          <w:sz w:val="24"/>
        </w:rPr>
        <w:t>Subsidiary</w:t>
      </w:r>
      <w:r>
        <w:rPr>
          <w:color w:val="000000"/>
        </w:rPr>
        <w:t xml:space="preserve"> </w:t>
      </w:r>
      <w:r>
        <w:rPr>
          <w:rFonts w:ascii="Times New Roman;sans-serif" w:hAnsi="Times New Roman;sans-serif"/>
          <w:b w:val="false"/>
          <w:i/>
          <w:color w:val="000000"/>
          <w:sz w:val="24"/>
        </w:rPr>
        <w:t>Guarantors</w:t>
      </w:r>
      <w:r>
        <w:rPr>
          <w:color w:val="000000"/>
        </w:rPr>
        <w:t xml:space="preserve"> – </w:t>
      </w:r>
      <w:r>
        <w:rPr>
          <w:rFonts w:ascii="Times New Roman;sans-serif" w:hAnsi="Times New Roman;sans-serif"/>
          <w:b w:val="false"/>
          <w:color w:val="000000"/>
          <w:sz w:val="24"/>
        </w:rPr>
        <w:t>setting forth a list of all Subsidiaries that are Subsidiary Guarantors and certifying that each Subsidiary that is required to be a Subsidiary Guarantor pursuant to Section 9.7 is a Subsidiary Guarantor, in each case, as of the date of such certificate of Senior Financial Officer.</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firstLine="720"/>
        <w:jc w:val="both"/>
        <w:rPr/>
      </w:pPr>
      <w:r>
        <w:rPr>
          <w:rFonts w:ascii="Times New Roman;sans-serif" w:hAnsi="Times New Roman;sans-serif"/>
          <w:b/>
          <w:color w:val="000000"/>
          <w:sz w:val="24"/>
        </w:rPr>
        <w:t>7.3.Visitation</w:t>
      </w:r>
      <w:r>
        <w:rPr>
          <w:rFonts w:ascii="Times New Roman;sans-serif" w:hAnsi="Times New Roman;sans-serif"/>
          <w:b w:val="false"/>
          <w:color w:val="000000"/>
          <w:sz w:val="24"/>
        </w:rPr>
        <w:t>. The Company shall permit the representatives of each holder of Notes that is an Institutional Investor: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7.3.1.</w:t>
      </w:r>
      <w:r>
        <w:rPr>
          <w:rFonts w:ascii="Times New Roman;sans-serif" w:hAnsi="Times New Roman;sans-serif"/>
          <w:b w:val="false"/>
          <w:i/>
          <w:color w:val="000000"/>
          <w:sz w:val="24"/>
        </w:rPr>
        <w:t>No Default</w:t>
      </w:r>
      <w:r>
        <w:rPr>
          <w:color w:val="000000"/>
        </w:rPr>
        <w:t xml:space="preserve"> — </w:t>
      </w:r>
      <w:r>
        <w:rPr>
          <w:rFonts w:ascii="Times New Roman;sans-serif" w:hAnsi="Times New Roman;sans-serif"/>
          <w:b w:val="false"/>
          <w:color w:val="000000"/>
          <w:sz w:val="24"/>
        </w:rPr>
        <w:t>if no Default or Event of Default then exists, the Company shall permit the representatives of each holder of Notes that is an Institutional Investor, at the expense of such holder and upon reasonable prior notice to the Company, to visit the principal executive office of the Company, to discuss the affairs, finances and accounts of the Company and its Subsidiaries with the Company’s officers, and (with the consent of the Company, which consent will not be unreasonably withheld) to visit the other offices and properties of the Company and each Subsidiary, all at such reasonable times and as often as may be reasonably requested in writing;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7.3.2.</w:t>
      </w:r>
      <w:r>
        <w:rPr>
          <w:rFonts w:ascii="Times New Roman;sans-serif" w:hAnsi="Times New Roman;sans-serif"/>
          <w:b w:val="false"/>
          <w:i/>
          <w:color w:val="000000"/>
          <w:sz w:val="24"/>
        </w:rPr>
        <w:t>Default</w:t>
      </w:r>
      <w:r>
        <w:rPr>
          <w:color w:val="000000"/>
        </w:rPr>
        <w:t xml:space="preserve"> — </w:t>
      </w:r>
      <w:r>
        <w:rPr>
          <w:rFonts w:ascii="Times New Roman;sans-serif" w:hAnsi="Times New Roman;sans-serif"/>
          <w:b w:val="false"/>
          <w:color w:val="000000"/>
          <w:sz w:val="24"/>
        </w:rPr>
        <w:t xml:space="preserve">if a Default or Event of Default then exists, at the expense of the Company to visit and inspect any of the offices or properties of the Company or any Subsidiary, to examine all their respective books of account, records, reports and other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w:t>
      </w:r>
    </w:p>
    <w:p>
      <w:pPr>
        <w:pStyle w:val="TextBody"/>
        <w:bidi w:val="0"/>
        <w:spacing w:lineRule="auto" w:line="288" w:before="0" w:after="0"/>
        <w:ind w:left="0" w:right="0" w:firstLine="720"/>
        <w:jc w:val="both"/>
        <w:rPr/>
      </w:pPr>
      <w:r>
        <w:rPr>
          <w:rFonts w:ascii="Times New Roman;sans-serif" w:hAnsi="Times New Roman;sans-serif"/>
          <w:b/>
          <w:color w:val="000000"/>
          <w:sz w:val="24"/>
        </w:rPr>
        <w:t>7.4.Electronic Delivery</w:t>
      </w:r>
      <w:r>
        <w:rPr>
          <w:rFonts w:ascii="Times New Roman;sans-serif" w:hAnsi="Times New Roman;sans-serif"/>
          <w:b w:val="false"/>
          <w:color w:val="000000"/>
          <w:sz w:val="24"/>
        </w:rPr>
        <w:t>. Financial statements, opinions of independent certified public accountants, other information and Officer’s Certificates that are required to be delivered by the Company pursuant to Sections 7.1(a), (b) or (c) and Section 7.2 shall be deemed to have been delivered if the Company satisfies any of the following requirements with respect thereto:</w:t>
      </w:r>
    </w:p>
    <w:p>
      <w:pPr>
        <w:pStyle w:val="TextBody"/>
        <w:bidi w:val="0"/>
        <w:spacing w:lineRule="auto" w:line="288" w:before="280" w:after="283"/>
        <w:ind w:left="0" w:right="0" w:firstLine="720"/>
        <w:jc w:val="both"/>
        <w:rPr>
          <w:color w:val="000000"/>
        </w:rPr>
      </w:pPr>
      <w:r>
        <w:rPr>
          <w:color w:val="000000"/>
        </w:rPr>
        <w:t>    </w:t>
      </w:r>
      <w:r>
        <w:rPr>
          <w:rFonts w:ascii="Times New Roman;sans-serif" w:hAnsi="Times New Roman;sans-serif"/>
          <w:b w:val="false"/>
          <w:color w:val="000000"/>
          <w:sz w:val="24"/>
        </w:rPr>
        <w:t>(a)    such financial statements satisfying the requirements of Section 7.1(a) or (b) and related Officer’s Certificate satisfying the requirements of Section 7.2 and any other information required under Section 7.1(c) are delivered to each holder of a Note by e-mail at the e-mail address set forth in Schedule A or as communicated from time to time in a separate writing delivered to the Company;</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 xml:space="preserve">(b)    the Company shall have timely filed such Form 10–Q or Form 10–K, satisfying the requirements of Section 7.1(a) or Section 7.1(b), as the case may be, with the SEC on EDGAR and shall have (i) made such form available on its home page on the internet, which is located at </w:t>
      </w:r>
      <w:r>
        <w:rPr>
          <w:rFonts w:ascii="Times New Roman;sans-serif" w:hAnsi="Times New Roman;sans-serif"/>
          <w:b w:val="false"/>
          <w:color w:val="0000FF"/>
          <w:sz w:val="24"/>
          <w:u w:val="single"/>
        </w:rPr>
        <w:t>https://www.allete.com</w:t>
      </w:r>
      <w:r>
        <w:rPr>
          <w:color w:val="000000"/>
        </w:rPr>
        <w:t xml:space="preserve"> </w:t>
      </w:r>
      <w:r>
        <w:rPr>
          <w:rFonts w:ascii="Times New Roman;sans-serif" w:hAnsi="Times New Roman;sans-serif"/>
          <w:b w:val="false"/>
          <w:color w:val="000000"/>
          <w:sz w:val="24"/>
        </w:rPr>
        <w:t xml:space="preserve">as of the date of this Agreement and (ii) delivered the related Officer’s Certificate satisfying the requirements of Section 7.2 by e-mail in accordance with Section 7.4(a);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 xml:space="preserve">(c)    such financial statements satisfying the requirements of Section 7.1(a) or Section 7.1(b) and related Officer’s Certificate(s) satisfying the requirements of Section 7.2 and any other information required under Section 7.1(c) are timely posted by or on behalf of the Company on IntraLinks or on any other similar website to which each holder of Notes has free access; or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the Company shall have timely filed any of the items referred to in Section 7.1(c) with the SEC on EDGAR and shall have made such items available on its home page on the internet or on IntraLinks or on any other similar website to which each holder of Notes has free access;</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in no case shall access to such financial statements, other information and Officer’s Certificates be conditioned upon any waiver or other agreement or consent (other than confidentiality provisions consistent with Section 20 of this Agreement);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that in the case of any of clauses (b), (c) or (d), the Company shall have given each holder of a Note prior written notice, which may be by e-mail or in accordance with Section 18, of such posting or filing in connection with each delivery,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upon request of any holder to receive paper copies of such forms, financial statements, other information and Officer’s Certificates or to receive them by e-mail, the Company will promptly e-mail them or deliver such paper copies, as the case may be, to such holder.</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8.Payment and Prepayment of the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8.1.Maturity</w:t>
      </w:r>
      <w:r>
        <w:rPr>
          <w:rFonts w:ascii="Times New Roman;sans-serif" w:hAnsi="Times New Roman;sans-serif"/>
          <w:b w:val="false"/>
          <w:color w:val="000000"/>
          <w:sz w:val="24"/>
        </w:rPr>
        <w:t>. As provided therein, the entire unpaid principal balance of the Notes shall be due and payable on the stated maturity date thereof.</w:t>
      </w:r>
    </w:p>
    <w:p>
      <w:pPr>
        <w:pStyle w:val="TextBody"/>
        <w:bidi w:val="0"/>
        <w:spacing w:lineRule="auto" w:line="288" w:before="0" w:after="240"/>
        <w:ind w:left="0" w:right="0" w:firstLine="720"/>
        <w:jc w:val="both"/>
        <w:rPr/>
      </w:pPr>
      <w:r>
        <w:rPr>
          <w:rFonts w:ascii="Times New Roman;sans-serif" w:hAnsi="Times New Roman;sans-serif"/>
          <w:b/>
          <w:color w:val="000000"/>
          <w:sz w:val="24"/>
        </w:rPr>
        <w:t>8.2.Optional Prepayments with Make-Whole Amount</w:t>
      </w:r>
      <w:r>
        <w:rPr>
          <w:rFonts w:ascii="Times New Roman;sans-serif" w:hAnsi="Times New Roman;sans-serif"/>
          <w:b w:val="false"/>
          <w:color w:val="000000"/>
          <w:sz w:val="24"/>
        </w:rPr>
        <w:t>. At any time prior to September 25, 2029 with respect to the 2030 Notes, and September 25, 2034 with respect to the 2035 Notes, the Company may, at its option, upon notice as provided below, prepay at any time all, or from time to time any part of, the Notes, in an amount not less than 10% of the aggregate principal amount of the Notes then outstanding in the case of a partial prepayment, at 100% of the principal amount so prepaid, together with interest accrued thereon to the date of such prepayment, and the Make-Whole Amount determined for the prepayment date with respect to such principal amount. The Company will give each holder of Notes written notice of each optional prepayment under this Section 8.2 not less than 30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8.4),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Make-Whole Amount as of the specified prepayment date.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 xml:space="preserve">At any time on or after September 25, 2029 with respect to the 2030 Notes, and September 25, 2034 with respect to the 2035 Notes, so long as no Default or Event of Default exists, the Notes will be redeemable at the option of the Company, in an amount not less than 10% of the aggregate principal amount of the Notes then outstanding, on not less than 10 nor more than 60 days’ notice prior to the Settlement Date, at a redemption price equal to 100% of the principal amount of the Notes to be redeemed, plus accrued and unpaid interest thereon to the Settlement Date. </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8.3.Change in Control</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8.3.1.</w:t>
      </w:r>
      <w:r>
        <w:rPr>
          <w:rFonts w:ascii="Times New Roman;sans-serif" w:hAnsi="Times New Roman;sans-serif"/>
          <w:b w:val="false"/>
          <w:i/>
          <w:color w:val="000000"/>
          <w:sz w:val="24"/>
        </w:rPr>
        <w:t>Notice of Change in Control</w:t>
      </w:r>
      <w:r>
        <w:rPr>
          <w:rFonts w:ascii="Times New Roman;sans-serif" w:hAnsi="Times New Roman;sans-serif"/>
          <w:b w:val="false"/>
          <w:color w:val="000000"/>
          <w:sz w:val="24"/>
        </w:rPr>
        <w:t>. The Company will, within five Business Days after any Responsible Officer has knowledge of the occurrence of any Change in Control, give written notice of such Change in Control to each holder of Notes. Such notice shall contain and constitute an offer to prepay Notes as described in subparagraph (b) of this Section 8.3 and shall be accompanied by the certificate described in subparagraph (e) of this Section 8.3.</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8.3.2.</w:t>
      </w:r>
      <w:r>
        <w:rPr>
          <w:rFonts w:ascii="Times New Roman;sans-serif" w:hAnsi="Times New Roman;sans-serif"/>
          <w:b w:val="false"/>
          <w:i/>
          <w:color w:val="000000"/>
          <w:sz w:val="24"/>
        </w:rPr>
        <w:t>Offer to Prepay Notes</w:t>
      </w:r>
      <w:r>
        <w:rPr>
          <w:rFonts w:ascii="Times New Roman;sans-serif" w:hAnsi="Times New Roman;sans-serif"/>
          <w:b w:val="false"/>
          <w:color w:val="000000"/>
          <w:sz w:val="24"/>
        </w:rPr>
        <w:t>. The offer to prepay the Notes contemplated by subparagraph (a) of this Section 8.3 shall be an offer to prepay, in accordance with and subject to this Section 8.3, all, but not less than all, of the Notes held by each holder (in this case only, “</w:t>
      </w:r>
      <w:r>
        <w:rPr>
          <w:rFonts w:ascii="Times New Roman;sans-serif" w:hAnsi="Times New Roman;sans-serif"/>
          <w:b/>
          <w:color w:val="000000"/>
          <w:sz w:val="24"/>
        </w:rPr>
        <w:t>holder</w:t>
      </w:r>
      <w:r>
        <w:rPr>
          <w:color w:val="000000"/>
        </w:rPr>
        <w:t xml:space="preserve">” </w:t>
      </w:r>
      <w:r>
        <w:rPr>
          <w:rFonts w:ascii="Times New Roman;sans-serif" w:hAnsi="Times New Roman;sans-serif"/>
          <w:b w:val="false"/>
          <w:color w:val="000000"/>
          <w:sz w:val="24"/>
        </w:rPr>
        <w:t xml:space="preserve">in respect of any Note registered in the name of a nominee for a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disclosed beneficial owner shall mean such beneficial owner) on a date specified in such offer (the “Proposed Prepayment Date”). Such date shall be not less than 30 days and not more than 60 days after the date of such offer.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8.3.3.</w:t>
      </w:r>
      <w:r>
        <w:rPr>
          <w:rFonts w:ascii="Times New Roman;sans-serif" w:hAnsi="Times New Roman;sans-serif"/>
          <w:b w:val="false"/>
          <w:i/>
          <w:color w:val="000000"/>
          <w:sz w:val="24"/>
        </w:rPr>
        <w:t>Acceptance</w:t>
      </w:r>
      <w:r>
        <w:rPr>
          <w:rFonts w:ascii="Times New Roman;sans-serif" w:hAnsi="Times New Roman;sans-serif"/>
          <w:b w:val="false"/>
          <w:color w:val="000000"/>
          <w:sz w:val="24"/>
        </w:rPr>
        <w:t>. A holder of Notes may accept the offer to prepay made pursuant to this Section 8.3 by causing a notice of such acceptance to be delivered to the Company not later than 15 days prior to the Proposed Prepayment Date. A failure by a holder of Notes to respond to the offer to prepay made pursuant to this Section 8.3 shall be deemed to constitute a rejection of such offer by such holder.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8.3.4.</w:t>
      </w:r>
      <w:r>
        <w:rPr>
          <w:rFonts w:ascii="Times New Roman;sans-serif" w:hAnsi="Times New Roman;sans-serif"/>
          <w:b w:val="false"/>
          <w:i/>
          <w:color w:val="000000"/>
          <w:sz w:val="24"/>
        </w:rPr>
        <w:t>Prepayment</w:t>
      </w:r>
      <w:r>
        <w:rPr>
          <w:rFonts w:ascii="Times New Roman;sans-serif" w:hAnsi="Times New Roman;sans-serif"/>
          <w:b w:val="false"/>
          <w:color w:val="000000"/>
          <w:sz w:val="24"/>
        </w:rPr>
        <w:t>. Prepayment of the Notes to be prepaid pursuant to this Section 8.3 shall be at 100% of the principal amount of such Notes, together with interest on such Notes accrued to the date of prepayment and without any Make-Whole Amount. The Prepayment shall be made on the Proposed Prepayment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8.3.5.</w:t>
      </w:r>
      <w:r>
        <w:rPr>
          <w:rFonts w:ascii="Times New Roman;sans-serif" w:hAnsi="Times New Roman;sans-serif"/>
          <w:b w:val="false"/>
          <w:i/>
          <w:color w:val="000000"/>
          <w:sz w:val="24"/>
        </w:rPr>
        <w:t>Officer’s Certificate</w:t>
      </w:r>
      <w:r>
        <w:rPr>
          <w:rFonts w:ascii="Times New Roman;sans-serif" w:hAnsi="Times New Roman;sans-serif"/>
          <w:b w:val="false"/>
          <w:color w:val="000000"/>
          <w:sz w:val="24"/>
        </w:rPr>
        <w:t>. Each offer to prepay the Notes pursuant to this Section 8.3 shall be accompanied by a certificate, executed by a Senior Financial Officer of the Company and dated the date of such offer, specifying: (i) the Proposed Prepayment Date; (ii) that such offer is made pursuant to this Section 8.3; (iii) the interest that would be due on each Note offered to be prepaid, accrued to the Proposed Prepayment Date; (iv) that the conditions of this Section 8.3 have been fulfilled; (v) in reasonable detail, the nature of the Change in Control; and (vi) any written response from the relevant rating agency.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8.3.6.</w:t>
      </w:r>
      <w:r>
        <w:rPr>
          <w:color w:val="000000"/>
        </w:rPr>
        <w:t>“</w:t>
      </w:r>
      <w:r>
        <w:rPr>
          <w:rFonts w:ascii="Times New Roman;sans-serif" w:hAnsi="Times New Roman;sans-serif"/>
          <w:b w:val="false"/>
          <w:i/>
          <w:color w:val="000000"/>
          <w:sz w:val="24"/>
        </w:rPr>
        <w:t>Change in Control” Definition</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 xml:space="preserve">means the occurrence of any of the following: (a) after the consummation of the Merger (which shall be permitted by this Agreement and shall not be deemed a Change of Control for purposes of this Section 8) and prior to an initial public offering of the Company (or any parent that owns, directly or indirectly, 100% of the Equity Interests of the Company (other than any Equity Interests owned by or issued in connection with a management equity plan or vehicle)), Permitted Holders fail to be the “beneficial owners” (as such term is defined in Rule 13d-3 under the Exchange Act) of more than 50% of the total voting power in the aggregate of the Voting Securities (as defined below) of the Company then outstanding;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that if none of the Equity Interests of the Company or the applicable parent holding company constitute Voting Securities, no “Change in Control” shall occur pursuant to this </w:t>
      </w:r>
      <w:r>
        <w:rPr>
          <w:rFonts w:ascii="Times New Roman;sans-serif" w:hAnsi="Times New Roman;sans-serif"/>
          <w:b w:val="false"/>
          <w:color w:val="000000"/>
          <w:sz w:val="24"/>
          <w:u w:val="single"/>
        </w:rPr>
        <w:t>subclause (a)</w:t>
      </w:r>
      <w:r>
        <w:rPr>
          <w:color w:val="000000"/>
        </w:rPr>
        <w:t xml:space="preserve"> </w:t>
      </w:r>
      <w:r>
        <w:rPr>
          <w:rFonts w:ascii="Times New Roman;sans-serif" w:hAnsi="Times New Roman;sans-serif"/>
          <w:b w:val="false"/>
          <w:color w:val="000000"/>
          <w:sz w:val="24"/>
        </w:rPr>
        <w:t xml:space="preserve">if Permitted Holders otherwise have the right (pursuant to contract, proxy or otherwise), directly or indirectly, to designate, nominate or appoint (and do so designate, nominate or appoint) persons holding a majority of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or (b) if the Merger does not occur or after the occurrence of an initial public offering of the Company (or any parent that owns, directly or indirectly, 100% of the Equity Interests of the Company (other than any Equity Interests owned by or issued in connection with a management equity plan or vehicle)), the consummation of any transaction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the result of which is that any “person” or “group” (within the meaning of Section 13(d)(3) of the Exchange Act but excluding any employee benefit plan of the Company or its Subsidiaries, and any Person acting in its capacity as trustee, agent or other fiduciary or administrator of any such plan) (other than one or more Permitted Holders or any direct or indirect wholly-owned (excluding any Equity Interests owned by or issued in connection with a management equity plan or vehicle) parent company of the Company) becomes the “beneficial owner” of more than 30% of the total voting power in the aggregate of the Voting Securities of the Company then outstanding; provided, that if none of the Equity Interests of the Company or the applicable parent holding company constitute Voting Securities, no “Change in Control” shall occur pursuant to this </w:t>
      </w:r>
      <w:r>
        <w:rPr>
          <w:rFonts w:ascii="Times New Roman;sans-serif" w:hAnsi="Times New Roman;sans-serif"/>
          <w:b w:val="false"/>
          <w:color w:val="000000"/>
          <w:sz w:val="24"/>
          <w:u w:val="single"/>
        </w:rPr>
        <w:t>subclause (b)</w:t>
      </w:r>
      <w:r>
        <w:rPr>
          <w:color w:val="000000"/>
        </w:rPr>
        <w:t xml:space="preserve"> </w:t>
      </w:r>
      <w:r>
        <w:rPr>
          <w:rFonts w:ascii="Times New Roman;sans-serif" w:hAnsi="Times New Roman;sans-serif"/>
          <w:b w:val="false"/>
          <w:color w:val="000000"/>
          <w:sz w:val="24"/>
        </w:rPr>
        <w:t xml:space="preserve">if Permitted Holders otherwise have the right (pursuant to contract, proxy or otherwise), directly or indirectly, to designate, nominate or appoint (and do so designate, nominate or appoint) persons holding a majority of the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 a reorganization of any direct or indirect parent company of the Company will not be deemed to be a Change in Control so long as, after giving effect to such reorganization, no “Change in Control” would be triggered based on the indirect beneficial ownership of the Company, (ii) a Permitted Change in Control shall be deemed not to be a Change in Control and (iii) for the avoidance of doubt, limited partners of investment funds, partnerships and other co-investment vehicles and accounts directly or indirectly managed, advised or controlled by GIP or CPPIB or any of their respective affiliates that have interests in upper tier entities directly or indirectly managed, advised or controlled by GIP or CPPIB or any of their respective affiliates, respectively, shall be deemed not to directly or indirectly own the foregoing Voting Securities (or right to appoint persons holding a majority of the voting power of such governing body(ies)) in the Company (or any such parent) for purposes of this definition.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8.3.7.</w:t>
      </w:r>
      <w:r>
        <w:rPr>
          <w:rFonts w:ascii="Times New Roman;sans-serif" w:hAnsi="Times New Roman;sans-serif"/>
          <w:b w:val="false"/>
          <w:i/>
          <w:color w:val="000000"/>
          <w:sz w:val="24"/>
        </w:rPr>
        <w:t>Assumptions</w:t>
      </w:r>
      <w:r>
        <w:rPr>
          <w:rFonts w:ascii="Times New Roman;sans-serif" w:hAnsi="Times New Roman;sans-serif"/>
          <w:b w:val="false"/>
          <w:color w:val="000000"/>
          <w:sz w:val="24"/>
        </w:rPr>
        <w:t>. All calculations contemplated in this Section 8.3 involving the capital stock or other equity interest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or other equity interest of such Person were exercised at such time.</w:t>
      </w:r>
    </w:p>
    <w:p>
      <w:pPr>
        <w:pStyle w:val="TextBody"/>
        <w:bidi w:val="0"/>
        <w:spacing w:lineRule="auto" w:line="288" w:before="0" w:after="240"/>
        <w:ind w:left="0" w:right="0" w:firstLine="720"/>
        <w:jc w:val="both"/>
        <w:rPr/>
      </w:pPr>
      <w:r>
        <w:rPr>
          <w:rFonts w:ascii="Times New Roman;sans-serif" w:hAnsi="Times New Roman;sans-serif"/>
          <w:b/>
          <w:color w:val="000000"/>
          <w:sz w:val="24"/>
        </w:rPr>
        <w:t>8.4.Allocation of Partial Prepayments</w:t>
      </w:r>
      <w:r>
        <w:rPr>
          <w:rFonts w:ascii="Times New Roman;sans-serif" w:hAnsi="Times New Roman;sans-serif"/>
          <w:b w:val="false"/>
          <w:color w:val="000000"/>
          <w:sz w:val="24"/>
        </w:rPr>
        <w:t>.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 All prepayments pursuant to Section 8.3 shall be applied as therein provided.</w:t>
      </w:r>
    </w:p>
    <w:p>
      <w:pPr>
        <w:pStyle w:val="TextBody"/>
        <w:bidi w:val="0"/>
        <w:spacing w:lineRule="auto" w:line="288" w:before="0" w:after="240"/>
        <w:ind w:left="0" w:right="0" w:firstLine="720"/>
        <w:jc w:val="both"/>
        <w:rPr/>
      </w:pPr>
      <w:r>
        <w:rPr>
          <w:rFonts w:ascii="Times New Roman;sans-serif" w:hAnsi="Times New Roman;sans-serif"/>
          <w:b/>
          <w:color w:val="000000"/>
          <w:sz w:val="24"/>
        </w:rPr>
        <w:t>8.5.Maturity; Surrender, Etc</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In the case of each prepayment of Notes pursuant to this Section 8, the principal amount of each Note to be prepaid shall mature and become due and payable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w:t>
      </w:r>
    </w:p>
    <w:p>
      <w:pPr>
        <w:pStyle w:val="TextBody"/>
        <w:bidi w:val="0"/>
        <w:spacing w:lineRule="auto" w:line="288" w:before="0" w:after="240"/>
        <w:ind w:left="0" w:right="0" w:firstLine="720"/>
        <w:jc w:val="both"/>
        <w:rPr/>
      </w:pPr>
      <w:r>
        <w:rPr>
          <w:rFonts w:ascii="Times New Roman;sans-serif" w:hAnsi="Times New Roman;sans-serif"/>
          <w:b/>
          <w:color w:val="000000"/>
          <w:sz w:val="24"/>
        </w:rPr>
        <w:t>8.6.Purchase of Notes</w:t>
      </w:r>
      <w:r>
        <w:rPr>
          <w:rFonts w:ascii="Times New Roman;sans-serif" w:hAnsi="Times New Roman;sans-serif"/>
          <w:b w:val="false"/>
          <w:color w:val="000000"/>
          <w:sz w:val="24"/>
        </w:rPr>
        <w:t xml:space="preserve">. The Company will not and will not permit any Affiliate to purchase, redeem, prepay or otherwise acquire, directly or indirectly, any of the outstanding Notes except (a) upon the payment or prepayment of the Notes in accordance with the terms of this Agreement and the Notes or (b) pursuant to an offer to purchase made by the Company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10 Business Days. If the holders of more than 25%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10 Business Days from its receipt of such notice to accept such offer. The Company will promptly cancel all Notes acquired by it or any Affiliate pursuant to any payment, prepayment or purchase of Notes pursuant to any provision of this Agreement and no Notes may be issued in substitution or exchange for any such Notes. </w:t>
      </w:r>
    </w:p>
    <w:p>
      <w:pPr>
        <w:pStyle w:val="TextBody"/>
        <w:bidi w:val="0"/>
        <w:spacing w:lineRule="auto" w:line="288" w:before="0" w:after="240"/>
        <w:ind w:left="0" w:right="0" w:firstLine="720"/>
        <w:jc w:val="both"/>
        <w:rPr/>
      </w:pPr>
      <w:r>
        <w:rPr>
          <w:rFonts w:ascii="Times New Roman;sans-serif" w:hAnsi="Times New Roman;sans-serif"/>
          <w:b/>
          <w:color w:val="000000"/>
          <w:sz w:val="24"/>
        </w:rPr>
        <w:t>8.7.Make-Whole Amount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term </w:t>
      </w:r>
      <w:r>
        <w:rPr>
          <w:color w:val="000000"/>
        </w:rPr>
        <w:t>“</w:t>
      </w:r>
      <w:r>
        <w:rPr>
          <w:rFonts w:ascii="Times New Roman;sans-serif" w:hAnsi="Times New Roman;sans-serif"/>
          <w:b/>
          <w:color w:val="000000"/>
          <w:sz w:val="24"/>
        </w:rPr>
        <w:t>Make-Whole Amount”</w:t>
      </w:r>
      <w:r>
        <w:rPr>
          <w:color w:val="000000"/>
        </w:rPr>
        <w:t xml:space="preserve"> </w:t>
      </w:r>
      <w:r>
        <w:rPr>
          <w:rFonts w:ascii="Times New Roman;sans-serif" w:hAnsi="Times New Roman;sans-serif"/>
          <w:b w:val="false"/>
          <w:color w:val="000000"/>
          <w:sz w:val="24"/>
        </w:rPr>
        <w:t xml:space="preserve">means, with respect to any Note, an amount equal to the excess, if any, of the Discounted Value of the Remaining Scheduled Payments with respect to the Called Principal of such Note over the amount of such Called Principal,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Make-Whole Amount may in no event be less than zero. For the purposes of determining the Make-Whole Amount,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Called Principal”</w:t>
      </w:r>
      <w:r>
        <w:rPr>
          <w:color w:val="000000"/>
        </w:rPr>
        <w:t xml:space="preserve"> </w:t>
      </w:r>
      <w:r>
        <w:rPr>
          <w:rFonts w:ascii="Times New Roman;sans-serif" w:hAnsi="Times New Roman;sans-serif"/>
          <w:b w:val="false"/>
          <w:color w:val="000000"/>
          <w:sz w:val="24"/>
        </w:rPr>
        <w:t>means, with respect to any Note, the principal of such Note that is to be prepaid pursuant to Section 8.2 or has become or is declared to be immediately due and payable pursuant to Section 12.1, as the context requires.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Discounted Value”</w:t>
      </w:r>
      <w:r>
        <w:rPr>
          <w:color w:val="000000"/>
        </w:rPr>
        <w:t xml:space="preserve"> </w:t>
      </w:r>
      <w:r>
        <w:rPr>
          <w:rFonts w:ascii="Times New Roman;sans-serif" w:hAnsi="Times New Roman;sans-serif"/>
          <w:b w:val="false"/>
          <w:color w:val="000000"/>
          <w:sz w:val="24"/>
        </w:rPr>
        <w:t>means, with respect to the Called Principal of any Note,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Reinvestment Yield”</w:t>
      </w:r>
      <w:r>
        <w:rPr>
          <w:color w:val="000000"/>
        </w:rPr>
        <w:t xml:space="preserve"> </w:t>
      </w:r>
      <w:r>
        <w:rPr>
          <w:rFonts w:ascii="Times New Roman;sans-serif" w:hAnsi="Times New Roman;sans-serif"/>
          <w:b w:val="false"/>
          <w:color w:val="000000"/>
          <w:sz w:val="24"/>
        </w:rPr>
        <w:t xml:space="preserve">means, with respect to the Called Principal of any Note, the sum of (a) 0.50% plus (b) the yield to maturity implied by the “Ask Yield(s)” reported as of 10:00 a.m. (New York City time) on the second Business Day preceding the Settlement Date with respect to such Called Principal, on the display designated as “Page PX1” (or such other display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as may replace Page PX1) on Bloomberg Financial Markets for the most recently issued actively traded on-the-run U.S. Treasury securities (</w:t>
      </w:r>
      <w:r>
        <w:rPr>
          <w:color w:val="000000"/>
        </w:rPr>
        <w:t>“</w:t>
      </w:r>
      <w:r>
        <w:rPr>
          <w:rFonts w:ascii="Times New Roman;sans-serif" w:hAnsi="Times New Roman;sans-serif"/>
          <w:b/>
          <w:color w:val="000000"/>
          <w:sz w:val="24"/>
        </w:rPr>
        <w:t>Reported”</w:t>
      </w:r>
      <w:r>
        <w:rPr>
          <w:rFonts w:ascii="Times New Roman;sans-serif" w:hAnsi="Times New Roman;sans-serif"/>
          <w:b w:val="false"/>
          <w:color w:val="000000"/>
          <w:sz w:val="24"/>
        </w:rPr>
        <w:t>) having a maturity equal to the Remaining Average Life of such Called Principal as of such Settlement Date. If there are no such U.S. Treasury securities Reported having a maturity equal to such Remaining Average Life, then such implied yield to maturity will be determined by (i) converting U.S. Treasury bill quotations to bond equivalent yields in accordance with accepted financial practice and (ii) interpolating linearly between the “Ask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such yields are not Reported or the yields Reported as of such time are not ascertainable (including by way of interpolation), then </w:t>
      </w:r>
      <w:r>
        <w:rPr>
          <w:color w:val="000000"/>
        </w:rPr>
        <w:t>“</w:t>
      </w:r>
      <w:r>
        <w:rPr>
          <w:rFonts w:ascii="Times New Roman;sans-serif" w:hAnsi="Times New Roman;sans-serif"/>
          <w:b/>
          <w:color w:val="000000"/>
          <w:sz w:val="24"/>
        </w:rPr>
        <w:t>Reinvestment Yield”</w:t>
      </w:r>
      <w:r>
        <w:rPr>
          <w:color w:val="000000"/>
        </w:rPr>
        <w:t xml:space="preserve"> </w:t>
      </w:r>
      <w:r>
        <w:rPr>
          <w:rFonts w:ascii="Times New Roman;sans-serif" w:hAnsi="Times New Roman;sans-serif"/>
          <w:b w:val="false"/>
          <w:color w:val="000000"/>
          <w:sz w:val="24"/>
        </w:rPr>
        <w:t>means, with respect to the Called Principal of any Note, the sum of (x) 0.50% plus (y)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Remaining Average Life”</w:t>
      </w:r>
      <w:r>
        <w:rPr>
          <w:color w:val="000000"/>
        </w:rPr>
        <w:t xml:space="preserve"> </w:t>
      </w:r>
      <w:r>
        <w:rPr>
          <w:rFonts w:ascii="Times New Roman;sans-serif" w:hAnsi="Times New Roman;sans-serif"/>
          <w:b w:val="false"/>
          <w:color w:val="000000"/>
          <w:sz w:val="24"/>
        </w:rPr>
        <w:t>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comprised of twelve 30-day months and calculated to two decimal places, that will elapse between the Settlement Date with respect to such Called Principal and the scheduled due date of such Remaining Scheduled Payment.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Remaining Scheduled Payments”</w:t>
      </w:r>
      <w:r>
        <w:rPr>
          <w:color w:val="000000"/>
        </w:rPr>
        <w:t xml:space="preserve"> </w:t>
      </w:r>
      <w:r>
        <w:rPr>
          <w:rFonts w:ascii="Times New Roman;sans-serif" w:hAnsi="Times New Roman;sans-serif"/>
          <w:b w:val="false"/>
          <w:color w:val="000000"/>
          <w:sz w:val="24"/>
        </w:rPr>
        <w:t xml:space="preserve">means, with respect to the Called Principal of any Note, all payments of such Called Principal and interest thereon that would be due after the Settlement Date with respect to such Called Principal if no payment of such Called Principal were made prior to its scheduled due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such Settlement Date is not a date on which interest payments are due to be made under the Notes, then the amount of the next succeeding scheduled interest payment will be reduced by the amount of interest accrued to such Settlement Date and required to be paid on such Settlement Date pursuant to Section 8.2 or Section 12.1.</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Settlement Date”</w:t>
      </w:r>
      <w:r>
        <w:rPr>
          <w:color w:val="000000"/>
        </w:rPr>
        <w:t xml:space="preserve"> </w:t>
      </w:r>
      <w:r>
        <w:rPr>
          <w:rFonts w:ascii="Times New Roman;sans-serif" w:hAnsi="Times New Roman;sans-serif"/>
          <w:b w:val="false"/>
          <w:color w:val="000000"/>
          <w:sz w:val="24"/>
        </w:rPr>
        <w:t>means, with respect to the Called Principal of any Note, the date on which such Called Principal is to be prepaid pursuant to Section 8.2 or has become or is declared to be immediately due and payable pursuant to Section 12.1, as the context requires.</w:t>
      </w:r>
    </w:p>
    <w:p>
      <w:pPr>
        <w:pStyle w:val="TextBody"/>
        <w:bidi w:val="0"/>
        <w:spacing w:lineRule="auto" w:line="288" w:before="0" w:after="240"/>
        <w:ind w:left="0" w:right="0" w:firstLine="720"/>
        <w:jc w:val="both"/>
        <w:rPr/>
      </w:pPr>
      <w:r>
        <w:rPr>
          <w:rFonts w:ascii="Times New Roman;sans-serif" w:hAnsi="Times New Roman;sans-serif"/>
          <w:b/>
          <w:color w:val="000000"/>
          <w:sz w:val="24"/>
        </w:rPr>
        <w:t>8.8.Payments Due on Non-Business Days</w:t>
      </w:r>
      <w:r>
        <w:rPr>
          <w:rFonts w:ascii="Times New Roman;sans-serif" w:hAnsi="Times New Roman;sans-serif"/>
          <w:b w:val="false"/>
          <w:color w:val="000000"/>
          <w:sz w:val="24"/>
        </w:rPr>
        <w:t>. Anything in this Agreement or the Notes to the contrary notwithstanding, (x) except as set forth in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9.Affirmative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covenants that so long as any of the Notes are outstanding:</w:t>
      </w:r>
    </w:p>
    <w:p>
      <w:pPr>
        <w:pStyle w:val="TextBody"/>
        <w:bidi w:val="0"/>
        <w:spacing w:lineRule="auto" w:line="288" w:before="0" w:after="240"/>
        <w:ind w:left="0" w:right="0" w:firstLine="720"/>
        <w:jc w:val="both"/>
        <w:rPr/>
      </w:pPr>
      <w:r>
        <w:rPr>
          <w:rFonts w:ascii="Times New Roman;sans-serif" w:hAnsi="Times New Roman;sans-serif"/>
          <w:b/>
          <w:color w:val="000000"/>
          <w:sz w:val="24"/>
        </w:rPr>
        <w:t>9.1.Compliance with Law</w:t>
      </w:r>
      <w:r>
        <w:rPr>
          <w:rFonts w:ascii="Times New Roman;sans-serif" w:hAnsi="Times New Roman;sans-serif"/>
          <w:b w:val="false"/>
          <w:color w:val="000000"/>
          <w:sz w:val="24"/>
        </w:rPr>
        <w:t>. Without limiting Section 10.3, the Company will, and will cause each of its Subsidiaries to, comply with all laws, ordinances or governmental rules or regulations to which each of them is subject (including ERISA, the USA Patriot Act, Environmental Laws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could not, individually or in the aggregate,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9.2.Insurance</w:t>
      </w:r>
      <w:r>
        <w:rPr>
          <w:rFonts w:ascii="Times New Roman;sans-serif" w:hAnsi="Times New Roman;sans-serif"/>
          <w:b w:val="false"/>
          <w:color w:val="000000"/>
          <w:sz w:val="24"/>
        </w:rPr>
        <w:t>.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except in each case to the extent that any non-compliance with the terms of this Section 9.2 could not reasonably be expected to have a Material Adverse Effect.</w:t>
      </w:r>
    </w:p>
    <w:p>
      <w:pPr>
        <w:pStyle w:val="TextBody"/>
        <w:bidi w:val="0"/>
        <w:spacing w:lineRule="auto" w:line="288" w:before="0" w:after="240"/>
        <w:ind w:left="0" w:right="0" w:firstLine="720"/>
        <w:jc w:val="both"/>
        <w:rPr/>
      </w:pPr>
      <w:r>
        <w:rPr>
          <w:rFonts w:ascii="Times New Roman;sans-serif" w:hAnsi="Times New Roman;sans-serif"/>
          <w:b/>
          <w:color w:val="000000"/>
          <w:sz w:val="24"/>
        </w:rPr>
        <w:t>9.3.Maintenance of Properties</w:t>
      </w:r>
      <w:r>
        <w:rPr>
          <w:rFonts w:ascii="Times New Roman;sans-serif" w:hAnsi="Times New Roman;sans-serif"/>
          <w:b w:val="false"/>
          <w:color w:val="000000"/>
          <w:sz w:val="24"/>
        </w:rPr>
        <w:t xml:space="preserve">. The Company will, and will cause each of its Subsidiaries to, maintain and keep, or cause to be maintained and kept, their respective properties in good repair, working order and condition (other than ordinary wear and tear), so that the business carried on in connection therewith may be properly conducted at all times,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this Section shall not prevent the Company or any Subsidiary from discontinuing the operation and the maintenance of any of its properties if such discontinuance is desirable in the conduct of its business and the Company has concluded that such discontinuance could not, individually or in the aggregate, reasonably be expected to have a Material Adverse Effect.</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9.4.Payment of Taxes and Claims</w:t>
      </w:r>
      <w:r>
        <w:rPr>
          <w:rFonts w:ascii="Times New Roman;sans-serif" w:hAnsi="Times New Roman;sans-serif"/>
          <w:b w:val="false"/>
          <w:color w:val="000000"/>
          <w:sz w:val="24"/>
        </w:rPr>
        <w:t xml:space="preserve">. The Company will, and will cause each of its Subsidiaries to, file all tax returns required to be filed in any jurisdiction and to pay and discharge all taxes shown to be due and payable on such returns and all other taxes, assessments, governmental charges, or levies imposed on them or any of their properties, assets, income or franchises, to the extent the same have become due and payable and before they have become delinquent and all claims for which sums have become due and payable that have or might become a Lien on properties or assets of the Company or any Subsidiary,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neither the Company nor any Subsidiary need pay any such tax, assessment, charge, levy or claim if (i) the amount, applicability or validity thereof is contested by the Company or such Subsidiary on a timely basis in good faith and in appropriate proceedings, and the Company or a Subsidiary has established adequate reserves therefor in accordance with GAAP on the books of the Company or such Subsidiary or (ii) the non-filing of all such returns and/or nonpayment of all such taxes, assessments, charges, levies and claims (as the case may be) in the aggregate could not reasonably be expected to have a Material Adverse Effect. </w:t>
      </w:r>
    </w:p>
    <w:p>
      <w:pPr>
        <w:pStyle w:val="TextBody"/>
        <w:bidi w:val="0"/>
        <w:spacing w:lineRule="auto" w:line="288" w:before="0" w:after="240"/>
        <w:ind w:left="0" w:right="0" w:firstLine="720"/>
        <w:jc w:val="both"/>
        <w:rPr/>
      </w:pPr>
      <w:r>
        <w:rPr>
          <w:rFonts w:ascii="Times New Roman;sans-serif" w:hAnsi="Times New Roman;sans-serif"/>
          <w:b/>
          <w:color w:val="000000"/>
          <w:sz w:val="24"/>
        </w:rPr>
        <w:t>9.5.Corporate Existence, Etc</w:t>
      </w:r>
      <w:r>
        <w:rPr>
          <w:rFonts w:ascii="Times New Roman;sans-serif" w:hAnsi="Times New Roman;sans-serif"/>
          <w:b w:val="false"/>
          <w:color w:val="000000"/>
          <w:sz w:val="24"/>
        </w:rPr>
        <w:t xml:space="preserve">. Subject to Section 10.2, the Company will at all times preserve and keep its corporate existence in full force and effect;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all parties agree that the Company shall be permitted to consummate the Merger transactions, including a potential subsequent conversion of the Company into a Minnesota limited liability company. Subject to Section 10.2, the Company will at all times preserve and keep in full force and effect the corporate existence of each of its Subsidiaries (unless merged into the Company or a Wholly-Owned Subsidiary) and all Material rights and franchises of the Company and its Subsidiaries unless, in the good faith judgment of the Company, the termination of or failure to preserve and keep in full force and effect such corporate existence, right or franchise could not, individually or in the aggregate, have a Material Adverse Effect. For purposes of this Section 9.5, corporate existence includes existence of an entity as a limited liability company.</w:t>
      </w:r>
    </w:p>
    <w:p>
      <w:pPr>
        <w:pStyle w:val="TextBody"/>
        <w:bidi w:val="0"/>
        <w:spacing w:lineRule="auto" w:line="288" w:before="0" w:after="240"/>
        <w:ind w:left="0" w:right="0" w:firstLine="720"/>
        <w:jc w:val="both"/>
        <w:rPr/>
      </w:pPr>
      <w:r>
        <w:rPr>
          <w:rFonts w:ascii="Times New Roman;sans-serif" w:hAnsi="Times New Roman;sans-serif"/>
          <w:b/>
          <w:color w:val="000000"/>
          <w:sz w:val="24"/>
        </w:rPr>
        <w:t>9.6.Books and Records</w:t>
      </w:r>
      <w:r>
        <w:rPr>
          <w:rFonts w:ascii="Times New Roman;sans-serif" w:hAnsi="Times New Roman;sans-serif"/>
          <w:b w:val="false"/>
          <w:color w:val="000000"/>
          <w:sz w:val="24"/>
        </w:rPr>
        <w:t>. The Company will, and will cause each of its Subsidiaries to, maintain proper books of record and account in conformity with GAAP and all applicable requirements of any Governmental Authority having legal or regulatory jurisdiction over the Company or such Subsidiary, as the case may be. The Company will, and will cause each of its Subsidiaries to, keep books, records and accounts which, in reasonable detail, accurately reflect all transactions and dispositions of assets. The Company and its Subsidiaries have devised a system of internal accounting controls sufficient to provide reasonable assurances that their respective books, records, and accounts accurately reflect all transactions and dispositions of assets and the Company will, and will cause each of its Subsidiaries to, continue to maintain such system.</w:t>
      </w:r>
    </w:p>
    <w:p>
      <w:pPr>
        <w:pStyle w:val="TextBody"/>
        <w:bidi w:val="0"/>
        <w:spacing w:lineRule="auto" w:line="288" w:before="0" w:after="0"/>
        <w:ind w:left="0" w:right="0" w:firstLine="720"/>
        <w:jc w:val="both"/>
        <w:rPr/>
      </w:pPr>
      <w:r>
        <w:rPr>
          <w:rFonts w:ascii="Times New Roman;sans-serif" w:hAnsi="Times New Roman;sans-serif"/>
          <w:b/>
          <w:color w:val="000000"/>
          <w:sz w:val="24"/>
        </w:rPr>
        <w:t>9.7.Subsidiary Guarantors</w:t>
      </w:r>
      <w:r>
        <w:rPr>
          <w:rFonts w:ascii="Times New Roman;sans-serif" w:hAnsi="Times New Roman;sans-serif"/>
          <w:b w:val="false"/>
          <w:color w:val="000000"/>
          <w:sz w:val="24"/>
        </w:rPr>
        <w:t xml:space="preserve">. </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(a) The Company will cause each of its Subsidiaries that guarantees or otherwise becomes liable at any time, whether as a borrower or an additional or co-borrower or otherwise, for or in respect of any Indebtedness under any Material Credit Facility to concurrently therewith:</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 xml:space="preserve">(i)    enter into an agreement in form and substance satisfactory to the Required Holders providing for the guaranty by such Subsidiary, on a joint and several basis with all other such Subsidiaries, of (x) the prompt payment in full when due of all amounts payable by the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tLeast" w:line="280" w:before="280" w:after="283"/>
        <w:jc w:val="both"/>
        <w:rPr/>
      </w:pPr>
      <w:r>
        <w:rPr>
          <w:rFonts w:ascii="Times New Roman;sans-serif" w:hAnsi="Times New Roman;sans-serif"/>
          <w:b w:val="false"/>
          <w:color w:val="000000"/>
          <w:sz w:val="24"/>
        </w:rPr>
        <w:t xml:space="preserve">Company pursuant to the Notes (whether for principal, interest, Make-Whole Amount or otherwise) and this Agreement, including all indemnities, fees and expenses payable by the Company thereunder and (y) the prompt, full and faithful performance, observance and discharge by the Company of each and every covenant, agreement, undertaking and provision required pursuant to the Notes or this Agreement to be performed, observed or discharged by it (a </w:t>
      </w:r>
      <w:r>
        <w:rPr>
          <w:color w:val="000000"/>
        </w:rPr>
        <w:t>“</w:t>
      </w:r>
      <w:r>
        <w:rPr>
          <w:rFonts w:ascii="Times New Roman;sans-serif" w:hAnsi="Times New Roman;sans-serif"/>
          <w:b/>
          <w:i/>
          <w:color w:val="000000"/>
          <w:sz w:val="24"/>
        </w:rPr>
        <w:t>Subsidiary Guaranty</w:t>
      </w:r>
      <w:r>
        <w:rPr>
          <w:color w:val="000000"/>
        </w:rPr>
        <w:t>”</w:t>
      </w:r>
      <w:r>
        <w:rPr>
          <w:rFonts w:ascii="Times New Roman;sans-serif" w:hAnsi="Times New Roman;sans-serif"/>
          <w:b w:val="false"/>
          <w:color w:val="000000"/>
          <w:sz w:val="24"/>
        </w:rPr>
        <w:t xml:space="preserve">); and </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(ii)    deliver the following to each holder of a Note:</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(A)    an executed counterpart of such Subsidiary Guaranty;</w:t>
      </w:r>
    </w:p>
    <w:p>
      <w:pPr>
        <w:pStyle w:val="TextBody"/>
        <w:bidi w:val="0"/>
        <w:spacing w:lineRule="atLeast" w:line="280" w:before="280" w:after="283"/>
        <w:jc w:val="both"/>
        <w:rPr/>
      </w:pPr>
      <w:r>
        <w:rPr>
          <w:color w:val="000000"/>
        </w:rPr>
        <w:t>        </w:t>
      </w:r>
      <w:r>
        <w:rPr>
          <w:rFonts w:ascii="Times New Roman;sans-serif" w:hAnsi="Times New Roman;sans-serif"/>
          <w:b w:val="false"/>
          <w:color w:val="000000"/>
          <w:sz w:val="24"/>
        </w:rPr>
        <w:t xml:space="preserve">(B)    a certificate signed by an authorized responsible officer of such Subsidiary containing representations and warranties on behalf of such Subsidiary to the same effect, </w:t>
      </w:r>
      <w:r>
        <w:rPr>
          <w:rFonts w:ascii="Times New Roman;sans-serif" w:hAnsi="Times New Roman;sans-serif"/>
          <w:b w:val="false"/>
          <w:i/>
          <w:color w:val="000000"/>
          <w:sz w:val="24"/>
        </w:rPr>
        <w:t>mutatis mutandis</w:t>
      </w:r>
      <w:r>
        <w:rPr>
          <w:rFonts w:ascii="Times New Roman;sans-serif" w:hAnsi="Times New Roman;sans-serif"/>
          <w:b w:val="false"/>
          <w:color w:val="000000"/>
          <w:sz w:val="24"/>
        </w:rPr>
        <w:t>, as those contained in Sections 5.1, 5.2, 5.6 and 5.7 of this Agreement (but with respect to such Subsidiary and such Subsidiary Guaranty rather than the Company);</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(C)    all documents as may be reasonably requested by the Required Holders to evidence the due organization, continuing existence and, where applicable, good standing of such Subsidiary and the due authorization by all requisite action on the part of such Subsidiary of the execution and delivery of such Subsidiary Guaranty and the performance by such Subsidiary of its obligations thereunder; and</w:t>
      </w:r>
    </w:p>
    <w:p>
      <w:pPr>
        <w:pStyle w:val="TextBody"/>
        <w:bidi w:val="0"/>
        <w:spacing w:lineRule="atLeast" w:line="280" w:before="120" w:after="283"/>
        <w:jc w:val="both"/>
        <w:rPr>
          <w:color w:val="000000"/>
        </w:rPr>
      </w:pPr>
      <w:r>
        <w:rPr>
          <w:color w:val="000000"/>
        </w:rPr>
        <w:t>        </w:t>
      </w:r>
      <w:r>
        <w:rPr>
          <w:rFonts w:ascii="Times New Roman;sans-serif" w:hAnsi="Times New Roman;sans-serif"/>
          <w:b w:val="false"/>
          <w:color w:val="000000"/>
          <w:sz w:val="24"/>
        </w:rPr>
        <w:t>(D)    an opinion of counsel reasonably satisfactory to the Required Holders covering such matters relating to such Subsidiary and such Subsidiary Guaranty as the Required Holders may reasonably request.</w:t>
      </w:r>
    </w:p>
    <w:p>
      <w:pPr>
        <w:pStyle w:val="TextBody"/>
        <w:bidi w:val="0"/>
        <w:spacing w:before="120" w:after="283"/>
        <w:jc w:val="both"/>
        <w:rPr/>
      </w:pPr>
      <w:r>
        <w:rPr/>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(b)    At the election of the Company and by written notice to each holder of Notes, any Subsidiary Guarantor that has provided a Subsidiary Guaranty under subparagraph (a) of this Section 9.7</w:t>
      </w:r>
      <w:r>
        <w:rPr>
          <w:color w:val="000000"/>
        </w:rPr>
        <w:t xml:space="preserve"> </w:t>
      </w:r>
      <w:r>
        <w:rPr>
          <w:rFonts w:ascii="Times New Roman;sans-serif" w:hAnsi="Times New Roman;sans-serif"/>
          <w:b w:val="false"/>
          <w:color w:val="000000"/>
          <w:sz w:val="24"/>
        </w:rPr>
        <w:t xml:space="preserve">may be discharged from all of its obligations and liabilities under its Subsidiary Guaranty and shall be automatically released from its obligations thereunder without the need for the execution or delivery of any other document by the holders,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10.Negative Covenants.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covenants that so long as any of the Notes are outstanding:</w:t>
      </w:r>
    </w:p>
    <w:p>
      <w:pPr>
        <w:pStyle w:val="TextBody"/>
        <w:bidi w:val="0"/>
        <w:spacing w:lineRule="auto" w:line="288" w:before="0" w:after="240"/>
        <w:ind w:left="0" w:right="0" w:firstLine="720"/>
        <w:jc w:val="both"/>
        <w:rPr/>
      </w:pPr>
      <w:r>
        <w:rPr>
          <w:rFonts w:ascii="Times New Roman;sans-serif" w:hAnsi="Times New Roman;sans-serif"/>
          <w:b/>
          <w:color w:val="000000"/>
          <w:sz w:val="24"/>
        </w:rPr>
        <w:t>10.1.</w:t>
      </w:r>
      <w:r>
        <w:rPr>
          <w:rFonts w:ascii="Times New Roman;sans-serif" w:hAnsi="Times New Roman;sans-serif"/>
          <w:b/>
          <w:color w:val="000000"/>
          <w:sz w:val="24"/>
        </w:rPr>
        <w:t>Transactions with Affiliates</w:t>
      </w:r>
      <w:r>
        <w:rPr>
          <w:rFonts w:ascii="Times New Roman;sans-serif" w:hAnsi="Times New Roman;sans-serif"/>
          <w:b w:val="false"/>
          <w:color w:val="000000"/>
          <w:sz w:val="24"/>
        </w:rPr>
        <w:t xml:space="preserve">. The Company will not, and will not permit any Significant Subsidiary to, enter into directly or indirectly any Material transaction or Material group of related transactions (including the purchase, lease, sale or exchange of properties of any kind or the rendering of any service) with any Affiliate (other than the Company or another Subsidiary), except pursuant to the reasonable requirements of the Company’s or such Significant Subsidiary’s business and upon fair and reasonable terms no less favorable to the Company or such Significant Subsidiary than would be obtainable in a comparable arm’s-length transaction with a Person not an Affiliate,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this Section 10.1 shall not apply to (i) any transaction that is in compliance with applicable laws and regulations of the Federal Energy Regulatory Commission, the Public Service Commission of Wisconsin or the Minnesota Public Utilities Commission, or any Governmental Authority succeeding to the functions of any of these commissions, pertaining to affiliate transactions or is authorized by a tariff or rate schedule which has been approved by a Governmental Authority or performed in accordance with its orders, (ii) any transaction that is otherwise permitted under Section 10.2, (iii) transactions pursuant to any contract in effect on the date of this Agreement, as such contract may be amended, extended or replaced from time to time so long as (x) such contract as so amended, extended or replaced is, taken as a whole, not materially less favorable to the Company and its Subsidiaries than under those contracts in effect on the date of this Agreement and (y) any such amendment, extension or replacement would not result in a transaction that would violate any other provision of this Agreement, and (iv) any transaction consisting of payments of dividends and distributions on, and repurchases of, the Equity Interests of the Company and its Subsidiaries.</w:t>
      </w:r>
    </w:p>
    <w:p>
      <w:pPr>
        <w:pStyle w:val="TextBody"/>
        <w:bidi w:val="0"/>
        <w:spacing w:lineRule="auto" w:line="288" w:before="0" w:after="240"/>
        <w:ind w:left="0" w:right="0" w:firstLine="720"/>
        <w:jc w:val="both"/>
        <w:rPr/>
      </w:pPr>
      <w:r>
        <w:rPr>
          <w:rFonts w:ascii="Times New Roman;sans-serif" w:hAnsi="Times New Roman;sans-serif"/>
          <w:b/>
          <w:color w:val="000000"/>
          <w:sz w:val="24"/>
        </w:rPr>
        <w:t>10.2.</w:t>
      </w:r>
      <w:r>
        <w:rPr>
          <w:rFonts w:ascii="Times New Roman;sans-serif" w:hAnsi="Times New Roman;sans-serif"/>
          <w:b/>
          <w:color w:val="000000"/>
          <w:sz w:val="24"/>
        </w:rPr>
        <w:t>Merger, Consolidation, Etc</w:t>
      </w:r>
      <w:r>
        <w:rPr>
          <w:rFonts w:ascii="Times New Roman;sans-serif" w:hAnsi="Times New Roman;sans-serif"/>
          <w:b w:val="false"/>
          <w:color w:val="000000"/>
          <w:sz w:val="24"/>
        </w:rPr>
        <w:t>. Subject to the consummation of the Merger and all transactions contemplated by the Merger Agreement, which shall be permitted pursuant to this Section 10.2 and by all other provisions of this Agreement, the Company will not, and will not permit any Subsidiary Guarantor to, consolidate with or merge with any other Person or convey, transfer or lease all or substantially all of its assets in a single transaction or series of transactions to any Person unless)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10.2.1.in the case of any transaction involving the Company,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Canada or any jurisdiction thereof (including the District of Columbia), and, if the Company is not such corporation or limited liability company, (i) such corporation or limited liability company shall, immediately after giving effect to such transaction, have an Investment Grade Rating, (ii) such corporation or limited liability company shall have executed and delivered to each holder of any Notes its assumption of the due and punctual performance and observance of each covenant and condition of this Agreement and the Notes and (iii) such corporation or limited liability company shall have caused to be delivered to each holder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any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4"/>
        </w:rPr>
        <w:t xml:space="preserve">(b)    in the case of any such transaction involving a Subsidiary Guarantor, the successor formed by such consolidation or the survivor of such merger or the Person that acquires by conveyance, transfer or lease all or substantially all of the assets of such Subsidiary Guarantor as an entirety, as the case may be, shall be (1) the Company, such Subsidiary Guarantor or another Subsidiary Guarantor; or (2) a solvent corporation or limited liability company (other than the Company or another Subsidiary Guarantor) that is organized and existing under the laws of the United States or any state thereof (including the District of Columbia) and, if such Subsidiary Guarantor is not such corporation or limited liability company, (A) such corporation or limited liability company shall, immediately after giving effect to such transaction, have an Investment Grade Rating, (B) such corporation or limited liability company shall have executed and delivered to each holder of Notes its assumption of the due and punctual performance and observance of each covenant and condition of the Subsidiary Guaranty of such Subsidiary Guarantor and (C) the Company shall have caused to be delivered to each holder of Notes an opinion of nationally recognized independent counsel, or other independent counsel reasonably satisfactory to the Required Holders, to the effect that all agreements or instruments effecting such assumption are enforceable in accordance with their terms and comply with the terms hereof; </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w:t>
      </w:r>
    </w:p>
    <w:p>
      <w:pPr>
        <w:pStyle w:val="TextBody"/>
        <w:bidi w:val="0"/>
        <w:spacing w:before="0" w:after="0"/>
        <w:jc w:val="left"/>
        <w:rPr/>
      </w:pPr>
      <w:r>
        <w:rPr/>
      </w:r>
    </w:p>
    <w:p>
      <w:pPr>
        <w:pStyle w:val="TextBody"/>
        <w:bidi w:val="0"/>
        <w:spacing w:lineRule="auto" w:line="276" w:before="0" w:after="24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10.2.2.(d)    immediately before and immediately after giving effect to such transaction or each transaction in any such series of transactions, no Default or Event of Default shall have occurred and be continuing and the Company would be able to incur at least $1.00 of additional Indebtedness.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 such conveyance, transfer or lease of substantially all of the assets of the Company or any Subsidiary Guarantor shall have the effect of releasing the Company or such Subsidiary Guarantor, as the case may be, or any successor corporation or limited liability company that shall theretofore have become such in the manner prescribed in this Section 10.2, from its liability under (x) this Agreement or the Notes (in the case of the Company) or (y) the Subsidiary Guaranty (in the case of any Subsidiary Guarantor), unless, in the case of the conveyance, transfer or lease of substantially all of the assets of a Subsidiary Guarantor, such Subsidiary Guarantor is released from its Subsidiary Guaranty in accordance with Section 9.7(b) in connection with or immediately following such conveyance, transfer or lease.</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color w:val="000000"/>
          <w:sz w:val="24"/>
        </w:rPr>
        <w:t>10.3.</w:t>
      </w:r>
      <w:r>
        <w:rPr>
          <w:rFonts w:ascii="Times New Roman;sans-serif" w:hAnsi="Times New Roman;sans-serif"/>
          <w:b/>
          <w:color w:val="000000"/>
          <w:sz w:val="24"/>
        </w:rPr>
        <w:t>Economic Sanctions, Etc.</w:t>
      </w:r>
      <w:r>
        <w:rPr>
          <w:rFonts w:ascii="Times New Roman;sans-serif" w:hAnsi="Times New Roman;sans-serif"/>
          <w:b w:val="false"/>
          <w:color w:val="000000"/>
          <w:sz w:val="24"/>
        </w:rPr>
        <w:t>.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w:t>
      </w:r>
    </w:p>
    <w:p>
      <w:pPr>
        <w:pStyle w:val="TextBody"/>
        <w:bidi w:val="0"/>
        <w:spacing w:lineRule="auto" w:line="288" w:before="0" w:after="240"/>
        <w:ind w:left="0" w:right="0" w:firstLine="720"/>
        <w:jc w:val="both"/>
        <w:rPr/>
      </w:pPr>
      <w:r>
        <w:rPr>
          <w:rFonts w:ascii="Times New Roman;sans-serif" w:hAnsi="Times New Roman;sans-serif"/>
          <w:b/>
          <w:color w:val="000000"/>
          <w:sz w:val="24"/>
        </w:rPr>
        <w:t>10.4.</w:t>
      </w:r>
      <w:r>
        <w:rPr>
          <w:rFonts w:ascii="Times New Roman;sans-serif" w:hAnsi="Times New Roman;sans-serif"/>
          <w:b/>
          <w:color w:val="000000"/>
          <w:sz w:val="24"/>
        </w:rPr>
        <w:t>Liens</w:t>
      </w:r>
      <w:r>
        <w:rPr>
          <w:rFonts w:ascii="Times New Roman;sans-serif" w:hAnsi="Times New Roman;sans-serif"/>
          <w:b w:val="false"/>
          <w:color w:val="000000"/>
          <w:sz w:val="24"/>
        </w:rPr>
        <w:t>. The Company will not, and will not permit any of its Subsidiaries to, directly or indirectly create, incur, assume or permit to exist (upon the happening of a contingency or otherwise) any Lien on or with respect to any property or asset (including any document or instrument in respect of goods or accounts receivable) of the Company or any such Subsidiary, whether now owned or held or hereafter acquired, or any income or profits therefrom or assign or otherwise convey any right to receive income or profits, except: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10.4.1.Liens existing on the date of this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10.4.2.Liens on any Utility Property securing Indebtedness incurred in the ordinary course of the Company’s utility business;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10.4.3.Liens for taxes, assessments or other governmental charges which are not yet due and payable or the payment of which is not at the time required by Section 9.4;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10.4.4.statutory Liens of landlords and Liens of carriers, warehousemen, mechanics, materialmen and other similar Liens including Liens incident to construction</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in each case, incurred in the ordinary course of business for sums not yet due and payable or the payment of which is not at the time required by Section 9.4;</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10.4.5.Liens (other than any Lien imposed by ERISA) incurred or deposits made in the ordinary course of business (i) for salary or wages earned, but not yet payable, or (ii) in connection with workers’ compensation, unemployment insurance and other types of social security or retirement benefits, or (iii) to secure (or to obtain letters of credit that secure) the performance of tenders, statutory obligations, surety, reclamations or appeal bonds, bids, leases (other than Capital Lease Obligations), obligations, or (iv) to secure (or to obtain letters of credit that secure) obligations to public utilities, municipalities, governmental or other public authorities in connection with the supply of services or utilities to the Company or a Subsidiary, in each case not incurred or made in connection with the borrowing of money, the obtaining of advances or credit or the payment of the deferred purchase price of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10.4.6.any attachment or judgment Lien, unless the judgment it secures shall not, within 60 days after the entry thereof, have been discharged or execution thereof stayed pending appeal, or shall not have been discharged within 60 days after the expiration of any such stay;</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10.4.7.leases or subleases granted to others, easements, rights-of-way, title irregularities, restrictions, encroachments and other charges or encumbrances, in each case incidental to the ownership of property or assets or the ordinary course of business of the Company or any of its Subsidiaries,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Liens do not, in the aggregate, materially detract from the value of such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10.4.8.minor survey exceptions and the like which do not, in the aggregate, materially detract from the value of such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10.4.9.Liens on property or assets of any Subsidiary securing Indebtedness owing to the Company or to another Wholly-Owned Subsidiary;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10.4.10.any Lien created to secure all or any part of the purchase price, or to secure Indebtedness incurred or assumed to pay all or any part of the purchase price or cost of construction, of property (or any improvement thereof) acquired or constructed by the Company or a Subsidiary after the date of the Closing,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10.4.10.1.any such Lien shall extend solely to the item or items of such property (or improvement thereon) so acquired or constructed and, if required by the terms of the instrument originally creating such Lien, other property (or improvements thereon) which is an improvement to or is acquired for specific use in connection with such acquired or constructed property (or improvement thereof) or which is real property being improved by such acquired or constructed property (or improvement thereon),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10.4.10.2.the principal amount of the Indebtedness secured by such Lien shall at no time exceed an amount equal to 100% of the lesser of (A) the cost to the Company or such Subsidiary of the property (or improvement thereon) so acquired or constructed and (B) the fair market value (as determined in good faith by the board of directors of the Company) of such property (or improvement thereon) at the time of such acquisition or construction;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10.4.10.3.any such Lien shall be created contemporaneously with, or within 365 days after, the acquisition or construction of such property;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10.4.11.any Lien existing on property of a Person immediately prior to its being consolidated with or merged into the Company or a Subsidiary or its becoming a Subsidiary, or any Lien existing on any property acquired by the Company or any Subsidiary at the time such property is so acquired (whether or not the Indebtedness secured thereby shall have been assumed), provided that (i) no such Lien shall have been created or assumed in contemplation of such consolidation or merger or such Person's becoming a Subsidiary or such acquisition of property, and, (ii) each such Lien shall extend solely to the item or items of property so acquired and, if required by the terms of the instrument originally creating such Lien, other property which is an improvement to or is acquired for specific use in connection with such acquired property;</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10.4.12.controls, restrictions, obligations, duties and/or other burdens imposed by federal, state, municipal or other law, or by rules, regulations or orders of Governmental Authorities, upon any property of the Company or its Subsidiaries or the ownership, operation or use thereof or upon the Company with respect to any of its property or the operation or use thereof or with respect to any franchise, grant, license, permit or public purpose requirement, or any rights reserved to or otherwise vested in Governmental Authorities to impose any such controls, restrictions, obligations, duties and/or other burdens;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10.4.13.rights reserved to or vested in others to take or receive any part of any coal, ore, gas, oil and other minerals, any timber and/or any electric capacity or energy, gas, water, steam and any other products developed, produced, manufactured, generated, purchased or otherwise acquired by the Company or by others on property of the Company or any of its Subsidiaries;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10.4.14.(i) rights and interests of Persons other than the Company or its Subsidiaries arising out of contracts, agreements and other instruments to which the Company or any of its Subsidiaries is a party and which relate to the common ownership or joint use of property; and (ii) all Liens on the interests of Persons other than the Company or its Subsidiaries in property owned in common by such Persons and the Company or any of its Subsidiaries if and to the extent that the enforcement of such Liens would not adversely affect the interests of the Company or its Subsidiaries in such property in any material respect;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10.4.15.any Liens which have been bonded for the full amount in dispute or for the payment of which other adequate security arrangement have been made;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10.4.16.grants by the Company or any of its Subsidiaries of easements, ground leases or rights-of-way in, upon, over and/or across the property or rights-of-way of the Company or its Subsidiaries for the purpose of roads, pipelines, transmission lines, distribution lines, communication lines, railways, removal of coal or other minerals or timber, and other like purposes, or for the joint or common use of real property, rights-of-way, facilities and/or equipment;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no such grant shall materially impair the use of the property or rights-of-way for the purposes for which such property or rights-of-way are held by the Company or its Subsidiaries;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10.4.17.Liens on property of the Company or its Subsidiaries which secure indebtedness for borrowed money less than one year from the date of the issuance or incurrence thereof and is not extendible at the option of the issuer;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10.4.18.Liens created or assumed by the Company or its Subsidiaries in connection with the issuance of debt securities the interest on which is not included in gross income for purposes of federal income taxation pursuant to Section 103 of the Code (or any successor provision of law), for the purpose of financing or refinancing, in whole or in part, costs of acquisition or construction in connection with the issuance of such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debt securities either by applicable law or by the issuer of such debt securities or is otherwise necessary in order to establish or maintain such exclusion from gross income;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10.4.19.Liens securing Project Finance Indebtedness;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10.4.20.Liens created by the Mortgage and Deed of Trust dated September 1, 1945 between the Company and Irving Trust Company (now The Bank of New York Mellon) and Richard H. West (Sherma Thomas, successor), as Trustees, as heretofore and hereafter supplemented and amended (the “Mortgage”); Liens created by any other indenture hereafter executed by the Company pursuant to which bonds issued under the Mortgage are or are to be delivered to the trustee(s) under such indenture in a principal amount at least equal to the principal amount of debt securities to be secured by such indenture; and Liens created by the Mortgage and Deed of Trust, dated as of March 1, 1943, between Superior Water, Light and Power Company and U.S. Bank National Association (successor to First Bank (N.A.) as successor to Chemical Bank and Trust Company as Corporate Trustee and Howard B. Smith as Co-Trustee) as Trustee.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10.4.21.any mortgage, pledge, security interest, Lien or encumbrance upon any shares of capital stock of majority owned subsidiaries of the Company to the extent such capital stock is directly owned by the Company, created at the time of the acquisition of such capital stock by the Company, or within 365 days after such time, to secure all or a portion of the purchase price for such capital stock;</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10.4.22.any mortgage, pledge, security interest, Lien or encumbrance upon any such capital stock existing thereon at the time of the acquisition thereof by the Company (whether or not the obligations secured thereby are assumed by the Company and whether or not such mortgage, pledge, security interest, Lien or encumbrance was created in contemplation of such acquisition);</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10.4.23.any extension, renewal or replacement of any mortgage, pledge, security interest, Lien or encumbrance permitted by subsection (u) or (v) of this Section 10.4, or of any indebtedness for borrowed money secured thereby; provided that the principal amount of indebtedness so secured immediately following the time of such extension, renewal or replacement shall not exceed the principal amount of indebtedness so secured immediately preceding the time of such extension, renewal or replacement, and that such extension, renewal or replacement mortgage, pledge, security interest, Lien or encumbrance shall be limited to no more than the same proportion of all shares of capital stock as were covered by the mortgage, pledge, security interest, Lien or encumbrance that was extended, renewed or replaced;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10.4.24.any Lien renewing, extending or replacing Liens permitted by subsections (a), (b), (j), (k), (q), (r) and (s) of this Section 10.4,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the principal amount of Indebtedness secured by such Lien immediately prior to such extension, renewal or refunding is not increased (or if increased, the increased principal amount of Indebtedness so secured does not exceed the fair market value of the secured property, as determined in good faith by the board of directors of the Company or the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Subsidiary, as the case may be), or the maturity thereof reduced, (ii) such Lien is not extended to any other property, and (iii) immediately after such extension, renewal or refunding, no Default or Event of Default would exist;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10.4.25.CoBank ACB’s statutory Lien in the CoBank Equities; and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10.4.26.any Lien, other than a Lien described in any of the foregoing subsections (a) through (y), inclusive, to the extent that it secures Indebtedness, or guarantees thereof, the outstanding principal amount of which at the time of creation of such Lien, when added to (i) the outstanding principal balance of all Indebtedness secured by Liens incurred under this subsection (z) then outstanding and (ii) the outstanding principal amount of all unsecured Indebtedness of all Subsidiaries (excluding (1) Project Finance Indebtedness and (2) any unsecured Indebtedness of any Subsidiary guaranteeing the Notes), does not exceed 20% of Consolidated Assets,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notwithstanding the foregoing, the Company shall not secure pursuant to this Section 10.4(z) any Indebtedness outstanding under or pursuant to any Material Credit Facility unless and until the Notes (and any guaranty delivered therewith) shall concurrently be secured equally and ratably with such Indebtedness pursuant to documentation reasonably acceptable to the Required Holders in substance and in form, including an intercreditor agreement and opinions of counsel to the Company, from counsel that is reasonably acceptable to the Required Holders.</w:t>
      </w:r>
    </w:p>
    <w:p>
      <w:pPr>
        <w:pStyle w:val="TextBody"/>
        <w:bidi w:val="0"/>
        <w:spacing w:lineRule="auto" w:line="288" w:before="0" w:after="240"/>
        <w:ind w:left="0" w:right="0" w:firstLine="720"/>
        <w:jc w:val="both"/>
        <w:rPr/>
      </w:pPr>
      <w:r>
        <w:rPr>
          <w:rFonts w:ascii="Times New Roman;sans-serif" w:hAnsi="Times New Roman;sans-serif"/>
          <w:b/>
          <w:color w:val="000000"/>
          <w:sz w:val="24"/>
        </w:rPr>
        <w:t>10.5.</w:t>
      </w:r>
      <w:r>
        <w:rPr>
          <w:rFonts w:ascii="Times New Roman;sans-serif" w:hAnsi="Times New Roman;sans-serif"/>
          <w:b/>
          <w:color w:val="000000"/>
          <w:sz w:val="24"/>
        </w:rPr>
        <w:t>Maximum Ratio of Total Indebtedness to Total Capitalization</w:t>
      </w:r>
      <w:r>
        <w:rPr>
          <w:rFonts w:ascii="Times New Roman;sans-serif" w:hAnsi="Times New Roman;sans-serif"/>
          <w:b w:val="false"/>
          <w:color w:val="000000"/>
          <w:sz w:val="24"/>
        </w:rPr>
        <w:t>. The Company will not permit Total Indebtedness to be greater than 65% of Total Capitalization as of the end of any fiscal quarter.</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11.Events of Default.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An </w:t>
      </w: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shall exist if any of the following conditions or events shall occur and be continuing:</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11.1.1.the Company defaults in the payment of any principal or Make-Whole Amount, if any, on any Note when the same becomes due and payable, whether at maturity or at a date fixed for prepayment or by declaration or otherwise;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11.1.2.the Company defaults in the payment of any interest on any Note for more than five Business Days after the same becomes due and payable;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11.1.3.the Company defaults in the performance of or compliance with any term contained in Section 7.1(d), Section 10.2 or Section 10.5;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11.1.4.the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holder of a Note (any such written notice to be identified as a “notice of default” and to refer specifically to this Section 11(d));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11.1.5.(i)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11.1.6.(i) the Company or any Subsidiary is in default (as principal or as guarantor or other surety) in the payment of any principal of or premium or make-whole amount or interest on any Indebtedness (other than any Project Finance Indebtedness which does not individually or in the aggregate exceed $200,000,000) that is outstanding in an aggregate principal amount in excess of the lesser of (x) the lowest dollar amount figure in the corresponding event of default provision in any Material Credit Facility, and (y) 2% of Consolidated Assets beyond any period of grace provided with respect thereto, or (ii) the Company or any Subsidiary is in default in the performance of or compliance with any term of any evidence of any Indebtedness (other than any Project Finance Indebtedness which does not individually or in the aggregate exceed $200,000,000) in an aggregate outstanding principal amount in excess of 2% of Consolidated Assets or of any mortgage, indenture or other agreement relating thereto or any other condition exists, and as a consequence of such default or condition such Indebtedness has become, or has been declared (or one or more Persons are entitled to declare such Indebtedness to be), due and payable before its stated maturity or before its regularly scheduled dates of payment, or (iii) as a consequence of the occurrence or continuation of any event or condition (other than the passage of time or the right of the holder of Indebtedness (other than any Project Finance Indebtedness which does not individually or in the aggregate exceed $200,000,000) to convert such Indebtedness into equity interests), (x) the Company or any Subsidiary has become obligated to purchase or repay Indebtedness (other than any Project Finance Indebtedness which does not individually or in the aggregate exceed $200,000,000) before its regular maturity or before its regularly scheduled dates of payment in an aggregate outstanding principal amount in excess of 2% of Consolidated Assets, or (y) one or more Persons have the right to require the Company or any Subsidiary so to purchase or repay such Indebtedness (other than any Project Finance Indebtedness which does not individually or in the aggregate exceed $200,000,000);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11.1.7.the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appointment of a custodian, receiver, trustee or other officer with similar powers with respect to it or with respect to any substantial part of its property, (v) is adjudicated as insolvent or to be liquidated, or (vi) takes corporate action for the purpose of any of the foregoing;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11.1.8.a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11.1.9.any event occurs with respect to the Company or any Subsidiary which under the laws of any jurisdiction is analogous to any of the events described in Section 11(g) or Section 11(h),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applicable grace period, if any, which shall apply shall be the one applicable to the relevant proceeding which most closely corresponds to the proceeding described in Section 11(g) or Section 11(h);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11.1.10.one or more final judgments or orders for the payment of money aggregating in excess of 2% of Consolidated Assets, including any such final order enforcing a binding arbitration decision, are rendered against one or more of the Company and its Significant Subsidiaries and which judgments are not, within 60 days after entry thereof, bonded, discharged or stayed pending appeal, or are not discharged within 60 days after the expiration of such stay;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11.1.11.if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could reasonably be expected to have a Material Adverse Effect. As used in this Section 11(k), the terms </w:t>
      </w:r>
      <w:r>
        <w:rPr>
          <w:color w:val="000000"/>
        </w:rPr>
        <w:t>“</w:t>
      </w:r>
      <w:r>
        <w:rPr>
          <w:rFonts w:ascii="Times New Roman;sans-serif" w:hAnsi="Times New Roman;sans-serif"/>
          <w:b/>
          <w:color w:val="000000"/>
          <w:sz w:val="24"/>
        </w:rPr>
        <w:t xml:space="preserve">employee benefit plan”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color w:val="000000"/>
          <w:sz w:val="24"/>
        </w:rPr>
        <w:t>employee welfare benefit plan”</w:t>
      </w:r>
      <w:r>
        <w:rPr>
          <w:color w:val="000000"/>
        </w:rPr>
        <w:t xml:space="preserve"> </w:t>
      </w:r>
      <w:r>
        <w:rPr>
          <w:rFonts w:ascii="Times New Roman;sans-serif" w:hAnsi="Times New Roman;sans-serif"/>
          <w:b w:val="false"/>
          <w:color w:val="000000"/>
          <w:sz w:val="24"/>
        </w:rPr>
        <w:t xml:space="preserve">shall have the respective meanings assigned to such terms in section 3 of ERISA;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the Company or any Subsidiary shall fail to own, directly or indirectly, substantially all of the assets of Minnesota Power, a division of the Company; or</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(m)    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w:t>
      </w:r>
    </w:p>
    <w:p>
      <w:pPr>
        <w:pStyle w:val="TextBody"/>
        <w:bidi w:val="0"/>
        <w:spacing w:before="0" w:after="0"/>
        <w:jc w:val="left"/>
        <w:rPr/>
      </w:pPr>
      <w:r>
        <w:rPr/>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12.Remedies on Default, Etc.</w:t>
      </w:r>
    </w:p>
    <w:p>
      <w:pPr>
        <w:pStyle w:val="TextBody"/>
        <w:bidi w:val="0"/>
        <w:spacing w:lineRule="auto" w:line="288" w:before="0" w:after="240"/>
        <w:ind w:left="0" w:right="0" w:firstLine="720"/>
        <w:jc w:val="both"/>
        <w:rPr/>
      </w:pPr>
      <w:r>
        <w:rPr>
          <w:rFonts w:ascii="Times New Roman;sans-serif" w:hAnsi="Times New Roman;sans-serif"/>
          <w:b/>
          <w:color w:val="000000"/>
          <w:sz w:val="24"/>
        </w:rPr>
        <w:t>12.1.</w:t>
      </w:r>
      <w:r>
        <w:rPr>
          <w:rFonts w:ascii="Times New Roman;sans-serif" w:hAnsi="Times New Roman;sans-serif"/>
          <w:b/>
          <w:color w:val="000000"/>
          <w:sz w:val="24"/>
        </w:rPr>
        <w:t>Acceleration</w:t>
      </w:r>
      <w:r>
        <w:rPr>
          <w:rFonts w:ascii="Times New Roman;sans-serif" w:hAnsi="Times New Roman;sans-serif"/>
          <w:b w:val="false"/>
          <w:color w:val="000000"/>
          <w:sz w:val="24"/>
        </w:rPr>
        <w:t xml:space="preserve">. (a) If an Event of Default with respect to the Company described in Section 11(g), (h) or </w:t>
      </w:r>
      <w:r>
        <w:rPr>
          <w:rFonts w:ascii="Arial;sans-serif" w:hAnsi="Arial;sans-serif"/>
          <w:b w:val="false"/>
          <w:color w:val="000000"/>
          <w:sz w:val="24"/>
        </w:rPr>
        <w:t>(i)</w:t>
      </w:r>
      <w:r>
        <w:rPr>
          <w:color w:val="000000"/>
        </w:rPr>
        <w:t xml:space="preserve"> </w:t>
      </w:r>
      <w:r>
        <w:rPr>
          <w:rFonts w:ascii="Times New Roman;sans-serif" w:hAnsi="Times New Roman;sans-serif"/>
          <w:b w:val="false"/>
          <w:color w:val="000000"/>
          <w:sz w:val="24"/>
        </w:rPr>
        <w:t>(other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12.1.1.If any other Event of Default has occurred and is continuing, the Required Holders may at any time at its or their option, by notice or notices to the Company, declare all the Notes then outstanding to be immediately due and payable.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12.1.2.If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Upon any Notes becoming due and payable under this Section 12.1, whether automatically or by declaration, such Notes will forthwith mature and the entire unpaid principal amount of such Notes, plus (x) all accrued and unpaid interest thereon (including interest accrued thereon at the applicable Default Rate) and (y) the Make-Whole Amount determined in respect of such principal amount, shall all be immediately due and payable, in each and every case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w:t>
      </w:r>
    </w:p>
    <w:p>
      <w:pPr>
        <w:pStyle w:val="TextBody"/>
        <w:bidi w:val="0"/>
        <w:spacing w:lineRule="auto" w:line="288" w:before="0" w:after="240"/>
        <w:ind w:left="0" w:right="0" w:firstLine="720"/>
        <w:jc w:val="both"/>
        <w:rPr/>
      </w:pPr>
      <w:r>
        <w:rPr>
          <w:rFonts w:ascii="Times New Roman;sans-serif" w:hAnsi="Times New Roman;sans-serif"/>
          <w:b/>
          <w:color w:val="000000"/>
          <w:sz w:val="24"/>
        </w:rPr>
        <w:t>12.2.</w:t>
      </w:r>
      <w:r>
        <w:rPr>
          <w:rFonts w:ascii="Times New Roman;sans-serif" w:hAnsi="Times New Roman;sans-serif"/>
          <w:b/>
          <w:color w:val="000000"/>
          <w:sz w:val="24"/>
        </w:rPr>
        <w:t>Other Remedies</w:t>
      </w:r>
      <w:r>
        <w:rPr>
          <w:rFonts w:ascii="Times New Roman;sans-serif" w:hAnsi="Times New Roman;sans-serif"/>
          <w:b w:val="false"/>
          <w:color w:val="000000"/>
          <w:sz w:val="24"/>
        </w:rPr>
        <w:t>.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w:t>
      </w:r>
    </w:p>
    <w:p>
      <w:pPr>
        <w:pStyle w:val="TextBody"/>
        <w:bidi w:val="0"/>
        <w:spacing w:lineRule="auto" w:line="288" w:before="0" w:after="240"/>
        <w:ind w:left="0" w:right="0" w:firstLine="720"/>
        <w:jc w:val="both"/>
        <w:rPr/>
      </w:pPr>
      <w:r>
        <w:rPr>
          <w:rFonts w:ascii="Times New Roman;sans-serif" w:hAnsi="Times New Roman;sans-serif"/>
          <w:b/>
          <w:color w:val="000000"/>
          <w:sz w:val="24"/>
        </w:rPr>
        <w:t>12.3.</w:t>
      </w:r>
      <w:r>
        <w:rPr>
          <w:rFonts w:ascii="Times New Roman;sans-serif" w:hAnsi="Times New Roman;sans-serif"/>
          <w:b/>
          <w:color w:val="000000"/>
          <w:sz w:val="24"/>
        </w:rPr>
        <w:t>Rescission</w:t>
      </w:r>
      <w:r>
        <w:rPr>
          <w:rFonts w:ascii="Times New Roman;sans-serif" w:hAnsi="Times New Roman;sans-serif"/>
          <w:b w:val="false"/>
          <w:color w:val="000000"/>
          <w:sz w:val="24"/>
        </w:rPr>
        <w:t>. 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applicable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w:t>
      </w:r>
    </w:p>
    <w:p>
      <w:pPr>
        <w:pStyle w:val="TextBody"/>
        <w:bidi w:val="0"/>
        <w:spacing w:lineRule="auto" w:line="288" w:before="0" w:after="240"/>
        <w:ind w:left="0" w:right="0" w:firstLine="720"/>
        <w:jc w:val="both"/>
        <w:rPr/>
      </w:pPr>
      <w:r>
        <w:rPr>
          <w:rFonts w:ascii="Times New Roman;sans-serif" w:hAnsi="Times New Roman;sans-serif"/>
          <w:b/>
          <w:color w:val="000000"/>
          <w:sz w:val="24"/>
        </w:rPr>
        <w:t>12.4.</w:t>
      </w:r>
      <w:r>
        <w:rPr>
          <w:rFonts w:ascii="Times New Roman;sans-serif" w:hAnsi="Times New Roman;sans-serif"/>
          <w:b/>
          <w:color w:val="000000"/>
          <w:sz w:val="24"/>
        </w:rPr>
        <w:t>No Waivers or Election of Remedies, Expenses, Etc</w:t>
      </w:r>
      <w:r>
        <w:rPr>
          <w:rFonts w:ascii="Times New Roman;sans-serif" w:hAnsi="Times New Roman;sans-serif"/>
          <w:b w:val="false"/>
          <w:color w:val="000000"/>
          <w:sz w:val="24"/>
        </w:rPr>
        <w:t>. No course of dealing and no delay on the part of 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reasonable attorneys’ fees, expenses and disbursements.</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13.Registration; Exchange; Substitution of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13.1.</w:t>
      </w:r>
      <w:r>
        <w:rPr>
          <w:rFonts w:ascii="Times New Roman;sans-serif" w:hAnsi="Times New Roman;sans-serif"/>
          <w:b/>
          <w:color w:val="000000"/>
          <w:sz w:val="24"/>
        </w:rPr>
        <w:t>Registration of Notes</w:t>
      </w:r>
      <w:r>
        <w:rPr>
          <w:rFonts w:ascii="Times New Roman;sans-serif" w:hAnsi="Times New Roman;sans-serif"/>
          <w:b w:val="false"/>
          <w:color w:val="000000"/>
          <w:sz w:val="24"/>
        </w:rPr>
        <w:t>. The Company shall keep at the principal office of U.S. Bank Trust Company, National Association (</w:t>
      </w:r>
      <w:r>
        <w:rPr>
          <w:color w:val="000000"/>
        </w:rPr>
        <w:t>“</w:t>
      </w:r>
      <w:r>
        <w:rPr>
          <w:rFonts w:ascii="Times New Roman;sans-serif" w:hAnsi="Times New Roman;sans-serif"/>
          <w:b/>
          <w:color w:val="000000"/>
          <w:sz w:val="24"/>
        </w:rPr>
        <w:t>U.S. Bank”</w:t>
      </w:r>
      <w:r>
        <w:rPr>
          <w:rFonts w:ascii="Times New Roman;sans-serif" w:hAnsi="Times New Roman;sans-serif"/>
          <w:b w:val="false"/>
          <w:color w:val="000000"/>
          <w:sz w:val="24"/>
        </w:rPr>
        <w:t xml:space="preserve">) in St. Paul, Minnesota a register for the registration and registration of transfers of Notes. The name and address of each holder of one or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 in whose name any Note shall be registered shall be deemed and treated as the owner and holder thereof for all purposes hereof, and U.S. Bank shall not be affected by any notice or knowledge to the contrary. The Company shall give to any holder of a Note that is an Institutional Investor promptly upon request therefor, a complete and correct copy of the names and addresses of all registered holders of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13.2.</w:t>
      </w:r>
      <w:r>
        <w:rPr>
          <w:rFonts w:ascii="Times New Roman;sans-serif" w:hAnsi="Times New Roman;sans-serif"/>
          <w:b/>
          <w:color w:val="000000"/>
          <w:sz w:val="24"/>
        </w:rPr>
        <w:t>Transfer and Exchange of Notes</w:t>
      </w:r>
      <w:r>
        <w:rPr>
          <w:rFonts w:ascii="Times New Roman;sans-serif" w:hAnsi="Times New Roman;sans-serif"/>
          <w:b w:val="false"/>
          <w:color w:val="000000"/>
          <w:sz w:val="24"/>
        </w:rPr>
        <w:t xml:space="preserve">. Upon surrender of any Note to U.S. Bank at the address and to the attention of the designated officer (all as specified in Section 18(iv)),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10 Business Days thereafter, the Company shall execute and deliver, at the Company’s expense (except as provided below), one or more new Notes of the same series (as requested by the holder thereof) in exchange therefor, in an aggregate principal amount equal to the unpaid principal amount of the surrendered Note. Each such new Note shall be payable to such Person as such holder may request and shall be substantially in the form of (i) Exhibit 1(a), in the case of a 2030 Note and (ii) Exhibit 1(b), in the case of a 2035 Note. Each such new Note shall be dated and bear interest from the date to which interest shall have been paid on the surrendered Note or dated the date of the surrendered Note if no interest shall have been paid thereon. U.S. Bank may require payment of a sum sufficient to cover any stamp tax or governmental charge imposed in respect of any such transfer of Notes. Notes shall not be transferred in denominations of less than $100,000, provided that if necessary to enable the registration of transfer by a holder of its entire holding of Notes of a series, one Note of such series may be in a denomination of less than $100,000. Any transferee, by its acceptance of a Note registered in its name (or the name of its nominee), shall be deemed to have made the representation set forth in Section 6.2. </w:t>
      </w:r>
    </w:p>
    <w:p>
      <w:pPr>
        <w:pStyle w:val="TextBody"/>
        <w:bidi w:val="0"/>
        <w:spacing w:lineRule="auto" w:line="288" w:before="0" w:after="0"/>
        <w:ind w:left="0" w:right="0" w:firstLine="720"/>
        <w:jc w:val="both"/>
        <w:rPr/>
      </w:pPr>
      <w:r>
        <w:rPr>
          <w:rFonts w:ascii="Times New Roman;sans-serif" w:hAnsi="Times New Roman;sans-serif"/>
          <w:b/>
          <w:color w:val="000000"/>
          <w:sz w:val="24"/>
        </w:rPr>
        <w:t>13.3.</w:t>
      </w:r>
      <w:r>
        <w:rPr>
          <w:rFonts w:ascii="Times New Roman;sans-serif" w:hAnsi="Times New Roman;sans-serif"/>
          <w:b/>
          <w:color w:val="000000"/>
          <w:sz w:val="24"/>
        </w:rPr>
        <w:t>Replacement of Notes</w:t>
      </w:r>
      <w:r>
        <w:rPr>
          <w:rFonts w:ascii="Times New Roman;sans-serif" w:hAnsi="Times New Roman;sans-serif"/>
          <w:b w:val="false"/>
          <w:color w:val="000000"/>
          <w:sz w:val="24"/>
        </w:rPr>
        <w:t>. Upon receipt by U.S. Bank at the address and to the attention of the designated officer (all as specified in Section 18(iv)) of evidence reasonably satisfactory to it of the ownership of and the loss, theft, destruction or mutilation of any Note (which evidence shall be, in the case of an Institutional Investor, notice from such Institutional Investor of such ownership and such loss, theft, destruction or mutilation), and</w:t>
      </w:r>
    </w:p>
    <w:p>
      <w:pPr>
        <w:pStyle w:val="TextBody"/>
        <w:bidi w:val="0"/>
        <w:spacing w:lineRule="auto" w:line="288" w:before="9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(a)in the case of loss, theft or destruction, of indemnity reasonably satisfactory to the Company (provided that if the holder of such Note is, or is a nominee for, an original Purchaser or another holder of a Note with a minimum net worth of at least $100,000,000 or a Qualified Institutional Buyer, such Person’s own unsecured agreement of indemnity shall be deemed to be satisfactory), or</w:t>
      </w:r>
    </w:p>
    <w:p>
      <w:pPr>
        <w:pStyle w:val="TextBody"/>
        <w:bidi w:val="0"/>
        <w:spacing w:lineRule="auto" w:line="288" w:before="90" w:after="283"/>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(b)in the case of mutilation, upon surrender and cancellation thereof, within 10 Business Days thereafter, the Company at its own expense, shall execute and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9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deliver, in lieu thereof, a new Note of the same series, dated and bearing interest from the date to which interest shall have been paid on such lost, stolen, destroyed or mutilated Note or dated the date of such lost, stolen, destroyed or mutilated Note if no interest shall have been paid thereon.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14.Payments on Notes.</w:t>
      </w:r>
    </w:p>
    <w:p>
      <w:pPr>
        <w:pStyle w:val="TextBody"/>
        <w:bidi w:val="0"/>
        <w:spacing w:lineRule="auto" w:line="288" w:before="0" w:after="240"/>
        <w:ind w:left="0" w:right="0" w:firstLine="720"/>
        <w:jc w:val="both"/>
        <w:rPr/>
      </w:pPr>
      <w:r>
        <w:rPr>
          <w:rFonts w:ascii="Times New Roman;sans-serif" w:hAnsi="Times New Roman;sans-serif"/>
          <w:b/>
          <w:color w:val="000000"/>
          <w:sz w:val="24"/>
        </w:rPr>
        <w:t>14.1.</w:t>
      </w:r>
      <w:r>
        <w:rPr>
          <w:rFonts w:ascii="Times New Roman;sans-serif" w:hAnsi="Times New Roman;sans-serif"/>
          <w:b/>
          <w:color w:val="000000"/>
          <w:sz w:val="24"/>
        </w:rPr>
        <w:t>Place of Payment</w:t>
      </w:r>
      <w:r>
        <w:rPr>
          <w:rFonts w:ascii="Times New Roman;sans-serif" w:hAnsi="Times New Roman;sans-serif"/>
          <w:b w:val="false"/>
          <w:color w:val="000000"/>
          <w:sz w:val="24"/>
        </w:rPr>
        <w:t>. Subject to Section 14.2, payments of principal, Make-Whole Amount, if any, and interest becoming due and payable on the Notes shall be made in New York, New York at the principal office of U.S. Bank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w:t>
      </w:r>
    </w:p>
    <w:p>
      <w:pPr>
        <w:pStyle w:val="TextBody"/>
        <w:bidi w:val="0"/>
        <w:spacing w:lineRule="auto" w:line="288" w:before="0" w:after="240"/>
        <w:ind w:left="0" w:right="0" w:firstLine="720"/>
        <w:jc w:val="both"/>
        <w:rPr/>
      </w:pPr>
      <w:r>
        <w:rPr>
          <w:rFonts w:ascii="Times New Roman;sans-serif" w:hAnsi="Times New Roman;sans-serif"/>
          <w:b/>
          <w:color w:val="000000"/>
          <w:sz w:val="24"/>
        </w:rPr>
        <w:t>14.2.</w:t>
      </w:r>
      <w:r>
        <w:rPr>
          <w:rFonts w:ascii="Times New Roman;sans-serif" w:hAnsi="Times New Roman;sans-serif"/>
          <w:b/>
          <w:color w:val="000000"/>
          <w:sz w:val="24"/>
        </w:rPr>
        <w:t>Payment by Wire Transfer</w:t>
      </w:r>
      <w:r>
        <w:rPr>
          <w:rFonts w:ascii="Times New Roman;sans-serif" w:hAnsi="Times New Roman;sans-serif"/>
          <w:b w:val="false"/>
          <w:color w:val="000000"/>
          <w:sz w:val="24"/>
        </w:rPr>
        <w:t>. 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A,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of the same series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p>
      <w:pPr>
        <w:pStyle w:val="TextBody"/>
        <w:bidi w:val="0"/>
        <w:spacing w:lineRule="auto" w:line="288"/>
        <w:ind w:left="0" w:right="0" w:firstLine="720"/>
        <w:jc w:val="both"/>
        <w:rPr/>
      </w:pPr>
      <w:r>
        <w:rPr>
          <w:rFonts w:ascii="Times New Roman;sans-serif" w:hAnsi="Times New Roman;sans-serif"/>
          <w:b/>
          <w:color w:val="000000"/>
          <w:sz w:val="24"/>
        </w:rPr>
        <w:t>14.3.</w:t>
      </w:r>
      <w:r>
        <w:rPr>
          <w:rFonts w:ascii="Times New Roman;sans-serif" w:hAnsi="Times New Roman;sans-serif"/>
          <w:b/>
          <w:color w:val="000000"/>
          <w:sz w:val="24"/>
        </w:rPr>
        <w:t>FATCA Information</w:t>
      </w:r>
      <w:r>
        <w:rPr>
          <w:rFonts w:ascii="Times New Roman;sans-serif" w:hAnsi="Times New Roman;sans-serif"/>
          <w:b w:val="false"/>
          <w:color w:val="000000"/>
          <w:sz w:val="24"/>
        </w:rPr>
        <w:t xml:space="preserve">. 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w:t>
      </w:r>
    </w:p>
    <w:p>
      <w:pPr>
        <w:pStyle w:val="TextBody"/>
        <w:bidi w:val="0"/>
        <w:spacing w:before="0" w:after="0"/>
        <w:jc w:val="both"/>
        <w:rPr/>
      </w:pPr>
      <w:r>
        <w:rPr/>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15.Expenses, Etc.</w:t>
      </w:r>
    </w:p>
    <w:p>
      <w:pPr>
        <w:pStyle w:val="TextBody"/>
        <w:bidi w:val="0"/>
        <w:spacing w:lineRule="auto" w:line="288" w:before="0" w:after="240"/>
        <w:ind w:left="0" w:right="0" w:firstLine="720"/>
        <w:jc w:val="both"/>
        <w:rPr/>
      </w:pPr>
      <w:r>
        <w:rPr>
          <w:rFonts w:ascii="Times New Roman;sans-serif" w:hAnsi="Times New Roman;sans-serif"/>
          <w:b/>
          <w:color w:val="000000"/>
          <w:sz w:val="24"/>
        </w:rPr>
        <w:t>15.1.</w:t>
      </w:r>
      <w:r>
        <w:rPr>
          <w:rFonts w:ascii="Times New Roman;sans-serif" w:hAnsi="Times New Roman;sans-serif"/>
          <w:b/>
          <w:color w:val="000000"/>
          <w:sz w:val="24"/>
        </w:rPr>
        <w:t>Transaction Expenses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Whether or not the transactions contemplated hereby are consummated, the Company will pay all costs and expenses (including reasonable attorneys’ fees of a special counsel and, if reasonably required by the Required Holders, local or other counsel)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Subsidiary Guaranty and (c) the costs and expenses incurred in connection with the initial filing of this Agreement and all related documents and financial information with the SVO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costs and expenses under this clause (c) shall not exceed $3,500 per series of Notes. If required by the NAIC, the Company shall obtain and maintain at its own cost and expense a Legal Entity Identifier (LEI).</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(ii) any and all wire transfer fees that any bank or other financial institution deducts from any payment under such Note to such holder or otherwise charges to a holder of a Note with respect to a payment under such Note and (iii) any judgment, liability, claim, order, decree, fine, penalty, cost, fee, expense (including reasonable attorneys’ fees and expenses) or obligation resulting from the consummation of the transactions contemplated hereby, including the use of the proceeds of the Notes by the Company.</w:t>
      </w:r>
    </w:p>
    <w:p>
      <w:pPr>
        <w:pStyle w:val="TextBody"/>
        <w:bidi w:val="0"/>
        <w:spacing w:lineRule="auto" w:line="288"/>
        <w:ind w:left="0" w:right="0" w:firstLine="720"/>
        <w:jc w:val="both"/>
        <w:rPr/>
      </w:pPr>
      <w:r>
        <w:rPr>
          <w:rFonts w:ascii="Times New Roman;sans-serif" w:hAnsi="Times New Roman;sans-serif"/>
          <w:b/>
          <w:color w:val="000000"/>
          <w:sz w:val="24"/>
        </w:rPr>
        <w:t>15.2.</w:t>
      </w:r>
      <w:r>
        <w:rPr>
          <w:rFonts w:ascii="Times New Roman;sans-serif" w:hAnsi="Times New Roman;sans-serif"/>
          <w:b/>
          <w:color w:val="000000"/>
          <w:sz w:val="24"/>
        </w:rPr>
        <w:t>Certain Taxes</w:t>
      </w:r>
      <w:r>
        <w:rPr>
          <w:rFonts w:ascii="Times New Roman;sans-serif" w:hAnsi="Times New Roman;sans-serif"/>
          <w:b w:val="false"/>
          <w:color w:val="000000"/>
          <w:sz w:val="24"/>
        </w:rPr>
        <w:t>. The Company agrees to pay all stamp, documentary or similar taxes or fees which may be payable in respect of the execution and delivery or the enforcement of this Agreement or any Subsidiary Guaranty or the execution and delivery (but not the transfer) or the enforcement of any of the Notes in the United States or any other jurisdiction where the Company or any Subsidiary Guarantor has assets or of any amendment of, or waiver or consent under or with respect to, this Agreement or any Subsidiary Guaranty or of any of the Notes, and to pay any value added tax due and payable in respect of reimbursement of costs and expenses by the Company pursuant to this Section 15, and will save each holder of a Note to the extent permitted by applicable law harmless against any loss or liability resulting from nonpayment or delay in payment of any such tax or fee required to be paid by the Company hereunder.</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jc w:val="both"/>
        <w:rPr/>
      </w:pPr>
      <w:r>
        <w:rPr>
          <w:rFonts w:ascii="Times New Roman;sans-serif" w:hAnsi="Times New Roman;sans-serif"/>
          <w:b w:val="false"/>
          <w:color w:val="000000"/>
          <w:sz w:val="24"/>
        </w:rPr>
        <w:t>15.3.</w:t>
      </w:r>
      <w:r>
        <w:rPr>
          <w:rFonts w:ascii="Times New Roman;sans-serif" w:hAnsi="Times New Roman;sans-serif"/>
          <w:b/>
          <w:color w:val="000000"/>
          <w:sz w:val="24"/>
        </w:rPr>
        <w:t>Section 15.3    Survival</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The obligations of the Company under this Section 15 will survive the payment or transfer of any Note, the enforcement, amendment or waiver of any provision of this Agreement, any Subsidiary Guaranty or the Notes, and the termination of this Agreement.</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16.Survival of Representations and Warranties; Entire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Guarantees embody the entire agreement and understanding between each Purchaser and the Company and supersede all prior agreements and understandings relating to the subject matter hereof.</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 xml:space="preserve">17.Amendment and Waiver. </w:t>
      </w:r>
    </w:p>
    <w:p>
      <w:pPr>
        <w:pStyle w:val="TextBody"/>
        <w:bidi w:val="0"/>
        <w:spacing w:lineRule="auto" w:line="288" w:before="0" w:after="240"/>
        <w:ind w:left="0" w:right="0" w:firstLine="720"/>
        <w:jc w:val="both"/>
        <w:rPr/>
      </w:pPr>
      <w:r>
        <w:rPr>
          <w:rFonts w:ascii="Times New Roman;sans-serif" w:hAnsi="Times New Roman;sans-serif"/>
          <w:b/>
          <w:color w:val="000000"/>
          <w:sz w:val="24"/>
        </w:rPr>
        <w:t>17.1.</w:t>
      </w:r>
      <w:r>
        <w:rPr>
          <w:rFonts w:ascii="Times New Roman;sans-serif" w:hAnsi="Times New Roman;sans-serif"/>
          <w:b/>
          <w:color w:val="000000"/>
          <w:sz w:val="24"/>
        </w:rPr>
        <w:t>Requirements</w:t>
      </w:r>
      <w:r>
        <w:rPr>
          <w:rFonts w:ascii="Times New Roman;sans-serif" w:hAnsi="Times New Roman;sans-serif"/>
          <w:b w:val="false"/>
          <w:color w:val="000000"/>
          <w:sz w:val="24"/>
        </w:rPr>
        <w:t>. This Agreement and the Notes may be amended, and the observance of any term hereof or of the Notes may be waived (either retroactively or prospectively), only with the written consent of the Company and the Required Holders, except that:</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no amendment or waiver of any of Sections 1, 2, 3, 4, 5, 6 or 21 hereof, or any defined term (as it is used therein), will be effective as to any Purchaser unless consented to by such Purchaser in writing; and</w:t>
      </w:r>
    </w:p>
    <w:p>
      <w:pPr>
        <w:pStyle w:val="TextBody"/>
        <w:bidi w:val="0"/>
        <w:spacing w:lineRule="auto" w:line="276"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(iii) amend any of Sections 8 (except as set forth in the second sentence of Section 8.2), 11(a), 11(b), 12, 17 or 20.</w:t>
      </w:r>
    </w:p>
    <w:p>
      <w:pPr>
        <w:pStyle w:val="TextBody"/>
        <w:bidi w:val="0"/>
        <w:spacing w:lineRule="auto" w:line="288" w:before="0" w:after="240"/>
        <w:ind w:left="0" w:right="0" w:firstLine="720"/>
        <w:jc w:val="both"/>
        <w:rPr/>
      </w:pPr>
      <w:r>
        <w:rPr>
          <w:rFonts w:ascii="Times New Roman;sans-serif" w:hAnsi="Times New Roman;sans-serif"/>
          <w:b/>
          <w:color w:val="000000"/>
          <w:sz w:val="24"/>
        </w:rPr>
        <w:t>17.2.</w:t>
      </w:r>
      <w:r>
        <w:rPr>
          <w:rFonts w:ascii="Times New Roman;sans-serif" w:hAnsi="Times New Roman;sans-serif"/>
          <w:b/>
          <w:color w:val="000000"/>
          <w:sz w:val="24"/>
        </w:rPr>
        <w:t>Solicitation of Holders of Notes</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17.2.1.</w:t>
      </w:r>
      <w:r>
        <w:rPr>
          <w:rFonts w:ascii="Times New Roman;sans-serif" w:hAnsi="Times New Roman;sans-serif"/>
          <w:b w:val="false"/>
          <w:i/>
          <w:color w:val="000000"/>
          <w:sz w:val="24"/>
        </w:rPr>
        <w:t xml:space="preserve">Solicitation. </w:t>
      </w:r>
      <w:r>
        <w:rPr>
          <w:rFonts w:ascii="Times New Roman;sans-serif" w:hAnsi="Times New Roman;sans-serif"/>
          <w:b w:val="false"/>
          <w:color w:val="000000"/>
          <w:sz w:val="24"/>
        </w:rPr>
        <w:t xml:space="preserve">The Company will provide each holder of a Note with sufficient information, sufficiently far in advance of the date a decision is required, to enable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holder of a Note promptly following the date on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which it is executed and delivered by, or receives the consent or approval of, the requisite holders of Notes.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17.2.2.</w:t>
      </w:r>
      <w:r>
        <w:rPr>
          <w:rFonts w:ascii="Times New Roman;sans-serif" w:hAnsi="Times New Roman;sans-serif"/>
          <w:b w:val="false"/>
          <w:i/>
          <w:color w:val="000000"/>
          <w:sz w:val="24"/>
        </w:rPr>
        <w:t xml:space="preserve">Offer of Payment. </w:t>
      </w:r>
      <w:r>
        <w:rPr>
          <w:rFonts w:ascii="Times New Roman;sans-serif" w:hAnsi="Times New Roman;sans-serif"/>
          <w:b w:val="false"/>
          <w:color w:val="000000"/>
          <w:sz w:val="24"/>
        </w:rPr>
        <w:t>The Company will not offer to pay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of any Subsidiary Guaranty or any Note unless such remuneration is concurrently offered or security is concurrently granted or other credit support concurrently provided, on the same terms, ratably to each holder of a Note then outstanding.</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17.2.3.</w:t>
      </w:r>
      <w:r>
        <w:rPr>
          <w:rFonts w:ascii="Times New Roman;sans-serif" w:hAnsi="Times New Roman;sans-serif"/>
          <w:b w:val="false"/>
          <w:i/>
          <w:color w:val="000000"/>
          <w:sz w:val="24"/>
        </w:rPr>
        <w:t>Consent in Contemplation of Transfer.</w:t>
      </w:r>
      <w:r>
        <w:rPr>
          <w:color w:val="000000"/>
        </w:rPr>
        <w:t xml:space="preserve"> </w:t>
      </w:r>
      <w:r>
        <w:rPr>
          <w:rFonts w:ascii="Times New Roman;sans-serif" w:hAnsi="Times New Roman;sans-serif"/>
          <w:b w:val="false"/>
          <w:color w:val="000000"/>
          <w:sz w:val="24"/>
        </w:rPr>
        <w:t>Any consent given pursuant to this Section 17 or any Subsidiary Guaranty by a holder of a Note that has transferred or has agreed to transfer its Note to (i) the Company, (ii) any Subsidiary or any other Affiliate or (iii) any other Person in connection with, or in anticipation of, such other Person acquiring, making a tender offer for or merging with the Company and/or any of its Affiliates, in each case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w:t>
      </w:r>
    </w:p>
    <w:p>
      <w:pPr>
        <w:pStyle w:val="TextBody"/>
        <w:bidi w:val="0"/>
        <w:spacing w:lineRule="auto" w:line="288" w:before="0" w:after="240"/>
        <w:ind w:left="0" w:right="0" w:firstLine="720"/>
        <w:jc w:val="both"/>
        <w:rPr/>
      </w:pPr>
      <w:r>
        <w:rPr>
          <w:rFonts w:ascii="Times New Roman;sans-serif" w:hAnsi="Times New Roman;sans-serif"/>
          <w:b/>
          <w:color w:val="000000"/>
          <w:sz w:val="24"/>
        </w:rPr>
        <w:t>17.3.</w:t>
      </w:r>
      <w:r>
        <w:rPr>
          <w:rFonts w:ascii="Times New Roman;sans-serif" w:hAnsi="Times New Roman;sans-serif"/>
          <w:b/>
          <w:color w:val="000000"/>
          <w:sz w:val="24"/>
        </w:rPr>
        <w:t>Binding Effect, Etc</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Any amendment or waiver consented to as provided in this Section 17 or any Subsidiary Guaranty applies equally to all holders of Notes and is binding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holder of a Note and no delay in exercising any rights hereunder or under any Note or Subsidiary Guaranty shall operate as a waiver of any rights of any holder of such Note. </w:t>
      </w:r>
    </w:p>
    <w:p>
      <w:pPr>
        <w:pStyle w:val="TextBody"/>
        <w:bidi w:val="0"/>
        <w:spacing w:lineRule="auto" w:line="288" w:before="0" w:after="240"/>
        <w:ind w:left="0" w:right="0" w:firstLine="720"/>
        <w:jc w:val="both"/>
        <w:rPr/>
      </w:pPr>
      <w:r>
        <w:rPr>
          <w:rFonts w:ascii="Times New Roman;sans-serif" w:hAnsi="Times New Roman;sans-serif"/>
          <w:b/>
          <w:color w:val="000000"/>
          <w:sz w:val="24"/>
        </w:rPr>
        <w:t>17.4.</w:t>
      </w:r>
      <w:r>
        <w:rPr>
          <w:rFonts w:ascii="Times New Roman;sans-serif" w:hAnsi="Times New Roman;sans-serif"/>
          <w:b/>
          <w:color w:val="000000"/>
          <w:sz w:val="24"/>
        </w:rPr>
        <w:t>Notes Held by Company, Etc</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Solely for the purpose of determining whether the holders of the requisite 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in the Notes to be taken upon the direction of the holders of a specified percentage of the aggregate principal amount of Notes then outstanding, Notes directly or indirectly owned by the Company or any of its Affiliates shall be deemed not to be outstanding.</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18.Notices.</w:t>
      </w:r>
    </w:p>
    <w:p>
      <w:pPr>
        <w:pStyle w:val="TextBody"/>
        <w:bidi w:val="0"/>
        <w:spacing w:lineRule="auto" w:line="288"/>
        <w:ind w:left="0" w:right="0" w:firstLine="490"/>
        <w:jc w:val="both"/>
        <w:rPr>
          <w:color w:val="000000"/>
        </w:rPr>
      </w:pPr>
      <w:r>
        <w:rPr>
          <w:color w:val="000000"/>
        </w:rPr>
        <w:t>    </w:t>
      </w:r>
      <w:r>
        <w:rPr>
          <w:rFonts w:ascii="Times New Roman;sans-serif" w:hAnsi="Times New Roman;sans-serif"/>
          <w:b w:val="false"/>
          <w:color w:val="000000"/>
          <w:sz w:val="24"/>
        </w:rPr>
        <w:t xml:space="preserve">Except to the extent otherwise provided in Section 7.4, all notices and communications provided for hereunder shall be in writing and sent (a) by telecopy if the sender on the same day sends a confirming copy of such notice by an internationally recognized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overnight delivery service (charges prepaid), or (b) by registered or certified mail with return receipt requested (postage prepaid), (c) by an internationally recognized overnight delivery service (with charges prepaid) or (d) by electronic communication (including e-mail) to those Purchasers who include an e-mail address in Schedule A specifically for such purpose. Any such notice must be sent:</w:t>
      </w:r>
    </w:p>
    <w:p>
      <w:pPr>
        <w:pStyle w:val="TextBody"/>
        <w:bidi w:val="0"/>
        <w:spacing w:lineRule="auto" w:line="288" w:before="0" w:after="0"/>
        <w:ind w:left="0" w:right="0" w:firstLine="490"/>
        <w:jc w:val="left"/>
        <w:rPr>
          <w:color w:val="000000"/>
        </w:rPr>
      </w:pPr>
      <w:r>
        <w:rPr>
          <w:color w:val="000000"/>
        </w:rPr>
        <w:t>        </w:t>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(i)if to any Purchaser or its nominee, to such Purchaser or nominee at the address or e-mail address specified for such communications in Schedule A, or at such other address as such Purchaser or nominee shall have specified to U.S. Bank in writing,</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(ii)if to any other holder of any Note, to such holder at such address or e-mail address as such other holder shall have specified to U.S. Bank in writing,</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(iii)if to the Company, to the Company at its address set forth at the beginning hereof to the attention of its General Counsel or to Treasury@allete.com, or at such other address or e-mail address as the Company shall have specified to the holder of each Note in writing, or</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(iv)if to U.S. Bank, to U.S. Bank at its address set forth below, or at such other address as U.S. Bank shall have specified to the holder of each Note in writing: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U.S. Bank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West Side Flats St. Paul</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111 Filmore Avenue</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St. Paul, Minnesota 55107</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Attn: ALLETE Notes Paying Agent Administrator</w: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Notices under this Section 18 will be deemed given only when actually received.</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19.Reproduction of Documents.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and all documents relating thereto, including (a) consents, waivers and modifications that may hereafter be executed, (b) documents received by any Purchaser at the Closing (except the Notes themselves), and (c) financial statements, certificates and other information previously or hereafter furnished to any Purchaser, may be reproduced by such Purchaser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reproduction to the same extent that it could contest the original, or from introducing evidence to demonstrate the inaccuracy of any such reproduction.</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20.Confidential Information.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For the purposes of this Section 20, “</w:t>
      </w:r>
      <w:r>
        <w:rPr>
          <w:rFonts w:ascii="Times New Roman;sans-serif" w:hAnsi="Times New Roman;sans-serif"/>
          <w:b/>
          <w:color w:val="000000"/>
          <w:sz w:val="24"/>
        </w:rPr>
        <w:t>Confidential Information</w:t>
      </w:r>
      <w:r>
        <w:rPr>
          <w:color w:val="000000"/>
        </w:rPr>
        <w:t xml:space="preserve">” </w:t>
      </w:r>
      <w:r>
        <w:rPr>
          <w:rFonts w:ascii="Times New Roman;sans-serif" w:hAnsi="Times New Roman;sans-serif"/>
          <w:b w:val="false"/>
          <w:color w:val="000000"/>
          <w:sz w:val="24"/>
        </w:rPr>
        <w:t xml:space="preserve">means information delivered to any Purchaser or any holder of Notes by or on behalf of the Company or any Subsidiary in connection with the transactions contemplated by or otherwise pursuant to this Agreement that is proprietary in nature and that was clearly marked or labeled or otherwise adequately identified when received by such Purchaser or any holder of Notes as being confidential information of the Company or such Subsidiary, provided that such term does not include information that (a) was publicly known or otherwise known to such Purchaser or such holder of Notes prior to the time of such disclosure, (b) subsequently becomes publicly known through no act or omission by such Purchaser or such holder of Notes or any Person acting on such Purchaser’s or such holder’s behalf, (c) otherwise becomes known to such Purchaser or such holder of Notes other than through disclosure by the Company or any Subsidiary or (d) constitutes financial statements delivered to such Purchaser or such holder of Notes under Section 7.1 that are otherwise publicly available. Each Purchaser and each holder of Notes will maintain the confidentiality of such Confidential Information in accordance with procedures adopted by such Purchaser or such holder of Notes in good faith to protect confidential information of third parties delivered to such Purchaser or such holder of Notes, provided that such Purchaser or such holder of Notes may deliver or disclose Confidential Information to (i) its directors, officers, employees, agents, attorneys, trustees and affiliates (to the extent such 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or such holder of Notes, (vii) the NAIC or the SVO or, in each case, any similar organization, or any nationally recognized rating agency that requires access to information about such Purchaser’s or such holder’s investment portfolio, or (viii) any other Person to which such delivery or disclosure may be necessary or appropriate (w) to effect compliance with any law, rule, regulation or order applicable to such Purchaser or such holder of Notes, (x) in response to any subpoena or other legal process, (y) in connection with any litigation to which such Purchaser or such holder of Notes is a party or (z) if an Event of Default has occurred and is continuing, to the extent such Purchaser or such holder of Notes may reasonably determine such delivery and disclosure to be necessary or appropriate in the enforcement or for the protection of the rights and remedies under such Purchaser’s or such holder’s Notes, this Agreement or any Subsidiary Guaranty.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required to be delivered to such holder under this Agreement or requested by such holder (other than a holder that is a party to this Agreement or its nominee), such holder will enter into an agreement with the Company embodying this Section 20.</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21.Substitution of Purchaser.</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Each Purchaser shall have the right to substitute any one of its Affiliates or another Purchaser or any one of such other Purchaser’s Affiliates (a </w:t>
      </w:r>
      <w:r>
        <w:rPr>
          <w:color w:val="000000"/>
        </w:rPr>
        <w:t>“</w:t>
      </w:r>
      <w:r>
        <w:rPr>
          <w:rFonts w:ascii="Times New Roman;sans-serif" w:hAnsi="Times New Roman;sans-serif"/>
          <w:b/>
          <w:color w:val="000000"/>
          <w:sz w:val="24"/>
        </w:rPr>
        <w:t>Substitute Purchaser”</w:t>
      </w:r>
      <w:r>
        <w:rPr>
          <w:rFonts w:ascii="Times New Roman;sans-serif" w:hAnsi="Times New Roman;sans-serif"/>
          <w:b w:val="false"/>
          <w:color w:val="000000"/>
          <w:sz w:val="24"/>
        </w:rPr>
        <w:t>)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w:t>
      </w:r>
    </w:p>
    <w:p>
      <w:pPr>
        <w:pStyle w:val="TextBody"/>
        <w:bidi w:val="0"/>
        <w:spacing w:lineRule="auto" w:line="288" w:before="0" w:after="240"/>
        <w:ind w:left="0" w:right="0" w:hanging="1728"/>
        <w:jc w:val="left"/>
        <w:rPr>
          <w:rFonts w:ascii="Times New Roman;sans-serif" w:hAnsi="Times New Roman;sans-serif"/>
          <w:b/>
          <w:color w:val="000000"/>
          <w:sz w:val="24"/>
        </w:rPr>
      </w:pPr>
      <w:r>
        <w:rPr>
          <w:rFonts w:ascii="Times New Roman;sans-serif" w:hAnsi="Times New Roman;sans-serif"/>
          <w:b/>
          <w:color w:val="000000"/>
          <w:sz w:val="24"/>
        </w:rPr>
        <w:t>22.Miscellaneous.</w:t>
      </w:r>
    </w:p>
    <w:p>
      <w:pPr>
        <w:pStyle w:val="TextBody"/>
        <w:bidi w:val="0"/>
        <w:spacing w:lineRule="auto" w:line="288" w:before="0" w:after="240"/>
        <w:ind w:left="0" w:right="0" w:firstLine="720"/>
        <w:jc w:val="both"/>
        <w:rPr/>
      </w:pPr>
      <w:r>
        <w:rPr>
          <w:rFonts w:ascii="Times New Roman;sans-serif" w:hAnsi="Times New Roman;sans-serif"/>
          <w:b/>
          <w:color w:val="000000"/>
          <w:sz w:val="24"/>
        </w:rPr>
        <w:t>22.1.</w:t>
      </w:r>
      <w:r>
        <w:rPr>
          <w:rFonts w:ascii="Times New Roman;sans-serif" w:hAnsi="Times New Roman;sans-serif"/>
          <w:b/>
          <w:color w:val="000000"/>
          <w:sz w:val="24"/>
        </w:rPr>
        <w:t>Successors and Assigns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All covenants and other agreements contained in this Agreement by or on behalf of any of the parties hereto bind and inure to the benefit of their respective successors and assigns (including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w:t>
      </w:r>
    </w:p>
    <w:p>
      <w:pPr>
        <w:pStyle w:val="TextBody"/>
        <w:bidi w:val="0"/>
        <w:spacing w:lineRule="auto" w:line="288" w:before="0" w:after="240"/>
        <w:ind w:left="0" w:right="0" w:firstLine="720"/>
        <w:jc w:val="both"/>
        <w:rPr/>
      </w:pPr>
      <w:r>
        <w:rPr>
          <w:rFonts w:ascii="Times New Roman;sans-serif" w:hAnsi="Times New Roman;sans-serif"/>
          <w:b/>
          <w:color w:val="000000"/>
          <w:sz w:val="24"/>
        </w:rPr>
        <w:t>22.2.</w:t>
      </w:r>
      <w:r>
        <w:rPr>
          <w:rFonts w:ascii="Times New Roman;sans-serif" w:hAnsi="Times New Roman;sans-serif"/>
          <w:b/>
          <w:color w:val="000000"/>
          <w:sz w:val="24"/>
        </w:rPr>
        <w:t>Accounting Terms</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For purposes of determining compliance with this Agreement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(including Section 9, Section 10 and the definition of “Indebtedness”), any election by the Company to measure any financial liability using fair value (as permitted by Financial Accounting Standards Board Accounting Standards Codification Topic No. 825-10-25 – </w:t>
      </w:r>
      <w:r>
        <w:rPr>
          <w:rFonts w:ascii="Times New Roman;sans-serif" w:hAnsi="Times New Roman;sans-serif"/>
          <w:b w:val="false"/>
          <w:i/>
          <w:color w:val="000000"/>
          <w:sz w:val="24"/>
        </w:rPr>
        <w:t>Fair Value Option</w:t>
      </w:r>
      <w:r>
        <w:rPr>
          <w:rFonts w:ascii="Times New Roman;sans-serif" w:hAnsi="Times New Roman;sans-serif"/>
          <w:b w:val="false"/>
          <w:color w:val="000000"/>
          <w:sz w:val="24"/>
        </w:rPr>
        <w:t xml:space="preserve">, International Accounting Standard 39 – </w:t>
      </w:r>
      <w:r>
        <w:rPr>
          <w:rFonts w:ascii="Times New Roman;sans-serif" w:hAnsi="Times New Roman;sans-serif"/>
          <w:b w:val="false"/>
          <w:i/>
          <w:color w:val="000000"/>
          <w:sz w:val="24"/>
        </w:rPr>
        <w:t xml:space="preserve">Financial Instruments: Recognition and Measurement </w:t>
      </w:r>
      <w:r>
        <w:rPr>
          <w:rFonts w:ascii="Times New Roman;sans-serif" w:hAnsi="Times New Roman;sans-serif"/>
          <w:b w:val="false"/>
          <w:color w:val="000000"/>
          <w:sz w:val="24"/>
        </w:rPr>
        <w:t>or any similar accounting standard) shall be disregarded and such determination shall be made as if such election had not been made.</w:t>
      </w:r>
    </w:p>
    <w:p>
      <w:pPr>
        <w:pStyle w:val="TextBody"/>
        <w:bidi w:val="0"/>
        <w:spacing w:lineRule="auto" w:line="288" w:before="0" w:after="240"/>
        <w:ind w:left="0" w:right="0" w:firstLine="720"/>
        <w:jc w:val="both"/>
        <w:rPr/>
      </w:pPr>
      <w:r>
        <w:rPr>
          <w:rFonts w:ascii="Times New Roman;sans-serif" w:hAnsi="Times New Roman;sans-serif"/>
          <w:b/>
          <w:color w:val="000000"/>
          <w:sz w:val="24"/>
        </w:rPr>
        <w:t>22.3.</w:t>
      </w:r>
      <w:r>
        <w:rPr>
          <w:rFonts w:ascii="Times New Roman;sans-serif" w:hAnsi="Times New Roman;sans-serif"/>
          <w:b/>
          <w:color w:val="000000"/>
          <w:sz w:val="24"/>
        </w:rPr>
        <w:t>Severability</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w:t>
      </w:r>
    </w:p>
    <w:p>
      <w:pPr>
        <w:pStyle w:val="TextBody"/>
        <w:bidi w:val="0"/>
        <w:spacing w:lineRule="auto" w:line="288" w:before="0" w:after="240"/>
        <w:ind w:left="0" w:right="0" w:firstLine="720"/>
        <w:jc w:val="both"/>
        <w:rPr/>
      </w:pPr>
      <w:r>
        <w:rPr>
          <w:rFonts w:ascii="Times New Roman;sans-serif" w:hAnsi="Times New Roman;sans-serif"/>
          <w:b/>
          <w:color w:val="000000"/>
          <w:sz w:val="24"/>
        </w:rPr>
        <w:t>22.4.</w:t>
      </w:r>
      <w:r>
        <w:rPr>
          <w:rFonts w:ascii="Times New Roman;sans-serif" w:hAnsi="Times New Roman;sans-serif"/>
          <w:b/>
          <w:color w:val="000000"/>
          <w:sz w:val="24"/>
        </w:rPr>
        <w:t>Construction, Etc</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Schedules and Exhibits shall be construed to refer to Sections of, and Schedules and Exhibits to, this Agreement, and (e) any reference to any law or regulation herein shall, unless otherwise specified, refer to such law or regulation as amended, modified or supplemented from time to time.</w:t>
      </w:r>
      <w:r>
        <w:rPr>
          <w:color w:val="000000"/>
        </w:rPr>
        <w:t>    </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color w:val="000000"/>
          <w:sz w:val="24"/>
        </w:rPr>
        <w:t>22.5.</w:t>
      </w:r>
      <w:r>
        <w:rPr>
          <w:rFonts w:ascii="Times New Roman;sans-serif" w:hAnsi="Times New Roman;sans-serif"/>
          <w:b/>
          <w:color w:val="000000"/>
          <w:sz w:val="24"/>
        </w:rPr>
        <w:t>Counterparts; Electronic Contracting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Each counterpart may consist of a number of copies hereof, each signed by less than all, but together signed by all, of the parties hereto. The parties agree to electronic contracting and signatures with respect to this Agreement and the other related documents (other than the Notes).  Delivery of an electronic signature to, or a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signed copy of, this Agreement and such other related documents (other than the Notes) by facsimile, email or other electronic transmission shall be fully binding on the parties to the same extent as the delivery of the signed originals and shall be admissible into evidence for all purposes.</w:t>
      </w:r>
    </w:p>
    <w:p>
      <w:pPr>
        <w:pStyle w:val="TextBody"/>
        <w:bidi w:val="0"/>
        <w:spacing w:lineRule="auto" w:line="288" w:before="0" w:after="240"/>
        <w:ind w:left="0" w:right="0" w:firstLine="720"/>
        <w:jc w:val="both"/>
        <w:rPr/>
      </w:pPr>
      <w:r>
        <w:rPr>
          <w:rFonts w:ascii="Times New Roman;sans-serif" w:hAnsi="Times New Roman;sans-serif"/>
          <w:b/>
          <w:color w:val="000000"/>
          <w:sz w:val="24"/>
        </w:rPr>
        <w:t>22.6.</w:t>
      </w:r>
      <w:r>
        <w:rPr>
          <w:rFonts w:ascii="Times New Roman;sans-serif" w:hAnsi="Times New Roman;sans-serif"/>
          <w:b/>
          <w:color w:val="000000"/>
          <w:sz w:val="24"/>
        </w:rPr>
        <w:t>Governing Law</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w:t>
      </w:r>
    </w:p>
    <w:p>
      <w:pPr>
        <w:pStyle w:val="TextBody"/>
        <w:bidi w:val="0"/>
        <w:spacing w:lineRule="auto" w:line="288" w:before="0" w:after="0"/>
        <w:ind w:left="0" w:right="0" w:firstLine="720"/>
        <w:jc w:val="both"/>
        <w:rPr/>
      </w:pPr>
      <w:r>
        <w:rPr>
          <w:rFonts w:ascii="Times New Roman;sans-serif" w:hAnsi="Times New Roman;sans-serif"/>
          <w:b/>
          <w:color w:val="000000"/>
          <w:sz w:val="24"/>
        </w:rPr>
        <w:t>22.7.</w:t>
      </w:r>
      <w:r>
        <w:rPr>
          <w:rFonts w:ascii="Times New Roman;sans-serif" w:hAnsi="Times New Roman;sans-serif"/>
          <w:b/>
          <w:color w:val="000000"/>
          <w:sz w:val="24"/>
        </w:rPr>
        <w:t>Jurisdiction and Process; Waiver of Jury Trial</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(b)    The Company agrees, to the fullest extent permitted by applicable law, that a final judgment in any suit, action or proceeding of the nature referred to in Section 22.7(a) brought in any such court shall be conclusive and binding upon it subject to rights of appeal, as the case may be, and may be enforced in the courts of the United States of America or the State of New York (or any other courts to the jurisdiction of which it or any of its assets is or may be subject) by a suit upon such judgment.</w: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(c)    The Company consents to process being served by or on behalf of any holder of Notes in any suit, action or proceeding of the nature referred to in Section 22.7(a) by mailing a copy thereof by registered, certified, priority or express mail (or any substantially similar form of mail), postage prepaid, return receipt or delivery confirmation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w:t>
      </w:r>
    </w:p>
    <w:p>
      <w:pPr>
        <w:pStyle w:val="TextBody"/>
        <w:bidi w:val="0"/>
        <w:spacing w:lineRule="atLeast" w:line="280" w:before="280" w:after="283"/>
        <w:jc w:val="both"/>
        <w:rPr>
          <w:color w:val="000000"/>
        </w:rPr>
      </w:pPr>
      <w:r>
        <w:rPr>
          <w:color w:val="000000"/>
        </w:rPr>
        <w:t>    </w:t>
      </w:r>
      <w:r>
        <w:rPr>
          <w:rFonts w:ascii="Times New Roman;sans-serif" w:hAnsi="Times New Roman;sans-serif"/>
          <w:b w:val="false"/>
          <w:color w:val="000000"/>
          <w:sz w:val="24"/>
        </w:rPr>
        <w:t>(d)    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280" w:after="283"/>
        <w:jc w:val="both"/>
        <w:rPr>
          <w:color w:val="000000"/>
        </w:rPr>
      </w:pPr>
      <w:r>
        <w:rPr>
          <w:color w:val="000000"/>
        </w:rPr>
        <w:t>    </w:t>
      </w:r>
      <w:r>
        <w:rPr>
          <w:rFonts w:ascii="Times New Roman;sans-serif" w:hAnsi="Times New Roman;sans-serif"/>
          <w:b w:val="false"/>
          <w:color w:val="000000"/>
          <w:sz w:val="24"/>
        </w:rPr>
        <w:t>(e)    The parties hereto hereby waive trial by jury in any action brought on or with respect to this Agreement, the Notes or any other document executed in connection herewith or therewith.</w:t>
      </w:r>
    </w:p>
    <w:p>
      <w:pPr>
        <w:pStyle w:val="TextBody"/>
        <w:bidi w:val="0"/>
        <w:spacing w:before="0" w:after="0"/>
        <w:jc w:val="left"/>
        <w:rPr/>
      </w:pPr>
      <w:r>
        <w:rPr/>
      </w:r>
    </w:p>
    <w:p>
      <w:pPr>
        <w:pStyle w:val="TextBody"/>
        <w:bidi w:val="0"/>
        <w:spacing w:lineRule="auto" w:line="288" w:before="24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 * * * *</w:t>
      </w:r>
    </w:p>
    <w:p>
      <w:pPr>
        <w:pStyle w:val="TextBody"/>
        <w:bidi w:val="0"/>
        <w:spacing w:before="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in agreement with the foregoing, please sign the form of agreement on a counterpart of this Agreement and return it to the Company, whereupon this Agreement shall become a binding agreement between you and the Company.</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Jeffrey J. Scissons</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Chief Financial </w:t>
      </w:r>
    </w:p>
    <w:p>
      <w:pPr>
        <w:pStyle w:val="TextBody"/>
        <w:bidi w:val="0"/>
        <w:spacing w:lineRule="auto" w:line="288" w:before="0" w:after="0"/>
        <w:ind w:left="0" w:right="0" w:firstLine="634"/>
        <w:jc w:val="left"/>
        <w:rPr>
          <w:rFonts w:ascii="Times New Roman;sans-serif" w:hAnsi="Times New Roman;sans-serif"/>
          <w:b w:val="false"/>
          <w:color w:val="000000"/>
          <w:sz w:val="24"/>
        </w:rPr>
      </w:pPr>
      <w:r>
        <w:rPr>
          <w:rFonts w:ascii="Times New Roman;sans-serif" w:hAnsi="Times New Roman;sans-serif"/>
          <w:b w:val="false"/>
          <w:color w:val="000000"/>
          <w:sz w:val="24"/>
        </w:rPr>
        <w:t>Officer and Corporate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280" w:after="283"/>
        <w:ind w:left="0" w:right="0" w:firstLine="72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tLeast"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360" w:after="283"/>
        <w:ind w:left="0" w:right="0" w:hanging="360"/>
        <w:jc w:val="left"/>
        <w:rPr>
          <w:color w:val="212121"/>
        </w:rPr>
      </w:pPr>
      <w:r>
        <w:rPr>
          <w:color w:val="212121"/>
        </w:rPr>
        <w:t>    </w:t>
      </w:r>
      <w:r>
        <w:rPr>
          <w:rFonts w:ascii="Times New Roman;sans-serif" w:hAnsi="Times New Roman;sans-serif"/>
          <w:b w:val="false"/>
          <w:color w:val="212121"/>
          <w:sz w:val="24"/>
        </w:rPr>
        <w:t>Nationwide Life Insurance Company</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lineRule="atLeast" w:line="280" w:before="360" w:after="283"/>
        <w:ind w:left="0" w:right="0" w:hanging="360"/>
        <w:jc w:val="left"/>
        <w:rPr>
          <w:color w:val="212121"/>
        </w:rPr>
      </w:pPr>
      <w:r>
        <w:rPr>
          <w:color w:val="212121"/>
        </w:rPr>
        <w:t>    </w:t>
      </w:r>
      <w:r>
        <w:rPr>
          <w:rFonts w:ascii="Times New Roman;sans-serif" w:hAnsi="Times New Roman;sans-serif"/>
          <w:b w:val="false"/>
          <w:color w:val="212121"/>
          <w:sz w:val="24"/>
        </w:rPr>
        <w:t>Nationwide Mutual Insurance Company</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lineRule="atLeast" w:line="280" w:before="360" w:after="283"/>
        <w:ind w:left="0" w:right="0" w:hanging="360"/>
        <w:jc w:val="left"/>
        <w:rPr>
          <w:color w:val="212121"/>
        </w:rPr>
      </w:pPr>
      <w:r>
        <w:rPr>
          <w:color w:val="212121"/>
        </w:rPr>
        <w:t>    </w:t>
      </w:r>
      <w:r>
        <w:rPr>
          <w:rFonts w:ascii="Times New Roman;sans-serif" w:hAnsi="Times New Roman;sans-serif"/>
          <w:b w:val="false"/>
          <w:color w:val="212121"/>
          <w:sz w:val="24"/>
        </w:rPr>
        <w:t>Nationwide Life and Annuity Insurance Company</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-48-</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color w:val="000000"/>
        </w:rPr>
      </w:pPr>
      <w:r>
        <w:rPr>
          <w:color w:val="000000"/>
        </w:rPr>
        <w:t>    </w:t>
      </w:r>
      <w:r>
        <w:rPr>
          <w:rFonts w:ascii="Times New Roman;sans-serif" w:hAnsi="Times New Roman;sans-serif"/>
          <w:b w:val="false"/>
          <w:color w:val="000000"/>
          <w:sz w:val="24"/>
        </w:rPr>
        <w:t>CoBank, ACB</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-49-</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color w:val="000000"/>
        </w:rPr>
      </w:pPr>
      <w:r>
        <w:rPr>
          <w:color w:val="000000"/>
        </w:rPr>
        <w:t>    </w:t>
      </w:r>
      <w:r>
        <w:rPr>
          <w:rFonts w:ascii="Times New Roman;sans-serif" w:hAnsi="Times New Roman;sans-serif"/>
          <w:b w:val="false"/>
          <w:color w:val="000000"/>
          <w:sz w:val="24"/>
        </w:rPr>
        <w:t>The Lincoln National Life Insurance Company</w:t>
      </w:r>
    </w:p>
    <w:p>
      <w:pPr>
        <w:pStyle w:val="TextBody"/>
        <w:bidi w:val="0"/>
        <w:spacing w:lineRule="atLeast" w:line="280" w:before="140" w:after="283"/>
        <w:ind w:left="0" w:right="0" w:hanging="450"/>
        <w:jc w:val="left"/>
        <w:rPr>
          <w:color w:val="000000"/>
        </w:rPr>
      </w:pPr>
      <w:r>
        <w:rPr>
          <w:color w:val="000000"/>
        </w:rPr>
        <w:t>    </w:t>
      </w:r>
      <w:r>
        <w:rPr>
          <w:rFonts w:ascii="Times New Roman;sans-serif" w:hAnsi="Times New Roman;sans-serif"/>
          <w:b w:val="false"/>
          <w:color w:val="000000"/>
          <w:sz w:val="23"/>
        </w:rPr>
        <w:t>By: Macquarie Investment Management Advisers, a series of Macquarie Investment Management Business Trust, Attorney in Fact</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-50-</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360" w:after="283"/>
        <w:ind w:left="0" w:right="0" w:hanging="360"/>
        <w:jc w:val="left"/>
        <w:rPr>
          <w:color w:val="000000"/>
        </w:rPr>
      </w:pPr>
      <w:r>
        <w:rPr>
          <w:color w:val="000000"/>
        </w:rPr>
        <w:t>    </w:t>
      </w:r>
      <w:r>
        <w:rPr>
          <w:rFonts w:ascii="Times New Roman;sans-serif" w:hAnsi="Times New Roman;sans-serif"/>
          <w:b w:val="false"/>
          <w:color w:val="000000"/>
          <w:sz w:val="24"/>
        </w:rPr>
        <w:t>Ensign Peak Advisors, Inc.</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Name: Matthew D. Dall</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Title: Head of Credit Research</w:t>
      </w:r>
    </w:p>
    <w:p>
      <w:pPr>
        <w:pStyle w:val="TextBody"/>
        <w:bidi w:val="0"/>
        <w:spacing w:lineRule="atLeast" w:line="280" w:before="360" w:after="283"/>
        <w:ind w:left="0" w:right="0" w:hanging="360"/>
        <w:jc w:val="left"/>
        <w:rPr>
          <w:color w:val="000000"/>
        </w:rPr>
      </w:pPr>
      <w:r>
        <w:rPr>
          <w:color w:val="000000"/>
        </w:rPr>
        <w:t>    </w:t>
      </w:r>
      <w:r>
        <w:rPr>
          <w:rFonts w:ascii="Times New Roman;sans-serif" w:hAnsi="Times New Roman;sans-serif"/>
          <w:b w:val="false"/>
          <w:color w:val="000000"/>
          <w:sz w:val="24"/>
        </w:rPr>
        <w:t>Clifton Park Capital Management, LLC</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Name: Matthew D. Dall</w:t>
      </w:r>
    </w:p>
    <w:p>
      <w:pPr>
        <w:pStyle w:val="TextBody"/>
        <w:bidi w:val="0"/>
        <w:spacing w:lineRule="auto" w:line="324"/>
        <w:ind w:left="0" w:right="0" w:hanging="360"/>
        <w:jc w:val="left"/>
        <w:rPr>
          <w:color w:val="000000"/>
        </w:rPr>
      </w:pPr>
      <w:r>
        <w:rPr>
          <w:color w:val="000000"/>
        </w:rPr>
        <w:t>    </w:t>
      </w:r>
      <w:r>
        <w:rPr>
          <w:rFonts w:ascii="Times New Roman;sans-serif" w:hAnsi="Times New Roman;sans-serif"/>
          <w:b w:val="false"/>
          <w:color w:val="000000"/>
          <w:sz w:val="24"/>
        </w:rPr>
        <w:t>Title: Head of Credit Research</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-51-</w:t>
                      </w:r>
                    </w:p>
                  </w:txbxContent>
                </v:textbox>
                <w10:wrap type="none"/>
              </v:rect>
            </w:pict>
          </mc:Fallback>
        </mc:AlternateContent>
      </w:r>
    </w:p>
    <w:p>
      <w:pPr>
        <w:pStyle w:val="TextBody"/>
        <w:bidi w:val="0"/>
        <w:spacing w:before="0" w:after="0"/>
        <w:jc w:val="left"/>
        <w:rPr/>
      </w:pPr>
      <w:r>
        <w:rPr/>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tLeast" w:line="280" w:before="280" w:after="283"/>
        <w:ind w:left="0" w:right="0" w:hanging="360"/>
        <w:jc w:val="left"/>
        <w:rPr>
          <w:color w:val="000000"/>
        </w:rPr>
      </w:pPr>
      <w:r>
        <w:rPr>
          <w:color w:val="000000"/>
        </w:rPr>
        <w:t>    </w:t>
      </w:r>
      <w:r>
        <w:rPr>
          <w:rFonts w:ascii="Times New Roman;sans-serif" w:hAnsi="Times New Roman;sans-serif"/>
          <w:b w:val="false"/>
          <w:color w:val="000000"/>
          <w:sz w:val="24"/>
        </w:rPr>
        <w:t>Continental Casualty Company</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tLeast"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hereby accepted and agreed to as of the date hereof.</w:t>
      </w:r>
    </w:p>
    <w:p>
      <w:pPr>
        <w:pStyle w:val="TextBody"/>
        <w:bidi w:val="0"/>
        <w:spacing w:lineRule="auto" w:line="288" w:before="360" w:after="283"/>
        <w:ind w:left="0" w:right="0" w:firstLine="468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Southern Farm Bureau Life Insurance </w:t>
      </w:r>
    </w:p>
    <w:p>
      <w:pPr>
        <w:pStyle w:val="TextBody"/>
        <w:bidi w:val="0"/>
        <w:spacing w:lineRule="auto" w:line="288" w:before="0" w:after="0"/>
        <w:ind w:left="0" w:right="0" w:firstLine="5130"/>
        <w:jc w:val="left"/>
        <w:rPr>
          <w:rFonts w:ascii="Times New Roman;sans-serif" w:hAnsi="Times New Roman;sans-serif"/>
          <w:b w:val="false"/>
          <w:color w:val="000000"/>
          <w:sz w:val="24"/>
        </w:rPr>
      </w:pPr>
      <w:r>
        <w:rPr>
          <w:rFonts w:ascii="Times New Roman;sans-serif" w:hAnsi="Times New Roman;sans-serif"/>
          <w:b w:val="false"/>
          <w:color w:val="000000"/>
          <w:sz w:val="24"/>
        </w:rPr>
        <w:t>Company</w:t>
      </w:r>
    </w:p>
    <w:p>
      <w:pPr>
        <w:pStyle w:val="TextBody"/>
        <w:bidi w:val="0"/>
        <w:spacing w:lineRule="auto" w:line="324" w:before="640" w:after="283"/>
        <w:ind w:left="0" w:right="0" w:hanging="360"/>
        <w:jc w:val="left"/>
        <w:rPr>
          <w:color w:val="000000"/>
        </w:rPr>
      </w:pPr>
      <w:r>
        <w:rPr>
          <w:color w:val="000000"/>
        </w:rPr>
        <w:t>    </w:t>
      </w:r>
      <w:r>
        <w:rPr>
          <w:rFonts w:ascii="Times New Roman;sans-serif" w:hAnsi="Times New Roman;sans-serif"/>
          <w:b w:val="false"/>
          <w:color w:val="000000"/>
          <w:sz w:val="24"/>
        </w:rPr>
        <w:t>By: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Name: Bradley Blakney</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Title: Director</w:t>
      </w:r>
    </w:p>
    <w:p>
      <w:pPr>
        <w:pStyle w:val="TextBody"/>
        <w:bidi w:val="0"/>
        <w:spacing w:before="280" w:after="283"/>
        <w:ind w:left="0" w:right="0" w:firstLine="72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280" w:after="283"/>
        <w:jc w:val="both"/>
        <w:rPr/>
      </w:pPr>
      <w:r>
        <w:rPr/>
      </w:r>
    </w:p>
    <w:p>
      <w:pPr>
        <w:pStyle w:val="TextBody"/>
        <w:bidi w:val="0"/>
        <w:spacing w:before="280" w:after="283"/>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80"/>
        <w:jc w:val="center"/>
        <w:rPr>
          <w:rFonts w:ascii="Times New Roman;sans-serif" w:hAnsi="Times New Roman;sans-serif"/>
          <w:b/>
          <w:color w:val="000000"/>
          <w:sz w:val="24"/>
        </w:rPr>
      </w:pPr>
      <w:r>
        <w:rPr>
          <w:rFonts w:ascii="Times New Roman;sans-serif" w:hAnsi="Times New Roman;sans-serif"/>
          <w:b/>
          <w:color w:val="000000"/>
          <w:sz w:val="24"/>
        </w:rPr>
        <w:t>Information Related to Purchasers</w:t>
      </w:r>
    </w:p>
    <w:tbl>
      <w:tblPr>
        <w:tblW w:w="9523" w:type="dxa"/>
        <w:jc w:val="left"/>
        <w:tblInd w:w="0" w:type="dxa"/>
        <w:tblLayout w:type="fixed"/>
        <w:tblCellMar>
          <w:top w:w="28" w:type="dxa"/>
          <w:left w:w="28" w:type="dxa"/>
          <w:bottom w:w="28" w:type="dxa"/>
          <w:right w:w="28" w:type="dxa"/>
        </w:tblCellMar>
      </w:tblPr>
      <w:tblGrid>
        <w:gridCol w:w="1414"/>
        <w:gridCol w:w="1239"/>
        <w:gridCol w:w="1246"/>
        <w:gridCol w:w="1034"/>
        <w:gridCol w:w="1034"/>
        <w:gridCol w:w="1037"/>
        <w:gridCol w:w="736"/>
        <w:gridCol w:w="736"/>
        <w:gridCol w:w="1047"/>
      </w:tblGrid>
      <w:tr>
        <w:trPr/>
        <w:tc>
          <w:tcPr>
            <w:tcW w:w="1414"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Nationwide Life Insurance 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$17,000,000</w:t>
            </w:r>
          </w:p>
        </w:tc>
      </w:tr>
    </w:tbl>
    <w:p>
      <w:pPr>
        <w:pStyle w:val="TextBody"/>
        <w:bidi w:val="0"/>
        <w:spacing w:lineRule="auto" w:line="288" w:before="64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before="640" w:after="283"/>
        <w:ind w:left="0" w:right="0" w:hanging="360"/>
        <w:jc w:val="left"/>
        <w:rPr/>
      </w:pPr>
      <w:r>
        <w:rPr/>
      </w:r>
    </w:p>
    <w:p>
      <w:pPr>
        <w:pStyle w:val="TextBody"/>
        <w:bidi w:val="0"/>
        <w:spacing w:before="640" w:after="283"/>
        <w:ind w:left="0" w:right="0" w:hanging="360"/>
        <w:jc w:val="left"/>
        <w:rPr/>
      </w:pPr>
      <w:r>
        <w:rPr/>
      </w:r>
    </w:p>
    <w:p>
      <w:pPr>
        <w:pStyle w:val="TextBody"/>
        <w:bidi w:val="0"/>
        <w:spacing w:before="0" w:after="0"/>
        <w:jc w:val="left"/>
        <w:rPr/>
      </w:pPr>
      <w:r>
        <w:rPr/>
      </w:r>
    </w:p>
    <w:p>
      <w:pPr>
        <w:pStyle w:val="TextBody"/>
        <w:bidi w:val="0"/>
        <w:spacing w:before="640" w:after="283"/>
        <w:ind w:left="0" w:right="0" w:hanging="360"/>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221105"/>
                <wp:effectExtent l="0" t="0" r="0" b="0"/>
                <wp:wrapNone/>
                <wp:docPr id="108" name="Frame108"/>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tbl>
      <w:tblPr>
        <w:tblW w:w="9868" w:type="dxa"/>
        <w:jc w:val="left"/>
        <w:tblInd w:w="0" w:type="dxa"/>
        <w:tblLayout w:type="fixed"/>
        <w:tblCellMar>
          <w:top w:w="28" w:type="dxa"/>
          <w:left w:w="28" w:type="dxa"/>
          <w:bottom w:w="28" w:type="dxa"/>
          <w:right w:w="28" w:type="dxa"/>
        </w:tblCellMar>
      </w:tblPr>
      <w:tblGrid>
        <w:gridCol w:w="1539"/>
        <w:gridCol w:w="1348"/>
        <w:gridCol w:w="1357"/>
        <w:gridCol w:w="1034"/>
        <w:gridCol w:w="1034"/>
        <w:gridCol w:w="1037"/>
        <w:gridCol w:w="736"/>
        <w:gridCol w:w="736"/>
        <w:gridCol w:w="1047"/>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Nationwide Mutual Insurance 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$15,000,000</w:t>
            </w:r>
          </w:p>
        </w:tc>
      </w:tr>
    </w:tbl>
    <w:p>
      <w:pPr>
        <w:pStyle w:val="TextBody"/>
        <w:bidi w:val="0"/>
        <w:spacing w:lineRule="auto" w:line="288" w:before="64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before="0" w:after="0"/>
        <w:jc w:val="left"/>
        <w:rPr/>
      </w:pPr>
      <w:r>
        <w:rPr/>
      </w:r>
    </w:p>
    <w:p>
      <w:pPr>
        <w:pStyle w:val="TextBody"/>
        <w:bidi w:val="0"/>
        <w:spacing w:before="640" w:after="283"/>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221105"/>
                <wp:effectExtent l="0" t="0" r="0" b="0"/>
                <wp:wrapNone/>
                <wp:docPr id="109" name="Frame109"/>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tbl>
      <w:tblPr>
        <w:tblW w:w="9868" w:type="dxa"/>
        <w:jc w:val="left"/>
        <w:tblInd w:w="0" w:type="dxa"/>
        <w:tblLayout w:type="fixed"/>
        <w:tblCellMar>
          <w:top w:w="28" w:type="dxa"/>
          <w:left w:w="28" w:type="dxa"/>
          <w:bottom w:w="28" w:type="dxa"/>
          <w:right w:w="28" w:type="dxa"/>
        </w:tblCellMar>
      </w:tblPr>
      <w:tblGrid>
        <w:gridCol w:w="1539"/>
        <w:gridCol w:w="1348"/>
        <w:gridCol w:w="1357"/>
        <w:gridCol w:w="1034"/>
        <w:gridCol w:w="1034"/>
        <w:gridCol w:w="1037"/>
        <w:gridCol w:w="736"/>
        <w:gridCol w:w="736"/>
        <w:gridCol w:w="1047"/>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2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Nationwide Life and Annuity Insurance </w:t>
            </w:r>
          </w:p>
          <w:p>
            <w:pPr>
              <w:pStyle w:val="TableContents"/>
              <w:bidi w:val="0"/>
              <w:spacing w:lineRule="auto" w:line="288" w:before="0" w:after="0"/>
              <w:ind w:left="0" w:right="0" w:firstLine="440"/>
              <w:jc w:val="left"/>
              <w:rPr>
                <w:rFonts w:ascii="Times New Roman;sans-serif" w:hAnsi="Times New Roman;sans-serif"/>
                <w:b/>
                <w:color w:val="000000"/>
                <w:sz w:val="24"/>
              </w:rPr>
            </w:pPr>
            <w:r>
              <w:rPr>
                <w:rFonts w:ascii="Times New Roman;sans-serif" w:hAnsi="Times New Roman;sans-serif"/>
                <w:b/>
                <w:color w:val="000000"/>
                <w:sz w:val="24"/>
              </w:rPr>
              <w:t>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2035</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$11,000,000</w:t>
            </w:r>
          </w:p>
        </w:tc>
      </w:tr>
    </w:tbl>
    <w:p>
      <w:pPr>
        <w:pStyle w:val="TextBody"/>
        <w:bidi w:val="0"/>
        <w:spacing w:lineRule="auto" w:line="288" w:before="640" w:after="283"/>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before="640" w:after="283"/>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221105"/>
                <wp:effectExtent l="0" t="0" r="0" b="0"/>
                <wp:wrapNone/>
                <wp:docPr id="110" name="Frame110"/>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p>
      <w:pPr>
        <w:pStyle w:val="TextBody"/>
        <w:bidi w:val="0"/>
        <w:spacing w:before="640" w:after="283"/>
        <w:jc w:val="left"/>
        <w:rPr/>
      </w:pPr>
      <w:r>
        <w:rPr/>
      </w:r>
    </w:p>
    <w:tbl>
      <w:tblPr>
        <w:tblW w:w="8803" w:type="dxa"/>
        <w:jc w:val="left"/>
        <w:tblInd w:w="0" w:type="dxa"/>
        <w:tblLayout w:type="fixed"/>
        <w:tblCellMar>
          <w:top w:w="28" w:type="dxa"/>
          <w:left w:w="28" w:type="dxa"/>
          <w:bottom w:w="28" w:type="dxa"/>
          <w:right w:w="28" w:type="dxa"/>
        </w:tblCellMar>
      </w:tblPr>
      <w:tblGrid>
        <w:gridCol w:w="1153"/>
        <w:gridCol w:w="1010"/>
        <w:gridCol w:w="1016"/>
        <w:gridCol w:w="1034"/>
        <w:gridCol w:w="1034"/>
        <w:gridCol w:w="1037"/>
        <w:gridCol w:w="736"/>
        <w:gridCol w:w="736"/>
        <w:gridCol w:w="1047"/>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280"/>
              <w:jc w:val="center"/>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ableContents"/>
              <w:bidi w:val="0"/>
              <w:spacing w:lineRule="auto" w:line="288" w:before="0" w:after="280"/>
              <w:jc w:val="center"/>
              <w:rPr>
                <w:rFonts w:ascii="Times New Roman;sans-serif" w:hAnsi="Times New Roman;sans-serif"/>
                <w:b w:val="false"/>
                <w:color w:val="000000"/>
                <w:sz w:val="24"/>
              </w:rPr>
            </w:pP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0"/>
              <w:jc w:val="center"/>
              <w:rPr>
                <w:rFonts w:ascii="Times New Roman;sans-serif" w:hAnsi="Times New Roman;sans-serif"/>
                <w:b w:val="false"/>
                <w:color w:val="000000"/>
                <w:sz w:val="24"/>
              </w:rPr>
            </w:pPr>
            <w:r>
              <w:rPr>
                <w:rFonts w:ascii="Times New Roman;sans-serif" w:hAnsi="Times New Roman;sans-serif"/>
                <w:b w:val="false"/>
                <w:color w:val="000000"/>
                <w:sz w:val="24"/>
              </w:rPr>
            </w:r>
          </w:p>
          <w:p>
            <w:pPr>
              <w:pStyle w:val="TableContents"/>
              <w:bidi w:val="0"/>
              <w:spacing w:lineRule="auto" w:line="288" w:before="0" w:after="28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Principal Amount </w:t>
              <w:br/>
              <w:t>of Notes to be Purchased</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CoBank, ACB</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$38,000,000</w:t>
            </w:r>
          </w:p>
        </w:tc>
      </w:tr>
    </w:tbl>
    <w:p>
      <w:pPr>
        <w:pStyle w:val="TextBody"/>
        <w:bidi w:val="0"/>
        <w:spacing w:lineRule="auto" w:line="288" w:before="64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221105"/>
                <wp:effectExtent l="0" t="0" r="0" b="0"/>
                <wp:wrapNone/>
                <wp:docPr id="111" name="Frame111"/>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14"/>
        <w:gridCol w:w="1501"/>
        <w:gridCol w:w="1510"/>
        <w:gridCol w:w="1003"/>
        <w:gridCol w:w="1003"/>
        <w:gridCol w:w="1006"/>
        <w:gridCol w:w="727"/>
        <w:gridCol w:w="717"/>
        <w:gridCol w:w="1024"/>
      </w:tblGrid>
      <w:tr>
        <w:trPr/>
        <w:tc>
          <w:tcPr>
            <w:tcW w:w="1714"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468"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725" w:type="dxa"/>
            <w:gridSpan w:val="3"/>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The Lincoln National Life Insurance Company</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tc>
        <w:tc>
          <w:tcPr>
            <w:tcW w:w="24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$1,500,000</w:t>
            </w:r>
          </w:p>
        </w:tc>
      </w:tr>
    </w:tbl>
    <w:p>
      <w:pPr>
        <w:pStyle w:val="TextBody"/>
        <w:bidi w:val="0"/>
        <w:spacing w:lineRule="auto" w:line="288" w:before="64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before="640" w:after="283"/>
        <w:jc w:val="left"/>
        <w:rPr/>
      </w:pPr>
      <w:r>
        <w:rPr/>
      </w:r>
    </w:p>
    <w:p>
      <w:pPr>
        <w:pStyle w:val="TextBody"/>
        <w:bidi w:val="0"/>
        <w:spacing w:before="640" w:after="283"/>
        <w:jc w:val="left"/>
        <w:rPr/>
      </w:pPr>
      <w:r>
        <w:rPr/>
      </w:r>
    </w:p>
    <w:p>
      <w:pPr>
        <w:pStyle w:val="TextBody"/>
        <w:bidi w:val="0"/>
        <w:spacing w:before="0" w:after="0"/>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221105"/>
                <wp:effectExtent l="0" t="0" r="0" b="0"/>
                <wp:wrapNone/>
                <wp:docPr id="112" name="Frame112"/>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tbl>
      <w:tblPr>
        <w:tblW w:w="9105" w:type="dxa"/>
        <w:jc w:val="left"/>
        <w:tblInd w:w="0" w:type="dxa"/>
        <w:tblLayout w:type="fixed"/>
        <w:tblCellMar>
          <w:top w:w="28" w:type="dxa"/>
          <w:left w:w="28" w:type="dxa"/>
          <w:bottom w:w="28" w:type="dxa"/>
          <w:right w:w="28" w:type="dxa"/>
        </w:tblCellMar>
      </w:tblPr>
      <w:tblGrid>
        <w:gridCol w:w="1261"/>
        <w:gridCol w:w="1106"/>
        <w:gridCol w:w="1114"/>
        <w:gridCol w:w="1034"/>
        <w:gridCol w:w="1034"/>
        <w:gridCol w:w="1037"/>
        <w:gridCol w:w="736"/>
        <w:gridCol w:w="736"/>
        <w:gridCol w:w="1047"/>
      </w:tblGrid>
      <w:tr>
        <w:trPr/>
        <w:tc>
          <w:tcPr>
            <w:tcW w:w="1261"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34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Ensign Peak Advisors, Inc.</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 East North Temple Street</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Salt Lake City, Utah 84150</w:t>
            </w:r>
          </w:p>
          <w:p>
            <w:pPr>
              <w:pStyle w:val="TableContents"/>
              <w:bidi w:val="0"/>
              <w:spacing w:lineRule="auto" w:line="288" w:before="0" w:after="0"/>
              <w:ind w:left="0" w:right="0" w:hanging="251"/>
              <w:jc w:val="left"/>
              <w:rPr>
                <w:rFonts w:ascii="Times New Roman;sans-serif" w:hAnsi="Times New Roman;sans-serif"/>
                <w:b w:val="false"/>
                <w:color w:val="000000"/>
                <w:sz w:val="24"/>
              </w:rPr>
            </w:pPr>
            <w:r>
              <w:rPr>
                <w:rFonts w:ascii="Times New Roman;sans-serif" w:hAnsi="Times New Roman;sans-serif"/>
                <w:b w:val="false"/>
                <w:color w:val="000000"/>
                <w:sz w:val="24"/>
              </w:rPr>
              <w:t>Attention: Matthew D. Dall</w:t>
            </w:r>
          </w:p>
          <w:p>
            <w:pPr>
              <w:pStyle w:val="TableContents"/>
              <w:bidi w:val="0"/>
              <w:spacing w:lineRule="atLeast" w:line="280"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privateplacements@ensignpeak.org</w:t>
            </w:r>
          </w:p>
          <w:p>
            <w:pPr>
              <w:pStyle w:val="TableContents"/>
              <w:bidi w:val="0"/>
              <w:spacing w:lineRule="atLeast" w:line="280"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matthew.dall@ensignpeak.org</w:t>
            </w:r>
          </w:p>
          <w:p>
            <w:pPr>
              <w:pStyle w:val="TableContents"/>
              <w:bidi w:val="0"/>
              <w:spacing w:lineRule="auto" w:line="288" w:before="0" w:after="0"/>
              <w:ind w:left="0" w:right="0" w:hanging="251"/>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michael.shearer@ensignpeak.org</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p>
            <w:pPr>
              <w:pStyle w:val="TableContents"/>
              <w:bidi w:val="0"/>
              <w:spacing w:lineRule="auto" w:line="288" w:before="7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2035</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$3,750,000</w:t>
            </w:r>
          </w:p>
          <w:p>
            <w:pPr>
              <w:pStyle w:val="TableContents"/>
              <w:bidi w:val="0"/>
              <w:spacing w:lineRule="auto" w:line="288" w:before="2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$3,000,000</w:t>
            </w:r>
          </w:p>
        </w:tc>
      </w:tr>
    </w:tbl>
    <w:p>
      <w:pPr>
        <w:pStyle w:val="TextBody"/>
        <w:bidi w:val="0"/>
        <w:spacing w:before="280" w:after="283"/>
        <w:jc w:val="both"/>
        <w:rPr/>
      </w:pPr>
      <w:r>
        <w:rPr/>
      </w:r>
    </w:p>
    <w:p>
      <w:pPr>
        <w:pStyle w:val="TextBody"/>
        <w:bidi w:val="0"/>
        <w:spacing w:before="640" w:after="283"/>
        <w:jc w:val="left"/>
        <w:rPr/>
      </w:pPr>
      <w:r>
        <w:rPr/>
      </w:r>
    </w:p>
    <w:p>
      <w:pPr>
        <w:pStyle w:val="TextBody"/>
        <w:bidi w:val="0"/>
        <w:spacing w:before="640" w:after="283"/>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221105"/>
                <wp:effectExtent l="0" t="0" r="0" b="0"/>
                <wp:wrapNone/>
                <wp:docPr id="113" name="Frame113"/>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tbl>
      <w:tblPr>
        <w:tblW w:w="9854" w:type="dxa"/>
        <w:jc w:val="left"/>
        <w:tblInd w:w="0" w:type="dxa"/>
        <w:tblLayout w:type="fixed"/>
        <w:tblCellMar>
          <w:top w:w="28" w:type="dxa"/>
          <w:left w:w="28" w:type="dxa"/>
          <w:bottom w:w="28" w:type="dxa"/>
          <w:right w:w="28" w:type="dxa"/>
        </w:tblCellMar>
      </w:tblPr>
      <w:tblGrid>
        <w:gridCol w:w="1532"/>
        <w:gridCol w:w="1344"/>
        <w:gridCol w:w="1354"/>
        <w:gridCol w:w="1034"/>
        <w:gridCol w:w="1034"/>
        <w:gridCol w:w="1037"/>
        <w:gridCol w:w="736"/>
        <w:gridCol w:w="736"/>
        <w:gridCol w:w="1047"/>
      </w:tblGrid>
      <w:tr>
        <w:trPr/>
        <w:tc>
          <w:tcPr>
            <w:tcW w:w="1532"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Clifton Park Capital Management, LLC</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 East North Temple Street</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Salt Lake City, Utah 84150</w:t>
            </w:r>
          </w:p>
          <w:p>
            <w:pPr>
              <w:pStyle w:val="TableContents"/>
              <w:bidi w:val="0"/>
              <w:spacing w:lineRule="auto" w:line="288" w:before="0" w:after="0"/>
              <w:ind w:left="0" w:right="0" w:hanging="251"/>
              <w:jc w:val="left"/>
              <w:rPr>
                <w:rFonts w:ascii="Times New Roman;sans-serif" w:hAnsi="Times New Roman;sans-serif"/>
                <w:b w:val="false"/>
                <w:color w:val="000000"/>
                <w:sz w:val="24"/>
              </w:rPr>
            </w:pPr>
            <w:r>
              <w:rPr>
                <w:rFonts w:ascii="Times New Roman;sans-serif" w:hAnsi="Times New Roman;sans-serif"/>
                <w:b w:val="false"/>
                <w:color w:val="000000"/>
                <w:sz w:val="24"/>
              </w:rPr>
              <w:t>Attention: Matthew D. Dall</w:t>
            </w:r>
          </w:p>
          <w:p>
            <w:pPr>
              <w:pStyle w:val="TableContents"/>
              <w:bidi w:val="0"/>
              <w:spacing w:lineRule="atLeast" w:line="280"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privateplacements@ensignpeak.org</w:t>
            </w:r>
          </w:p>
          <w:p>
            <w:pPr>
              <w:pStyle w:val="TableContents"/>
              <w:bidi w:val="0"/>
              <w:spacing w:lineRule="atLeast" w:line="280" w:before="0" w:after="0"/>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matthew.dall@ensignpeak.org</w:t>
            </w:r>
          </w:p>
          <w:p>
            <w:pPr>
              <w:pStyle w:val="TableContents"/>
              <w:bidi w:val="0"/>
              <w:spacing w:lineRule="auto" w:line="288" w:before="0" w:after="0"/>
              <w:ind w:left="0" w:right="0" w:hanging="251"/>
              <w:jc w:val="left"/>
              <w:rPr>
                <w:rFonts w:ascii="Times New Roman;sans-serif" w:hAnsi="Times New Roman;sans-serif"/>
                <w:b w:val="false"/>
                <w:color w:val="0000FF"/>
                <w:sz w:val="24"/>
                <w:u w:val="single"/>
              </w:rPr>
            </w:pPr>
            <w:r>
              <w:rPr>
                <w:rFonts w:ascii="Times New Roman;sans-serif" w:hAnsi="Times New Roman;sans-serif"/>
                <w:b w:val="false"/>
                <w:color w:val="0000FF"/>
                <w:sz w:val="24"/>
                <w:u w:val="single"/>
              </w:rPr>
              <w:t>michael.shearer@ensignpeak.org</w:t>
            </w:r>
          </w:p>
        </w:tc>
        <w:tc>
          <w:tcPr>
            <w:tcW w:w="31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2030</w:t>
            </w:r>
          </w:p>
          <w:p>
            <w:pPr>
              <w:pStyle w:val="TableContents"/>
              <w:bidi w:val="0"/>
              <w:spacing w:lineRule="auto" w:line="288" w:before="76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2035</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$2,000,000</w:t>
            </w:r>
          </w:p>
          <w:p>
            <w:pPr>
              <w:pStyle w:val="TableContents"/>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$1,250,000</w:t>
            </w:r>
          </w:p>
          <w:p>
            <w:pPr>
              <w:pStyle w:val="TableContents"/>
              <w:bidi w:val="0"/>
              <w:spacing w:lineRule="auto" w:line="288" w:before="22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$2,000,000</w:t>
            </w:r>
          </w:p>
        </w:tc>
      </w:tr>
    </w:tbl>
    <w:p>
      <w:pPr>
        <w:pStyle w:val="TextBody"/>
        <w:bidi w:val="0"/>
        <w:spacing w:before="280" w:after="283"/>
        <w:jc w:val="both"/>
        <w:rPr/>
      </w:pPr>
      <w:r>
        <w:rPr/>
      </w:r>
    </w:p>
    <w:p>
      <w:pPr>
        <w:pStyle w:val="TextBody"/>
        <w:bidi w:val="0"/>
        <w:spacing w:before="640" w:after="283"/>
        <w:jc w:val="left"/>
        <w:rPr/>
      </w:pPr>
      <w:r>
        <w:rPr/>
      </w:r>
    </w:p>
    <w:p>
      <w:pPr>
        <w:pStyle w:val="TextBody"/>
        <w:bidi w:val="0"/>
        <w:spacing w:before="640" w:after="283"/>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221105"/>
                <wp:effectExtent l="0" t="0" r="0" b="0"/>
                <wp:wrapNone/>
                <wp:docPr id="114" name="Frame114"/>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tbl>
      <w:tblPr>
        <w:tblW w:w="9884" w:type="dxa"/>
        <w:jc w:val="left"/>
        <w:tblInd w:w="0" w:type="dxa"/>
        <w:tblLayout w:type="fixed"/>
        <w:tblCellMar>
          <w:top w:w="28" w:type="dxa"/>
          <w:left w:w="28" w:type="dxa"/>
          <w:bottom w:w="28" w:type="dxa"/>
          <w:right w:w="28" w:type="dxa"/>
        </w:tblCellMar>
      </w:tblPr>
      <w:tblGrid>
        <w:gridCol w:w="787"/>
        <w:gridCol w:w="693"/>
        <w:gridCol w:w="693"/>
        <w:gridCol w:w="693"/>
        <w:gridCol w:w="693"/>
        <w:gridCol w:w="701"/>
        <w:gridCol w:w="517"/>
        <w:gridCol w:w="517"/>
        <w:gridCol w:w="517"/>
        <w:gridCol w:w="517"/>
        <w:gridCol w:w="517"/>
        <w:gridCol w:w="520"/>
        <w:gridCol w:w="736"/>
        <w:gridCol w:w="736"/>
        <w:gridCol w:w="1047"/>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260" w:type="dxa"/>
            <w:gridSpan w:val="6"/>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6"/>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260" w:type="dxa"/>
            <w:gridSpan w:val="6"/>
            <w:tcBorders/>
            <w:tcMar>
              <w:top w:w="0" w:type="dxa"/>
              <w:left w:w="0" w:type="dxa"/>
              <w:bottom w:w="0" w:type="dxa"/>
              <w:right w:w="0" w:type="dxa"/>
            </w:tcMar>
            <w:vAlign w:val="center"/>
          </w:tcPr>
          <w:p>
            <w:pPr>
              <w:pStyle w:val="TableContents"/>
              <w:bidi w:val="0"/>
              <w:spacing w:lineRule="auto" w:line="288" w:before="0" w:after="0"/>
              <w:ind w:left="0" w:right="0" w:hanging="251"/>
              <w:jc w:val="left"/>
              <w:rPr>
                <w:rFonts w:ascii="Times New Roman;sans-serif" w:hAnsi="Times New Roman;sans-serif"/>
                <w:b/>
                <w:color w:val="000000"/>
                <w:sz w:val="24"/>
              </w:rPr>
            </w:pPr>
            <w:r>
              <w:rPr>
                <w:rFonts w:ascii="Times New Roman;sans-serif" w:hAnsi="Times New Roman;sans-serif"/>
                <w:b/>
                <w:color w:val="000000"/>
                <w:sz w:val="24"/>
              </w:rPr>
              <w:t>Continental Casualty Company</w:t>
            </w:r>
          </w:p>
          <w:p>
            <w:pPr>
              <w:pStyle w:val="TableContents"/>
              <w:bidi w:val="0"/>
              <w:spacing w:lineRule="auto" w:line="288" w:before="0" w:after="0"/>
              <w:jc w:val="left"/>
              <w:rPr/>
            </w:pPr>
            <w:r>
              <w:rPr>
                <w:rFonts w:ascii="Times New Roman;sans-serif" w:hAnsi="Times New Roman;sans-serif"/>
                <w:b w:val="false"/>
                <w:color w:val="000000"/>
                <w:sz w:val="24"/>
              </w:rPr>
              <w:t>151 N. Franklin Street,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ableContents"/>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Chicago, Illinois 60606</w:t>
            </w:r>
          </w:p>
          <w:p>
            <w:pPr>
              <w:pStyle w:val="TableContents"/>
              <w:bidi w:val="0"/>
              <w:spacing w:lineRule="auto" w:line="288" w:before="0" w:after="0"/>
              <w:ind w:left="0" w:right="0" w:hanging="251"/>
              <w:jc w:val="left"/>
              <w:rPr>
                <w:rFonts w:ascii="Times New Roman;sans-serif" w:hAnsi="Times New Roman;sans-serif"/>
                <w:b w:val="false"/>
                <w:color w:val="000000"/>
                <w:sz w:val="24"/>
              </w:rPr>
            </w:pPr>
            <w:r>
              <w:rPr>
                <w:rFonts w:ascii="Times New Roman;sans-serif" w:hAnsi="Times New Roman;sans-serif"/>
                <w:b w:val="false"/>
                <w:color w:val="000000"/>
                <w:sz w:val="24"/>
              </w:rPr>
              <w:t>Attn: Private Placements – Anthony Pelafas</w:t>
            </w:r>
          </w:p>
        </w:tc>
        <w:tc>
          <w:tcPr>
            <w:tcW w:w="31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2035</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$10,000,000</w:t>
            </w:r>
          </w:p>
        </w:tc>
      </w:tr>
    </w:tbl>
    <w:p>
      <w:pPr>
        <w:pStyle w:val="TextBody"/>
        <w:bidi w:val="0"/>
        <w:spacing w:before="200" w:after="200"/>
        <w:jc w:val="left"/>
        <w:rPr/>
      </w:pPr>
      <w:r>
        <w:rPr/>
      </w:r>
    </w:p>
    <w:p>
      <w:pPr>
        <w:pStyle w:val="TextBody"/>
        <w:bidi w:val="0"/>
        <w:spacing w:before="140" w:after="283"/>
        <w:ind w:left="0" w:right="0" w:hanging="360"/>
        <w:jc w:val="left"/>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221105"/>
                <wp:effectExtent l="0" t="0" r="0" b="0"/>
                <wp:wrapNone/>
                <wp:docPr id="115" name="Frame115"/>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ind w:left="0" w:right="0" w:hanging="360"/>
        <w:jc w:val="left"/>
        <w:rPr/>
      </w:pPr>
      <w:r>
        <w:rPr/>
      </w:r>
    </w:p>
    <w:tbl>
      <w:tblPr>
        <w:tblW w:w="9748" w:type="dxa"/>
        <w:jc w:val="left"/>
        <w:tblInd w:w="0" w:type="dxa"/>
        <w:tblLayout w:type="fixed"/>
        <w:tblCellMar>
          <w:top w:w="28" w:type="dxa"/>
          <w:left w:w="28" w:type="dxa"/>
          <w:bottom w:w="28" w:type="dxa"/>
          <w:right w:w="28" w:type="dxa"/>
        </w:tblCellMar>
      </w:tblPr>
      <w:tblGrid>
        <w:gridCol w:w="1496"/>
        <w:gridCol w:w="1310"/>
        <w:gridCol w:w="1318"/>
        <w:gridCol w:w="1034"/>
        <w:gridCol w:w="1034"/>
        <w:gridCol w:w="1037"/>
        <w:gridCol w:w="736"/>
        <w:gridCol w:w="736"/>
        <w:gridCol w:w="1047"/>
      </w:tblGrid>
      <w:tr>
        <w:trPr/>
        <w:tc>
          <w:tcPr>
            <w:tcW w:w="1496"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sans-serif" w:hAnsi="Times New Roman;sans-serif"/>
                <w:b w:val="false"/>
                <w:sz w:val="24"/>
              </w:rPr>
              <w:br/>
            </w:r>
            <w:r>
              <w:rPr>
                <w:rFonts w:ascii="Times New Roman;sans-serif" w:hAnsi="Times New Roman;sans-serif"/>
                <w:b w:val="false"/>
                <w:color w:val="000000"/>
                <w:sz w:val="24"/>
              </w:rPr>
              <w:t>Name and Address of Purchaser</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Series of Notes to be Purchased</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ans-serif" w:hAnsi="Times New Roman;sans-serif"/>
                <w:b w:val="false"/>
                <w:sz w:val="24"/>
              </w:rPr>
              <w:br/>
            </w:r>
            <w:r>
              <w:rPr>
                <w:rFonts w:ascii="Times New Roman;sans-serif" w:hAnsi="Times New Roman;sans-serif"/>
                <w:b w:val="false"/>
                <w:color w:val="000000"/>
                <w:sz w:val="24"/>
              </w:rPr>
              <w:t xml:space="preserve">Principal Amount </w:t>
              <w:br/>
              <w:t>of Notes to be Purchased</w:t>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Southern Farm Bureau Life Insurance </w:t>
            </w:r>
          </w:p>
          <w:p>
            <w:pPr>
              <w:pStyle w:val="TableContents"/>
              <w:bidi w:val="0"/>
              <w:spacing w:lineRule="auto" w:line="288" w:before="0" w:after="0"/>
              <w:ind w:left="0" w:right="0" w:firstLine="440"/>
              <w:jc w:val="left"/>
              <w:rPr>
                <w:rFonts w:ascii="Times New Roman;sans-serif" w:hAnsi="Times New Roman;sans-serif"/>
                <w:b/>
                <w:color w:val="000000"/>
                <w:sz w:val="24"/>
              </w:rPr>
            </w:pPr>
            <w:r>
              <w:rPr>
                <w:rFonts w:ascii="Times New Roman;sans-serif" w:hAnsi="Times New Roman;sans-serif"/>
                <w:b/>
                <w:color w:val="000000"/>
                <w:sz w:val="24"/>
              </w:rPr>
              <w:t>Company</w:t>
            </w:r>
          </w:p>
        </w:tc>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2035</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$4,000,000</w:t>
            </w:r>
          </w:p>
        </w:tc>
      </w:tr>
    </w:tbl>
    <w:p>
      <w:pPr>
        <w:pStyle w:val="TextBody"/>
        <w:bidi w:val="0"/>
        <w:spacing w:lineRule="auto" w:line="288" w:before="640" w:after="283"/>
        <w:ind w:left="0" w:right="0" w:hanging="360"/>
        <w:jc w:val="center"/>
        <w:rPr>
          <w:rFonts w:ascii="Times New Roman;sans-serif" w:hAnsi="Times New Roman;sans-serif"/>
          <w:b/>
          <w:color w:val="000000"/>
          <w:sz w:val="24"/>
        </w:rPr>
      </w:pPr>
      <w:r>
        <w:rPr>
          <w:rFonts w:ascii="Times New Roman;sans-serif" w:hAnsi="Times New Roman;sans-serif"/>
          <w:b/>
          <w:color w:val="000000"/>
          <w:sz w:val="24"/>
        </w:rPr>
        <w:t>[See Attached]</w:t>
      </w:r>
    </w:p>
    <w:p>
      <w:pPr>
        <w:pStyle w:val="TextBody"/>
        <w:bidi w:val="0"/>
        <w:spacing w:before="640" w:after="283"/>
        <w:ind w:left="0" w:right="0" w:hanging="360"/>
        <w:jc w:val="center"/>
        <w:rPr/>
      </w:pPr>
      <w:r>
        <w:rPr/>
      </w:r>
    </w:p>
    <w:p>
      <w:pPr>
        <w:pStyle w:val="TextBody"/>
        <w:bidi w:val="0"/>
        <w:spacing w:before="640" w:after="283"/>
        <w:ind w:left="0" w:right="0" w:hanging="36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221105"/>
                <wp:effectExtent l="0" t="0" r="0" b="0"/>
                <wp:wrapNone/>
                <wp:docPr id="116" name="Frame116"/>
                <a:graphic xmlns:a="http://schemas.openxmlformats.org/drawingml/2006/main">
                  <a:graphicData uri="http://schemas.microsoft.com/office/word/2010/wordprocessingShape">
                    <wps:wsp>
                      <wps:cNvSpPr txBox="1"/>
                      <wps:spPr>
                        <a:xfrm>
                          <a:off x="0" y="0"/>
                          <a:ext cx="6480175" cy="12211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r>
                              <w:br w:type="page"/>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6.1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w:t>
                        <w:br/>
                        <w:t>(to Note Purchase Agreement)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 A to NPA (Allete 2025).docx</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4460895</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B</w:t>
      </w:r>
    </w:p>
    <w:p>
      <w:pPr>
        <w:pStyle w:val="TextBody"/>
        <w:bidi w:val="0"/>
        <w:spacing w:lineRule="auto" w:line="288" w:before="0" w:after="360"/>
        <w:jc w:val="center"/>
        <w:rPr>
          <w:rFonts w:ascii="Times New Roman;sans-serif" w:hAnsi="Times New Roman;sans-serif"/>
          <w:b/>
          <w:color w:val="000000"/>
          <w:sz w:val="24"/>
        </w:rPr>
      </w:pPr>
      <w:r>
        <w:rPr>
          <w:rFonts w:ascii="Times New Roman;sans-serif" w:hAnsi="Times New Roman;sans-serif"/>
          <w:b/>
          <w:color w:val="000000"/>
          <w:sz w:val="24"/>
        </w:rPr>
        <w:t>Defined Terms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used herein, the following terms have the respective meanings set forth below or set forth in the Section hereof following such term: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2030 Notes”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2035 Notes”</w:t>
      </w:r>
      <w:r>
        <w:rPr>
          <w:color w:val="000000"/>
        </w:rPr>
        <w:t xml:space="preserve">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Affiliate”</w:t>
      </w:r>
      <w:r>
        <w:rPr>
          <w:color w:val="000000"/>
        </w:rPr>
        <w:t xml:space="preserve"> </w:t>
      </w:r>
      <w:r>
        <w:rPr>
          <w:rFonts w:ascii="Times New Roman;sans-serif" w:hAnsi="Times New Roman;sans-serif"/>
          <w:b w:val="false"/>
          <w:color w:val="000000"/>
          <w:sz w:val="24"/>
        </w:rPr>
        <w:t>means, at any time, and with respect to any Person, any other Person that at such time directly or indirectly through one or more intermediaries Controls, or is Controlled by, or is under common Control with, such first Person, and, with respect to the Company, shall include any Person beneficially owning or holding, directly or indirectly, 10% or more of any class of voting or equity interests of the Company or any Subsidiary or any Person of which the Company and its Subsidiaries beneficially own or hold, in the aggregate, directly or indirectly, 10% or more of any class of voting or equity interests. Unless the context otherwise clearly requires, any reference to an “Affiliate” is a reference to an Affiliate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Agreement”</w:t>
      </w:r>
      <w:r>
        <w:rPr>
          <w:color w:val="000000"/>
        </w:rPr>
        <w:t xml:space="preserve"> </w:t>
      </w:r>
      <w:r>
        <w:rPr>
          <w:rFonts w:ascii="Times New Roman;sans-serif" w:hAnsi="Times New Roman;sans-serif"/>
          <w:b w:val="false"/>
          <w:color w:val="000000"/>
          <w:sz w:val="24"/>
        </w:rPr>
        <w:t>means this Note Purchase Agreement, including all Schedules and Exhibits attached to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Amended and Restated Credit Agreement” </w:t>
      </w:r>
      <w:r>
        <w:rPr>
          <w:rFonts w:ascii="Times New Roman;sans-serif" w:hAnsi="Times New Roman;sans-serif"/>
          <w:b w:val="false"/>
          <w:color w:val="000000"/>
          <w:sz w:val="24"/>
        </w:rPr>
        <w:t>means the Amended and Restated Credit Agreement, dated as of January 10, 2019, among the Company, the lenders party thereto and JPMorgan Chase Bank, N.A., as administrative agent.</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Anti-Corruption Laws”</w:t>
      </w:r>
      <w:r>
        <w:rPr>
          <w:color w:val="000000"/>
        </w:rPr>
        <w:t xml:space="preserve"> </w:t>
      </w:r>
      <w:r>
        <w:rPr>
          <w:rFonts w:ascii="Times New Roman;sans-serif" w:hAnsi="Times New Roman;sans-serif"/>
          <w:b w:val="false"/>
          <w:color w:val="000000"/>
          <w:sz w:val="24"/>
        </w:rPr>
        <w:t>means any law or regulation in a U.S. or any non-U.S. jurisdiction regarding bribery or any other corrupt activity, including the U.S. Foreign Corrupt Practices Act and the U.K. Bribery Act 2010.</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Anti-Money Laundering Laws”</w:t>
      </w:r>
      <w:r>
        <w:rPr>
          <w:color w:val="000000"/>
        </w:rPr>
        <w:t xml:space="preserve"> </w:t>
      </w:r>
      <w:r>
        <w:rPr>
          <w:rFonts w:ascii="Times New Roman;sans-serif" w:hAnsi="Times New Roman;sans-serif"/>
          <w:b w:val="false"/>
          <w:color w:val="000000"/>
          <w:sz w:val="24"/>
        </w:rPr>
        <w:t>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Blocked Person”</w:t>
      </w:r>
      <w:r>
        <w:rPr>
          <w:color w:val="000000"/>
        </w:rPr>
        <w:t xml:space="preserve"> </w:t>
      </w:r>
      <w:r>
        <w:rPr>
          <w:rFonts w:ascii="Times New Roman;sans-serif" w:hAnsi="Times New Roman;sans-serif"/>
          <w:b w:val="false"/>
          <w:color w:val="000000"/>
          <w:sz w:val="24"/>
        </w:rPr>
        <w:t>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w:t>
      </w:r>
    </w:p>
    <w:p>
      <w:pPr>
        <w:pStyle w:val="TextBody"/>
        <w:bidi w:val="0"/>
        <w:spacing w:lineRule="auto" w:line="288" w:before="280" w:after="100"/>
        <w:ind w:left="0" w:right="0" w:firstLine="720"/>
        <w:jc w:val="both"/>
        <w:rPr/>
      </w:pPr>
      <w:r>
        <w:rPr>
          <w:color w:val="000000"/>
        </w:rPr>
        <w:t>“</w:t>
      </w:r>
      <w:r>
        <w:rPr>
          <w:rFonts w:ascii="Times New Roman;sans-serif" w:hAnsi="Times New Roman;sans-serif"/>
          <w:b/>
          <w:color w:val="000000"/>
          <w:sz w:val="24"/>
        </w:rPr>
        <w:t>Business Day”</w:t>
      </w:r>
      <w:r>
        <w:rPr>
          <w:color w:val="000000"/>
        </w:rPr>
        <w:t xml:space="preserve"> </w:t>
      </w:r>
      <w:r>
        <w:rPr>
          <w:rFonts w:ascii="Times New Roman;sans-serif" w:hAnsi="Times New Roman;sans-serif"/>
          <w:b w:val="false"/>
          <w:color w:val="000000"/>
          <w:sz w:val="24"/>
        </w:rPr>
        <w:t>means (a) for the purposes of Section 8.7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Duluth, Minnesota are required or authorized to be closed.</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7"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Capital Lease Obligations”</w:t>
      </w:r>
      <w:r>
        <w:rPr>
          <w:color w:val="000000"/>
        </w:rPr>
        <w:t xml:space="preserve"> </w:t>
      </w:r>
      <w:r>
        <w:rPr>
          <w:rFonts w:ascii="Times New Roman;sans-serif" w:hAnsi="Times New Roman;sans-serif"/>
          <w:b w:val="false"/>
          <w:color w:val="000000"/>
          <w:sz w:val="24"/>
        </w:rPr>
        <w:t>means with respect to any Person, obligations of such Person to pay rent or other amounts under any lease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provided that no power purchase agreement shall constitute a Capital Lease Obligation.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Change in Control</w:t>
      </w:r>
      <w:r>
        <w:rPr>
          <w:color w:val="000000"/>
        </w:rPr>
        <w:t xml:space="preserve">” </w:t>
      </w:r>
      <w:r>
        <w:rPr>
          <w:rFonts w:ascii="Times New Roman;sans-serif" w:hAnsi="Times New Roman;sans-serif"/>
          <w:b w:val="false"/>
          <w:color w:val="000000"/>
          <w:sz w:val="24"/>
        </w:rPr>
        <w:t>is defined in Section 8.3(f).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Closing”</w:t>
      </w:r>
      <w:r>
        <w:rPr>
          <w:color w:val="000000"/>
        </w:rPr>
        <w:t xml:space="preserve"> </w:t>
      </w:r>
      <w:r>
        <w:rPr>
          <w:rFonts w:ascii="Times New Roman;sans-serif" w:hAnsi="Times New Roman;sans-serif"/>
          <w:b w:val="false"/>
          <w:color w:val="000000"/>
          <w:sz w:val="24"/>
        </w:rPr>
        <w:t>is defined in Section 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CoBank Equities” </w:t>
      </w:r>
      <w:r>
        <w:rPr>
          <w:rFonts w:ascii="Times New Roman;sans-serif" w:hAnsi="Times New Roman;sans-serif"/>
          <w:b w:val="false"/>
          <w:color w:val="000000"/>
          <w:sz w:val="24"/>
        </w:rPr>
        <w:t>means the Company’s cash patronage, stock and other equities in CoBank ACB acquired in connection with its patronage loan from CoBank ACB, it affiliates or its participants.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CoBank Letter of Credit Agreement” </w:t>
      </w:r>
      <w:r>
        <w:rPr>
          <w:rFonts w:ascii="Times New Roman;sans-serif" w:hAnsi="Times New Roman;sans-serif"/>
          <w:b w:val="false"/>
          <w:color w:val="000000"/>
          <w:sz w:val="24"/>
        </w:rPr>
        <w:t>means the Letter of Credit Agreement, dated as of June 11, 2020, among the Company, the lenders party thereto and CoBank, ACB, as administrative agent.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Code”</w:t>
      </w:r>
      <w:r>
        <w:rPr>
          <w:color w:val="000000"/>
        </w:rPr>
        <w:t xml:space="preserve"> </w:t>
      </w:r>
      <w:r>
        <w:rPr>
          <w:rFonts w:ascii="Times New Roman;sans-serif" w:hAnsi="Times New Roman;sans-serif"/>
          <w:b w:val="false"/>
          <w:color w:val="000000"/>
          <w:sz w:val="24"/>
        </w:rPr>
        <w:t>means the Internal Revenue Code of 1986, and the rules and regulations promulgated thereunder from time to time.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Company”</w:t>
      </w:r>
      <w:r>
        <w:rPr>
          <w:color w:val="000000"/>
        </w:rPr>
        <w:t xml:space="preserve"> </w:t>
      </w:r>
      <w:r>
        <w:rPr>
          <w:rFonts w:ascii="Times New Roman;sans-serif" w:hAnsi="Times New Roman;sans-serif"/>
          <w:b w:val="false"/>
          <w:color w:val="000000"/>
          <w:sz w:val="24"/>
        </w:rPr>
        <w:t>is defined in the first paragraph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Confidential Information” </w:t>
      </w:r>
      <w:r>
        <w:rPr>
          <w:rFonts w:ascii="Times New Roman;sans-serif" w:hAnsi="Times New Roman;sans-serif"/>
          <w:b w:val="false"/>
          <w:color w:val="000000"/>
          <w:sz w:val="24"/>
        </w:rPr>
        <w:t>is defined in Section 20.</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Consolidated Assets”</w:t>
      </w:r>
      <w:r>
        <w:rPr>
          <w:color w:val="000000"/>
        </w:rPr>
        <w:t xml:space="preserve"> </w:t>
      </w:r>
      <w:r>
        <w:rPr>
          <w:rFonts w:ascii="Times New Roman;sans-serif" w:hAnsi="Times New Roman;sans-serif"/>
          <w:b w:val="false"/>
          <w:color w:val="000000"/>
          <w:sz w:val="24"/>
        </w:rPr>
        <w:t>means the total amount of assets shown on the consolidated balance sheet of the Company and its Subsidiaries, determined in accordance with GAAP and prepared as of the end of the fiscal quarter then most recently ended.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w:t>
      </w:r>
      <w:r>
        <w:rPr>
          <w:color w:val="000000"/>
        </w:rPr>
        <w:t xml:space="preserve"> </w:t>
      </w:r>
      <w:r>
        <w:rPr>
          <w:rFonts w:ascii="Times New Roman;sans-serif" w:hAnsi="Times New Roman;sans-serif"/>
          <w:b w:val="false"/>
          <w:color w:val="000000"/>
          <w:sz w:val="24"/>
        </w:rPr>
        <w:t>means the possession, directly or indirectly, of the power to direct or cause the direction of the management and policies of a Person, whether through the ownership of voting securities, by contract or otherwise; and the terms “</w:t>
      </w:r>
      <w:r>
        <w:rPr>
          <w:rFonts w:ascii="Times New Roman;sans-serif" w:hAnsi="Times New Roman;sans-serif"/>
          <w:b/>
          <w:color w:val="000000"/>
          <w:sz w:val="24"/>
        </w:rPr>
        <w:t>Controlled</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Controlling</w:t>
      </w:r>
      <w:r>
        <w:rPr>
          <w:color w:val="000000"/>
        </w:rPr>
        <w:t xml:space="preserve">” </w:t>
      </w:r>
      <w:r>
        <w:rPr>
          <w:rFonts w:ascii="Times New Roman;sans-serif" w:hAnsi="Times New Roman;sans-serif"/>
          <w:b w:val="false"/>
          <w:color w:val="000000"/>
          <w:sz w:val="24"/>
        </w:rPr>
        <w:t>shall have meanings correlative to the foregoing.</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Controlled Entity”</w:t>
      </w:r>
      <w:r>
        <w:rPr>
          <w:color w:val="000000"/>
        </w:rPr>
        <w:t xml:space="preserve"> </w:t>
      </w:r>
      <w:r>
        <w:rPr>
          <w:rFonts w:ascii="Times New Roman;sans-serif" w:hAnsi="Times New Roman;sans-serif"/>
          <w:b w:val="false"/>
          <w:color w:val="000000"/>
          <w:sz w:val="24"/>
        </w:rPr>
        <w:t>means (a) any of the Subsidiaries of the Company and any of their or the Company’s respective Controlled Affiliates and (b) if the Company has a parent company, such parent company and its Controlled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CPPIB” </w:t>
      </w:r>
      <w:r>
        <w:rPr>
          <w:rFonts w:ascii="Times New Roman;sans-serif" w:hAnsi="Times New Roman;sans-serif"/>
          <w:b w:val="false"/>
          <w:color w:val="000000"/>
          <w:sz w:val="24"/>
        </w:rPr>
        <w:t>has the meaning assigned to it under the definition of Sponsor.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Credit Agreements” </w:t>
      </w:r>
      <w:r>
        <w:rPr>
          <w:rFonts w:ascii="Times New Roman;sans-serif" w:hAnsi="Times New Roman;sans-serif"/>
          <w:b w:val="false"/>
          <w:color w:val="000000"/>
          <w:sz w:val="24"/>
        </w:rPr>
        <w:t>means (a) the Amended and Restated Credit Agreement, (b) the CoBank Letter of Credit Agreement, and (c) the Standby Letter of Credit Agreement, dated June 15, 2020, between the Company and Wells Fargo Bank, National Association, each as amended and supplemented.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w:t>
      </w:r>
      <w:r>
        <w:rPr>
          <w:color w:val="000000"/>
        </w:rPr>
        <w:t xml:space="preserve"> </w:t>
      </w:r>
      <w:r>
        <w:rPr>
          <w:rFonts w:ascii="Times New Roman;sans-serif" w:hAnsi="Times New Roman;sans-serif"/>
          <w:b w:val="false"/>
          <w:color w:val="000000"/>
          <w:sz w:val="24"/>
        </w:rPr>
        <w:t>means an event or condition the occurrence or existence of which would, with the lapse of time or the giving of notice or both, become an Event of Default.</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- 2 -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Default Rate”</w:t>
      </w:r>
      <w:r>
        <w:rPr>
          <w:color w:val="000000"/>
        </w:rPr>
        <w:t xml:space="preserve"> </w:t>
      </w:r>
      <w:r>
        <w:rPr>
          <w:rFonts w:ascii="Times New Roman;sans-serif" w:hAnsi="Times New Roman;sans-serif"/>
          <w:b w:val="false"/>
          <w:color w:val="000000"/>
          <w:sz w:val="24"/>
        </w:rPr>
        <w:t>means that rate of interest per annum that is the greater of (a)</w:t>
      </w:r>
      <w:r>
        <w:rPr>
          <w:color w:val="000000"/>
        </w:rPr>
        <w:t> </w:t>
      </w:r>
      <w:r>
        <w:rPr>
          <w:rFonts w:ascii="Times New Roman;sans-serif" w:hAnsi="Times New Roman;sans-serif"/>
          <w:b w:val="false"/>
          <w:color w:val="000000"/>
          <w:sz w:val="24"/>
        </w:rPr>
        <w:t>2.00% above the rate of interest stated in clause (a) of the first paragraph of the Notes or (b) 2.00% over the rate of interest publicly announced by U.S. Bank in New York, New York as its “base” or “prime” rate.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Disclosure Documents” </w:t>
      </w:r>
      <w:r>
        <w:rPr>
          <w:rFonts w:ascii="Times New Roman;sans-serif" w:hAnsi="Times New Roman;sans-serif"/>
          <w:b w:val="false"/>
          <w:color w:val="000000"/>
          <w:sz w:val="24"/>
        </w:rPr>
        <w:t>is defined in Section 5.3.</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Disqualified Stock”</w:t>
      </w:r>
      <w:r>
        <w:rPr>
          <w:color w:val="000000"/>
        </w:rPr>
        <w:t xml:space="preserve"> </w:t>
      </w:r>
      <w:r>
        <w:rPr>
          <w:rFonts w:ascii="Times New Roman;sans-serif" w:hAnsi="Times New Roman;sans-serif"/>
          <w:b w:val="false"/>
          <w:color w:val="000000"/>
          <w:sz w:val="24"/>
        </w:rPr>
        <w:t xml:space="preserve">means any Equity Interest that, by its terms (or by the terms of any security into which it is convertible or for which it is exchangeable at the option of the holder thereof), or upon the happening of any event, matures (excluding any maturity as a result of an optional redemption by the issuer thereof) or is mandatorily redeemable, pursuant to a sinking fund obligation or otherwise, or is redeemable at the unconditional sole option of the holder thereof (other than solely for Equity Interests that do not constitute Disqualified Stock), in whole or in part, on or prior to the date that is 180 days after the Maturity Date.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EDGAR”</w:t>
      </w:r>
      <w:r>
        <w:rPr>
          <w:color w:val="000000"/>
        </w:rPr>
        <w:t xml:space="preserve"> </w:t>
      </w:r>
      <w:r>
        <w:rPr>
          <w:rFonts w:ascii="Times New Roman;sans-serif" w:hAnsi="Times New Roman;sans-serif"/>
          <w:b w:val="false"/>
          <w:color w:val="000000"/>
          <w:sz w:val="24"/>
        </w:rPr>
        <w:t>means the SEC’s Electronic Data Gathering, Analysis and Retrieval System or any successor SEC electronic filing system for such purposes.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Environmental Laws”</w:t>
      </w:r>
      <w:r>
        <w:rPr>
          <w:color w:val="000000"/>
        </w:rPr>
        <w:t xml:space="preserve"> </w:t>
      </w:r>
      <w:r>
        <w:rPr>
          <w:rFonts w:ascii="Times New Roman;sans-serif" w:hAnsi="Times New Roman;sans-serif"/>
          <w:b w:val="false"/>
          <w:color w:val="000000"/>
          <w:sz w:val="24"/>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Materials.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Equity Interest”</w:t>
      </w:r>
      <w:r>
        <w:rPr>
          <w:color w:val="000000"/>
        </w:rPr>
        <w:t xml:space="preserve"> </w:t>
      </w:r>
      <w:r>
        <w:rPr>
          <w:rFonts w:ascii="Times New Roman;sans-serif" w:hAnsi="Times New Roman;sans-serif"/>
          <w:b w:val="false"/>
          <w:color w:val="000000"/>
          <w:sz w:val="24"/>
        </w:rPr>
        <w:t>means (a) shares of corporate stock, partnership interests, limited liability company membership interests, and any other interest that confers on a Person the right to receive a share of the profits and losses of, or distribution of assets of, the issuing Person, and (b) all warrants, options or other rights to acquire any Equity Interest set forth in the foregoing clause (a).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w:t>
      </w:r>
      <w:r>
        <w:rPr>
          <w:color w:val="000000"/>
        </w:rPr>
        <w:t xml:space="preserve"> </w:t>
      </w:r>
      <w:r>
        <w:rPr>
          <w:rFonts w:ascii="Times New Roman;sans-serif" w:hAnsi="Times New Roman;sans-serif"/>
          <w:b w:val="false"/>
          <w:color w:val="000000"/>
          <w:sz w:val="24"/>
        </w:rPr>
        <w:t xml:space="preserve">means the Employee Retirement Income Security Act of 1974, and the rules and regulations promulgated thereunder from time to time in effect.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ERISA Affiliate”</w:t>
      </w:r>
      <w:r>
        <w:rPr>
          <w:color w:val="000000"/>
        </w:rPr>
        <w:t xml:space="preserve"> </w:t>
      </w:r>
      <w:r>
        <w:rPr>
          <w:rFonts w:ascii="Times New Roman;sans-serif" w:hAnsi="Times New Roman;sans-serif"/>
          <w:b w:val="false"/>
          <w:color w:val="000000"/>
          <w:sz w:val="24"/>
        </w:rPr>
        <w:t>means any trade or business (whether or not incorporated) that is treated as a single employer together with the Company under section 414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Event of Default”</w:t>
      </w:r>
      <w:r>
        <w:rPr>
          <w:color w:val="000000"/>
        </w:rPr>
        <w:t xml:space="preserve"> </w:t>
      </w:r>
      <w:r>
        <w:rPr>
          <w:rFonts w:ascii="Times New Roman;sans-serif" w:hAnsi="Times New Roman;sans-serif"/>
          <w:b w:val="false"/>
          <w:color w:val="000000"/>
          <w:sz w:val="24"/>
        </w:rPr>
        <w:t xml:space="preserve">is defined in Section 11.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Exchange Act”</w:t>
      </w:r>
      <w:r>
        <w:rPr>
          <w:color w:val="000000"/>
        </w:rPr>
        <w:t xml:space="preserve"> </w:t>
      </w:r>
      <w:r>
        <w:rPr>
          <w:rFonts w:ascii="Times New Roman;sans-serif" w:hAnsi="Times New Roman;sans-serif"/>
          <w:b w:val="false"/>
          <w:color w:val="000000"/>
          <w:sz w:val="24"/>
        </w:rPr>
        <w:t xml:space="preserve">means the Securities Exchange Act of 1934, as amended from time to time, and the rules and regulations promulgated thereunder from time to time in effect.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FATCA</w:t>
      </w:r>
      <w:r>
        <w:rPr>
          <w:color w:val="000000"/>
        </w:rPr>
        <w:t xml:space="preserve">” </w:t>
      </w:r>
      <w:r>
        <w:rPr>
          <w:rFonts w:ascii="Times New Roman;sans-serif" w:hAnsi="Times New Roman;sans-serif"/>
          <w:b w:val="false"/>
          <w:color w:val="000000"/>
          <w:sz w:val="24"/>
        </w:rPr>
        <w:t>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Fitch” </w:t>
      </w:r>
      <w:r>
        <w:rPr>
          <w:rFonts w:ascii="Times New Roman;sans-serif" w:hAnsi="Times New Roman;sans-serif"/>
          <w:b w:val="false"/>
          <w:color w:val="000000"/>
          <w:sz w:val="24"/>
        </w:rPr>
        <w:t>means Fitch Ratings Inc.,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- 3 -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Form 10-K”</w:t>
      </w:r>
      <w:r>
        <w:rPr>
          <w:color w:val="000000"/>
        </w:rPr>
        <w:t xml:space="preserve"> </w:t>
      </w:r>
      <w:r>
        <w:rPr>
          <w:rFonts w:ascii="Times New Roman;sans-serif" w:hAnsi="Times New Roman;sans-serif"/>
          <w:b w:val="false"/>
          <w:color w:val="000000"/>
          <w:sz w:val="24"/>
        </w:rPr>
        <w:t>is defined in Section 7.1(b).</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Form 10-Q”</w:t>
      </w:r>
      <w:r>
        <w:rPr>
          <w:color w:val="000000"/>
        </w:rPr>
        <w:t xml:space="preserve"> </w:t>
      </w:r>
      <w:r>
        <w:rPr>
          <w:rFonts w:ascii="Times New Roman;sans-serif" w:hAnsi="Times New Roman;sans-serif"/>
          <w:b w:val="false"/>
          <w:color w:val="000000"/>
          <w:sz w:val="24"/>
        </w:rPr>
        <w:t>is defined in Section 7.1(a).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GAAP”</w:t>
      </w:r>
      <w:r>
        <w:rPr>
          <w:color w:val="000000"/>
        </w:rPr>
        <w:t xml:space="preserve"> </w:t>
      </w:r>
      <w:r>
        <w:rPr>
          <w:rFonts w:ascii="Times New Roman;sans-serif" w:hAnsi="Times New Roman;sans-serif"/>
          <w:b w:val="false"/>
          <w:color w:val="000000"/>
          <w:sz w:val="24"/>
        </w:rPr>
        <w:t>means (a) generally accepted accounting principles as in effect from time to time in the United States of America and (b) for purposes of Section 9.6, with respect to any Subsidiary, generally accepted accounting principles (including International Financial Reporting Standards, as applicable) as in effect from time to time in the jurisdiction of organization of such Subsidiary.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GIP” </w:t>
      </w:r>
      <w:r>
        <w:rPr>
          <w:rFonts w:ascii="Times New Roman;sans-serif" w:hAnsi="Times New Roman;sans-serif"/>
          <w:b w:val="false"/>
          <w:color w:val="000000"/>
          <w:sz w:val="24"/>
        </w:rPr>
        <w:t>has the meaning assigned to it under the definition of Sponsor.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Governmental Authority” </w:t>
      </w:r>
      <w:r>
        <w:rPr>
          <w:rFonts w:ascii="Times New Roman;sans-serif" w:hAnsi="Times New Roman;sans-serif"/>
          <w:b w:val="false"/>
          <w:color w:val="000000"/>
          <w:sz w:val="24"/>
        </w:rPr>
        <w:t>means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government of</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the United States of America or any state or other political subdivision thereof,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any other jurisdiction in which the Company or any Subsidiary conducts all or any part of its business, or which asserts jurisdiction over any properties of the Company or any Subsidiary, or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any entity exercising executive, legislative, judicial, regulatory or administrative functions of, or pertaining to, any such government.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Governmental Official” </w:t>
      </w:r>
      <w:r>
        <w:rPr>
          <w:rFonts w:ascii="Times New Roman;sans-serif" w:hAnsi="Times New Roman;sans-serif"/>
          <w:b w:val="false"/>
          <w:color w:val="000000"/>
          <w:sz w:val="24"/>
        </w:rPr>
        <w:t>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Guarantee”</w:t>
      </w:r>
      <w:r>
        <w:rPr>
          <w:color w:val="000000"/>
        </w:rPr>
        <w:t xml:space="preserve"> </w:t>
      </w:r>
      <w:r>
        <w:rPr>
          <w:rFonts w:ascii="Times New Roman;sans-serif" w:hAnsi="Times New Roman;sans-serif"/>
          <w:b w:val="false"/>
          <w:color w:val="000000"/>
          <w:sz w:val="24"/>
        </w:rPr>
        <w:t>of or by any Person (the “</w:t>
      </w:r>
      <w:r>
        <w:rPr>
          <w:rFonts w:ascii="Times New Roman;sans-serif" w:hAnsi="Times New Roman;sans-serif"/>
          <w:b w:val="false"/>
          <w:color w:val="000000"/>
          <w:sz w:val="24"/>
          <w:u w:val="single"/>
        </w:rPr>
        <w:t>guarantor</w:t>
      </w:r>
      <w:r>
        <w:rPr>
          <w:color w:val="000000"/>
        </w:rPr>
        <w:t>”</w:t>
      </w:r>
      <w:r>
        <w:rPr>
          <w:rFonts w:ascii="Times New Roman;sans-serif" w:hAnsi="Times New Roman;sans-serif"/>
          <w:b w:val="false"/>
          <w:color w:val="000000"/>
          <w:sz w:val="24"/>
        </w:rPr>
        <w:t>) means any obligation, contingent or otherwise, of the guarantor guaranteeing or having the economic effect of guaranteeing any Indebtedness or other obligation of any other Person (the “</w:t>
      </w:r>
      <w:r>
        <w:rPr>
          <w:rFonts w:ascii="Times New Roman;sans-serif" w:hAnsi="Times New Roman;sans-serif"/>
          <w:b w:val="false"/>
          <w:color w:val="000000"/>
          <w:sz w:val="24"/>
          <w:u w:val="single"/>
        </w:rPr>
        <w:t>primary obligor</w:t>
      </w:r>
      <w:r>
        <w:rPr>
          <w:color w:val="000000"/>
        </w:rPr>
        <w:t>”</w:t>
      </w:r>
      <w:r>
        <w:rPr>
          <w:rFonts w:ascii="Times New Roman;sans-serif" w:hAnsi="Times New Roman;sans-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as to enable the primary obligor to pay such Indebtedness or other obligation or (d) as an account party in respect of any letter of credit or letter of guaranty issued to support such Indebtedness or obligation,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term “Guarantee” shall not include endorsements for collection or deposit in the ordinary course of business. The term “Guaranteed” has a meaning correlative thereto. The amount of any Guarantee of a Person shall be deemed to be an amount equal to the stated or determinable amount of the primary obligation in respect of which such Guarantee is made (or, if less, the maximum amount of such primary obligation for which such Person may be liable pursuant to the terms of the instrument evidencing such Guarantee) or, if not stated or determinable, the maximum reasonably anticipated liability in respect thereof as determined by such Person in good faith,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- 4 -</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notwithstanding anything in this definition to the contrary, the amount of any Guarantee of a Person in respect of any Permitted Hedge Agreement by any other Person with a counterparty shall be deemed to be the maximum reasonably anticipated liability of such other Person, as determined in good faith by such Person, net of any obligation or liability of such counterparty in respect of any Permitted Hedge Agreement with such Person,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that the obligations of such other Person under such Permitted Hedge Agreement with such counterparty shall be terminable at the election of such other Person in the event of a default by such counterparty in its obligations to such other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Hazardous Materials”</w:t>
      </w:r>
      <w:r>
        <w:rPr>
          <w:color w:val="000000"/>
        </w:rPr>
        <w:t xml:space="preserve"> </w:t>
      </w:r>
      <w:r>
        <w:rPr>
          <w:rFonts w:ascii="Times New Roman;sans-serif" w:hAnsi="Times New Roman;sans-serif"/>
          <w:b w:val="false"/>
          <w:color w:val="000000"/>
          <w:sz w:val="24"/>
        </w:rPr>
        <w:t>means any and all pollutants, toxic or hazardous wastes or other substances that might pose a hazard to health and safety, the removal of which may be required or the generation, manufacture, refining, production, processing, treatment, storage, handling, transportation, transfer, use, disposal, release, discharge, spillage, seepage or filtration of which is or shall be restricted, prohibited or penalized by any applicable law, including asbestos, urea formaldehyde foam insulation, polychlorinated biphenyls, petroleum, petroleum products, lead based paint, radon gas or similar restricted, prohibited or penalized substances.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Hedge Agreement”</w:t>
      </w:r>
      <w:r>
        <w:rPr>
          <w:color w:val="000000"/>
        </w:rPr>
        <w:t xml:space="preserve"> </w:t>
      </w:r>
      <w:r>
        <w:rPr>
          <w:rFonts w:ascii="Times New Roman;sans-serif" w:hAnsi="Times New Roman;sans-serif"/>
          <w:b w:val="false"/>
          <w:color w:val="000000"/>
          <w:sz w:val="24"/>
        </w:rPr>
        <w:t>means any interest rate protection agreement, foreign currency exchange agreement, commodity price protection agreement or other interest rate, currency exchange rate or commodity price hedge, future, forward, swap, option, cap, floor, collar or similar agreement or arrangement (including both physical and financial settlement transactions).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holder” </w:t>
      </w:r>
      <w:r>
        <w:rPr>
          <w:rFonts w:ascii="Times New Roman;sans-serif" w:hAnsi="Times New Roman;sans-serif"/>
          <w:b w:val="false"/>
          <w:color w:val="000000"/>
          <w:sz w:val="24"/>
        </w:rPr>
        <w:t xml:space="preserve">means, with respect to any Note, the Person in whose name such Notes is registered in the register maintained by U.S. Bank on behalf of the Company pursuant to Section 13.1, except as otherwise defined in Section 8.3(b) for purposes of Section 8.3 only, and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if such Person is a nominee, then for the purposes of Sections 7, 12, 17.2 and 18 and any related definitions in this Schedule B, “holder” shall mean the beneficial owner of such Note whose name and address appears in such register</w:t>
      </w:r>
      <w:r>
        <w:rPr>
          <w:rFonts w:ascii="Times New Roman;sans-serif" w:hAnsi="Times New Roman;sans-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Indebtedness” </w:t>
      </w:r>
      <w:r>
        <w:rPr>
          <w:rFonts w:ascii="Times New Roman;sans-serif" w:hAnsi="Times New Roman;sans-serif"/>
          <w:b w:val="false"/>
          <w:color w:val="000000"/>
          <w:sz w:val="24"/>
        </w:rPr>
        <w:t xml:space="preserve">means as to any Person, at a particular time, all items which constitute, without duplication, (a) indebtedness for borrowed money or the deferred purchase price of property (excluding trade payables incurred in the ordinary course of business and excluding any such obligations payable solely through the Company’s issuance of Equity Interests (other than the Disqualified Stock and Equity Interests convertible into Disqualified Stock)), (b) indebtedness evidenced by notes, bonds, debentures or similar instruments, (c) obligations with respect to any conditional sale or title retention agreement, (d) indebtedness arising under acceptance facilities and the amount available to be drawn under all letters of credit issued for the account of such Person and, without duplication, all drafts drawn thereunder to the extent such Person shall not have reimbursed the issuer in respect of the issuer’s payment of such drafts, (e) all liabilities secured by any Lien on any property owned by such Person even though such Person has not assumed or otherwise become liable for the payment thereof,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the amount of such liabilities included for purposes of this definition will be the amount equal to the lesser of the fair market value of such property and the amount of the liabilities so secured, (f) indebtedness in respect of Disqualified Stock valued at the greater of its voluntary or involuntary maximum fixed repurchase price plus accrued dividends, (g) liabilities in respect of any obligation (contingent or otherwise) to purchase, redeem, retire, acquire or make any other payment in respect of any shares of equity securities or any option, warrant or other right to acquire any shares of equity securities, (h) obligations under Capital Lease Obligations, (i)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- 5 -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Guarantees of such Person in respect of Indebtedness of others, and (j) to the extent not otherwise included, all net obligations of such Person under Permitted Hedge Agreements.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Indebtedness shall include all Indebtedness secured by any Liens permitted under Section 10.4 of this Agreement.</w:t>
      </w:r>
    </w:p>
    <w:p>
      <w:pPr>
        <w:pStyle w:val="TextBody"/>
        <w:bidi w:val="0"/>
        <w:spacing w:lineRule="auto" w:line="288" w:before="0" w:after="240"/>
        <w:jc w:val="both"/>
        <w:rPr/>
      </w:pPr>
      <w:r>
        <w:rPr>
          <w:color w:val="000000"/>
        </w:rPr>
        <w:t>    “</w:t>
      </w:r>
      <w:r>
        <w:rPr>
          <w:rFonts w:ascii="Times New Roman;sans-serif" w:hAnsi="Times New Roman;sans-serif"/>
          <w:b/>
          <w:color w:val="000000"/>
          <w:sz w:val="24"/>
        </w:rPr>
        <w:t>INHAM Exemption”</w:t>
      </w:r>
      <w:r>
        <w:rPr>
          <w:color w:val="000000"/>
        </w:rPr>
        <w:t xml:space="preserve"> </w:t>
      </w:r>
      <w:r>
        <w:rPr>
          <w:rFonts w:ascii="Times New Roman;sans-serif" w:hAnsi="Times New Roman;sans-serif"/>
          <w:b w:val="false"/>
          <w:color w:val="000000"/>
          <w:sz w:val="24"/>
        </w:rPr>
        <w:t>is defined in Section 6.2(e).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Institutional Investor”</w:t>
      </w:r>
      <w:r>
        <w:rPr>
          <w:color w:val="000000"/>
        </w:rPr>
        <w:t xml:space="preserve"> </w:t>
      </w:r>
      <w:r>
        <w:rPr>
          <w:rFonts w:ascii="Times New Roman;sans-serif" w:hAnsi="Times New Roman;sans-serif"/>
          <w:b w:val="false"/>
          <w:color w:val="000000"/>
          <w:sz w:val="24"/>
        </w:rPr>
        <w:t xml:space="preserve">means (a) any Purchaser of a Note, (b) any holder of a Note holding (together with one or more of its affiliates) more than 5%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Investment Grade Rating” </w:t>
      </w:r>
      <w:r>
        <w:rPr>
          <w:rFonts w:ascii="Times New Roman;sans-serif" w:hAnsi="Times New Roman;sans-serif"/>
          <w:b w:val="false"/>
          <w:color w:val="000000"/>
          <w:sz w:val="24"/>
        </w:rPr>
        <w:t>means a Senior Debt Rating from at least two Rating Agencies equal to (a) for any transaction where the surviving entity has a Senior Debt Rating, a rating for such surviving entity of BBB- or higher from S&amp;P or Fitch or Baa3 or higher from Moody’s and (b) for any transaction where the surviving entity is an indirect or direct holding company for a public utility that does not have a Senior Debt Rating, a rating for such surviving entity’s primary utility Subsidiary of BBB- or higher from S&amp;P or Fitch or Baa3 or higher from Moody’s.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Lien”</w:t>
      </w:r>
      <w:r>
        <w:rPr>
          <w:color w:val="000000"/>
        </w:rPr>
        <w:t xml:space="preserve"> </w:t>
      </w:r>
      <w:r>
        <w:rPr>
          <w:rFonts w:ascii="Times New Roman;sans-serif" w:hAnsi="Times New Roman;sans-serif"/>
          <w:b w:val="false"/>
          <w:color w:val="000000"/>
          <w:sz w:val="24"/>
        </w:rPr>
        <w:t>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Obligations, upon or with respect to any property or asset of such Person (including in the case of stock, stockholder agreements, voting trust agreements and all similar arrangements).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Make-Whole Amount”</w:t>
      </w:r>
      <w:r>
        <w:rPr>
          <w:color w:val="000000"/>
        </w:rPr>
        <w:t xml:space="preserve"> </w:t>
      </w:r>
      <w:r>
        <w:rPr>
          <w:rFonts w:ascii="Times New Roman;sans-serif" w:hAnsi="Times New Roman;sans-serif"/>
          <w:b w:val="false"/>
          <w:color w:val="000000"/>
          <w:sz w:val="24"/>
        </w:rPr>
        <w:t>is defined in Section 8.7.</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w:t>
      </w:r>
      <w:r>
        <w:rPr>
          <w:color w:val="000000"/>
        </w:rPr>
        <w:t xml:space="preserve"> </w:t>
      </w:r>
      <w:r>
        <w:rPr>
          <w:rFonts w:ascii="Times New Roman;sans-serif" w:hAnsi="Times New Roman;sans-serif"/>
          <w:b w:val="false"/>
          <w:color w:val="000000"/>
          <w:sz w:val="24"/>
        </w:rPr>
        <w:t>means material in relation to the business, operations, affairs, financial condition, assets or properties of the Company and its Subsidiaries taken as a whole.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Material Adverse Effect”</w:t>
      </w:r>
      <w:r>
        <w:rPr>
          <w:color w:val="000000"/>
        </w:rPr>
        <w:t xml:space="preserve"> </w:t>
      </w:r>
      <w:r>
        <w:rPr>
          <w:rFonts w:ascii="Times New Roman;sans-serif" w:hAnsi="Times New Roman;sans-serif"/>
          <w:b w:val="false"/>
          <w:color w:val="000000"/>
          <w:sz w:val="24"/>
        </w:rPr>
        <w:t>means a material adverse effect on (a) the business, operations, affairs, financial condition, 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w:t>
      </w:r>
    </w:p>
    <w:p>
      <w:pPr>
        <w:pStyle w:val="TextBody"/>
        <w:bidi w:val="0"/>
        <w:spacing w:lineRule="atLeast" w:line="280" w:before="0" w:after="100"/>
        <w:ind w:left="0" w:right="0" w:firstLine="720"/>
        <w:jc w:val="both"/>
        <w:rPr/>
      </w:pPr>
      <w:r>
        <w:rPr>
          <w:color w:val="000000"/>
        </w:rPr>
        <w:t>“</w:t>
      </w:r>
      <w:r>
        <w:rPr>
          <w:rFonts w:ascii="Times New Roman;sans-serif" w:hAnsi="Times New Roman;sans-serif"/>
          <w:b/>
          <w:color w:val="000000"/>
          <w:sz w:val="24"/>
        </w:rPr>
        <w:t>Material Credit Facility”</w:t>
      </w:r>
      <w:r>
        <w:rPr>
          <w:color w:val="000000"/>
        </w:rPr>
        <w:t xml:space="preserve"> </w:t>
      </w:r>
      <w:r>
        <w:rPr>
          <w:rFonts w:ascii="Times New Roman;sans-serif" w:hAnsi="Times New Roman;sans-serif"/>
          <w:b w:val="false"/>
          <w:color w:val="000000"/>
          <w:sz w:val="24"/>
        </w:rPr>
        <w:t>means, as to the Company,</w:t>
      </w:r>
      <w:r>
        <w:rPr>
          <w:color w:val="00000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22.7.1.(1) the Amended and Restated Credit Agreement, (2) the CoBank Letter of Credit Agreement, (3) the Note Purchase Agreement, dated December 8, 2016, among the Company and the purchasers thereunder, and (4) the Note Purchase Agreement, dated June 27, 2024, among the Company and the purchasers thereunder, in each case including any renewals, extensions, amendments, supplements, restatements, replacements or refinancing thereof; and</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- 6 -</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22.7.2.any other credit agreement(s), loan agreement(s) or similar agreement(s) with one or more lenders creating or evidencing indebtedness for borrowed money entered into on or after the date of Closing by the Company, or in respect of which the Company is an obligor or otherwise provides a guarantee or other credit support (</w:t>
      </w:r>
      <w:r>
        <w:rPr>
          <w:color w:val="000000"/>
        </w:rPr>
        <w:t>“</w:t>
      </w:r>
      <w:r>
        <w:rPr>
          <w:rFonts w:ascii="Times New Roman;sans-serif" w:hAnsi="Times New Roman;sans-serif"/>
          <w:b/>
          <w:color w:val="000000"/>
          <w:sz w:val="24"/>
        </w:rPr>
        <w:t>Credit Facility”</w:t>
      </w:r>
      <w:r>
        <w:rPr>
          <w:rFonts w:ascii="Times New Roman;sans-serif" w:hAnsi="Times New Roman;sans-serif"/>
          <w:b w:val="false"/>
          <w:color w:val="000000"/>
          <w:sz w:val="24"/>
        </w:rPr>
        <w:t>), in a principal amount outstanding or available for borrowing equal to or greater than $115,000,000 (or the equivalent of such amount in the relevant currency of payment, determined as of the date of the closing of such facility based on the exchange rate of such other currency).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Maturity Date”</w:t>
      </w:r>
      <w:r>
        <w:rPr>
          <w:color w:val="000000"/>
        </w:rPr>
        <w:t xml:space="preserve"> </w:t>
      </w:r>
      <w:r>
        <w:rPr>
          <w:rFonts w:ascii="Times New Roman;sans-serif" w:hAnsi="Times New Roman;sans-serif"/>
          <w:b w:val="false"/>
          <w:color w:val="000000"/>
          <w:sz w:val="24"/>
        </w:rPr>
        <w:t>is defined in the first paragraph of each Note.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Merger” </w:t>
      </w:r>
      <w:r>
        <w:rPr>
          <w:rFonts w:ascii="Times New Roman;sans-serif" w:hAnsi="Times New Roman;sans-serif"/>
          <w:b w:val="false"/>
          <w:color w:val="000000"/>
          <w:sz w:val="24"/>
        </w:rPr>
        <w:t>means the merger of Alloy Merger Sub LLC into the Company, with the Company surviving, and a potential subsequent conversion of the Company into a Minnesota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Merger Agreement” </w:t>
      </w:r>
      <w:r>
        <w:rPr>
          <w:rFonts w:ascii="Times New Roman;sans-serif" w:hAnsi="Times New Roman;sans-serif"/>
          <w:b w:val="false"/>
          <w:color w:val="000000"/>
          <w:sz w:val="24"/>
        </w:rPr>
        <w:t>means that certain Agreement and Plan of Merger dated as of May 5, 2024, by and among the Company, Alloy Parent LLC, a Delaware limited liability company and Alloy Merger Sub LLC, a Delaware limited liability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Moody’s” </w:t>
      </w:r>
      <w:r>
        <w:rPr>
          <w:rFonts w:ascii="Times New Roman;sans-serif" w:hAnsi="Times New Roman;sans-serif"/>
          <w:b w:val="false"/>
          <w:color w:val="000000"/>
          <w:sz w:val="24"/>
        </w:rPr>
        <w:t>means Moody’s Investors Service, Inc.,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Multiemployer Plan”</w:t>
      </w:r>
      <w:r>
        <w:rPr>
          <w:color w:val="000000"/>
        </w:rPr>
        <w:t xml:space="preserve"> </w:t>
      </w:r>
      <w:r>
        <w:rPr>
          <w:rFonts w:ascii="Times New Roman;sans-serif" w:hAnsi="Times New Roman;sans-serif"/>
          <w:b w:val="false"/>
          <w:color w:val="000000"/>
          <w:sz w:val="24"/>
        </w:rPr>
        <w:t>means any Plan that is a “multiemployer plan” (as such term is defined in section 4001(a)(3) of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NAIC”</w:t>
      </w:r>
      <w:r>
        <w:rPr>
          <w:color w:val="000000"/>
        </w:rPr>
        <w:t xml:space="preserve"> </w:t>
      </w:r>
      <w:r>
        <w:rPr>
          <w:rFonts w:ascii="Times New Roman;sans-serif" w:hAnsi="Times New Roman;sans-serif"/>
          <w:b w:val="false"/>
          <w:color w:val="000000"/>
          <w:sz w:val="24"/>
        </w:rPr>
        <w:t>means the National Association of Insurance Commissioners.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Non-U.S. Plan”</w:t>
      </w:r>
      <w:r>
        <w:rPr>
          <w:color w:val="000000"/>
        </w:rPr>
        <w:t xml:space="preserve"> </w:t>
      </w:r>
      <w:r>
        <w:rPr>
          <w:rFonts w:ascii="Times New Roman;sans-serif" w:hAnsi="Times New Roman;sans-serif"/>
          <w:b w:val="false"/>
          <w:color w:val="000000"/>
          <w:sz w:val="24"/>
        </w:rPr>
        <w:t>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Notes”</w:t>
      </w:r>
      <w:r>
        <w:rPr>
          <w:color w:val="000000"/>
        </w:rPr>
        <w:t xml:space="preserve"> </w:t>
      </w:r>
      <w:r>
        <w:rPr>
          <w:rFonts w:ascii="Times New Roman;sans-serif" w:hAnsi="Times New Roman;sans-serif"/>
          <w:b w:val="false"/>
          <w:color w:val="000000"/>
          <w:sz w:val="24"/>
        </w:rPr>
        <w:t>is defined in Section 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OFAC”</w:t>
      </w:r>
      <w:r>
        <w:rPr>
          <w:color w:val="000000"/>
        </w:rPr>
        <w:t xml:space="preserve"> </w:t>
      </w:r>
      <w:r>
        <w:rPr>
          <w:rFonts w:ascii="Times New Roman;sans-serif" w:hAnsi="Times New Roman;sans-serif"/>
          <w:b w:val="false"/>
          <w:color w:val="000000"/>
          <w:sz w:val="24"/>
        </w:rPr>
        <w:t>means the Office of Foreign Assets Control of the United States Department of the Treasury.</w:t>
      </w:r>
    </w:p>
    <w:p>
      <w:pPr>
        <w:pStyle w:val="TextBody"/>
        <w:bidi w:val="0"/>
        <w:spacing w:lineRule="atLeast" w:line="280" w:before="0" w:after="100"/>
        <w:ind w:left="0" w:right="0" w:firstLine="720"/>
        <w:jc w:val="both"/>
        <w:rPr/>
      </w:pPr>
      <w:r>
        <w:rPr>
          <w:color w:val="000000"/>
        </w:rPr>
        <w:t>“</w:t>
      </w:r>
      <w:r>
        <w:rPr>
          <w:rFonts w:ascii="Times New Roman;sans-serif" w:hAnsi="Times New Roman;sans-serif"/>
          <w:b/>
          <w:color w:val="000000"/>
          <w:sz w:val="24"/>
        </w:rPr>
        <w:t>OFAC Sanctions Program”</w:t>
      </w:r>
      <w:r>
        <w:rPr>
          <w:color w:val="000000"/>
        </w:rPr>
        <w:t xml:space="preserve"> </w:t>
      </w:r>
      <w:r>
        <w:rPr>
          <w:rFonts w:ascii="Times New Roman;sans-serif" w:hAnsi="Times New Roman;sans-serif"/>
          <w:b w:val="false"/>
          <w:color w:val="000000"/>
          <w:sz w:val="24"/>
        </w:rPr>
        <w:t xml:space="preserve">means any economic or trade sanction that OFAC is responsible for administering and enforcing. A list of OFAC Sanctions Programs may be found at </w:t>
      </w:r>
      <w:r>
        <w:rPr>
          <w:rFonts w:ascii="Times New Roman;sans-serif" w:hAnsi="Times New Roman;sans-serif"/>
          <w:b w:val="false"/>
          <w:color w:val="0000FF"/>
          <w:sz w:val="24"/>
          <w:u w:val="single"/>
        </w:rPr>
        <w:t>https://www.treasury.gov/resource-center/sanctions/Programs/Pages/Programs.aspx</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Officer’s Certificate”</w:t>
      </w:r>
      <w:r>
        <w:rPr>
          <w:color w:val="000000"/>
        </w:rPr>
        <w:t xml:space="preserve"> </w:t>
      </w:r>
      <w:r>
        <w:rPr>
          <w:rFonts w:ascii="Times New Roman;sans-serif" w:hAnsi="Times New Roman;sans-serif"/>
          <w:b w:val="false"/>
          <w:color w:val="000000"/>
          <w:sz w:val="24"/>
        </w:rPr>
        <w:t>means a certificate of a Senior Financial Officer or of any other officer of the Company whose responsibilities extend to the subject matter of such certificate.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PBGC”</w:t>
      </w:r>
      <w:r>
        <w:rPr>
          <w:color w:val="000000"/>
        </w:rPr>
        <w:t xml:space="preserve"> </w:t>
      </w:r>
      <w:r>
        <w:rPr>
          <w:rFonts w:ascii="Times New Roman;sans-serif" w:hAnsi="Times New Roman;sans-serif"/>
          <w:b w:val="false"/>
          <w:color w:val="000000"/>
          <w:sz w:val="24"/>
        </w:rPr>
        <w:t>means the Pension Benefit Guaranty Corporation referred to and defined in ERISA.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Permitted Change in Control” </w:t>
      </w:r>
      <w:r>
        <w:rPr>
          <w:rFonts w:ascii="Times New Roman;sans-serif" w:hAnsi="Times New Roman;sans-serif"/>
          <w:b w:val="false"/>
          <w:color w:val="000000"/>
          <w:sz w:val="24"/>
        </w:rPr>
        <w:t xml:space="preserve">means any transaction or series of related transactions which otherwise may constitute a Change in Control in which either, after giving effect to such transaction, Permitted Holders own or otherwise have (as applicable), either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- 7 -</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indirectly, through one or more holding companies, (i) shall be “beneficial owners” (as such term is defined in Rule 13d-3 of the Exchange Act) of more than (x) at any time after the consummation of the Merger and prior to an initial public offering described in clause (a) of the definition of “Change in Control,” 50%, and (y) at any time after the occurrence of an initial public offering described in clause (b) of the definition of “Change in Control,” 30%, in the case of each of clause (a) and (b), of the total voting power in aggregate of the Voting Securities in the Company (or any parent that owns, directly or indirectly, 100% of the Equity Interests of the Company (other than any Equity Interests owned by or issued in connection with a management equity plan or vehicle) and which parent, directly or indirectly, controls the Company) or (ii) the right (pursuant to contract, proxy or otherwise), to designate, nominate or appoint (and do so designate, nominate or appoint) persons holding a majority of the voting power of the board of directors (or similar governing body) of the Company (or any parent that owns, directly or indirectly, 100% of the Equity Interests of the Company (other than any Equity Interests owned by or issued in connection with a management equity plan or vehicle) and which parent, directly or indirectly, controls the Company), in the case of this </w:t>
      </w:r>
      <w:r>
        <w:rPr>
          <w:rFonts w:ascii="Times New Roman;sans-serif" w:hAnsi="Times New Roman;sans-serif"/>
          <w:b w:val="false"/>
          <w:color w:val="000000"/>
          <w:sz w:val="24"/>
          <w:u w:val="single"/>
        </w:rPr>
        <w:t>clause (ii)</w:t>
      </w:r>
      <w:r>
        <w:rPr>
          <w:rFonts w:ascii="Times New Roman;sans-serif" w:hAnsi="Times New Roman;sans-serif"/>
          <w:b w:val="false"/>
          <w:color w:val="000000"/>
          <w:sz w:val="24"/>
        </w:rPr>
        <w:t>, if the Company or the applicable parent holding company has not issued any Voting Securities.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Permitted Hedge Agreement”</w:t>
      </w:r>
      <w:r>
        <w:rPr>
          <w:color w:val="000000"/>
        </w:rPr>
        <w:t xml:space="preserve"> </w:t>
      </w:r>
      <w:r>
        <w:rPr>
          <w:rFonts w:ascii="Times New Roman;sans-serif" w:hAnsi="Times New Roman;sans-serif"/>
          <w:b w:val="false"/>
          <w:color w:val="000000"/>
          <w:sz w:val="24"/>
        </w:rPr>
        <w:t>means any Hedge Agreement engaged in by a Person as part of its normal business operations with the purpose and effect of hedging and protecting such Person against fluctuations or adverse changes in the prices of electricity, gas, fuel or other commodities, interest rates or currency exchange rates, which Hedge Agreement is part of a risk management strategy and not for purposes of speculation and not intended primarily as a borrowing of funds.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Permitted Holders” </w:t>
      </w:r>
      <w:r>
        <w:rPr>
          <w:rFonts w:ascii="Times New Roman;sans-serif" w:hAnsi="Times New Roman;sans-serif"/>
          <w:b w:val="false"/>
          <w:color w:val="000000"/>
          <w:sz w:val="24"/>
        </w:rPr>
        <w:t>means the Sponsor and so long as the Company retains its Investment Grade Rating, any person or entity that (a)(x) is a past or present direct or indirect owner or operator of one or more utility companies or federal or state regulated infrastructure businesses or (y) has (or has contracted with a third-party operator that has) substantial experience operating regulated and unregulated electric utility companies or federal or state regulated infrastructure businesses, (b) has, or is a direct or indirect Subsidiary of a Person, or comprises a fund or account or other investment vehicle managed, advised or controlled by a Person, that has, or has its obligations in respect of its direct or indirect ownership interests in the Company guaranteed by a Person that has, in each case, (x) an Investment Grade Rating or (y) a tangible net worth or assets under management (in the aggregate) of at least the lesser of (i) $10 billion or (ii) 10 times the value of the Equity Interests in the Company owned or to be owned by such Person.</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Person”</w:t>
      </w:r>
      <w:r>
        <w:rPr>
          <w:color w:val="000000"/>
        </w:rPr>
        <w:t xml:space="preserve"> </w:t>
      </w:r>
      <w:r>
        <w:rPr>
          <w:rFonts w:ascii="Times New Roman;sans-serif" w:hAnsi="Times New Roman;sans-serif"/>
          <w:b w:val="false"/>
          <w:color w:val="000000"/>
          <w:sz w:val="24"/>
        </w:rPr>
        <w:t>means an individual, partnership, corporation, limited liability company, joint venture, association, trust, unincorporated organization, business entity, Governmental Authority or other entity.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Plan”</w:t>
      </w:r>
      <w:r>
        <w:rPr>
          <w:color w:val="000000"/>
        </w:rPr>
        <w:t xml:space="preserve"> </w:t>
      </w:r>
      <w:r>
        <w:rPr>
          <w:rFonts w:ascii="Times New Roman;sans-serif" w:hAnsi="Times New Roman;sans-serif"/>
          <w:b w:val="false"/>
          <w:color w:val="000000"/>
          <w:sz w:val="24"/>
        </w:rPr>
        <w:t>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Project Finance Indebtedness” </w:t>
      </w:r>
      <w:r>
        <w:rPr>
          <w:rFonts w:ascii="Times New Roman;sans-serif" w:hAnsi="Times New Roman;sans-serif"/>
          <w:b w:val="false"/>
          <w:color w:val="000000"/>
          <w:sz w:val="24"/>
        </w:rPr>
        <w:t xml:space="preserve">means any indebtedness or lease obligations incurred by a special purpose subsidiary with no material assets or operations other than the project being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- 8 -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financed (i) which are related to the construction or acquisition of property not previously owned by the Company or its Subsidiaries or (ii) which are related to the financing of a project involving the development or expansion of property of the Company or any of its Subsidiaries and (iii), in either case, the obligee in respect of which has no recourse to the Company or its Subsidiaries or any property of the Company or its Subsidiaries other than the property constructed or acquired with the proceeds of such transaction or the project financed with the proceeds of such transaction (or the proceeds thereof).</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property”</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properties”</w:t>
      </w:r>
      <w:r>
        <w:rPr>
          <w:color w:val="000000"/>
        </w:rPr>
        <w:t xml:space="preserve"> </w:t>
      </w:r>
      <w:r>
        <w:rPr>
          <w:rFonts w:ascii="Times New Roman;sans-serif" w:hAnsi="Times New Roman;sans-serif"/>
          <w:b w:val="false"/>
          <w:color w:val="000000"/>
          <w:sz w:val="24"/>
        </w:rPr>
        <w:t xml:space="preserve">means, unless otherwise specifically limited, real or personal property of any kind, tangible or intangible, choate or inchoate.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Proposed Prepayment Date”</w:t>
      </w:r>
      <w:r>
        <w:rPr>
          <w:color w:val="000000"/>
        </w:rPr>
        <w:t xml:space="preserve"> </w:t>
      </w:r>
      <w:r>
        <w:rPr>
          <w:rFonts w:ascii="Times New Roman;sans-serif" w:hAnsi="Times New Roman;sans-serif"/>
          <w:b w:val="false"/>
          <w:color w:val="000000"/>
          <w:sz w:val="24"/>
        </w:rPr>
        <w:t xml:space="preserve">is defined in Section 8.3(b).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PTE”</w:t>
      </w:r>
      <w:r>
        <w:rPr>
          <w:color w:val="000000"/>
        </w:rPr>
        <w:t xml:space="preserve"> </w:t>
      </w:r>
      <w:r>
        <w:rPr>
          <w:rFonts w:ascii="Times New Roman;sans-serif" w:hAnsi="Times New Roman;sans-serif"/>
          <w:b w:val="false"/>
          <w:color w:val="000000"/>
          <w:sz w:val="24"/>
        </w:rPr>
        <w:t>is defined in Section 6.2(a).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Purchaser”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Purchasers”</w:t>
      </w:r>
      <w:r>
        <w:rPr>
          <w:color w:val="000000"/>
        </w:rPr>
        <w:t xml:space="preserve"> </w:t>
      </w:r>
      <w:r>
        <w:rPr>
          <w:rFonts w:ascii="Times New Roman;sans-serif" w:hAnsi="Times New Roman;sans-serif"/>
          <w:b w:val="false"/>
          <w:color w:val="000000"/>
          <w:sz w:val="24"/>
        </w:rPr>
        <w:t xml:space="preserve">means each of the purchasers that has executed and delivered this Agreement to the Company and such Purchaser’s successors and assigns (so long as any such assignment complies with Section 13.2),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that any Purchaser of a Note that ceases to be the registered holder or a beneficial owner (through a nominee) of such Note as the result of a transfer thereof pursuant to Section 13.2 shall cease to be included within the meaning of “Purchaser” of such Note for the purposes of this Agreement upon such transfer</w:t>
      </w:r>
      <w:r>
        <w:rPr>
          <w:color w:val="000000"/>
        </w:rPr>
        <w:t xml:space="preserve"> </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Qualified Institutional Buyer”</w:t>
      </w:r>
      <w:r>
        <w:rPr>
          <w:color w:val="000000"/>
        </w:rPr>
        <w:t xml:space="preserve"> </w:t>
      </w:r>
      <w:r>
        <w:rPr>
          <w:rFonts w:ascii="Times New Roman;sans-serif" w:hAnsi="Times New Roman;sans-serif"/>
          <w:b w:val="false"/>
          <w:color w:val="000000"/>
          <w:sz w:val="24"/>
        </w:rPr>
        <w:t>means any Person who is a “qualified institutional buyer” within the meaning of such term as set forth in Rule 144A(a)(1) under the Securities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QPAM Exemption”</w:t>
      </w:r>
      <w:r>
        <w:rPr>
          <w:color w:val="000000"/>
        </w:rPr>
        <w:t xml:space="preserve"> </w:t>
      </w:r>
      <w:r>
        <w:rPr>
          <w:rFonts w:ascii="Times New Roman;sans-serif" w:hAnsi="Times New Roman;sans-serif"/>
          <w:b w:val="false"/>
          <w:color w:val="000000"/>
          <w:sz w:val="24"/>
        </w:rPr>
        <w:t>is defined in Section 6.2(d).</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Rating Agencies” </w:t>
      </w:r>
      <w:r>
        <w:rPr>
          <w:rFonts w:ascii="Times New Roman;sans-serif" w:hAnsi="Times New Roman;sans-serif"/>
          <w:b w:val="false"/>
          <w:color w:val="000000"/>
          <w:sz w:val="24"/>
        </w:rPr>
        <w:t>means Fitch, Moody’s and S&amp;P (or, if any of the foregoing ceases to provide Senior Debt Ratings as contemplated hereby, such other nationally recognized rating agency as shall be agreed upon by the Company and the Required Holders).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Related Fund”</w:t>
      </w:r>
      <w:r>
        <w:rPr>
          <w:color w:val="000000"/>
        </w:rPr>
        <w:t xml:space="preserve"> </w:t>
      </w:r>
      <w:r>
        <w:rPr>
          <w:rFonts w:ascii="Times New Roman;sans-serif" w:hAnsi="Times New Roman;sans-serif"/>
          <w:b w:val="false"/>
          <w:color w:val="000000"/>
          <w:sz w:val="24"/>
        </w:rPr>
        <w:t>means, with respect to any holder of any Note, any fund or entity that (i) invests in Securities or bank loans, and (ii) is advised or managed by such holder, the same investment advisor as such holder or by an affiliate of such holder or such investment advisor.</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Required Holders”</w:t>
      </w:r>
      <w:r>
        <w:rPr>
          <w:color w:val="000000"/>
        </w:rPr>
        <w:t xml:space="preserve"> </w:t>
      </w:r>
      <w:r>
        <w:rPr>
          <w:rFonts w:ascii="Times New Roman;sans-serif" w:hAnsi="Times New Roman;sans-serif"/>
          <w:b w:val="false"/>
          <w:color w:val="000000"/>
          <w:sz w:val="24"/>
        </w:rPr>
        <w:t>means at any time on or after the Closing, the holders of at least 51% in principal amount of the Notes at the time outstanding (exclusive of Notes then owned by the Company or any of its Affiliates).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Responsible Officer”</w:t>
      </w:r>
      <w:r>
        <w:rPr>
          <w:color w:val="000000"/>
        </w:rPr>
        <w:t xml:space="preserve"> </w:t>
      </w:r>
      <w:r>
        <w:rPr>
          <w:rFonts w:ascii="Times New Roman;sans-serif" w:hAnsi="Times New Roman;sans-serif"/>
          <w:b w:val="false"/>
          <w:color w:val="000000"/>
          <w:sz w:val="24"/>
        </w:rPr>
        <w:t>means any Senior Financial Officer and any other officer of the Company with responsibility for the administration of the relevant portion of this Agreement.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S&amp;P” </w:t>
      </w:r>
      <w:r>
        <w:rPr>
          <w:rFonts w:ascii="Times New Roman;sans-serif" w:hAnsi="Times New Roman;sans-serif"/>
          <w:b w:val="false"/>
          <w:color w:val="000000"/>
          <w:sz w:val="24"/>
        </w:rPr>
        <w:t>means Standard &amp; Poor’s Rating Services, a Standard &amp; Poor’s Financial Services LLC business, or any successor thereto.</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w:t>
      </w:r>
      <w:r>
        <w:rPr>
          <w:color w:val="000000"/>
        </w:rPr>
        <w:t xml:space="preserve"> </w:t>
      </w:r>
      <w:r>
        <w:rPr>
          <w:rFonts w:ascii="Times New Roman;sans-serif" w:hAnsi="Times New Roman;sans-serif"/>
          <w:b w:val="false"/>
          <w:color w:val="000000"/>
          <w:sz w:val="24"/>
        </w:rPr>
        <w:t>means the Securities and Exchange Commission of the United States of America.</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Securities”</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color w:val="000000"/>
          <w:sz w:val="24"/>
        </w:rPr>
        <w:t>Security”</w:t>
      </w:r>
      <w:r>
        <w:rPr>
          <w:color w:val="000000"/>
        </w:rPr>
        <w:t xml:space="preserve"> </w:t>
      </w:r>
      <w:r>
        <w:rPr>
          <w:rFonts w:ascii="Times New Roman;sans-serif" w:hAnsi="Times New Roman;sans-serif"/>
          <w:b w:val="false"/>
          <w:color w:val="000000"/>
          <w:sz w:val="24"/>
        </w:rPr>
        <w:t xml:space="preserve">shall have the meaning specified in section 2(1) of the Securities Act.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- 9 -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Securities Act”</w:t>
      </w:r>
      <w:r>
        <w:rPr>
          <w:color w:val="000000"/>
        </w:rPr>
        <w:t xml:space="preserve"> </w:t>
      </w:r>
      <w:r>
        <w:rPr>
          <w:rFonts w:ascii="Times New Roman;sans-serif" w:hAnsi="Times New Roman;sans-serif"/>
          <w:b w:val="false"/>
          <w:color w:val="000000"/>
          <w:sz w:val="24"/>
        </w:rPr>
        <w:t>means the Securities Act of 1933 and the rules and regulations promulgated thereunder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Senior Debt Rating”</w:t>
      </w:r>
      <w:r>
        <w:rPr>
          <w:color w:val="000000"/>
        </w:rPr>
        <w:t xml:space="preserve"> </w:t>
      </w:r>
      <w:r>
        <w:rPr>
          <w:rFonts w:ascii="Times New Roman;sans-serif" w:hAnsi="Times New Roman;sans-serif"/>
          <w:b w:val="false"/>
          <w:color w:val="000000"/>
          <w:sz w:val="24"/>
        </w:rPr>
        <w:t>means, at any date, the credit rating identified by a Rating Agency as the credit rating that (i) it has assigned to long term unsecured senior debt of such Person or (ii) would assign to long-term unsecured senior debt of such Person were such Person to issue or have outstanding any long-term unsecured senior debt on such date.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Senior Financial Officer”</w:t>
      </w:r>
      <w:r>
        <w:rPr>
          <w:color w:val="000000"/>
        </w:rPr>
        <w:t xml:space="preserve"> </w:t>
      </w:r>
      <w:r>
        <w:rPr>
          <w:rFonts w:ascii="Times New Roman;sans-serif" w:hAnsi="Times New Roman;sans-serif"/>
          <w:b w:val="false"/>
          <w:color w:val="000000"/>
          <w:sz w:val="24"/>
        </w:rPr>
        <w:t>means the chief financial officer, principal accounting officer, treasurer or comptroller of the Company.</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Significant Subsidiary”</w:t>
      </w:r>
      <w:r>
        <w:rPr>
          <w:color w:val="000000"/>
        </w:rPr>
        <w:t xml:space="preserve"> </w:t>
      </w:r>
      <w:r>
        <w:rPr>
          <w:rFonts w:ascii="Times New Roman;sans-serif" w:hAnsi="Times New Roman;sans-serif"/>
          <w:b w:val="false"/>
          <w:color w:val="000000"/>
          <w:sz w:val="24"/>
        </w:rPr>
        <w:t>has the meaning set forth in Item 1.02(w) of Regulation S-X under the Securities Act.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Source”</w:t>
      </w:r>
      <w:r>
        <w:rPr>
          <w:color w:val="000000"/>
        </w:rPr>
        <w:t xml:space="preserve"> </w:t>
      </w:r>
      <w:r>
        <w:rPr>
          <w:rFonts w:ascii="Times New Roman;sans-serif" w:hAnsi="Times New Roman;sans-serif"/>
          <w:b w:val="false"/>
          <w:color w:val="000000"/>
          <w:sz w:val="24"/>
        </w:rPr>
        <w:t>is defined in Section 6.2.</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Sponsor” </w:t>
      </w:r>
      <w:r>
        <w:rPr>
          <w:rFonts w:ascii="Times New Roman;sans-serif" w:hAnsi="Times New Roman;sans-serif"/>
          <w:b w:val="false"/>
          <w:color w:val="000000"/>
          <w:sz w:val="24"/>
        </w:rPr>
        <w:t>means, individually or collectively, Global Infrastructure Management, LLC and their respective Affiliates and any investment funds or vehicles that are advised or managed by Global Infrastructure Management, LLC or any of the foregoing (other than any portfolio operating companies of the foregoing) (“</w:t>
      </w:r>
      <w:r>
        <w:rPr>
          <w:rFonts w:ascii="Times New Roman;sans-serif" w:hAnsi="Times New Roman;sans-serif"/>
          <w:b/>
          <w:color w:val="000000"/>
          <w:sz w:val="24"/>
        </w:rPr>
        <w:t>GIP</w:t>
      </w:r>
      <w:r>
        <w:rPr>
          <w:color w:val="000000"/>
        </w:rPr>
        <w:t>”</w:t>
      </w:r>
      <w:r>
        <w:rPr>
          <w:rFonts w:ascii="Times New Roman;sans-serif" w:hAnsi="Times New Roman;sans-serif"/>
          <w:b w:val="false"/>
          <w:color w:val="000000"/>
          <w:sz w:val="24"/>
        </w:rPr>
        <w:t>) and CPP Investment Board Private Holdings (6) Inc. and its respective Affiliates and any investment funds or vehicles that are advised or managed by CPP Investment Board Private Holdings (6) Inc. or any of the foregoing (other than any portfolio operating companies of the foregoing) (“</w:t>
      </w:r>
      <w:r>
        <w:rPr>
          <w:rFonts w:ascii="Times New Roman;sans-serif" w:hAnsi="Times New Roman;sans-serif"/>
          <w:b/>
          <w:color w:val="000000"/>
          <w:sz w:val="24"/>
        </w:rPr>
        <w:t>CPPIB</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State Sanctions List”</w:t>
      </w:r>
      <w:r>
        <w:rPr>
          <w:color w:val="000000"/>
        </w:rPr>
        <w:t xml:space="preserve"> </w:t>
      </w:r>
      <w:r>
        <w:rPr>
          <w:rFonts w:ascii="Times New Roman;sans-serif" w:hAnsi="Times New Roman;sans-serif"/>
          <w:b w:val="false"/>
          <w:color w:val="000000"/>
          <w:sz w:val="24"/>
        </w:rPr>
        <w:t>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Subsidiary”</w:t>
      </w:r>
      <w:r>
        <w:rPr>
          <w:color w:val="000000"/>
        </w:rPr>
        <w:t xml:space="preserve"> </w:t>
      </w:r>
      <w:r>
        <w:rPr>
          <w:rFonts w:ascii="Times New Roman;sans-serif" w:hAnsi="Times New Roman;sans-serif"/>
          <w:b w:val="false"/>
          <w:color w:val="000000"/>
          <w:sz w:val="24"/>
        </w:rPr>
        <w:t>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w:t>
      </w:r>
    </w:p>
    <w:p>
      <w:pPr>
        <w:pStyle w:val="TextBody"/>
        <w:bidi w:val="0"/>
        <w:spacing w:lineRule="atLeast" w:line="280" w:before="280" w:after="283"/>
        <w:ind w:left="0" w:right="0" w:firstLine="720"/>
        <w:jc w:val="both"/>
        <w:rPr/>
      </w:pPr>
      <w:r>
        <w:rPr>
          <w:color w:val="000000"/>
        </w:rPr>
        <w:t>“</w:t>
      </w:r>
      <w:r>
        <w:rPr>
          <w:rFonts w:ascii="Times New Roman;sans-serif" w:hAnsi="Times New Roman;sans-serif"/>
          <w:b/>
          <w:color w:val="000000"/>
          <w:sz w:val="24"/>
        </w:rPr>
        <w:t>Subsidiary Guarantor”</w:t>
      </w:r>
      <w:r>
        <w:rPr>
          <w:color w:val="000000"/>
        </w:rPr>
        <w:t xml:space="preserve"> </w:t>
      </w:r>
      <w:r>
        <w:rPr>
          <w:rFonts w:ascii="Times New Roman;sans-serif" w:hAnsi="Times New Roman;sans-serif"/>
          <w:b w:val="false"/>
          <w:color w:val="000000"/>
          <w:sz w:val="24"/>
        </w:rPr>
        <w:t>means each Subsidiary that has executed and delivered a Subsidiary Guaranty.</w:t>
      </w:r>
    </w:p>
    <w:p>
      <w:pPr>
        <w:pStyle w:val="TextBody"/>
        <w:bidi w:val="0"/>
        <w:spacing w:lineRule="atLeast" w:line="280" w:before="240" w:after="283"/>
        <w:ind w:left="0" w:right="0" w:firstLine="720"/>
        <w:jc w:val="both"/>
        <w:rPr/>
      </w:pPr>
      <w:r>
        <w:rPr>
          <w:color w:val="000000"/>
        </w:rPr>
        <w:t>“</w:t>
      </w:r>
      <w:r>
        <w:rPr>
          <w:rFonts w:ascii="Times New Roman;sans-serif" w:hAnsi="Times New Roman;sans-serif"/>
          <w:b/>
          <w:color w:val="000000"/>
          <w:sz w:val="24"/>
        </w:rPr>
        <w:t>Subsidiary Guaranty”</w:t>
      </w:r>
      <w:r>
        <w:rPr>
          <w:color w:val="000000"/>
        </w:rPr>
        <w:t xml:space="preserve"> </w:t>
      </w:r>
      <w:r>
        <w:rPr>
          <w:rFonts w:ascii="Times New Roman;sans-serif" w:hAnsi="Times New Roman;sans-serif"/>
          <w:b w:val="false"/>
          <w:color w:val="000000"/>
          <w:sz w:val="24"/>
        </w:rPr>
        <w:t>is defined in Section 9.7(a).</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Substitute Purchaser” </w:t>
      </w:r>
      <w:r>
        <w:rPr>
          <w:rFonts w:ascii="Times New Roman;sans-serif" w:hAnsi="Times New Roman;sans-serif"/>
          <w:b w:val="false"/>
          <w:color w:val="000000"/>
          <w:sz w:val="24"/>
        </w:rPr>
        <w:t>is defined in Section 21.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SVO”</w:t>
      </w:r>
      <w:r>
        <w:rPr>
          <w:color w:val="000000"/>
        </w:rPr>
        <w:t xml:space="preserve"> </w:t>
      </w:r>
      <w:r>
        <w:rPr>
          <w:rFonts w:ascii="Times New Roman;sans-serif" w:hAnsi="Times New Roman;sans-serif"/>
          <w:b w:val="false"/>
          <w:color w:val="000000"/>
          <w:sz w:val="24"/>
        </w:rPr>
        <w:t>means the Securities Valuation Office of the NAIC.</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SWL&amp;P”</w:t>
      </w:r>
      <w:r>
        <w:rPr>
          <w:color w:val="000000"/>
        </w:rPr>
        <w:t xml:space="preserve"> </w:t>
      </w:r>
      <w:r>
        <w:rPr>
          <w:rFonts w:ascii="Times New Roman;sans-serif" w:hAnsi="Times New Roman;sans-serif"/>
          <w:b w:val="false"/>
          <w:color w:val="000000"/>
          <w:sz w:val="24"/>
        </w:rPr>
        <w:t>is defined in Section 5.4(d).</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- 10 -</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Total Capitalization” </w:t>
      </w:r>
      <w:r>
        <w:rPr>
          <w:rFonts w:ascii="Times New Roman;sans-serif" w:hAnsi="Times New Roman;sans-serif"/>
          <w:b w:val="false"/>
          <w:color w:val="000000"/>
          <w:sz w:val="24"/>
        </w:rPr>
        <w:t xml:space="preserve">means, at any time, the difference between (a) the sum of each of the following at such time with respect to the Company and the Subsidiaries, determined on a consolidated basis in accordance with GAAP: (i) preferred Equity Interests,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 common Equity Interests and any premium on Equity Interests thereon (as such term is used in the Disclosure Documents), excluding accumulated other comprehensive income or loss,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(iii) retained earnings,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(iv) Total Indebtedness, and (b) the sum of </w:t>
      </w:r>
      <w:r>
        <w:rPr>
          <w:rFonts w:ascii="Arial;sans-serif" w:hAnsi="Arial;sans-serif"/>
          <w:b w:val="false"/>
          <w:color w:val="000000"/>
          <w:sz w:val="24"/>
        </w:rPr>
        <w:t>(i)</w:t>
      </w:r>
      <w:r>
        <w:rPr>
          <w:color w:val="000000"/>
        </w:rPr>
        <w:t xml:space="preserve"> </w:t>
      </w:r>
      <w:r>
        <w:rPr>
          <w:rFonts w:ascii="Times New Roman;sans-serif" w:hAnsi="Times New Roman;sans-serif"/>
          <w:b w:val="false"/>
          <w:color w:val="000000"/>
          <w:sz w:val="24"/>
        </w:rPr>
        <w:t>stock of the Company acquired by the Company plus (ii) stock of any Subsidiary acquired by such Subsidiary, in each case at such time, as applicable, determined on a consolidated basis in accordance with GAAP.</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Total Indebtedness”</w:t>
      </w:r>
      <w:r>
        <w:rPr>
          <w:color w:val="000000"/>
        </w:rPr>
        <w:t xml:space="preserve"> </w:t>
      </w:r>
      <w:r>
        <w:rPr>
          <w:rFonts w:ascii="Times New Roman;sans-serif" w:hAnsi="Times New Roman;sans-serif"/>
          <w:b w:val="false"/>
          <w:color w:val="000000"/>
          <w:sz w:val="24"/>
        </w:rPr>
        <w:t xml:space="preserve">means at any time, all Indebtedness (net of unamortized premium and discount (as such term is used in the Disclosure Documents)) at such time of the Company and the Subsidiaries, determined on a consolidated basis in accordance with GAAP;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with respect to Indebtedness under clause (d) of such definition, only acceptances or letters of credit that have been drawn and not reimbursed shall constitute Indebtedness for purposes of this definition.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United States Person”</w:t>
      </w:r>
      <w:r>
        <w:rPr>
          <w:color w:val="000000"/>
        </w:rPr>
        <w:t xml:space="preserve"> </w:t>
      </w:r>
      <w:r>
        <w:rPr>
          <w:rFonts w:ascii="Times New Roman;sans-serif" w:hAnsi="Times New Roman;sans-serif"/>
          <w:b w:val="false"/>
          <w:color w:val="000000"/>
          <w:sz w:val="24"/>
        </w:rPr>
        <w:t>has the meaning set forth in Section 7701(a)(30) of the Code.</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USA Patriot Act”</w:t>
      </w:r>
      <w:r>
        <w:rPr>
          <w:color w:val="000000"/>
        </w:rPr>
        <w:t xml:space="preserve"> </w:t>
      </w:r>
      <w:r>
        <w:rPr>
          <w:rFonts w:ascii="Times New Roman;sans-serif" w:hAnsi="Times New Roman;sans-serif"/>
          <w:b w:val="false"/>
          <w:color w:val="000000"/>
          <w:sz w:val="24"/>
        </w:rPr>
        <w:t>means United States Public Law 107-56, Uniting and Strengthening America by Providing Appropriate Tools Required to Intercept and Obstruct Terrorism (USA PATRIOT ACT) Act of 2001 and the rules and regulations promulgated thereunder from time to time in effect.</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 xml:space="preserve">U.S. Bank” </w:t>
      </w:r>
      <w:r>
        <w:rPr>
          <w:rFonts w:ascii="Times New Roman;sans-serif" w:hAnsi="Times New Roman;sans-serif"/>
          <w:b w:val="false"/>
          <w:color w:val="000000"/>
          <w:sz w:val="24"/>
        </w:rPr>
        <w:t>is defined in Section 13.1.</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U.S. Economic Sanctions Laws”</w:t>
      </w:r>
      <w:r>
        <w:rPr>
          <w:color w:val="000000"/>
        </w:rPr>
        <w:t xml:space="preserve"> </w:t>
      </w:r>
      <w:r>
        <w:rPr>
          <w:rFonts w:ascii="Times New Roman;sans-serif" w:hAnsi="Times New Roman;sans-serif"/>
          <w:b w:val="false"/>
          <w:color w:val="000000"/>
          <w:sz w:val="24"/>
        </w:rPr>
        <w:t>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Utility Property”</w:t>
      </w:r>
      <w:r>
        <w:rPr>
          <w:color w:val="000000"/>
        </w:rPr>
        <w:t xml:space="preserve"> </w:t>
      </w:r>
      <w:r>
        <w:rPr>
          <w:rFonts w:ascii="Times New Roman;sans-serif" w:hAnsi="Times New Roman;sans-serif"/>
          <w:b w:val="false"/>
          <w:color w:val="000000"/>
          <w:sz w:val="24"/>
        </w:rPr>
        <w:t>means all property and assets of the Company and its Subsidiaries used principally in the electric, natural gas and water operations that are regulated by applicable Governmental Authorities.</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Voting Security”</w:t>
      </w:r>
      <w:r>
        <w:rPr>
          <w:color w:val="000000"/>
        </w:rPr>
        <w:t xml:space="preserve"> </w:t>
      </w:r>
      <w:r>
        <w:rPr>
          <w:rFonts w:ascii="Times New Roman;sans-serif" w:hAnsi="Times New Roman;sans-serif"/>
          <w:b w:val="false"/>
          <w:color w:val="000000"/>
          <w:sz w:val="24"/>
        </w:rPr>
        <w:t xml:space="preserve">means an Equity Interest which ordinarily has voting power for the election of the board of directors (or other governing body), whether at all times or only so long as no senior class of Equity Interests has such voting power by reason of any contingency.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color w:val="000000"/>
          <w:sz w:val="24"/>
        </w:rPr>
        <w:t>Wholly-Owned Subsidiary”</w:t>
      </w:r>
      <w:r>
        <w:rPr>
          <w:color w:val="000000"/>
        </w:rPr>
        <w:t xml:space="preserve"> </w:t>
      </w:r>
      <w:r>
        <w:rPr>
          <w:rFonts w:ascii="Times New Roman;sans-serif" w:hAnsi="Times New Roman;sans-serif"/>
          <w:b w:val="false"/>
          <w:color w:val="000000"/>
          <w:sz w:val="24"/>
        </w:rPr>
        <w:t>means, at any time, any Subsidiary all of the equity interests (except directors’ qualifying shares) and voting interests of which are owned by any one or more of the Company and the Company’s other Wholly-Owned Subsidiaries at such time.</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- 11 -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5.3</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Disclosure Materials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- 12 -</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SCHEDULE 5.4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Subsidiaries of the Company and Ownership of Subsidiary Stock</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 xml:space="preserve">5.4(a) </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color w:val="000000"/>
          <w:sz w:val="22"/>
        </w:rPr>
      </w:pPr>
      <w:r>
        <w:rPr>
          <w:rFonts w:ascii="Times New Roman;sans-serif" w:hAnsi="Times New Roman;sans-serif"/>
          <w:b/>
          <w:color w:val="000000"/>
          <w:sz w:val="22"/>
        </w:rPr>
        <w:t>[Legal Organization Chart to be inserted here in final execution copy PDF]</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color w:val="000000"/>
          <w:sz w:val="22"/>
          <w:u w:val="single"/>
        </w:rPr>
      </w:pPr>
      <w:r>
        <w:rPr>
          <w:rFonts w:ascii="Times New Roman;sans-serif" w:hAnsi="Times New Roman;sans-serif"/>
          <w:b/>
          <w:color w:val="000000"/>
          <w:sz w:val="22"/>
          <w:u w:val="single"/>
        </w:rPr>
        <w:t>5.4(d)</w:t>
      </w:r>
    </w:p>
    <w:p>
      <w:pPr>
        <w:pStyle w:val="TextBody"/>
        <w:bidi w:val="0"/>
        <w:spacing w:before="0" w:after="0"/>
        <w:jc w:val="both"/>
        <w:rPr/>
      </w:pPr>
      <w:r>
        <w:rPr/>
      </w:r>
    </w:p>
    <w:p>
      <w:pPr>
        <w:pStyle w:val="TextBody"/>
        <w:bidi w:val="0"/>
        <w:spacing w:lineRule="atLeast" w:line="30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None</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- 13 -</w:t>
                      </w:r>
                    </w:p>
                  </w:txbxContent>
                </v:textbox>
                <w10:wrap type="none"/>
              </v:rect>
            </w:pict>
          </mc:Fallback>
        </mc:AlternateContent>
      </w:r>
    </w:p>
    <w:p>
      <w:pPr>
        <w:pStyle w:val="TextBody"/>
        <w:bidi w:val="0"/>
        <w:spacing w:lineRule="auto" w:line="249" w:before="0" w:after="0"/>
        <w:jc w:val="center"/>
        <w:rPr>
          <w:rFonts w:ascii="Times New Roman;sans-serif" w:hAnsi="Times New Roman;sans-serif"/>
          <w:b/>
          <w:color w:val="000000"/>
          <w:sz w:val="24"/>
        </w:rPr>
      </w:pPr>
      <w:r>
        <w:rPr>
          <w:rFonts w:ascii="Times New Roman;sans-serif" w:hAnsi="Times New Roman;sans-serif"/>
          <w:b/>
          <w:color w:val="000000"/>
          <w:sz w:val="24"/>
        </w:rPr>
        <w:t>SCHEDULE 5.15</w:t>
      </w:r>
    </w:p>
    <w:p>
      <w:pPr>
        <w:pStyle w:val="TextBody"/>
        <w:bidi w:val="0"/>
        <w:spacing w:lineRule="auto" w:line="249" w:before="0" w:after="0"/>
        <w:jc w:val="center"/>
        <w:rPr>
          <w:rFonts w:ascii="Times New Roman;sans-serif" w:hAnsi="Times New Roman;sans-serif"/>
          <w:b/>
          <w:color w:val="000000"/>
          <w:sz w:val="24"/>
        </w:rPr>
      </w:pPr>
      <w:r>
        <w:rPr>
          <w:rFonts w:ascii="Times New Roman;sans-serif" w:hAnsi="Times New Roman;sans-serif"/>
          <w:b/>
          <w:color w:val="000000"/>
          <w:sz w:val="24"/>
        </w:rPr>
        <w:t>Existing Indebtedness</w:t>
      </w:r>
    </w:p>
    <w:p>
      <w:pPr>
        <w:pStyle w:val="TextBody"/>
        <w:bidi w:val="0"/>
        <w:spacing w:lineRule="auto" w:line="249"/>
        <w:jc w:val="left"/>
        <w:rPr>
          <w:rFonts w:ascii="Times New Roman;sans-serif" w:hAnsi="Times New Roman;sans-serif"/>
          <w:b/>
          <w:color w:val="000000"/>
          <w:sz w:val="24"/>
          <w:u w:val="single"/>
        </w:rPr>
      </w:pPr>
      <w:r>
        <w:rPr>
          <w:rFonts w:ascii="Times New Roman;sans-serif" w:hAnsi="Times New Roman;sans-serif"/>
          <w:b/>
          <w:color w:val="000000"/>
          <w:sz w:val="24"/>
          <w:u w:val="single"/>
        </w:rPr>
        <w:t>5.15(a)</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30" name="Frame1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tbl>
      <w:tblPr>
        <w:tblW w:w="5474" w:type="dxa"/>
        <w:jc w:val="left"/>
        <w:tblInd w:w="0" w:type="dxa"/>
        <w:tblLayout w:type="fixed"/>
        <w:tblCellMar>
          <w:top w:w="28" w:type="dxa"/>
          <w:left w:w="28" w:type="dxa"/>
          <w:bottom w:w="28" w:type="dxa"/>
          <w:right w:w="28" w:type="dxa"/>
        </w:tblCellMar>
      </w:tblPr>
      <w:tblGrid>
        <w:gridCol w:w="1539"/>
        <w:gridCol w:w="1349"/>
        <w:gridCol w:w="1357"/>
        <w:gridCol w:w="358"/>
        <w:gridCol w:w="358"/>
        <w:gridCol w:w="513"/>
      </w:tblGrid>
      <w:tr>
        <w:trPr/>
        <w:tc>
          <w:tcPr>
            <w:tcW w:w="1539"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color w:val="000000"/>
                <w:sz w:val="24"/>
              </w:rPr>
            </w:pPr>
            <w:r>
              <w:rPr>
                <w:rFonts w:ascii="Times New Roman;sans-serif" w:hAnsi="Times New Roman;sans-serif"/>
                <w:b/>
                <w:color w:val="000000"/>
                <w:sz w:val="24"/>
              </w:rPr>
              <w:t>ALLETE, Inc.</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color w:val="000000"/>
                <w:sz w:val="24"/>
              </w:rPr>
            </w:pPr>
            <w:r>
              <w:rPr>
                <w:rFonts w:ascii="Times New Roman;sans-serif" w:hAnsi="Times New Roman;sans-serif"/>
                <w:b/>
                <w:color w:val="000000"/>
                <w:sz w:val="24"/>
              </w:rPr>
              <w:t>Long Term Debt</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pPr>
            <w:r>
              <w:rPr>
                <w:color w:val="000000"/>
              </w:rPr>
              <w:t>     </w:t>
            </w:r>
            <w:r>
              <w:rPr>
                <w:rFonts w:ascii="Times New Roman;sans-serif" w:hAnsi="Times New Roman;sans-serif"/>
                <w:b/>
                <w:color w:val="000000"/>
                <w:sz w:val="20"/>
              </w:rPr>
              <w:t>Millions</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12/31/2024</w:t>
            </w:r>
          </w:p>
        </w:tc>
      </w:tr>
      <w:tr>
        <w:trPr/>
        <w:tc>
          <w:tcPr>
            <w:tcW w:w="4245" w:type="dxa"/>
            <w:gridSpan w:val="3"/>
            <w:tcBorders>
              <w:top w:val="single" w:sz="4" w:space="0" w:color="000000"/>
            </w:tcBorders>
            <w:tcMar>
              <w:left w:w="0" w:type="dxa"/>
              <w:bottom w:w="0" w:type="dxa"/>
              <w:right w:w="0" w:type="dxa"/>
            </w:tcMar>
            <w:vAlign w:val="center"/>
          </w:tcPr>
          <w:p>
            <w:pPr>
              <w:pStyle w:val="TableContents"/>
              <w:bidi w:val="0"/>
              <w:spacing w:before="0" w:after="0"/>
              <w:jc w:val="left"/>
              <w:rPr/>
            </w:pPr>
            <w:r>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color w:val="000000"/>
                <w:sz w:val="24"/>
              </w:rPr>
            </w:pPr>
            <w:r>
              <w:rPr>
                <w:rFonts w:ascii="Times New Roman;sans-serif" w:hAnsi="Times New Roman;sans-serif"/>
                <w:b/>
                <w:color w:val="000000"/>
                <w:sz w:val="24"/>
              </w:rPr>
              <w:t>First Mortgage Bonds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5.10% Series due 2025</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4.90% Series due 2025</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3.20% Series due 2026</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5.99% Series due 2027</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3.30% Series due 2028</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4.08% Series due 2029</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3.74% Series due 2029</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3.86% Series due 2030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2.50% Series due 2030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2.79% Series due 2032</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4.54% Series due 2032</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4.98% Series due 2033</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125.0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5.69% Series due 2036</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5.72% Series due 2039</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6.00% Series due 2040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5.82% Series due 2040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4.08% Series due 2042</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85.0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4.21% Series due 2043</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4.95% Series due 2044</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5.05% Series due 2044</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4.39% Series due 2044</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4.07% Series due 2048</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4.47% Series due 2049</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3.30% Series due 2050</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94.0</w:t>
            </w:r>
          </w:p>
        </w:tc>
      </w:tr>
      <w:tr>
        <w:trPr/>
        <w:tc>
          <w:tcPr>
            <w:tcW w:w="42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9"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color w:val="000000"/>
                <w:sz w:val="24"/>
              </w:rPr>
            </w:pPr>
            <w:r>
              <w:rPr>
                <w:rFonts w:ascii="Times New Roman;sans-serif" w:hAnsi="Times New Roman;sans-serif"/>
                <w:b/>
                <w:color w:val="000000"/>
                <w:sz w:val="24"/>
              </w:rPr>
              <w:t>Variable Demand Bonds</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Collier County Variable Series due 2025</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27.8</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color w:val="000000"/>
                <w:sz w:val="24"/>
              </w:rPr>
            </w:pPr>
            <w:r>
              <w:rPr>
                <w:rFonts w:ascii="Times New Roman;sans-serif" w:hAnsi="Times New Roman;sans-serif"/>
                <w:b/>
                <w:color w:val="000000"/>
                <w:sz w:val="24"/>
              </w:rPr>
              <w:t>Other MP Long-Term Debt</w:t>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3.11% Series due 2027 - Senior Unsecured</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5.94% Series due 2029 – Senior Unsecured</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100.0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6.18% Series due 2034 – Senior Unsecured</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50.0</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Capital Lease</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42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Total Long-Term Debt</w:t>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1,714.5</w:t>
            </w:r>
          </w:p>
        </w:tc>
      </w:tr>
      <w:tr>
        <w:trPr/>
        <w:tc>
          <w:tcPr>
            <w:tcW w:w="4245" w:type="dxa"/>
            <w:gridSpan w:val="3"/>
            <w:tcBorders/>
            <w:tcMar>
              <w:top w:w="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Less Due Within One Year</w:t>
            </w:r>
          </w:p>
        </w:tc>
        <w:tc>
          <w:tcPr>
            <w:tcW w:w="1229" w:type="dxa"/>
            <w:gridSpan w:val="3"/>
            <w:tcBorders/>
            <w:tcMar>
              <w:top w:w="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89.0</w:t>
            </w:r>
          </w:p>
        </w:tc>
      </w:tr>
      <w:tr>
        <w:trPr/>
        <w:tc>
          <w:tcPr>
            <w:tcW w:w="4245"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97"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Net ALLETE Long-Term Debt</w:t>
            </w:r>
          </w:p>
        </w:tc>
        <w:tc>
          <w:tcPr>
            <w:tcW w:w="1229" w:type="dxa"/>
            <w:gridSpan w:val="3"/>
            <w:tcBorders>
              <w:top w:val="double" w:sz="6" w:space="0" w:color="000000"/>
            </w:tcBorders>
            <w:tcMar>
              <w:top w:w="30" w:type="dxa"/>
              <w:left w:w="0" w:type="dxa"/>
              <w:bottom w:w="0" w:type="dxa"/>
              <w:right w:w="0" w:type="dxa"/>
            </w:tcMar>
            <w:vAlign w:val="center"/>
          </w:tcPr>
          <w:p>
            <w:pPr>
              <w:pStyle w:val="TableContents"/>
              <w:bidi w:val="0"/>
              <w:spacing w:lineRule="auto" w:line="297"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$1,625.5</w:t>
            </w:r>
          </w:p>
        </w:tc>
      </w:tr>
    </w:tbl>
    <w:p>
      <w:pPr>
        <w:pStyle w:val="TextBody"/>
        <w:bidi w:val="0"/>
        <w:spacing w:before="0" w:after="0"/>
        <w:jc w:val="left"/>
        <w:rPr/>
      </w:pPr>
      <w:r>
        <w:rPr/>
      </w:r>
    </w:p>
    <w:p>
      <w:pPr>
        <w:pStyle w:val="TextBody"/>
        <w:bidi w:val="0"/>
        <w:spacing w:lineRule="auto" w:line="288"/>
        <w:jc w:val="left"/>
        <w:rPr>
          <w:rFonts w:ascii="Times New Roman;sans-serif" w:hAnsi="Times New Roman;sans-serif"/>
          <w:b/>
          <w:color w:val="000000"/>
          <w:sz w:val="24"/>
          <w:u w:val="single"/>
        </w:rPr>
      </w:pPr>
      <w:r>
        <w:rPr>
          <w:rFonts w:ascii="Times New Roman;sans-serif" w:hAnsi="Times New Roman;sans-serif"/>
          <w:b/>
          <w:color w:val="000000"/>
          <w:sz w:val="24"/>
          <w:u w:val="single"/>
        </w:rPr>
        <w:t>5.15(b)</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u w:val="single"/>
        </w:rPr>
      </w:pPr>
      <w:r>
        <w:rPr>
          <w:rFonts w:ascii="Times New Roman;sans-serif" w:hAnsi="Times New Roman;sans-serif"/>
          <w:b/>
          <w:color w:val="000000"/>
          <w:sz w:val="24"/>
          <w:u w:val="single"/>
        </w:rPr>
        <w:t>5.15(c)</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Mortgage and Deed of Trust, dated September 1, 1945, between the Company and Irving Trust Company (now The Bank of New York Mellon) and Richard H. West (Sherma Thomas, successor), as Trustees, as supplemented and amended.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Purchase Agreement, dated December 8, 2016, among the Company and the Purchasers named therein.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and Restated Letter of Credit Agreement, entered into as of June 3, 2011, as thereafter amended, among the Company and Wells Fargo Bank, National Association, as Administrative Agent and Issuing Bank.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Amended and Restated Credit Agreement, dated as of January 10, 2019, as thereafter amended, among the Company and JPMorgan Chase Bank, N.A., as Agent for the Lenders thereunder.</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CoBank Letter of Credit Agreement, entered into as of June 11, 2020, as thereafter amended, among the Company and CoBank, ACB as Administrative Agent and Issuing Bank.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Note Purchase Agreement, dated June 27, 2024, among the Company and the Purchasers named therein.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center"/>
        <w:rPr/>
      </w:pPr>
      <w:r>
        <w:rPr>
          <w:color w:val="000000"/>
        </w:rPr>
        <w:t>                                        </w:t>
      </w:r>
      <w:r>
        <w:rPr>
          <w:rFonts w:ascii="Times New Roman;sans-serif" w:hAnsi="Times New Roman;sans-serif"/>
          <w:b w:val="false"/>
          <w:color w:val="000000"/>
          <w:sz w:val="24"/>
          <w:u w:val="single"/>
        </w:rPr>
        <w:t>EXHIBIT 1(a)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2030 Note]</w:t>
        <w:br/>
        <w:br/>
        <w:t>Allete, Inc.</w:t>
        <w:br/>
        <w:br/>
        <w:t>5.38% Senior Note Due March 25, 2030</w:t>
      </w:r>
    </w:p>
    <w:p>
      <w:pPr>
        <w:pStyle w:val="TextBody"/>
        <w:bidi w:val="0"/>
        <w:spacing w:lineRule="auto" w:line="288"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R-[___]    [_______, 20__]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    PPN 018522 P#3</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Value Received, the undersigned, Allete, Inc. (herein called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 corporation organized and existing under the laws of the State of Minnesota, hereby promises to pay to [____________], or registered assigns, the principal sum of [_____________________] Dollars (or so much thereof as shall not have been prepaid) on March 25, 2030, with interest (computed on the basis of a 360-day year of twelve 30-day months) (a) on the unpaid balance hereof at the rate of 5.38% per annum from the date hereof, payable semiannually,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of April and October in each year, commencing with the April 1 or October 1 next succeeding the date hereof, and on the Maturity Date, until the principal hereof shall have become due and payable, and (b) to the extent permitted by law, on any overdue payment of interest and, during the continuance of an Event of Default, on such unpaid balance and on any overdue payment of any Make-Whole Amount, at a rate per annum from time to time equal to the greater of (i) 7.38% or (ii) 2.00% over the rate of interest publicly announced by U.S. Bank from time to time in New York, New York as its “base” or “prime” rate, payable semiannually as aforesaid (or, at the option of the registered holder hereof, on demand). The initial interest payment date shall be October 1, 2025.</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Note is one of a series of Senior Notes (herein called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xml:space="preserve">) issued pursuant to the Note Purchase Agreement, dated March 25, 2025 (as from time to time amended, the </w:t>
      </w:r>
      <w:r>
        <w:rPr>
          <w:color w:val="000000"/>
        </w:rPr>
        <w:t>“</w:t>
      </w:r>
      <w:r>
        <w:rPr>
          <w:rFonts w:ascii="Times New Roman;sans-serif" w:hAnsi="Times New Roman;sans-serif"/>
          <w:b/>
          <w:color w:val="000000"/>
          <w:sz w:val="24"/>
        </w:rPr>
        <w:t>Note Purchase Agreement”</w:t>
      </w:r>
      <w:r>
        <w:rPr>
          <w:rFonts w:ascii="Times New Roman;sans-serif" w:hAnsi="Times New Roman;sans-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37210"/>
                <wp:effectExtent l="0" t="0" r="0" b="0"/>
                <wp:wrapNone/>
                <wp:docPr id="133" name="Frame133"/>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1</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1</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is subject to optional prepayment, in whole or from time to time in part, at the times and on the terms specified in the Note Purchase Agreement, but not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p>
      <w:pPr>
        <w:pStyle w:val="TextBody"/>
        <w:bidi w:val="0"/>
        <w:spacing w:before="0" w:after="72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40"/>
        <w:ind w:left="0" w:right="0" w:firstLine="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1(b)</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[Form of 2035 Note]</w:t>
        <w:br/>
        <w:br/>
        <w:t>Allete, Inc.</w:t>
        <w:br/>
        <w:br/>
        <w:t>5.82% Senior Note Due March 25, 2035</w:t>
      </w:r>
    </w:p>
    <w:p>
      <w:pPr>
        <w:pStyle w:val="TextBody"/>
        <w:bidi w:val="0"/>
        <w:spacing w:lineRule="auto" w:line="288"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R-[___]    [_______, 20__]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    PPN 018522 Q*6</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For Value Received, the undersigned, Allete, Inc. (herein called the </w:t>
      </w:r>
      <w:r>
        <w:rPr>
          <w:color w:val="000000"/>
        </w:rPr>
        <w:t>“</w:t>
      </w:r>
      <w:r>
        <w:rPr>
          <w:rFonts w:ascii="Times New Roman;sans-serif" w:hAnsi="Times New Roman;sans-serif"/>
          <w:b/>
          <w:color w:val="000000"/>
          <w:sz w:val="24"/>
        </w:rPr>
        <w:t>Company”</w:t>
      </w:r>
      <w:r>
        <w:rPr>
          <w:rFonts w:ascii="Times New Roman;sans-serif" w:hAnsi="Times New Roman;sans-serif"/>
          <w:b w:val="false"/>
          <w:color w:val="000000"/>
          <w:sz w:val="24"/>
        </w:rPr>
        <w:t>), a corporation organized and existing under the laws of the State of Minnesota, hereby promises to pay to [____________], or registered assigns, the principal sum of [_____________________] Dollars (or so much thereof as shall not have been prepaid) on March 25, 2035, with interest (computed on the basis of a 360-day year of twelve 30-day months) (a) on the unpaid balance hereof at the rate of 5.82% per annum from the date hereof, payable semiannually, on the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day of April and October in each year, commencing with the April 1 or October 1 next succeeding the date hereof, and on the Maturity Date, until the principal hereof shall have become due and payable, and (b) to the extent permitted by law, on any overdue payment of interest and, during the continuance of an Event of Default, on such unpaid balance and on any overdue payment of any Make-Whole Amount, at a rate per annum from time to time equal to the greater of (i) 7.82% or (ii) 2.00% over the rate of interest publicly announced by U.S. Bank from time to time in New York, New York as its “base” or “prime” rate, payable semiannually as aforesaid (or, at the option of the registered holder hereof, on demand). The initial interest payment date shall be October 1, 2025.</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Payments of principal of, interest on and any Make-Whole Amount with respect to this Note are to be made in lawful money of the United States of America at U.S. Bank or at such other place as the Company shall have designated by written notice to the holder of this Note as provided in the Note Purchase Agreement referred to below.</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This Note is one of a series of Senior Notes (herein called the </w:t>
      </w:r>
      <w:r>
        <w:rPr>
          <w:color w:val="000000"/>
        </w:rPr>
        <w:t>“</w:t>
      </w:r>
      <w:r>
        <w:rPr>
          <w:rFonts w:ascii="Times New Roman;sans-serif" w:hAnsi="Times New Roman;sans-serif"/>
          <w:b/>
          <w:color w:val="000000"/>
          <w:sz w:val="24"/>
        </w:rPr>
        <w:t>Notes”</w:t>
      </w:r>
      <w:r>
        <w:rPr>
          <w:rFonts w:ascii="Times New Roman;sans-serif" w:hAnsi="Times New Roman;sans-serif"/>
          <w:b w:val="false"/>
          <w:color w:val="000000"/>
          <w:sz w:val="24"/>
        </w:rPr>
        <w:t xml:space="preserve">) issued pursuant to the Note Purchase Agreement, dated March 25, 2025 (as from time to time amended, the </w:t>
      </w:r>
      <w:r>
        <w:rPr>
          <w:color w:val="000000"/>
        </w:rPr>
        <w:t>“</w:t>
      </w:r>
      <w:r>
        <w:rPr>
          <w:rFonts w:ascii="Times New Roman;sans-serif" w:hAnsi="Times New Roman;sans-serif"/>
          <w:b/>
          <w:color w:val="000000"/>
          <w:sz w:val="24"/>
        </w:rPr>
        <w:t>Note Purchase Agreement”</w:t>
      </w:r>
      <w:r>
        <w:rPr>
          <w:rFonts w:ascii="Times New Roman;sans-serif" w:hAnsi="Times New Roman;sans-serif"/>
          <w:b w:val="false"/>
          <w:color w:val="000000"/>
          <w:sz w:val="24"/>
        </w:rPr>
        <w:t>), between the Company and the respective Purchasers named therein and is entitled to the benefits thereof. Each holder of this Note will be deemed, by its acceptance hereof, to have (i) agreed to the confidentiality provisions set forth in Section 20 of the Note Purchase Agreement and (ii) made the representation set forth in Section 6.2 of the Note Purchase Agreement. Unless otherwise indicated, capitalized terms used in this Note shall have the respective meanings ascribed to such terms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Note is a registered Note and, as provided in the Note Purchase Agreement, upon surrender of this Note for registration of transfer accompanied by a written instrument of transfer duly executed, by the registered holder hereof or such holder’s attorney duly authorized in writing, a new Note for a like principal amount will be issued to, and registered in the name of,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transferee. Prior to due presentment for registration of transfer, the Company may treat the Person in whose name this Note is registered as the owner hereof for the purpose of receiving payment and for all other purposes, and the Company will not be affected by any notice to the contrary.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is subject to optional prepayment, in whole or from time to time in part, at the times and on the terms specified in the Note Purchase Agreement, but not otherwise.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an Event of Default occurs and is continuing, the principal of this Note may be declared or otherwise become due and payable in the manner, at the price (including any applicable Make-Whole Amount) and with the effect provided in the Note Purchase Agreement.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Note shall be construed and enforced in accordance with, and the rights of the Company and the holder of this Note shall be governed by, the law of the State of New York excluding choice-of-law principles of the law of such State that would permit the application of the laws of a jurisdiction other than such State.</w:t>
      </w:r>
    </w:p>
    <w:p>
      <w:pPr>
        <w:pStyle w:val="TextBody"/>
        <w:bidi w:val="0"/>
        <w:spacing w:lineRule="auto" w:line="288" w:before="0" w:after="600"/>
        <w:jc w:val="left"/>
        <w:rPr>
          <w:rFonts w:ascii="Times New Roman;sans-serif" w:hAnsi="Times New Roman;sans-serif"/>
          <w:b w:val="false"/>
          <w:color w:val="000000"/>
          <w:sz w:val="24"/>
        </w:rPr>
      </w:pPr>
      <w:r>
        <w:rPr>
          <w:rFonts w:ascii="Times New Roman;sans-serif" w:hAnsi="Times New Roman;sans-serif"/>
          <w:b w:val="false"/>
          <w:color w:val="000000"/>
          <w:sz w:val="24"/>
        </w:rPr>
        <w:t>ALLETE, INC.</w:t>
      </w:r>
    </w:p>
    <w:p>
      <w:pPr>
        <w:pStyle w:val="TextBody"/>
        <w:bidi w:val="0"/>
        <w:spacing w:lineRule="auto" w:line="288" w:before="0" w:after="0"/>
        <w:jc w:val="left"/>
        <w:rPr/>
      </w:pPr>
      <w:r>
        <w:rPr>
          <w:rFonts w:ascii="Times New Roman;sans-serif" w:hAnsi="Times New Roman;sans-serif"/>
          <w:b w:val="false"/>
          <w:color w:val="000000"/>
          <w:sz w:val="24"/>
        </w:rPr>
        <w:t>By: </w:t>
      </w:r>
      <w:r>
        <w:rPr>
          <w:color w:val="000000"/>
          <w:u w:val="single"/>
        </w:rPr>
        <w:t>    </w:t>
      </w:r>
    </w:p>
    <w:p>
      <w:pPr>
        <w:pStyle w:val="TextBody"/>
        <w:bidi w:val="0"/>
        <w:spacing w:lineRule="auto" w:line="288" w:before="0" w:after="720"/>
        <w:jc w:val="left"/>
        <w:rPr>
          <w:rFonts w:ascii="Times New Roman;sans-serif" w:hAnsi="Times New Roman;sans-serif"/>
          <w:b w:val="false"/>
          <w:color w:val="000000"/>
          <w:sz w:val="24"/>
        </w:rPr>
      </w:pPr>
      <w:r>
        <w:rPr>
          <w:rFonts w:ascii="Times New Roman;sans-serif" w:hAnsi="Times New Roman;sans-serif"/>
          <w:b w:val="false"/>
          <w:color w:val="000000"/>
          <w:sz w:val="24"/>
        </w:rPr>
        <w:t>Name:</w:t>
        <w:br/>
        <w:t>Title:</w:t>
      </w:r>
    </w:p>
    <w:p>
      <w:pPr>
        <w:pStyle w:val="TextBody"/>
        <w:bidi w:val="0"/>
        <w:spacing w:before="0" w:after="720"/>
        <w:jc w:val="left"/>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OPINION OF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Vice President, Chief Legal Officer and Corporate Secretary of ALLETE, Inc.</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480"/>
        <w:ind w:left="0" w:right="0" w:hanging="2880"/>
        <w:jc w:val="both"/>
        <w:rPr>
          <w:rFonts w:ascii="Times New Roman;sans-serif" w:hAnsi="Times New Roman;sans-serif"/>
          <w:b w:val="false"/>
          <w:color w:val="000000"/>
          <w:sz w:val="24"/>
        </w:rPr>
      </w:pPr>
      <w:r>
        <w:rPr>
          <w:rFonts w:ascii="Times New Roman;sans-serif" w:hAnsi="Times New Roman;sans-serif"/>
          <w:b w:val="false"/>
          <w:color w:val="000000"/>
          <w:sz w:val="24"/>
        </w:rPr>
        <w:t>[ALLETE, INC. LETTERHEAD]</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March 25,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Schedule A to the Note Purchase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25,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Re:    $120,000,000 5.38% Senior Notes due March 25, 2030</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$30,000,000 5.82% Senior Notes due March 25, 2035</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Issued by ALLETE,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sale by ALLETE, Inc., a Minnesota corporation (“Company”) of (a) $120,000,000 aggregate principal amount of its 5.38% Senior Notes due March 25, 2030 (the “2030 Notes”) and (b) $30,000,000 aggregate principal amount of its 5.82% Senior Notes due March 25, 2035 (the “2035 Notes,” the 2030 Notes and the 2035 Notes are hereinafter collectively referred to as the “Notes”). The Notes will be issued under the Note Purchase Agreement, dated March 25, 2025 (the “Agreement”). I advise you that I am Vice President, Chief Legal Officer and Corporate Secretary of the Company and have acted in that capacity in connection with such issuance and sale and I (or attorneys in the Company’s legal department with whom I have consulted) have participated in the preparation of (i) the Agreement; and (ii) the petition filed by the Company with the Minnesota Public Utilities Commission seeking authorization to issue the Notes. In addition, I have reviewed the order issued by said Commission in response to said petition.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capitalized terms used herein without definition shall have the respective meanings set forth in the Agreement.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furnishing this opinion, I have examined the Amended and Restated Articles of Incorporation, as amended (the “Charter”), and the Bylaws, as amended, of the Company and the Agreement, and have made such further investigation and examined such further documents and records of the Company and certificates of public officials as I have deemed necessary or appropriate for purposes of this opinion.</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37210"/>
                <wp:effectExtent l="0" t="0" r="0" b="0"/>
                <wp:wrapNone/>
                <wp:docPr id="137" name="Frame137"/>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4.4(a)</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4.4(a)</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have also reviewed all corporate proceedings taken by the Company in respect of the authorization of the Agreement and the issuance and sale of the Notes thereunder and I have examined the Notes.</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opinions expressed below, I have assumed (i) the authenticity of all documents submitted to me as originals, (ii) the conformity to the originals of all documents submitted to me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opinions contained herein, I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I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my opinion, from such earlier date through and including the date of this opinion.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Based on such examinations and investigation, it is my opinion that: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is a validly organized and existing corporation and in good standing under the laws of the State of Minnesota and is duly qualified as a foreign corporation in each jurisdiction in which the character of the properties owned or leased by it or the nature of the business transacted by it makes such qualification necessary, except where the failure to be so qualified would not result in a Material Adverse Effect.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Company is a corporation duly authorized by its Charter to conduct the business which it is now conducting as set forth in the Disclosure Documents and the Company holds valid and subsisting franchises, licenses and permits authorizing it to carry on the business in which it is engaged.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The Company has all requisite corporate power and authority to execute and deliver, and to perform all of its obligations under, the Agreement and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The Notes have been duly and validly authorized by all necessary corporate action and have been executed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    An order has been issued by the Minnesota Public Utilities Commission certifying the Company’s capital structure and authorizing the issuance and sale of the Notes, and to the best of my knowledge after such inquiry as I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    Neither the execution by the Company of the Agreement nor the issue and sale by the Company of the Notes as contemplated by the Agreement nor the consummation by the Company of the other transactions contemplated by the Agreement or, as of the date hereof, the performance of the Notes or the Agreement conflicts with, or results in a breach of, the Charter or Bylaws of the Company or any material agreement or instrument to which the Company is a party or by which the Company is bound, any law or regulation or, so far as is known to me after such inquiry as I deem reasonable, any order or regulation of any court, governmental instrumentality or arbitrator, and which conflict or breach is material to the Company and its subsidiaries, taken as a whole.</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8.    The execution, delivery and performance by the Company of the Agreement and the Notes do not and will not violate any provision of Regulations T, U or X of the Board of Governors of the Federal Reserve System.</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9.    It is not necessary, in connection with the sale of the Notes to the Purchasers by the Company, in the manner contemplated by the Agreement, to register the Notes under the Securities Act of 1933, as </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amended, or to qualify the Agreement under the Trust Indenture Act of 1939, as amended.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10.    Except as disclosed in the Disclosure Documents, there are no actions, suits, or proceedings pending or, to the best of my knowledge after due inquiry, threatened against the Company before any court or arbitrator or by or before any administrative agency or governmental authority, which, if adversely determined, would prevent or have a material adverse effect on the ability of the Company to perform its obligations under the Agreement or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11.    The Company is not an “investment company” or a company “controlled” by an “investment company” within the meaning of the Investment Company Act of 1940, as amended.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am a member of the Minnesota Bar and do not hold myself out as an expert on the laws of any other jurisdiction. As to all matters of Minnesota law, Cohen Tauber Spievack &amp; Wagner P.C. is hereby authorized to rely upon this opinion to the same extent as if this opinion had been addressed to them.</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opinions expressed above are limited to the laws and facts in effect on the date hereof. I disclaim any obligation to advise you of facts, circumstances, events or developments which hereafter may be brought to my attention, and which might alter, affect or modify the opinions expressed herein.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 is rendered to you in connection with the above-described transaction. This opinion may not be relied upon by you for any other purpose, or relied upon or furnished to any other Person, without my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pStyle w:val="TextBody"/>
        <w:bidi w:val="0"/>
        <w:spacing w:lineRule="auto" w:line="288" w:before="0" w:after="48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480"/>
        <w:ind w:left="0" w:right="0" w:firstLine="5040"/>
        <w:jc w:val="both"/>
        <w:rPr/>
      </w:pPr>
      <w:r>
        <w:rPr/>
      </w:r>
    </w:p>
    <w:p>
      <w:pPr>
        <w:pStyle w:val="TextBody"/>
        <w:bidi w:val="0"/>
        <w:spacing w:lineRule="auto" w:line="288" w:before="0" w:after="0"/>
        <w:ind w:left="0" w:right="0" w:firstLine="5040"/>
        <w:jc w:val="both"/>
        <w:rPr>
          <w:rFonts w:ascii="Times New Roman;sans-serif" w:hAnsi="Times New Roman;sans-serif"/>
          <w:b w:val="false"/>
          <w:color w:val="000000"/>
          <w:sz w:val="24"/>
        </w:rPr>
      </w:pPr>
      <w:r>
        <w:rPr>
          <w:rFonts w:ascii="Times New Roman;sans-serif" w:hAnsi="Times New Roman;sans-serif"/>
          <w:b w:val="false"/>
          <w:color w:val="000000"/>
          <w:sz w:val="24"/>
        </w:rPr>
        <w:t>Julie L. Padilla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4.4(b)</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FORM OF OPINION OF</w:t>
        <w:br/>
        <w:t>COHEN TAUBER SPIEVACK &amp; WAGNER P.C.</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[CTSW LETTERHEAD] </w:t>
      </w:r>
    </w:p>
    <w:p>
      <w:pPr>
        <w:pStyle w:val="TextBody"/>
        <w:bidi w:val="0"/>
        <w:spacing w:lineRule="auto" w:line="288" w:before="0" w:after="480"/>
        <w:jc w:val="both"/>
        <w:rPr>
          <w:rFonts w:ascii="Times New Roman;sans-serif" w:hAnsi="Times New Roman;sans-serif"/>
          <w:b w:val="false"/>
          <w:color w:val="000000"/>
          <w:sz w:val="24"/>
        </w:rPr>
      </w:pPr>
      <w:r>
        <w:rPr>
          <w:rFonts w:ascii="Times New Roman;sans-serif" w:hAnsi="Times New Roman;sans-serif"/>
          <w:b w:val="false"/>
          <w:color w:val="000000"/>
          <w:sz w:val="24"/>
        </w:rPr>
        <w:t>March 25, 2025</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Each of the Purchasers Listed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Schedule A to the Note Purchase Agreement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dated March 25, 2025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Re:    $120,000,000 5.38% Senior Notes due March 25, 2030</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$30,000,000 5.82% Senior Notes due March 25, 2035</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u w:val="single"/>
        </w:rPr>
        <w:t>Issued by ALLETE, Inc.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Reference is made to the sale by ALLETE, Inc., a Minnesota corporation (“Company”) of (a) $120,000,000 aggregate principal amount of its 5.38% Senior Notes due March 25, 2030 (the “2030 Notes”) and (b) $30,000,000 aggregate principal amount of its 5.82% Senior Notes due March 25, 2035 (the “2035 Notes,” the 2030 Notes and the 2035 Notes are hereinafter collectively referred to as the “Notes”). The Notes will be issued under the Note Purchase Agreement, dated March 25, 2025 (the “Agreement”). We advise you that we have acted as counsel to the Company in connection with such issuance and sale and have participated in the preparation of the Agreement. In addition, we have reviewed the petition filed by the Company with the Minnesota Public Utilities Commission seeking authorization to issue the Notes, and the order issued by said Commission in response to said petition.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All capitalized terms used herein without definition shall have the respective meanings set forth in the Agreement.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furnishing this opinion, we have examined the Amended and Restated Articles of Incorporation, as amended, and the Bylaws, as amended, of the Company, and the Agreement, and have made such further investigation and examined such further documents and records of the Company and certificates of public officials as we have deemed necessary or appropriate for purposes of this opinion.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We have also reviewed all corporate proceedings taken by the Company in respect of the authorization of the Agreement and the issuance and sale of the Notes thereunder and we have examined the Notes.</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37210"/>
                <wp:effectExtent l="0" t="0" r="0" b="0"/>
                <wp:wrapNone/>
                <wp:docPr id="141" name="Frame141"/>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4.4(b)</w:t>
                              <w:br/>
                              <w:t>(To Note Purchase Agreement)</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4.4(b)</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For purposes of the opinions expressed below, we have assumed (i) the authenticity of all documents submitted to us as originals, (ii) the conformity to the originals of all documents submitted to us as certified or photostatic copies and the authenticity of the originals of such copies, (iii) the genuineness of all signatures other than on behalf of the Company, (iv) the legal capacity of natural persons, (v) the power, corporate or otherwise, of all parties other than the Company to enter into and to perform all of its obligations under such documents, (vi) the due authorization, execution and delivery of all documents by all parties other than the Company, and (vii) that the consideration contemplated by the Agreement for the purchase of the Notes has been paid.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purposes of the opinions contained herein, we have made no independent investigation of the facts referred to herein, and with respect to such facts have relied, for the purpose of rendering this opinion and except as otherwise stated herein, exclusively on the statements contained and matters provided for in the Agreement and such other documents relating to the Agreement as we have deemed advisable, including the factual representations, warranties and covenants contained therein as made by the respective parties thereto and assumed that any such statement or representation that was given or dated on or prior to the date hereof continues to remain accurate and complete, insofar as relevant to our opinion, from such earlier date through and including the date of this opinion. </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Based on such examinations and investigation, it is our opinion that: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    The Company has all requisite corporate power and authority to execute and deliver, and to perform all of its obligations under, the Agreement and the Notes.</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    The Agreement has been duly and validly authorized by all necessary corporate action, has been duly and validly executed and delivered, and is a valid and binding obligation of the Company enforceable in accordance with its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    The Notes have been duly and validly authorized by all necessary corporate action and have been executed and authenticated in accordance with the provisions of the Agreement and delivered and are entitled to the benefits of the Agreement and are valid and binding obligations of the Company enforceable in accordance with their terms, except as (i) the enforceability thereof may be limited by bankruptcy, insolvency or similar laws affecting enforcement of creditors’ rights generally and (ii) rights of acceleration and the availability of equitable remedies may be limited by equitable principles of general applicability.</w: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4.    An order has been issued by the Minnesota Public Utilities Commission certifying the Company’s capital structure and authorizing the issuance and sale of the Notes, and to the best of our knowledge after such inquiry as we deem reasonable, said order is still in full force and effect; and no further approval, authorization, consent or order of any public board or body (other than in connection or in compliance with the provisions of the securities or “blue sky” laws of any jurisdiction) is legally required for the authorization of the issuance and sale of the Notes or, as of the date hereof, the performance of the Notes or the Agreement.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5.    The execution, delivery and performance by the Company of the Agreement and the Notes do not and will not violate any provision of Regulations T, U or X of the Board of Governors of the Federal Reserve System.</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6.    It is not necessary, in connection with the sale of the Notes to the Purchasers by the Company, in the manner contemplated by the Agreement, to register the Notes under the Securities Act of 1933, as amended, or to qualify the Agreement under the Trust Indenture Act of 1939, as amended.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7.    The Company is not an “investment company” or a company “controlled” by an “investment company” within the meaning of the Investment Company Act of 1940, as amended.</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limited to the laws of the States of Minnesota and New York and the federal laws of the United States of America. As to all matters of Minnesota law, we have relied with your consent upon an opinion of even date herewith addressed to you by Julie L. Padilla, Vice President, Chief Legal Officer and Corporate Secretary of the Company.</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opinions expressed above are limited to the laws and facts in effect on the date hereof. We disclaim any obligation to advise you of facts, circumstances, events or developments which hereafter may be brought to our attention, and which might alter, affect or modify the opinions expressed herein.</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 is rendered to you in connection with the above-described transaction. This opinion may not be relied upon by you for any other purpose, or relied upon or furnished to any other Person, without our prior written consent, except that (i) this opinion may be reviewed by, but not relied upon by, applicable legal or regulatory bodies and proposed transferees of the Notes, and (ii) this opinion may be relied upon by transferees of the Notes as of the date of original delivery hereof.</w:t>
      </w:r>
    </w:p>
    <w:p>
      <w:pPr>
        <w:pStyle w:val="TextBody"/>
        <w:bidi w:val="0"/>
        <w:spacing w:lineRule="auto" w:line="288" w:before="0" w:after="4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480"/>
        <w:ind w:left="0" w:right="0" w:firstLine="5040"/>
        <w:jc w:val="both"/>
        <w:rPr/>
      </w:pPr>
      <w:r>
        <w:rPr/>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COHEN TAUBER SPIEVACK &amp; WAGNER P.C.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pt;mso-position-horizontal:left;mso-position-horizontal-relative:text">
                <v:textbox>
                  <w:txbxContent>
                    <w:p>
                      <w:pPr>
                        <w:pStyle w:val="TextBody"/>
                        <w:bidi w:val="0"/>
                        <w:spacing w:lineRule="auto" w:line="288" w:before="0" w:after="0"/>
                        <w:jc w:val="left"/>
                        <w:rPr/>
                      </w:pPr>
                      <w:r>
                        <w:rPr>
                          <w:rFonts w:ascii="Times New Roman;sans-serif" w:hAnsi="Times New Roman;sans-serif"/>
                          <w:b w:val="false"/>
                          <w:color w:val="000000"/>
                          <w:sz w:val="16"/>
                        </w:rPr>
                        <w:t>{00547113.DOC; 9}                    </w:t>
                      </w: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72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4.4(c)</w:t>
      </w:r>
    </w:p>
    <w:p>
      <w:pPr>
        <w:pStyle w:val="TextBody"/>
        <w:bidi w:val="0"/>
        <w:spacing w:lineRule="auto" w:line="288" w:before="0" w:after="360"/>
        <w:jc w:val="center"/>
        <w:rPr>
          <w:rFonts w:ascii="Times New Roman;sans-serif" w:hAnsi="Times New Roman;sans-serif"/>
          <w:b w:val="false"/>
          <w:color w:val="000000"/>
          <w:sz w:val="24"/>
        </w:rPr>
      </w:pPr>
      <w:r>
        <w:rPr>
          <w:rFonts w:ascii="Times New Roman;sans-serif" w:hAnsi="Times New Roman;sans-serif"/>
          <w:b w:val="false"/>
          <w:color w:val="000000"/>
          <w:sz w:val="24"/>
        </w:rPr>
        <w:t>FORM OF OPINION OF</w:t>
        <w:br/>
        <w:t>CHAPMAN AND CUTLER LLP</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closing opinion of Chapman and Cutler LLP, special counsel to the Purchasers, called for by Section 4.4(b) of the Note Purchase Agreement, shall be dated the date of Closing and addressed to each purchaser, shall be satisfactory in form and substance to the Purchasers and shall be to the effect that: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The Note Purchase Agreement and the Notes are enforceable in accordance with their respective terms (subject to bankruptcy, insolvency, fraudulent transfer, reorganization, moratorium and laws of general applicability relating to or affecting creditors’ rights and to general equity principles).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issuance, sale and delivery of the Notes under the circumstances contemplated by the Note Purchase Agreement do not, under existing law, require the registration of the Notes under the Securities Act of 1933, as amended, or the qualification of an indenture under the Trust Indenture Act of 1939, as amended.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37210"/>
                <wp:effectExtent l="0" t="0" r="0" b="0"/>
                <wp:wrapNone/>
                <wp:docPr id="145" name="Frame145"/>
                <a:graphic xmlns:a="http://schemas.openxmlformats.org/drawingml/2006/main">
                  <a:graphicData uri="http://schemas.microsoft.com/office/word/2010/wordprocessingShape">
                    <wps:wsp>
                      <wps:cNvSpPr txBox="1"/>
                      <wps:spPr>
                        <a:xfrm>
                          <a:off x="0" y="0"/>
                          <a:ext cx="6480175" cy="53721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4.4(c)</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4.4(c)</w:t>
                        <w:br/>
                        <w:t>(To Note Purchase Agreement)</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{00547113.DOC; 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31(a)</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Bethany M. Owen,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2025,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231"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095"/>
        <w:gridCol w:w="1095"/>
        <w:gridCol w:w="1559"/>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 13a-14(a)/15d-14(a) Certification by the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Jeffrey J. Scissons, of ALLETE, Inc. (ALLETE),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2025, of ALLETE;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6747"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540"/>
        <w:gridCol w:w="1540"/>
        <w:gridCol w:w="2185"/>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J. Scissons</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J. Scissons</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Corporate Treasurer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Certification of Periodic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By the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18 U.S.C. Section 1350, each of the undersigned officers of ALLETE, Inc. (ALLETE), does hereby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Quarterly Report on Form 10-Q of ALLETE for the period ended March 31, 2025, (Report) fully complies with the requirements of Section 13(a) of the Securities Exchange Act of 1934 (15 U.S.C. 78m);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ALLETE.</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5559"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233"/>
        <w:gridCol w:w="1233"/>
        <w:gridCol w:w="1239"/>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Bethany M. Owen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tbl>
      <w:tblPr>
        <w:tblW w:w="7074" w:type="dxa"/>
        <w:jc w:val="left"/>
        <w:tblInd w:w="0" w:type="dxa"/>
        <w:tblLayout w:type="fixed"/>
        <w:tblCellMar>
          <w:top w:w="28" w:type="dxa"/>
          <w:left w:w="28" w:type="dxa"/>
          <w:bottom w:w="28" w:type="dxa"/>
          <w:right w:w="28" w:type="dxa"/>
        </w:tblCellMar>
      </w:tblPr>
      <w:tblGrid>
        <w:gridCol w:w="417"/>
        <w:gridCol w:w="368"/>
        <w:gridCol w:w="370"/>
        <w:gridCol w:w="109"/>
        <w:gridCol w:w="109"/>
        <w:gridCol w:w="109"/>
        <w:gridCol w:w="1738"/>
        <w:gridCol w:w="1738"/>
        <w:gridCol w:w="1744"/>
        <w:gridCol w:w="109"/>
        <w:gridCol w:w="109"/>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J. Scissons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J. Scissons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Corporate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pStyle w:val="TextBody"/>
        <w:bidi w:val="0"/>
        <w:spacing w:before="0" w:after="0"/>
        <w:jc w:val="left"/>
        <w:rPr/>
      </w:pPr>
      <w:r>
        <w:rPr/>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95</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Mine Safety Disclosure</w:t>
      </w:r>
    </w:p>
    <w:tbl>
      <w:tblPr>
        <w:tblW w:w="10205" w:type="dxa"/>
        <w:jc w:val="center"/>
        <w:tblInd w:w="0" w:type="dxa"/>
        <w:tblLayout w:type="fixed"/>
        <w:tblCellMar>
          <w:top w:w="28" w:type="dxa"/>
          <w:left w:w="28" w:type="dxa"/>
          <w:bottom w:w="28" w:type="dxa"/>
          <w:right w:w="28" w:type="dxa"/>
        </w:tblCellMar>
      </w:tblPr>
      <w:tblGrid>
        <w:gridCol w:w="400"/>
        <w:gridCol w:w="351"/>
        <w:gridCol w:w="353"/>
        <w:gridCol w:w="244"/>
        <w:gridCol w:w="244"/>
        <w:gridCol w:w="245"/>
        <w:gridCol w:w="212"/>
        <w:gridCol w:w="212"/>
        <w:gridCol w:w="213"/>
        <w:gridCol w:w="218"/>
        <w:gridCol w:w="218"/>
        <w:gridCol w:w="219"/>
        <w:gridCol w:w="215"/>
        <w:gridCol w:w="215"/>
        <w:gridCol w:w="216"/>
        <w:gridCol w:w="212"/>
        <w:gridCol w:w="212"/>
        <w:gridCol w:w="213"/>
        <w:gridCol w:w="333"/>
        <w:gridCol w:w="333"/>
        <w:gridCol w:w="334"/>
        <w:gridCol w:w="250"/>
        <w:gridCol w:w="250"/>
        <w:gridCol w:w="251"/>
        <w:gridCol w:w="275"/>
        <w:gridCol w:w="275"/>
        <w:gridCol w:w="276"/>
        <w:gridCol w:w="273"/>
        <w:gridCol w:w="273"/>
        <w:gridCol w:w="274"/>
        <w:gridCol w:w="243"/>
        <w:gridCol w:w="243"/>
        <w:gridCol w:w="244"/>
        <w:gridCol w:w="238"/>
        <w:gridCol w:w="238"/>
        <w:gridCol w:w="240"/>
        <w:gridCol w:w="258"/>
        <w:gridCol w:w="258"/>
        <w:gridCol w:w="260"/>
        <w:gridCol w:w="174"/>
      </w:tblGrid>
      <w:tr>
        <w:trPr/>
        <w:tc>
          <w:tcPr>
            <w:tcW w:w="40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Mine or Operating Name/MSHA Identification Number</w:t>
            </w:r>
          </w:p>
        </w:tc>
        <w:tc>
          <w:tcPr>
            <w:tcW w:w="733"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 S&amp;S Citations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104(b) Orders (#)</w:t>
            </w:r>
          </w:p>
        </w:tc>
        <w:tc>
          <w:tcPr>
            <w:tcW w:w="655"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104(d) Citations and Orders (#)</w:t>
            </w:r>
          </w:p>
        </w:tc>
        <w:tc>
          <w:tcPr>
            <w:tcW w:w="64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110(b)(2) Violations (#)</w:t>
            </w:r>
          </w:p>
        </w:tc>
        <w:tc>
          <w:tcPr>
            <w:tcW w:w="637"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Section 107(a) Orders (#)</w:t>
            </w:r>
          </w:p>
        </w:tc>
        <w:tc>
          <w:tcPr>
            <w:tcW w:w="100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Dollar Value of MSHA Assessments Proposed ($)</w:t>
            </w:r>
          </w:p>
        </w:tc>
        <w:tc>
          <w:tcPr>
            <w:tcW w:w="751"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 Mining Related Fatalities (#)</w:t>
            </w:r>
          </w:p>
        </w:tc>
        <w:tc>
          <w:tcPr>
            <w:tcW w:w="82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Pattern of Violation Under Section 104(e) (yes/no)</w:t>
            </w:r>
          </w:p>
        </w:tc>
        <w:tc>
          <w:tcPr>
            <w:tcW w:w="82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Received Notice of Potential to Have Pattern Under Section 104(e) (yes/no)</w:t>
            </w:r>
          </w:p>
        </w:tc>
        <w:tc>
          <w:tcPr>
            <w:tcW w:w="730"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Pending as of Last Day of Period (#)</w:t>
            </w:r>
          </w:p>
        </w:tc>
        <w:tc>
          <w:tcPr>
            <w:tcW w:w="71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Initiated During Period (#)</w:t>
            </w:r>
          </w:p>
        </w:tc>
        <w:tc>
          <w:tcPr>
            <w:tcW w:w="776" w:type="dxa"/>
            <w:gridSpan w:val="3"/>
            <w:vMerge w:val="restart"/>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Legal Actions Resolved During Period (#)</w:t>
            </w:r>
          </w:p>
        </w:tc>
        <w:tc>
          <w:tcPr>
            <w:tcW w:w="174" w:type="dxa"/>
            <w:tcBorders/>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3"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55"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4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637"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00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51"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82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30"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1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776" w:type="dxa"/>
            <w:gridSpan w:val="3"/>
            <w:vMerge w:val="continue"/>
            <w:tcBorders>
              <w:top w:val="single" w:sz="8" w:space="0" w:color="000000"/>
              <w:left w:val="single" w:sz="8" w:space="0" w:color="000000"/>
              <w:right w:val="single" w:sz="8" w:space="0" w:color="000000"/>
            </w:tcBorders>
            <w:tcMar>
              <w:top w:w="30" w:type="dxa"/>
              <w:bottom w:w="0" w:type="dxa"/>
            </w:tcMar>
            <w:vAlign w:val="center"/>
          </w:tcPr>
          <w:p>
            <w:pPr>
              <w:pStyle w:val="Normal"/>
              <w:bidi w:val="0"/>
              <w:jc w:val="left"/>
              <w:rPr/>
            </w:pPr>
            <w:r>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Center Mine / 3200218</w:t>
            </w:r>
          </w:p>
        </w:tc>
        <w:tc>
          <w:tcPr>
            <w:tcW w:w="7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3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100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2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7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c>
          <w:tcPr>
            <w:tcW w:w="17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 ended March 31, 2025, BNI Energy, owner of Center Mine, received four citation under Section 104(a) of the Mine Safety Act, two of which were significant and substantial (S&amp;S) citations. For the quarter ended March 31, 2025, BNI Energy paid no penalties for citations closed during the period. For the quarter ended March 31, 2025, there were no citations, orders, violations or notices under Sections 104(b), 104(d), 107(a), 104(e) or 110(b)(2) of the Mine Safety Act and there were no fatalities.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6482" w:type="dxa"/>
        <w:jc w:val="center"/>
        <w:tblInd w:w="0" w:type="dxa"/>
        <w:tblLayout w:type="fixed"/>
        <w:tblCellMar>
          <w:top w:w="28" w:type="dxa"/>
          <w:left w:w="28" w:type="dxa"/>
          <w:bottom w:w="28" w:type="dxa"/>
          <w:right w:w="28" w:type="dxa"/>
        </w:tblCellMar>
      </w:tblPr>
      <w:tblGrid>
        <w:gridCol w:w="1032"/>
        <w:gridCol w:w="908"/>
        <w:gridCol w:w="911"/>
        <w:gridCol w:w="504"/>
        <w:gridCol w:w="504"/>
        <w:gridCol w:w="507"/>
        <w:gridCol w:w="618"/>
        <w:gridCol w:w="618"/>
        <w:gridCol w:w="880"/>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r>
      <w:tr>
        <w:trPr/>
        <w:tc>
          <w:tcPr>
            <w:tcW w:w="285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0" cy="695325"/>
                  <wp:effectExtent l="0" t="0" r="0" b="0"/>
                  <wp:docPr id="1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 descr=""/>
                          <pic:cNvPicPr>
                            <a:picLocks noChangeAspect="1" noChangeArrowheads="1"/>
                          </pic:cNvPicPr>
                        </pic:nvPicPr>
                        <pic:blipFill>
                          <a:blip r:embed="rId4"/>
                          <a:stretch>
                            <a:fillRect/>
                          </a:stretch>
                        </pic:blipFill>
                        <pic:spPr bwMode="auto">
                          <a:xfrm>
                            <a:off x="0" y="0"/>
                            <a:ext cx="1524000" cy="695325"/>
                          </a:xfrm>
                          <a:prstGeom prst="rect">
                            <a:avLst/>
                          </a:prstGeom>
                        </pic:spPr>
                      </pic:pic>
                    </a:graphicData>
                  </a:graphic>
                </wp:inline>
              </w:drawing>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99</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Release:</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 Contact:</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218-723-3952</w:t>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shareholder@allete.com</w:t>
            </w:r>
          </w:p>
        </w:tc>
      </w:tr>
      <w:tr>
        <w:trPr/>
        <w:tc>
          <w:tcPr>
            <w:tcW w:w="28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96"/>
              </w:rPr>
            </w:pPr>
            <w:r>
              <w:rPr>
                <w:rFonts w:ascii="Times New Roman;sans-serif" w:hAnsi="Times New Roman;sans-serif"/>
                <w:b/>
                <w:i/>
                <w:color w:val="000000"/>
                <w:sz w:val="96"/>
              </w:rPr>
              <w:t>NEWS</w:t>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vMerge w:val="continue"/>
            <w:tcBorders/>
            <w:tcMar>
              <w:top w:w="0" w:type="dxa"/>
              <w:left w:w="0" w:type="dxa"/>
              <w:bottom w:w="0" w:type="dxa"/>
              <w:right w:w="0" w:type="dxa"/>
            </w:tcMar>
            <w:vAlign w:val="center"/>
          </w:tcPr>
          <w:p>
            <w:pPr>
              <w:pStyle w:val="Normal"/>
              <w:bidi w:val="0"/>
              <w:jc w:val="left"/>
              <w:rPr/>
            </w:pPr>
            <w:r>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ALLETE, Inc. reports first quarter 2025 earnings</w:t>
      </w:r>
    </w:p>
    <w:p>
      <w:pPr>
        <w:pStyle w:val="TextBody"/>
        <w:bidi w:val="0"/>
        <w:spacing w:lineRule="auto" w:line="32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DULUTH, Minn. - ALLETE, Inc. (NYSE: ALE) today reported first quarter 2025 earnings of 97 cents per share on net income of $56.1 million. Last year’s first quarter results were 88 cents per share on net income of $50.7 million. Net income in 2025 includes transaction expenses of $2.1 million after-tax, or 4 cents per share, related to the announced merger. Net income in the first quarter of 2024 included transaction expenses of $1.2 million after-tax, or 2 cents per share.</w:t>
      </w:r>
    </w:p>
    <w:p>
      <w:pPr>
        <w:pStyle w:val="TextBody"/>
        <w:bidi w:val="0"/>
        <w:spacing w:before="0" w:after="0"/>
        <w:jc w:val="left"/>
        <w:rPr/>
      </w:pPr>
      <w:r>
        <w:rPr/>
      </w:r>
    </w:p>
    <w:p>
      <w:pPr>
        <w:pStyle w:val="TextBody"/>
        <w:bidi w:val="0"/>
        <w:spacing w:lineRule="auto" w:line="324" w:before="0" w:after="0"/>
        <w:jc w:val="left"/>
        <w:rPr/>
      </w:pPr>
      <w:r>
        <w:rPr>
          <w:color w:val="000000"/>
        </w:rPr>
        <w:t>“</w:t>
      </w:r>
      <w:r>
        <w:rPr>
          <w:rFonts w:ascii="Times New Roman;sans-serif" w:hAnsi="Times New Roman;sans-serif"/>
          <w:b w:val="false"/>
          <w:color w:val="000000"/>
          <w:sz w:val="22"/>
        </w:rPr>
        <w:t>Our entire ALLETE team has been working diligently on many fronts to execute our Sustainability-in-Action strategy. Minnesota Power recently filed its latest Integrated Resource Plan, which outlines a path to achieve a portfolio that includes 90 percent renewable energy by 2035 by adding wind, solar, natural gas generation, and innovative energy storage as we work to cease coal on our system by 2035,” said ALLETE Chair, President, and Chief Executive Officer Bethany Owen. “Minnesota Power’s Energy</w:t>
      </w:r>
      <w:r>
        <w:rPr>
          <w:rFonts w:ascii="Times New Roman;sans-serif" w:hAnsi="Times New Roman;sans-serif"/>
          <w:b w:val="false"/>
          <w:i/>
          <w:color w:val="000000"/>
          <w:sz w:val="22"/>
        </w:rPr>
        <w:t>Forward</w:t>
      </w:r>
      <w:r>
        <w:rPr>
          <w:color w:val="000000"/>
        </w:rPr>
        <w:t xml:space="preserve"> </w:t>
      </w:r>
      <w:r>
        <w:rPr>
          <w:rFonts w:ascii="Times New Roman;sans-serif" w:hAnsi="Times New Roman;sans-serif"/>
          <w:b w:val="false"/>
          <w:color w:val="000000"/>
          <w:sz w:val="22"/>
        </w:rPr>
        <w:t xml:space="preserve">strategy reflects our steadfast commitment to advancing a sustainable carbon-free future while ensuring we continue to provide the reliable and affordable energy our customers expect.” </w:t>
      </w:r>
    </w:p>
    <w:p>
      <w:pPr>
        <w:pStyle w:val="TextBody"/>
        <w:bidi w:val="0"/>
        <w:spacing w:before="0" w:after="0"/>
        <w:jc w:val="left"/>
        <w:rPr/>
      </w:pPr>
      <w:r>
        <w:rPr/>
      </w:r>
    </w:p>
    <w:p>
      <w:pPr>
        <w:pStyle w:val="TextBody"/>
        <w:bidi w:val="0"/>
        <w:spacing w:lineRule="auto" w:line="324" w:before="0" w:after="0"/>
        <w:jc w:val="left"/>
        <w:rPr>
          <w:color w:val="000000"/>
        </w:rPr>
      </w:pPr>
      <w:r>
        <w:rPr>
          <w:color w:val="000000"/>
        </w:rPr>
        <w:t>“</w:t>
      </w:r>
      <w:r>
        <w:rPr>
          <w:rFonts w:ascii="Times New Roman;sans-serif" w:hAnsi="Times New Roman;sans-serif"/>
          <w:b w:val="false"/>
          <w:color w:val="000000"/>
          <w:sz w:val="22"/>
        </w:rPr>
        <w:t xml:space="preserve">ALLETE’s planned partnership with experienced infrastructure investors, Canada Pension Plan Investment Board and Global Infrastructure Partners, remains on track. Key approvals from the Federal Energy Regulatory Commission, Public Service Commission of Wisconsin and overwhelming support from our shareholders have been received. We continue working through the regulatory process toward securing our final approval from the Minnesota Public Utilities Commission, which is expected in 2025. ALLETE, Minnesota Power and all our companies, employees, customers, communities and other stakeholders will benefit from this partnership for generations to come.” </w:t>
      </w:r>
    </w:p>
    <w:p>
      <w:pPr>
        <w:pStyle w:val="TextBody"/>
        <w:bidi w:val="0"/>
        <w:spacing w:before="0" w:after="0"/>
        <w:jc w:val="left"/>
        <w:rPr/>
      </w:pPr>
      <w:r>
        <w:rPr/>
      </w:r>
    </w:p>
    <w:p>
      <w:pPr>
        <w:pStyle w:val="TextBody"/>
        <w:bidi w:val="0"/>
        <w:spacing w:lineRule="auto" w:line="32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ALLETE’s Regulated Operations segment, which includes Minnesota Power, Superior Water, Light and Power and the Company’s investment in the American Transmission Company, recorded first quarter 2025 net income of $38.4 million, compared to $44.2 million in the first quarter a year ago. Net income at Minnesota Power was lower than 2024 reflecting lower margins from industrial customers, higher operating and maintenance expense and higher depreciation expense. These decreases were partially offset by higher margins from residential, commercial and municipal customers. Net income at Superior Water, Light and Power was higher than 2024 reflecting new rates implemented in 2025 as well as higher kWh and gas sales. After-tax equity earnings in the American Transmission Company were higher than 2024 primarily due to additional equity investments.</w:t>
      </w:r>
    </w:p>
    <w:p>
      <w:pPr>
        <w:pStyle w:val="TextBody"/>
        <w:bidi w:val="0"/>
        <w:spacing w:before="0" w:after="0"/>
        <w:jc w:val="left"/>
        <w:rPr/>
      </w:pPr>
      <w:r>
        <w:rPr/>
      </w:r>
    </w:p>
    <w:p>
      <w:pPr>
        <w:pStyle w:val="TextBody"/>
        <w:bidi w:val="0"/>
        <w:spacing w:lineRule="auto" w:line="324"/>
        <w:jc w:val="left"/>
        <w:rPr/>
      </w:pPr>
      <w:r>
        <w:rPr>
          <w:rFonts w:ascii="Times New Roman;sans-serif" w:hAnsi="Times New Roman;sans-serif"/>
          <w:b w:val="false"/>
          <w:color w:val="000000"/>
          <w:sz w:val="22"/>
        </w:rPr>
        <w:t xml:space="preserve">ALLETE Clean Energy recorded first quarter 2025 net income of $7.4 million compared to $3.8 million in 2024. Net income in 2025 reflects higher production at ALLETE Clean Energy’s tax equity financed wind energy facilities. Earnings in 2024 reflected negative </w:t>
      </w:r>
      <w:r>
        <w:rPr>
          <w:rFonts w:ascii="Times New Roman;sans-serif" w:hAnsi="Times New Roman;sans-serif"/>
          <w:b w:val="false"/>
          <w:color w:val="000000"/>
          <w:sz w:val="24"/>
        </w:rPr>
        <w:t>impacts from a forced network outage near its Caddo wind energy facility.</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26390"/>
                <wp:effectExtent l="0" t="0" r="0" b="0"/>
                <wp:wrapNone/>
                <wp:docPr id="151" name="Frame150"/>
                <a:graphic xmlns:a="http://schemas.openxmlformats.org/drawingml/2006/main">
                  <a:graphicData uri="http://schemas.microsoft.com/office/word/2010/wordprocessingShape">
                    <wps:wsp>
                      <wps:cNvSpPr txBox="1"/>
                      <wps:spPr>
                        <a:xfrm>
                          <a:off x="0" y="0"/>
                          <a:ext cx="6480175" cy="326390"/>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1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New Energy Equity recorded 2025 first quarter net income of $9.2 million, compared to net income of $4.0 million for the same period in 2024. Net income in 2025 includes higher sales of renewable energy projects and investment tax credits at New Energy Equity compared to 2024.</w:t>
      </w:r>
    </w:p>
    <w:p>
      <w:pPr>
        <w:pStyle w:val="TextBody"/>
        <w:bidi w:val="0"/>
        <w:spacing w:before="0" w:after="0"/>
        <w:jc w:val="left"/>
        <w:rPr/>
      </w:pPr>
      <w:r>
        <w:rPr/>
      </w:r>
    </w:p>
    <w:p>
      <w:pPr>
        <w:pStyle w:val="TextBody"/>
        <w:bidi w:val="0"/>
        <w:spacing w:lineRule="auto" w:line="324"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Corporate and Other businesses, which include BNI Energy, ALLETE Properties and our investments in renewable energy facilities, recorded net income of $1.1 million in the first quarter of 2025, compared to a net loss of $1.3 million in 2024. Net income in 2025 includes lower income tax expense, partially offset by higher transaction expenses related to the merger in 2025. Transaction expenses were $2.1 million after-tax in 2025 compared to $1.2 million in 2024.</w:t>
      </w:r>
    </w:p>
    <w:p>
      <w:pPr>
        <w:pStyle w:val="TextBody"/>
        <w:bidi w:val="0"/>
        <w:spacing w:before="0" w:after="0"/>
        <w:jc w:val="left"/>
        <w:rPr/>
      </w:pPr>
      <w:r>
        <w:rPr/>
      </w:r>
    </w:p>
    <w:p>
      <w:pPr>
        <w:pStyle w:val="TextBody"/>
        <w:bidi w:val="0"/>
        <w:spacing w:lineRule="auto" w:line="324" w:before="0" w:after="0"/>
        <w:jc w:val="left"/>
        <w:rPr/>
      </w:pPr>
      <w:r>
        <w:rPr>
          <w:color w:val="000000"/>
          <w:shd w:fill="FFFFFF" w:val="clear"/>
        </w:rPr>
        <w:t>“</w:t>
      </w:r>
      <w:r>
        <w:rPr>
          <w:rFonts w:ascii="Times New Roman;sans-serif" w:hAnsi="Times New Roman;sans-serif"/>
          <w:b w:val="false"/>
          <w:color w:val="000000"/>
          <w:sz w:val="22"/>
        </w:rPr>
        <w:t>Results for the first quarter of 2025 were impacted primarily by lower industrial margins as a result of lower sales to taconite customers at Minnesota Power." said ALLETE Vice President – Chief Financial Officer and Corporate Treasurer Jeff Scissons. “Our Non-regulated subsidiaries all had solid first quarter performances and are executing on their annual plans while navigating dynamic operating environments.”</w:t>
      </w:r>
    </w:p>
    <w:p>
      <w:pPr>
        <w:pStyle w:val="TextBody"/>
        <w:bidi w:val="0"/>
        <w:spacing w:before="0" w:after="0"/>
        <w:jc w:val="left"/>
        <w:rPr/>
      </w:pPr>
      <w:r>
        <w:rPr/>
      </w:r>
    </w:p>
    <w:p>
      <w:pPr>
        <w:pStyle w:val="TextBody"/>
        <w:bidi w:val="0"/>
        <w:spacing w:lineRule="auto" w:line="324" w:before="0" w:after="0"/>
        <w:jc w:val="left"/>
        <w:rPr/>
      </w:pPr>
      <w:r>
        <w:rPr>
          <w:rFonts w:ascii="Times New Roman;sans-serif" w:hAnsi="Times New Roman;sans-serif"/>
          <w:b w:val="false"/>
          <w:color w:val="000000"/>
          <w:sz w:val="22"/>
        </w:rPr>
        <w:t xml:space="preserve">ALLETE is an energy company headquartered in Duluth, Minn. In addition to its electric utilities, Minnesota Power and Superior Water, Light and Power of Wisconsin, ALLETE owns ALLETE Clean Energy, based in Duluth, BNI Energy in Bismarck, N.D., New Energy Equity in Annapolis, MD, and has an eight percent equity interest in the American Transmission Co. More information about ALLETE is available at www.allete.com. </w:t>
      </w:r>
      <w:r>
        <w:rPr>
          <w:rFonts w:ascii="Times New Roman;sans-serif" w:hAnsi="Times New Roman;sans-serif"/>
          <w:b w:val="false"/>
          <w:i/>
          <w:color w:val="000000"/>
          <w:sz w:val="24"/>
        </w:rPr>
        <w:t>ALE-CORP</w:t>
      </w:r>
    </w:p>
    <w:p>
      <w:pPr>
        <w:pStyle w:val="TextBody"/>
        <w:bidi w:val="0"/>
        <w:spacing w:before="0" w:after="0"/>
        <w:jc w:val="left"/>
        <w:rPr/>
      </w:pPr>
      <w:r>
        <w:rPr/>
      </w:r>
    </w:p>
    <w:p>
      <w:pPr>
        <w:pStyle w:val="TextBody"/>
        <w:bidi w:val="0"/>
        <w:spacing w:lineRule="auto" w:line="324"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pStyle w:val="TextBody"/>
        <w:bidi w:val="0"/>
        <w:spacing w:before="0" w:after="0"/>
        <w:jc w:val="left"/>
        <w:rPr/>
      </w:pPr>
      <w:r>
        <w:rPr/>
      </w:r>
    </w:p>
    <w:p>
      <w:pPr>
        <w:pStyle w:val="TextBody"/>
        <w:bidi w:val="0"/>
        <w:spacing w:lineRule="auto" w:line="324"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pStyle w:val="TextBody"/>
        <w:bidi w:val="0"/>
        <w:spacing w:before="0" w:after="0"/>
        <w:jc w:val="left"/>
        <w:rPr/>
      </w:pPr>
      <w:r>
        <w:rPr/>
      </w:r>
    </w:p>
    <w:p>
      <w:pPr>
        <w:pStyle w:val="TextBody"/>
        <w:bidi w:val="0"/>
        <w:spacing w:lineRule="auto" w:line="324" w:before="0" w:after="0"/>
        <w:jc w:val="left"/>
        <w:rPr/>
      </w:pPr>
      <w:r>
        <w:rPr>
          <w:rFonts w:ascii="Times New Roman;sans-serif" w:hAnsi="Times New Roman;sans-serif"/>
          <w:b w:val="false"/>
          <w:i/>
          <w:color w:val="000000"/>
          <w:sz w:val="20"/>
        </w:rPr>
        <w:t xml:space="preserve">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w:t>
      </w:r>
      <w:r>
        <w:rPr>
          <w:rFonts w:ascii="Times New Roman;sans-serif" w:hAnsi="Times New Roman;sans-serif"/>
          <w:b w:val="false"/>
          <w:i/>
          <w:color w:val="000000"/>
          <w:sz w:val="24"/>
        </w:rPr>
        <w:t>more accurately compare the company's ongoing financial performance</w:t>
      </w:r>
      <w:r>
        <w:rPr>
          <w:color w:val="000000"/>
        </w:rPr>
        <w:t xml:space="preserve"> </w:t>
      </w:r>
      <w:r>
        <w:rPr>
          <w:rFonts w:ascii="Times New Roman;sans-serif" w:hAnsi="Times New Roman;sans-serif"/>
          <w:b w:val="false"/>
          <w:i/>
          <w:color w:val="000000"/>
          <w:sz w:val="20"/>
        </w:rPr>
        <w:t>over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31495"/>
                <wp:effectExtent l="0" t="0" r="0" b="0"/>
                <wp:wrapNone/>
                <wp:docPr id="152" name="Frame151"/>
                <a:graphic xmlns:a="http://schemas.openxmlformats.org/drawingml/2006/main">
                  <a:graphicData uri="http://schemas.microsoft.com/office/word/2010/wordprocessingShape">
                    <wps:wsp>
                      <wps:cNvSpPr txBox="1"/>
                      <wps:spPr>
                        <a:xfrm>
                          <a:off x="0" y="0"/>
                          <a:ext cx="6480175" cy="531495"/>
                        </a:xfrm>
                        <a:prstGeom prst="rect"/>
                        <a:solidFill>
                          <a:srgbClr val="FFFFFF"/>
                        </a:solidFill>
                      </wps:spPr>
                      <wps:txb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r>
                              <w:br w:type="page"/>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Page 2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ALLETE,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 of Income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Except Per Share Amounts - Unaudited</w:t>
      </w:r>
    </w:p>
    <w:tbl>
      <w:tblPr>
        <w:tblW w:w="7067" w:type="dxa"/>
        <w:jc w:val="center"/>
        <w:tblInd w:w="0" w:type="dxa"/>
        <w:tblLayout w:type="fixed"/>
        <w:tblCellMar>
          <w:top w:w="28" w:type="dxa"/>
          <w:left w:w="28" w:type="dxa"/>
          <w:bottom w:w="28" w:type="dxa"/>
          <w:right w:w="28" w:type="dxa"/>
        </w:tblCellMar>
      </w:tblPr>
      <w:tblGrid>
        <w:gridCol w:w="1494"/>
        <w:gridCol w:w="1311"/>
        <w:gridCol w:w="1319"/>
        <w:gridCol w:w="109"/>
        <w:gridCol w:w="469"/>
        <w:gridCol w:w="469"/>
        <w:gridCol w:w="469"/>
        <w:gridCol w:w="469"/>
        <w:gridCol w:w="360"/>
        <w:gridCol w:w="361"/>
        <w:gridCol w:w="237"/>
      </w:tblGrid>
      <w:tr>
        <w:trPr/>
        <w:tc>
          <w:tcPr>
            <w:tcW w:w="149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958" w:type="dxa"/>
            <w:gridSpan w:val="3"/>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958" w:type="dxa"/>
            <w:gridSpan w:val="3"/>
            <w:tcBorders/>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Contracts with Customers – Non-utility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 Non-utility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Fuel, Purchased Power and Gas – 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Transmission Services – 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 Non-utility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and Maintenance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Other than Income Taxes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Shares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 Per Share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46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$0.705 </w:t>
            </w:r>
          </w:p>
        </w:tc>
        <w:tc>
          <w:tcPr>
            <w:tcW w:w="237"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Millions - Unaudited</w:t>
      </w:r>
    </w:p>
    <w:tbl>
      <w:tblPr>
        <w:tblW w:w="10205" w:type="dxa"/>
        <w:jc w:val="center"/>
        <w:tblInd w:w="0" w:type="dxa"/>
        <w:tblLayout w:type="fixed"/>
        <w:tblCellMar>
          <w:top w:w="28" w:type="dxa"/>
          <w:left w:w="28" w:type="dxa"/>
          <w:bottom w:w="28" w:type="dxa"/>
          <w:right w:w="28" w:type="dxa"/>
        </w:tblCellMar>
      </w:tblPr>
      <w:tblGrid>
        <w:gridCol w:w="856"/>
        <w:gridCol w:w="739"/>
        <w:gridCol w:w="743"/>
        <w:gridCol w:w="313"/>
        <w:gridCol w:w="310"/>
        <w:gridCol w:w="247"/>
        <w:gridCol w:w="290"/>
        <w:gridCol w:w="290"/>
        <w:gridCol w:w="252"/>
        <w:gridCol w:w="109"/>
        <w:gridCol w:w="109"/>
        <w:gridCol w:w="109"/>
        <w:gridCol w:w="1497"/>
        <w:gridCol w:w="1295"/>
        <w:gridCol w:w="1298"/>
        <w:gridCol w:w="313"/>
        <w:gridCol w:w="310"/>
        <w:gridCol w:w="247"/>
        <w:gridCol w:w="268"/>
        <w:gridCol w:w="268"/>
        <w:gridCol w:w="342"/>
      </w:tblGrid>
      <w:tr>
        <w:trPr/>
        <w:tc>
          <w:tcPr>
            <w:tcW w:w="85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w:t>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 31,</w:t>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 31,</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2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$404.2</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1,832.8</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1,704.7</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 Net</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5,255.5</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269.5</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253.4</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Pension and Other Postretirement Benefit Plans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Intangibles – Net</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314.8</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312.8</w:t>
            </w:r>
          </w:p>
        </w:tc>
      </w:tr>
      <w:tr>
        <w:trPr/>
        <w:tc>
          <w:tcPr>
            <w:tcW w:w="2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269.0</w:t>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w:t>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3,388.3</w:t>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3,390.1</w:t>
            </w:r>
          </w:p>
        </w:tc>
      </w:tr>
      <w:tr>
        <w:trPr/>
        <w:tc>
          <w:tcPr>
            <w:tcW w:w="233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8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w:t>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Redeemable Non-Controlling Interest and Equity</w:t>
            </w:r>
          </w:p>
        </w:tc>
        <w:tc>
          <w:tcPr>
            <w:tcW w:w="870"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$6,866.3</w:t>
            </w:r>
          </w:p>
        </w:tc>
        <w:tc>
          <w:tcPr>
            <w:tcW w:w="8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$6,754.3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06755"/>
                <wp:effectExtent l="0" t="0" r="0" b="0"/>
                <wp:wrapNone/>
                <wp:docPr id="153" name="Frame152"/>
                <a:graphic xmlns:a="http://schemas.openxmlformats.org/drawingml/2006/main">
                  <a:graphicData uri="http://schemas.microsoft.com/office/word/2010/wordprocessingShape">
                    <wps:wsp>
                      <wps:cNvSpPr txBox="1"/>
                      <wps:spPr>
                        <a:xfrm>
                          <a:off x="0" y="0"/>
                          <a:ext cx="6480175" cy="70675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3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p>
      <w:pPr>
        <w:pStyle w:val="TextBody"/>
        <w:bidi w:val="0"/>
        <w:spacing w:before="0" w:after="0"/>
        <w:jc w:val="right"/>
        <w:rPr/>
      </w:pPr>
      <w:r>
        <w:rPr/>
      </w:r>
    </w:p>
    <w:tbl>
      <w:tblPr>
        <w:tblW w:w="5912" w:type="dxa"/>
        <w:jc w:val="center"/>
        <w:tblInd w:w="0" w:type="dxa"/>
        <w:tblLayout w:type="fixed"/>
        <w:tblCellMar>
          <w:top w:w="28" w:type="dxa"/>
          <w:left w:w="28" w:type="dxa"/>
          <w:bottom w:w="28" w:type="dxa"/>
          <w:right w:w="28" w:type="dxa"/>
        </w:tblCellMar>
      </w:tblPr>
      <w:tblGrid>
        <w:gridCol w:w="1113"/>
        <w:gridCol w:w="979"/>
        <w:gridCol w:w="982"/>
        <w:gridCol w:w="109"/>
        <w:gridCol w:w="469"/>
        <w:gridCol w:w="469"/>
        <w:gridCol w:w="469"/>
        <w:gridCol w:w="469"/>
        <w:gridCol w:w="308"/>
        <w:gridCol w:w="308"/>
        <w:gridCol w:w="237"/>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853" w:type="dxa"/>
            <w:gridSpan w:val="3"/>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ALLETE, Inc.</w:t>
            </w:r>
          </w:p>
        </w:tc>
        <w:tc>
          <w:tcPr>
            <w:tcW w:w="109" w:type="dxa"/>
            <w:tcBorders/>
            <w:vAlign w:val="center"/>
          </w:tcPr>
          <w:p>
            <w:pPr>
              <w:pStyle w:val="TableContents"/>
              <w:bidi w:val="0"/>
              <w:spacing w:before="0" w:after="283"/>
              <w:jc w:val="left"/>
              <w:rPr>
                <w:sz w:val="4"/>
                <w:szCs w:val="4"/>
              </w:rPr>
            </w:pPr>
            <w:r>
              <w:rPr>
                <w:sz w:val="4"/>
                <w:szCs w:val="4"/>
              </w:rPr>
            </w:r>
          </w:p>
        </w:tc>
        <w:tc>
          <w:tcPr>
            <w:tcW w:w="187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853" w:type="dxa"/>
            <w:gridSpan w:val="3"/>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(Loss)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8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3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Operations</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ALLETE Clean Energy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Energy</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ALLETE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4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024" w:type="dxa"/>
        <w:jc w:val="center"/>
        <w:tblInd w:w="0" w:type="dxa"/>
        <w:tblLayout w:type="fixed"/>
        <w:tblCellMar>
          <w:top w:w="28" w:type="dxa"/>
          <w:left w:w="28" w:type="dxa"/>
          <w:bottom w:w="28" w:type="dxa"/>
          <w:right w:w="28" w:type="dxa"/>
        </w:tblCellMar>
      </w:tblPr>
      <w:tblGrid>
        <w:gridCol w:w="510"/>
        <w:gridCol w:w="449"/>
        <w:gridCol w:w="450"/>
        <w:gridCol w:w="109"/>
        <w:gridCol w:w="109"/>
        <w:gridCol w:w="225"/>
        <w:gridCol w:w="225"/>
        <w:gridCol w:w="226"/>
        <w:gridCol w:w="211"/>
        <w:gridCol w:w="211"/>
        <w:gridCol w:w="299"/>
      </w:tblGrid>
      <w:tr>
        <w:trPr/>
        <w:tc>
          <w:tcPr>
            <w:tcW w:w="51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Statistical Data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High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$65.99</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$64.72</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$55.86</w:t>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w:t>
            </w:r>
          </w:p>
        </w:tc>
      </w:tr>
      <w:tr>
        <w:trPr/>
        <w:tc>
          <w:tcPr>
            <w:tcW w:w="140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$49.44</w:t>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w:t>
            </w:r>
          </w:p>
        </w:tc>
      </w:tr>
    </w:tbl>
    <w:p>
      <w:pPr>
        <w:pStyle w:val="TextBody"/>
        <w:bidi w:val="0"/>
        <w:spacing w:before="0" w:after="0"/>
        <w:jc w:val="left"/>
        <w:rPr/>
      </w:pPr>
      <w:r>
        <w:rPr/>
      </w:r>
    </w:p>
    <w:tbl>
      <w:tblPr>
        <w:tblW w:w="5110" w:type="dxa"/>
        <w:jc w:val="center"/>
        <w:tblInd w:w="0" w:type="dxa"/>
        <w:tblLayout w:type="fixed"/>
        <w:tblCellMar>
          <w:top w:w="28" w:type="dxa"/>
          <w:left w:w="28" w:type="dxa"/>
          <w:bottom w:w="28" w:type="dxa"/>
          <w:right w:w="28" w:type="dxa"/>
        </w:tblCellMar>
      </w:tblPr>
      <w:tblGrid>
        <w:gridCol w:w="1343"/>
        <w:gridCol w:w="1178"/>
        <w:gridCol w:w="1184"/>
        <w:gridCol w:w="109"/>
        <w:gridCol w:w="109"/>
        <w:gridCol w:w="189"/>
        <w:gridCol w:w="189"/>
        <w:gridCol w:w="193"/>
        <w:gridCol w:w="179"/>
        <w:gridCol w:w="179"/>
        <w:gridCol w:w="258"/>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Kilowatt-hours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2,567</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w:t>
            </w:r>
          </w:p>
        </w:tc>
      </w:tr>
      <w:tr>
        <w:trPr/>
        <w:tc>
          <w:tcPr>
            <w:tcW w:w="3705"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Kilowatt-hours Sold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w:t>
            </w:r>
          </w:p>
        </w:tc>
        <w:tc>
          <w:tcPr>
            <w:tcW w:w="616"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w:t>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395" w:type="dxa"/>
        <w:jc w:val="center"/>
        <w:tblInd w:w="0" w:type="dxa"/>
        <w:tblLayout w:type="fixed"/>
        <w:tblCellMar>
          <w:top w:w="28" w:type="dxa"/>
          <w:left w:w="28" w:type="dxa"/>
          <w:bottom w:w="28" w:type="dxa"/>
          <w:right w:w="28" w:type="dxa"/>
        </w:tblCellMar>
      </w:tblPr>
      <w:tblGrid>
        <w:gridCol w:w="1368"/>
        <w:gridCol w:w="1205"/>
        <w:gridCol w:w="1207"/>
        <w:gridCol w:w="109"/>
        <w:gridCol w:w="109"/>
        <w:gridCol w:w="224"/>
        <w:gridCol w:w="224"/>
        <w:gridCol w:w="228"/>
        <w:gridCol w:w="210"/>
        <w:gridCol w:w="210"/>
        <w:gridCol w:w="301"/>
      </w:tblGrid>
      <w:tr>
        <w:trPr/>
        <w:tc>
          <w:tcPr>
            <w:tcW w:w="136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Regulated Utility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 Utility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and Municipal Electric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Retail and Municipal Electric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245.6</w:t>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Power Suppliers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(Includes Water and Gas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w:t>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r>
      <w:tr>
        <w:trPr/>
        <w:tc>
          <w:tcPr>
            <w:tcW w:w="3780"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Regulated Utility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$332.8</w:t>
            </w:r>
          </w:p>
        </w:tc>
        <w:tc>
          <w:tcPr>
            <w:tcW w:w="72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$338.3</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556385"/>
                <wp:effectExtent l="0" t="0" r="0" b="0"/>
                <wp:wrapNone/>
                <wp:docPr id="154" name="Frame153"/>
                <a:graphic xmlns:a="http://schemas.openxmlformats.org/drawingml/2006/main">
                  <a:graphicData uri="http://schemas.microsoft.com/office/word/2010/wordprocessingShape">
                    <wps:wsp>
                      <wps:cNvSpPr txBox="1"/>
                      <wps:spPr>
                        <a:xfrm>
                          <a:off x="0" y="0"/>
                          <a:ext cx="6480175" cy="1556385"/>
                        </a:xfrm>
                        <a:prstGeom prst="rect"/>
                        <a:solidFill>
                          <a:srgbClr val="FFFFFF"/>
                        </a:solidFill>
                      </wps:spPr>
                      <wps:txbx>
                        <w:txbxContent>
                          <w:p>
                            <w:pPr>
                              <w:pStyle w:val="TextBody"/>
                              <w:bidi w:val="0"/>
                              <w:spacing w:before="40" w:after="283"/>
                              <w:jc w:val="center"/>
                              <w:rPr/>
                            </w:pPr>
                            <w:r>
                              <w:rPr/>
                            </w:r>
                            <w:r>
                              <w:br w:type="page"/>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2.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0" w:after="283"/>
                        <w:jc w:val="center"/>
                        <w:rPr/>
                      </w:pPr>
                      <w:r>
                        <w:rPr/>
                      </w:r>
                    </w:p>
                    <w:p>
                      <w:pPr>
                        <w:pStyle w:val="TextBody"/>
                        <w:bidi w:val="0"/>
                        <w:spacing w:lineRule="auto" w:line="288" w:before="0" w:after="0"/>
                        <w:jc w:val="both"/>
                        <w:rPr>
                          <w:rFonts w:ascii="Times New Roman;sans-serif" w:hAnsi="Times New Roman;sans-serif"/>
                          <w:b/>
                          <w:color w:val="000000"/>
                          <w:sz w:val="19"/>
                        </w:rPr>
                      </w:pPr>
                      <w:r>
                        <w:rPr>
                          <w:rFonts w:ascii="Times New Roman;sans-serif" w:hAnsi="Times New Roman;sans-serif"/>
                          <w:b/>
                          <w:color w:val="000000"/>
                          <w:sz w:val="19"/>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Page 4 of 4</w:t>
                      </w:r>
                    </w:p>
                    <w:p>
                      <w:pPr>
                        <w:pStyle w:val="TextBody"/>
                        <w:bidi w:val="0"/>
                        <w:spacing w:lineRule="auto" w:line="276" w:before="0" w:after="0"/>
                        <w:jc w:val="center"/>
                        <w:rPr/>
                      </w:pPr>
                      <w:r>
                        <w:rPr>
                          <w:rFonts w:ascii="Times New Roman;sans-serif" w:hAnsi="Times New Roman;sans-serif"/>
                          <w:b w:val="false"/>
                          <w:color w:val="000000"/>
                          <w:sz w:val="18"/>
                        </w:rPr>
                        <w:t xml:space="preserve">ALLETE </w:t>
                      </w:r>
                      <w:r>
                        <w:rPr>
                          <w:rFonts w:ascii="Arial;sans-serif" w:hAnsi="Arial;sans-serif"/>
                          <w:b w:val="false"/>
                          <w:color w:val="000000"/>
                          <w:sz w:val="18"/>
                        </w:rPr>
                        <w:t>·</w:t>
                      </w:r>
                      <w:r>
                        <w:rPr>
                          <w:color w:val="000000"/>
                        </w:rPr>
                        <w:t xml:space="preserve"> </w:t>
                      </w:r>
                      <w:r>
                        <w:rPr>
                          <w:rFonts w:ascii="Times New Roman;sans-serif" w:hAnsi="Times New Roman;sans-serif"/>
                          <w:b w:val="false"/>
                          <w:color w:val="000000"/>
                          <w:sz w:val="18"/>
                        </w:rPr>
                        <w:t>30 West Superior Street, Duluth, Minnesota 55802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6756/000006675624000034/exhibit21.htm" TargetMode="External"/><Relationship Id="rId3" Type="http://schemas.openxmlformats.org/officeDocument/2006/relationships/hyperlink" Target="https://www.sec.gov/Archives/edgar/data/66756/000006675624000034/exhibit21.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110</Pages>
  <Words>61563</Words>
  <Characters>330384</Characters>
  <CharactersWithSpaces>391817</CharactersWithSpaces>
  <Paragraphs>3925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