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660" w:right="4360"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715"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1" w:lineRule="exact"/>
        <w:rPr>
          <w:sz w:val="24"/>
          <w:szCs w:val="24"/>
          <w:color w:val="auto"/>
        </w:rPr>
      </w:pPr>
    </w:p>
    <w:p>
      <w:pPr>
        <w:sectPr>
          <w:pgSz w:w="11900" w:h="16838" w:orient="portrait"/>
          <w:cols w:equalWidth="0" w:num="2">
            <w:col w:w="100" w:space="560"/>
            <w:col w:w="10760"/>
          </w:cols>
          <w:pgMar w:left="240" w:top="715" w:right="239" w:bottom="1440" w:gutter="0" w:footer="0" w:header="0"/>
          <w:type w:val="continuous"/>
        </w:sectPr>
      </w:pPr>
    </w:p>
    <w:p>
      <w:pPr>
        <w:spacing w:after="0" w:line="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15" w:right="239" w:bottom="1440" w:gutter="0" w:footer="0" w:header="0"/>
          <w:type w:val="continuous"/>
        </w:sectPr>
      </w:pPr>
    </w:p>
    <w:p>
      <w:pPr>
        <w:spacing w:after="0" w:line="25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140" w:space="720"/>
            <w:col w:w="3560"/>
          </w:cols>
          <w:pgMar w:left="240" w:top="715"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15" w:right="239" w:bottom="1440" w:gutter="0" w:footer="0" w:header="0"/>
          <w:type w:val="continuous"/>
        </w:sectPr>
      </w:pPr>
    </w:p>
    <w:p>
      <w:pPr>
        <w:spacing w:after="0" w:line="26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T Yes £ No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jc w:val="right"/>
              <w:ind w:right="2750"/>
              <w:spacing w:after="0"/>
              <w:rPr>
                <w:sz w:val="20"/>
                <w:szCs w:val="20"/>
                <w:color w:val="auto"/>
              </w:rPr>
            </w:pPr>
            <w:r>
              <w:rPr>
                <w:rFonts w:ascii="Arial" w:cs="Arial" w:eastAsia="Arial" w:hAnsi="Arial"/>
                <w:sz w:val="18"/>
                <w:szCs w:val="18"/>
                <w:color w:val="auto"/>
              </w:rPr>
              <w:t>Large Accelerated Filer T</w:t>
            </w:r>
          </w:p>
        </w:tc>
        <w:tc>
          <w:tcPr>
            <w:tcW w:w="3120" w:type="dxa"/>
            <w:vAlign w:val="bottom"/>
          </w:tcPr>
          <w:p>
            <w:pPr>
              <w:jc w:val="right"/>
              <w:spacing w:after="0"/>
              <w:rPr>
                <w:sz w:val="20"/>
                <w:szCs w:val="20"/>
                <w:color w:val="auto"/>
              </w:rPr>
            </w:pPr>
            <w:r>
              <w:rPr>
                <w:rFonts w:ascii="Arial" w:cs="Arial" w:eastAsia="Arial" w:hAnsi="Arial"/>
                <w:sz w:val="18"/>
                <w:szCs w:val="18"/>
                <w:color w:val="auto"/>
              </w:rPr>
              <w:t>Accelerated Filer £</w:t>
            </w:r>
          </w:p>
        </w:tc>
      </w:tr>
      <w:tr>
        <w:trPr>
          <w:trHeight w:val="230"/>
        </w:trPr>
        <w:tc>
          <w:tcPr>
            <w:tcW w:w="8300" w:type="dxa"/>
            <w:vAlign w:val="bottom"/>
          </w:tcPr>
          <w:p>
            <w:pPr>
              <w:jc w:val="right"/>
              <w:ind w:right="2750"/>
              <w:spacing w:after="0"/>
              <w:rPr>
                <w:sz w:val="20"/>
                <w:szCs w:val="20"/>
                <w:color w:val="auto"/>
              </w:rPr>
            </w:pPr>
            <w:r>
              <w:rPr>
                <w:rFonts w:ascii="Arial" w:cs="Arial" w:eastAsia="Arial" w:hAnsi="Arial"/>
                <w:sz w:val="18"/>
                <w:szCs w:val="18"/>
                <w:color w:val="auto"/>
              </w:rPr>
              <w:t>Non-Accelerated Filer £</w:t>
            </w:r>
          </w:p>
        </w:tc>
        <w:tc>
          <w:tcPr>
            <w:tcW w:w="3120" w:type="dxa"/>
            <w:vAlign w:val="bottom"/>
          </w:tcPr>
          <w:p>
            <w:pPr>
              <w:jc w:val="right"/>
              <w:spacing w:after="0"/>
              <w:rPr>
                <w:sz w:val="20"/>
                <w:szCs w:val="20"/>
                <w:color w:val="auto"/>
              </w:rPr>
            </w:pPr>
            <w:r>
              <w:rPr>
                <w:rFonts w:ascii="Arial" w:cs="Arial" w:eastAsia="Arial" w:hAnsi="Arial"/>
                <w:sz w:val="18"/>
                <w:szCs w:val="18"/>
                <w:color w:val="auto"/>
              </w:rPr>
              <w:t>Smaller Reporting Company £</w:t>
            </w:r>
          </w:p>
        </w:tc>
      </w:tr>
      <w:tr>
        <w:trPr>
          <w:trHeight w:val="445"/>
        </w:trPr>
        <w:tc>
          <w:tcPr>
            <w:tcW w:w="8300" w:type="dxa"/>
            <w:vAlign w:val="bottom"/>
          </w:tcPr>
          <w:p>
            <w:pPr>
              <w:jc w:val="right"/>
              <w:ind w:right="30"/>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3120" w:type="dxa"/>
            <w:vAlign w:val="bottom"/>
          </w:tcPr>
          <w:p>
            <w:pPr>
              <w:jc w:val="right"/>
              <w:ind w:right="1930"/>
              <w:spacing w:after="0"/>
              <w:rPr>
                <w:sz w:val="20"/>
                <w:szCs w:val="20"/>
                <w:color w:val="auto"/>
              </w:rPr>
            </w:pPr>
            <w:r>
              <w:rPr>
                <w:rFonts w:ascii="Arial" w:cs="Arial" w:eastAsia="Arial" w:hAnsi="Arial"/>
                <w:sz w:val="18"/>
                <w:szCs w:val="18"/>
                <w:color w:val="auto"/>
              </w:rPr>
              <w:t>£ Yes   T No</w:t>
            </w:r>
          </w:p>
        </w:tc>
      </w:tr>
      <w:tr>
        <w:trPr>
          <w:trHeight w:val="216"/>
        </w:trPr>
        <w:tc>
          <w:tcPr>
            <w:tcW w:w="8300" w:type="dxa"/>
            <w:vAlign w:val="bottom"/>
          </w:tcPr>
          <w:p>
            <w:pPr>
              <w:jc w:val="center"/>
              <w:ind w:left="3030"/>
              <w:spacing w:after="0"/>
              <w:rPr>
                <w:sz w:val="20"/>
                <w:szCs w:val="20"/>
                <w:color w:val="auto"/>
              </w:rPr>
            </w:pPr>
            <w:r>
              <w:rPr>
                <w:rFonts w:ascii="Arial" w:cs="Arial" w:eastAsia="Arial" w:hAnsi="Arial"/>
                <w:sz w:val="18"/>
                <w:szCs w:val="18"/>
                <w:color w:val="auto"/>
                <w:w w:val="90"/>
              </w:rPr>
              <w:t>Common Stock, no par value,</w:t>
            </w:r>
          </w:p>
        </w:tc>
        <w:tc>
          <w:tcPr>
            <w:tcW w:w="3120" w:type="dxa"/>
            <w:vAlign w:val="bottom"/>
          </w:tcPr>
          <w:p>
            <w:pPr>
              <w:spacing w:after="0"/>
              <w:rPr>
                <w:sz w:val="18"/>
                <w:szCs w:val="18"/>
                <w:color w:val="auto"/>
              </w:rPr>
            </w:pPr>
          </w:p>
        </w:tc>
      </w:tr>
      <w:tr>
        <w:trPr>
          <w:trHeight w:val="216"/>
        </w:trPr>
        <w:tc>
          <w:tcPr>
            <w:tcW w:w="8300" w:type="dxa"/>
            <w:vAlign w:val="bottom"/>
          </w:tcPr>
          <w:p>
            <w:pPr>
              <w:jc w:val="center"/>
              <w:ind w:left="3030"/>
              <w:spacing w:after="0"/>
              <w:rPr>
                <w:sz w:val="20"/>
                <w:szCs w:val="20"/>
                <w:color w:val="auto"/>
              </w:rPr>
            </w:pPr>
            <w:r>
              <w:rPr>
                <w:rFonts w:ascii="Arial" w:cs="Arial" w:eastAsia="Arial" w:hAnsi="Arial"/>
                <w:sz w:val="18"/>
                <w:szCs w:val="18"/>
                <w:color w:val="auto"/>
                <w:w w:val="88"/>
              </w:rPr>
              <w:t>35,681,083 shares outstanding</w:t>
            </w:r>
          </w:p>
        </w:tc>
        <w:tc>
          <w:tcPr>
            <w:tcW w:w="3120" w:type="dxa"/>
            <w:vAlign w:val="bottom"/>
          </w:tcPr>
          <w:p>
            <w:pPr>
              <w:spacing w:after="0"/>
              <w:rPr>
                <w:sz w:val="18"/>
                <w:szCs w:val="18"/>
                <w:color w:val="auto"/>
              </w:rPr>
            </w:pPr>
          </w:p>
        </w:tc>
      </w:tr>
      <w:tr>
        <w:trPr>
          <w:trHeight w:val="230"/>
        </w:trPr>
        <w:tc>
          <w:tcPr>
            <w:tcW w:w="8300" w:type="dxa"/>
            <w:vAlign w:val="bottom"/>
          </w:tcPr>
          <w:p>
            <w:pPr>
              <w:jc w:val="center"/>
              <w:ind w:left="3050"/>
              <w:spacing w:after="0"/>
              <w:rPr>
                <w:sz w:val="20"/>
                <w:szCs w:val="20"/>
                <w:color w:val="auto"/>
              </w:rPr>
            </w:pPr>
            <w:r>
              <w:rPr>
                <w:rFonts w:ascii="Arial" w:cs="Arial" w:eastAsia="Arial" w:hAnsi="Arial"/>
                <w:sz w:val="18"/>
                <w:szCs w:val="18"/>
                <w:color w:val="auto"/>
                <w:w w:val="88"/>
              </w:rPr>
              <w:t>as of June 30, 2010</w:t>
            </w:r>
          </w:p>
        </w:tc>
        <w:tc>
          <w:tcPr>
            <w:tcW w:w="3120" w:type="dxa"/>
            <w:vAlign w:val="bottom"/>
          </w:tcPr>
          <w:p>
            <w:pPr>
              <w:spacing w:after="0"/>
              <w:rPr>
                <w:sz w:val="20"/>
                <w:szCs w:val="20"/>
                <w:color w:val="auto"/>
              </w:rPr>
            </w:pPr>
          </w:p>
        </w:tc>
      </w:tr>
      <w:tr>
        <w:trPr>
          <w:trHeight w:val="659"/>
        </w:trPr>
        <w:tc>
          <w:tcPr>
            <w:tcW w:w="830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7"/>
          </w:tcPr>
          <w:p>
            <w:pPr>
              <w:ind w:left="40"/>
              <w:spacing w:after="0"/>
              <w:rPr>
                <w:sz w:val="20"/>
                <w:szCs w:val="20"/>
                <w:color w:val="auto"/>
              </w:rPr>
            </w:pPr>
            <w:r>
              <w:rPr>
                <w:rFonts w:ascii="Arial" w:cs="Arial" w:eastAsia="Arial" w:hAnsi="Arial"/>
                <w:sz w:val="18"/>
                <w:szCs w:val="18"/>
                <w:b w:val="1"/>
                <w:bCs w:val="1"/>
                <w:color w:val="auto"/>
              </w:rPr>
              <w:t>INDEX</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Definitions</w:t>
              </w:r>
            </w:hyperlink>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80" w:type="dxa"/>
            <w:vAlign w:val="bottom"/>
            <w:gridSpan w:val="3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Safe Harbor Statement Under the Private Securities Litigation Reform Act of 1995</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5"/>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7900" w:type="dxa"/>
            <w:vAlign w:val="bottom"/>
            <w:gridSpan w:val="27"/>
            <w:shd w:val="clear" w:color="auto" w:fill="CCEEFF"/>
          </w:tcPr>
          <w:p>
            <w:pPr>
              <w:ind w:left="2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2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ind w:left="2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6700" w:type="dxa"/>
            <w:vAlign w:val="bottom"/>
            <w:gridSpan w:val="23"/>
            <w:shd w:val="clear" w:color="auto" w:fill="CCEEFF"/>
          </w:tcPr>
          <w:p>
            <w:pPr>
              <w:ind w:left="3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2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900" w:type="dxa"/>
            <w:vAlign w:val="bottom"/>
            <w:gridSpan w:val="27"/>
            <w:shd w:val="clear" w:color="auto" w:fill="CCEEFF"/>
          </w:tcPr>
          <w:p>
            <w:pPr>
              <w:ind w:left="2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 -</w:t>
              </w:r>
            </w:hyperlink>
          </w:p>
        </w:tc>
        <w:tc>
          <w:tcPr>
            <w:tcW w:w="2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700" w:type="dxa"/>
            <w:vAlign w:val="bottom"/>
            <w:gridSpan w:val="23"/>
          </w:tcPr>
          <w:p>
            <w:pPr>
              <w:ind w:left="3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June 30, 2010 and December 31, 2009</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00" w:type="dxa"/>
            <w:vAlign w:val="bottom"/>
            <w:gridSpan w:val="27"/>
          </w:tcPr>
          <w:p>
            <w:pPr>
              <w:ind w:left="2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Income -</w:t>
              </w:r>
            </w:hyperlink>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700" w:type="dxa"/>
            <w:vAlign w:val="bottom"/>
            <w:gridSpan w:val="23"/>
            <w:shd w:val="clear" w:color="auto" w:fill="CCEEFF"/>
          </w:tcPr>
          <w:p>
            <w:pPr>
              <w:ind w:left="3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Quarter and Six Months Ended June 30, 2010 and 2009</w:t>
              </w:r>
            </w:hyperlink>
          </w:p>
        </w:tc>
        <w:tc>
          <w:tcPr>
            <w:tcW w:w="2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900" w:type="dxa"/>
            <w:vAlign w:val="bottom"/>
            <w:gridSpan w:val="27"/>
            <w:shd w:val="clear" w:color="auto" w:fill="CCEEFF"/>
          </w:tcPr>
          <w:p>
            <w:pPr>
              <w:ind w:left="2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Cash Flows -</w:t>
              </w:r>
            </w:hyperlink>
          </w:p>
        </w:tc>
        <w:tc>
          <w:tcPr>
            <w:tcW w:w="2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700" w:type="dxa"/>
            <w:vAlign w:val="bottom"/>
            <w:gridSpan w:val="23"/>
          </w:tcPr>
          <w:p>
            <w:pPr>
              <w:ind w:left="3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Six Months Ended June 30, 2010 and 2009</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00" w:type="dxa"/>
            <w:vAlign w:val="bottom"/>
            <w:gridSpan w:val="27"/>
          </w:tcPr>
          <w:p>
            <w:pPr>
              <w:ind w:left="28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w:t>
              </w:r>
            </w:hyperlink>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and Results of Operations</w:t>
              </w:r>
            </w:hyperlink>
          </w:p>
        </w:tc>
        <w:tc>
          <w:tcPr>
            <w:tcW w:w="1840" w:type="dxa"/>
            <w:vAlign w:val="bottom"/>
          </w:tcPr>
          <w:p>
            <w:pPr>
              <w:spacing w:after="0"/>
              <w:rPr>
                <w:sz w:val="17"/>
                <w:szCs w:val="17"/>
                <w:color w:val="auto"/>
              </w:rPr>
            </w:pPr>
          </w:p>
        </w:tc>
        <w:tc>
          <w:tcPr>
            <w:tcW w:w="2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5"/>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Part II.</w:t>
              </w:r>
            </w:hyperlink>
          </w:p>
        </w:tc>
        <w:tc>
          <w:tcPr>
            <w:tcW w:w="7900" w:type="dxa"/>
            <w:vAlign w:val="bottom"/>
            <w:gridSpan w:val="27"/>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1.</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1A.</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3.</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Reserved</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5.</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4"/>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6.</w:t>
              </w:r>
            </w:hyperlink>
          </w:p>
        </w:tc>
        <w:tc>
          <w:tcPr>
            <w:tcW w:w="6700" w:type="dxa"/>
            <w:vAlign w:val="bottom"/>
            <w:gridSpan w:val="23"/>
          </w:tcPr>
          <w:p>
            <w:pPr>
              <w:ind w:left="3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5"/>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2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Abbreviation or Acronym</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Term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86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AC</w:t>
            </w:r>
          </w:p>
        </w:tc>
        <w:tc>
          <w:tcPr>
            <w:tcW w:w="8620" w:type="dxa"/>
            <w:vAlign w:val="bottom"/>
          </w:tcPr>
          <w:p>
            <w:pPr>
              <w:ind w:left="640"/>
              <w:spacing w:after="0"/>
              <w:rPr>
                <w:sz w:val="20"/>
                <w:szCs w:val="20"/>
                <w:color w:val="auto"/>
              </w:rPr>
            </w:pPr>
            <w:r>
              <w:rPr>
                <w:rFonts w:ascii="Arial" w:cs="Arial" w:eastAsia="Arial" w:hAnsi="Arial"/>
                <w:sz w:val="18"/>
                <w:szCs w:val="18"/>
                <w:color w:val="auto"/>
              </w:rPr>
              <w:t>Alternating Current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AFUDC</w:t>
            </w:r>
          </w:p>
        </w:tc>
        <w:tc>
          <w:tcPr>
            <w:tcW w:w="86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w w:val="91"/>
              </w:rPr>
              <w:t>Allowance for Funds Used During Construction – consisting of the cost of both the debt and equity funds used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 finance utility plant additions during construction periods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ALLETE</w:t>
            </w:r>
          </w:p>
        </w:tc>
        <w:tc>
          <w:tcPr>
            <w:tcW w:w="8620" w:type="dxa"/>
            <w:vAlign w:val="bottom"/>
          </w:tcPr>
          <w:p>
            <w:pPr>
              <w:ind w:left="640"/>
              <w:spacing w:after="0"/>
              <w:rPr>
                <w:sz w:val="20"/>
                <w:szCs w:val="20"/>
                <w:color w:val="auto"/>
              </w:rPr>
            </w:pPr>
            <w:r>
              <w:rPr>
                <w:rFonts w:ascii="Arial" w:cs="Arial" w:eastAsia="Arial" w:hAnsi="Arial"/>
                <w:sz w:val="18"/>
                <w:szCs w:val="18"/>
                <w:color w:val="auto"/>
              </w:rPr>
              <w:t>ALLETE,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ALLETE Properties</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ALLETE Properties, LLC and its subsidiaries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ARS</w:t>
            </w:r>
          </w:p>
        </w:tc>
        <w:tc>
          <w:tcPr>
            <w:tcW w:w="8620" w:type="dxa"/>
            <w:vAlign w:val="bottom"/>
          </w:tcPr>
          <w:p>
            <w:pPr>
              <w:ind w:left="640"/>
              <w:spacing w:after="0"/>
              <w:rPr>
                <w:sz w:val="20"/>
                <w:szCs w:val="20"/>
                <w:color w:val="auto"/>
              </w:rPr>
            </w:pPr>
            <w:r>
              <w:rPr>
                <w:rFonts w:ascii="Arial" w:cs="Arial" w:eastAsia="Arial" w:hAnsi="Arial"/>
                <w:sz w:val="18"/>
                <w:szCs w:val="18"/>
                <w:color w:val="auto"/>
              </w:rPr>
              <w:t>Auction Rate Securities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ATC</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American Transmission Company 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Basin</w:t>
            </w:r>
          </w:p>
        </w:tc>
        <w:tc>
          <w:tcPr>
            <w:tcW w:w="8620" w:type="dxa"/>
            <w:vAlign w:val="bottom"/>
          </w:tcPr>
          <w:p>
            <w:pPr>
              <w:ind w:left="640"/>
              <w:spacing w:after="0"/>
              <w:rPr>
                <w:sz w:val="20"/>
                <w:szCs w:val="20"/>
                <w:color w:val="auto"/>
              </w:rPr>
            </w:pPr>
            <w:r>
              <w:rPr>
                <w:rFonts w:ascii="Arial" w:cs="Arial" w:eastAsia="Arial" w:hAnsi="Arial"/>
                <w:sz w:val="18"/>
                <w:szCs w:val="18"/>
                <w:color w:val="auto"/>
              </w:rPr>
              <w:t>Basin Electric Power Cooperative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Bison I</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Bison I Wind Project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BNI Coal</w:t>
            </w:r>
          </w:p>
        </w:tc>
        <w:tc>
          <w:tcPr>
            <w:tcW w:w="8620" w:type="dxa"/>
            <w:vAlign w:val="bottom"/>
          </w:tcPr>
          <w:p>
            <w:pPr>
              <w:ind w:left="640"/>
              <w:spacing w:after="0"/>
              <w:rPr>
                <w:sz w:val="20"/>
                <w:szCs w:val="20"/>
                <w:color w:val="auto"/>
              </w:rPr>
            </w:pPr>
            <w:r>
              <w:rPr>
                <w:rFonts w:ascii="Arial" w:cs="Arial" w:eastAsia="Arial" w:hAnsi="Arial"/>
                <w:sz w:val="18"/>
                <w:szCs w:val="18"/>
                <w:color w:val="auto"/>
              </w:rPr>
              <w:t>BNI Coal,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Boswell</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Boswell Energy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line="229" w:lineRule="exact"/>
              <w:rPr>
                <w:sz w:val="20"/>
                <w:szCs w:val="20"/>
                <w:color w:val="auto"/>
              </w:rPr>
            </w:pPr>
            <w:r>
              <w:rPr>
                <w:rFonts w:ascii="Arial" w:cs="Arial" w:eastAsia="Arial" w:hAnsi="Arial"/>
                <w:sz w:val="18"/>
                <w:szCs w:val="18"/>
                <w:color w:val="auto"/>
              </w:rPr>
              <w:t>Boswell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Reduction Plan</w:t>
            </w:r>
          </w:p>
        </w:tc>
        <w:tc>
          <w:tcPr>
            <w:tcW w:w="8620" w:type="dxa"/>
            <w:vAlign w:val="bottom"/>
          </w:tcPr>
          <w:p>
            <w:pPr>
              <w:ind w:left="640"/>
              <w:spacing w:after="0" w:line="229" w:lineRule="exact"/>
              <w:rPr>
                <w:sz w:val="20"/>
                <w:szCs w:val="20"/>
                <w:color w:val="auto"/>
              </w:rPr>
            </w:pPr>
            <w:r>
              <w:rPr>
                <w:rFonts w:ascii="Arial" w:cs="Arial" w:eastAsia="Arial" w:hAnsi="Arial"/>
                <w:sz w:val="18"/>
                <w:szCs w:val="18"/>
                <w:color w:val="auto"/>
              </w:rPr>
              <w:t>Plan to reduce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emissions from Boswell Units 1, 2, and 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CO</w:t>
            </w:r>
            <w:r>
              <w:rPr>
                <w:rFonts w:ascii="Arial" w:cs="Arial" w:eastAsia="Arial" w:hAnsi="Arial"/>
                <w:sz w:val="25"/>
                <w:szCs w:val="25"/>
                <w:color w:val="auto"/>
                <w:vertAlign w:val="subscript"/>
              </w:rPr>
              <w:t>2</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Carbon Dioxide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Company</w:t>
            </w:r>
          </w:p>
        </w:tc>
        <w:tc>
          <w:tcPr>
            <w:tcW w:w="8620" w:type="dxa"/>
            <w:vAlign w:val="bottom"/>
          </w:tcPr>
          <w:p>
            <w:pPr>
              <w:ind w:left="640"/>
              <w:spacing w:after="0"/>
              <w:rPr>
                <w:sz w:val="20"/>
                <w:szCs w:val="20"/>
                <w:color w:val="auto"/>
              </w:rPr>
            </w:pPr>
            <w:r>
              <w:rPr>
                <w:rFonts w:ascii="Arial" w:cs="Arial" w:eastAsia="Arial" w:hAnsi="Arial"/>
                <w:sz w:val="18"/>
                <w:szCs w:val="18"/>
                <w:color w:val="auto"/>
              </w:rPr>
              <w:t>ALLETE, Inc. and its subsidiaries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DC</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 Current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EPA</w:t>
            </w:r>
          </w:p>
        </w:tc>
        <w:tc>
          <w:tcPr>
            <w:tcW w:w="8620" w:type="dxa"/>
            <w:vAlign w:val="bottom"/>
          </w:tcPr>
          <w:p>
            <w:pPr>
              <w:ind w:left="640"/>
              <w:spacing w:after="0"/>
              <w:rPr>
                <w:sz w:val="20"/>
                <w:szCs w:val="20"/>
                <w:color w:val="auto"/>
              </w:rPr>
            </w:pPr>
            <w:r>
              <w:rPr>
                <w:rFonts w:ascii="Arial" w:cs="Arial" w:eastAsia="Arial" w:hAnsi="Arial"/>
                <w:sz w:val="18"/>
                <w:szCs w:val="18"/>
                <w:color w:val="auto"/>
              </w:rPr>
              <w:t>Environmental Protection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ESOP</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Stock Ownership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FASB</w:t>
            </w:r>
          </w:p>
        </w:tc>
        <w:tc>
          <w:tcPr>
            <w:tcW w:w="8620" w:type="dxa"/>
            <w:vAlign w:val="bottom"/>
          </w:tcPr>
          <w:p>
            <w:pPr>
              <w:ind w:left="640"/>
              <w:spacing w:after="0"/>
              <w:rPr>
                <w:sz w:val="20"/>
                <w:szCs w:val="20"/>
                <w:color w:val="auto"/>
              </w:rPr>
            </w:pPr>
            <w:r>
              <w:rPr>
                <w:rFonts w:ascii="Arial" w:cs="Arial" w:eastAsia="Arial" w:hAnsi="Arial"/>
                <w:sz w:val="18"/>
                <w:szCs w:val="18"/>
                <w:color w:val="auto"/>
              </w:rPr>
              <w:t>Financial Accounting Standards Board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FERC</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Form 10-K</w:t>
            </w:r>
          </w:p>
        </w:tc>
        <w:tc>
          <w:tcPr>
            <w:tcW w:w="8620" w:type="dxa"/>
            <w:vAlign w:val="bottom"/>
          </w:tcPr>
          <w:p>
            <w:pPr>
              <w:ind w:left="640"/>
              <w:spacing w:after="0"/>
              <w:rPr>
                <w:sz w:val="20"/>
                <w:szCs w:val="20"/>
                <w:color w:val="auto"/>
              </w:rPr>
            </w:pPr>
            <w:r>
              <w:rPr>
                <w:rFonts w:ascii="Arial" w:cs="Arial" w:eastAsia="Arial" w:hAnsi="Arial"/>
                <w:sz w:val="18"/>
                <w:szCs w:val="18"/>
                <w:color w:val="auto"/>
              </w:rPr>
              <w:t>ALLETE Annual Report on Form 10-K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Form 10-Q</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ALLETE Quarterly Report on Form 10-Q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GAAP</w:t>
            </w:r>
          </w:p>
        </w:tc>
        <w:tc>
          <w:tcPr>
            <w:tcW w:w="8620" w:type="dxa"/>
            <w:vAlign w:val="bottom"/>
          </w:tcPr>
          <w:p>
            <w:pPr>
              <w:ind w:left="640"/>
              <w:spacing w:after="0"/>
              <w:rPr>
                <w:sz w:val="20"/>
                <w:szCs w:val="20"/>
                <w:color w:val="auto"/>
              </w:rPr>
            </w:pPr>
            <w:r>
              <w:rPr>
                <w:rFonts w:ascii="Arial" w:cs="Arial" w:eastAsia="Arial" w:hAnsi="Arial"/>
                <w:sz w:val="18"/>
                <w:szCs w:val="18"/>
                <w:color w:val="auto"/>
              </w:rPr>
              <w:t>United States Generally Accepted Accounting Principles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GHG</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IBEW Local 31</w:t>
            </w:r>
          </w:p>
        </w:tc>
        <w:tc>
          <w:tcPr>
            <w:tcW w:w="8620" w:type="dxa"/>
            <w:vAlign w:val="bottom"/>
          </w:tcPr>
          <w:p>
            <w:pPr>
              <w:ind w:left="640"/>
              <w:spacing w:after="0"/>
              <w:rPr>
                <w:sz w:val="20"/>
                <w:szCs w:val="20"/>
                <w:color w:val="auto"/>
              </w:rPr>
            </w:pPr>
            <w:r>
              <w:rPr>
                <w:rFonts w:ascii="Arial" w:cs="Arial" w:eastAsia="Arial" w:hAnsi="Arial"/>
                <w:sz w:val="18"/>
                <w:szCs w:val="18"/>
                <w:color w:val="auto"/>
              </w:rPr>
              <w:t>International Brotherhood of Electrical Workers Local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ALLETE’s Direct Stock Purchase and Dividend Reinvestment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kV</w:t>
            </w:r>
          </w:p>
        </w:tc>
        <w:tc>
          <w:tcPr>
            <w:tcW w:w="8620" w:type="dxa"/>
            <w:vAlign w:val="bottom"/>
          </w:tcPr>
          <w:p>
            <w:pPr>
              <w:ind w:left="640"/>
              <w:spacing w:after="0"/>
              <w:rPr>
                <w:sz w:val="20"/>
                <w:szCs w:val="20"/>
                <w:color w:val="auto"/>
              </w:rPr>
            </w:pPr>
            <w:r>
              <w:rPr>
                <w:rFonts w:ascii="Arial" w:cs="Arial" w:eastAsia="Arial" w:hAnsi="Arial"/>
                <w:sz w:val="18"/>
                <w:szCs w:val="18"/>
                <w:color w:val="auto"/>
              </w:rPr>
              <w:t>Kilovolt(s)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Laskin</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Laskin Energy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Manitoba Hydro</w:t>
            </w:r>
          </w:p>
        </w:tc>
        <w:tc>
          <w:tcPr>
            <w:tcW w:w="8620" w:type="dxa"/>
            <w:vAlign w:val="bottom"/>
          </w:tcPr>
          <w:p>
            <w:pPr>
              <w:ind w:left="640"/>
              <w:spacing w:after="0"/>
              <w:rPr>
                <w:sz w:val="20"/>
                <w:szCs w:val="20"/>
                <w:color w:val="auto"/>
              </w:rPr>
            </w:pPr>
            <w:r>
              <w:rPr>
                <w:rFonts w:ascii="Arial" w:cs="Arial" w:eastAsia="Arial" w:hAnsi="Arial"/>
                <w:sz w:val="18"/>
                <w:szCs w:val="18"/>
                <w:color w:val="auto"/>
              </w:rPr>
              <w:t>Manitoba Hydro-Electric Board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 operating division of ALLETE,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Minnkota Power</w:t>
            </w:r>
          </w:p>
        </w:tc>
        <w:tc>
          <w:tcPr>
            <w:tcW w:w="8620" w:type="dxa"/>
            <w:vAlign w:val="bottom"/>
          </w:tcPr>
          <w:p>
            <w:pPr>
              <w:ind w:left="640"/>
              <w:spacing w:after="0"/>
              <w:rPr>
                <w:sz w:val="20"/>
                <w:szCs w:val="20"/>
                <w:color w:val="auto"/>
              </w:rPr>
            </w:pPr>
            <w:r>
              <w:rPr>
                <w:rFonts w:ascii="Arial" w:cs="Arial" w:eastAsia="Arial" w:hAnsi="Arial"/>
                <w:sz w:val="18"/>
                <w:szCs w:val="18"/>
                <w:color w:val="auto"/>
              </w:rPr>
              <w:t>Minnkota Power Cooperative,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MISO</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Midwest Independent Transmission System Operator,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MPCA</w:t>
            </w:r>
          </w:p>
        </w:tc>
        <w:tc>
          <w:tcPr>
            <w:tcW w:w="8620" w:type="dxa"/>
            <w:vAlign w:val="bottom"/>
          </w:tcPr>
          <w:p>
            <w:pPr>
              <w:ind w:left="640"/>
              <w:spacing w:after="0"/>
              <w:rPr>
                <w:sz w:val="20"/>
                <w:szCs w:val="20"/>
                <w:color w:val="auto"/>
              </w:rPr>
            </w:pPr>
            <w:r>
              <w:rPr>
                <w:rFonts w:ascii="Arial" w:cs="Arial" w:eastAsia="Arial" w:hAnsi="Arial"/>
                <w:sz w:val="18"/>
                <w:szCs w:val="18"/>
                <w:color w:val="auto"/>
              </w:rPr>
              <w:t>Minnesota Pollution Control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MPUC</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MW/MWh</w:t>
            </w:r>
          </w:p>
        </w:tc>
        <w:tc>
          <w:tcPr>
            <w:tcW w:w="8620" w:type="dxa"/>
            <w:vAlign w:val="bottom"/>
          </w:tcPr>
          <w:p>
            <w:pPr>
              <w:ind w:left="640"/>
              <w:spacing w:after="0"/>
              <w:rPr>
                <w:sz w:val="20"/>
                <w:szCs w:val="20"/>
                <w:color w:val="auto"/>
              </w:rPr>
            </w:pPr>
            <w:r>
              <w:rPr>
                <w:rFonts w:ascii="Arial" w:cs="Arial" w:eastAsia="Arial" w:hAnsi="Arial"/>
                <w:sz w:val="18"/>
                <w:szCs w:val="18"/>
                <w:color w:val="auto"/>
              </w:rPr>
              <w:t>Megawatt(s) / Megawatt-hour(s)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NDPSC</w:t>
            </w: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North Dakota Public Service 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Non-residential</w:t>
            </w:r>
          </w:p>
        </w:tc>
        <w:tc>
          <w:tcPr>
            <w:tcW w:w="8620" w:type="dxa"/>
            <w:vAlign w:val="bottom"/>
          </w:tcPr>
          <w:p>
            <w:pPr>
              <w:ind w:left="64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640" w:type="dxa"/>
            <w:vAlign w:val="bottom"/>
            <w:gridSpan w:val="2"/>
          </w:tcPr>
          <w:p>
            <w:pPr>
              <w:ind w:left="1680"/>
              <w:spacing w:after="0"/>
              <w:rPr>
                <w:sz w:val="20"/>
                <w:szCs w:val="20"/>
                <w:color w:val="auto"/>
              </w:rPr>
            </w:pPr>
            <w:r>
              <w:rPr>
                <w:rFonts w:ascii="Arial" w:cs="Arial" w:eastAsia="Arial" w:hAnsi="Arial"/>
                <w:sz w:val="14"/>
                <w:szCs w:val="14"/>
                <w:color w:val="auto"/>
              </w:rPr>
              <w:t>ALLETE Second Quarter 2010 Form 10-Q</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640" w:type="dxa"/>
            <w:vAlign w:val="bottom"/>
            <w:gridSpan w:val="2"/>
          </w:tcPr>
          <w:p>
            <w:pPr>
              <w:ind w:left="854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8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8700" w:type="dxa"/>
            <w:vAlign w:val="bottom"/>
            <w:shd w:val="clear" w:color="auto" w:fill="CCEEFF"/>
          </w:tcPr>
          <w:p>
            <w:pPr>
              <w:ind w:left="2080"/>
              <w:spacing w:after="0"/>
              <w:rPr>
                <w:sz w:val="20"/>
                <w:szCs w:val="20"/>
                <w:color w:val="auto"/>
              </w:rPr>
            </w:pPr>
            <w:r>
              <w:rPr>
                <w:rFonts w:ascii="Arial" w:cs="Arial" w:eastAsia="Arial" w:hAnsi="Arial"/>
                <w:sz w:val="18"/>
                <w:szCs w:val="18"/>
                <w:b w:val="1"/>
                <w:bCs w:val="1"/>
                <w:color w:val="auto"/>
              </w:rPr>
              <w:t>Definitions (Continued)</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8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Abbreviation or Acronym</w:t>
            </w:r>
          </w:p>
        </w:tc>
        <w:tc>
          <w:tcPr>
            <w:tcW w:w="8700" w:type="dxa"/>
            <w:vAlign w:val="bottom"/>
          </w:tcPr>
          <w:p>
            <w:pPr>
              <w:ind w:left="720"/>
              <w:spacing w:after="0"/>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NO</w:t>
            </w:r>
            <w:r>
              <w:rPr>
                <w:rFonts w:ascii="Arial" w:cs="Arial" w:eastAsia="Arial" w:hAnsi="Arial"/>
                <w:sz w:val="25"/>
                <w:szCs w:val="25"/>
                <w:color w:val="auto"/>
                <w:vertAlign w:val="subscript"/>
              </w:rPr>
              <w:t>X</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Nitrogen Oxide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Note ___</w:t>
            </w:r>
          </w:p>
        </w:tc>
        <w:tc>
          <w:tcPr>
            <w:tcW w:w="8700" w:type="dxa"/>
            <w:vAlign w:val="bottom"/>
          </w:tcPr>
          <w:p>
            <w:pPr>
              <w:ind w:left="720"/>
              <w:spacing w:after="0"/>
              <w:rPr>
                <w:sz w:val="20"/>
                <w:szCs w:val="20"/>
                <w:color w:val="auto"/>
              </w:rPr>
            </w:pPr>
            <w:r>
              <w:rPr>
                <w:rFonts w:ascii="Arial" w:cs="Arial" w:eastAsia="Arial" w:hAnsi="Arial"/>
                <w:sz w:val="18"/>
                <w:szCs w:val="18"/>
                <w:color w:val="auto"/>
              </w:rPr>
              <w:t>Note ___ to the consolidated financial statements in this Form 10-Q</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Oliver Wind I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Oliver Wind II</w:t>
            </w:r>
          </w:p>
        </w:tc>
        <w:tc>
          <w:tcPr>
            <w:tcW w:w="8700" w:type="dxa"/>
            <w:vAlign w:val="bottom"/>
          </w:tcPr>
          <w:p>
            <w:pPr>
              <w:ind w:left="720"/>
              <w:spacing w:after="0"/>
              <w:rPr>
                <w:sz w:val="20"/>
                <w:szCs w:val="20"/>
                <w:color w:val="auto"/>
              </w:rPr>
            </w:pPr>
            <w:r>
              <w:rPr>
                <w:rFonts w:ascii="Arial" w:cs="Arial" w:eastAsia="Arial" w:hAnsi="Arial"/>
                <w:sz w:val="18"/>
                <w:szCs w:val="18"/>
                <w:color w:val="auto"/>
              </w:rPr>
              <w:t>Oliver Wind II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Palm Coast Park development project in Florida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Palm Coast Park District</w:t>
            </w:r>
          </w:p>
        </w:tc>
        <w:tc>
          <w:tcPr>
            <w:tcW w:w="8700" w:type="dxa"/>
            <w:vAlign w:val="bottom"/>
          </w:tcPr>
          <w:p>
            <w:pPr>
              <w:ind w:left="720"/>
              <w:spacing w:after="0"/>
              <w:rPr>
                <w:sz w:val="20"/>
                <w:szCs w:val="20"/>
                <w:color w:val="auto"/>
              </w:rPr>
            </w:pPr>
            <w:r>
              <w:rPr>
                <w:rFonts w:ascii="Arial" w:cs="Arial" w:eastAsia="Arial" w:hAnsi="Arial"/>
                <w:sz w:val="18"/>
                <w:szCs w:val="18"/>
                <w:color w:val="auto"/>
              </w:rPr>
              <w:t>Palm Coast Park Community Development District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PSCW</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Public Service Commission of Wisconsin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Rainy River Energy</w:t>
            </w:r>
          </w:p>
        </w:tc>
        <w:tc>
          <w:tcPr>
            <w:tcW w:w="8700" w:type="dxa"/>
            <w:vAlign w:val="bottom"/>
          </w:tcPr>
          <w:p>
            <w:pPr>
              <w:ind w:left="720"/>
              <w:spacing w:after="0"/>
              <w:rPr>
                <w:sz w:val="20"/>
                <w:szCs w:val="20"/>
                <w:color w:val="auto"/>
              </w:rPr>
            </w:pPr>
            <w:r>
              <w:rPr>
                <w:rFonts w:ascii="Arial" w:cs="Arial" w:eastAsia="Arial" w:hAnsi="Arial"/>
                <w:sz w:val="18"/>
                <w:szCs w:val="18"/>
                <w:color w:val="auto"/>
              </w:rPr>
              <w:t>Rainy River Energy Corporation - Wisconsin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spacing w:after="0" w:line="229" w:lineRule="exact"/>
              <w:rPr>
                <w:sz w:val="20"/>
                <w:szCs w:val="20"/>
                <w:color w:val="auto"/>
              </w:rPr>
            </w:pPr>
            <w:r>
              <w:rPr>
                <w:rFonts w:ascii="Arial" w:cs="Arial" w:eastAsia="Arial" w:hAnsi="Arial"/>
                <w:sz w:val="18"/>
                <w:szCs w:val="18"/>
                <w:color w:val="auto"/>
              </w:rPr>
              <w:t>SO</w:t>
            </w:r>
            <w:r>
              <w:rPr>
                <w:rFonts w:ascii="Arial" w:cs="Arial" w:eastAsia="Arial" w:hAnsi="Arial"/>
                <w:sz w:val="25"/>
                <w:szCs w:val="25"/>
                <w:color w:val="auto"/>
                <w:vertAlign w:val="subscript"/>
              </w:rPr>
              <w:t>2</w:t>
            </w:r>
          </w:p>
        </w:tc>
        <w:tc>
          <w:tcPr>
            <w:tcW w:w="8700" w:type="dxa"/>
            <w:vAlign w:val="bottom"/>
          </w:tcPr>
          <w:p>
            <w:pPr>
              <w:ind w:left="720"/>
              <w:spacing w:after="0"/>
              <w:rPr>
                <w:sz w:val="20"/>
                <w:szCs w:val="20"/>
                <w:color w:val="auto"/>
              </w:rPr>
            </w:pPr>
            <w:r>
              <w:rPr>
                <w:rFonts w:ascii="Arial" w:cs="Arial" w:eastAsia="Arial" w:hAnsi="Arial"/>
                <w:sz w:val="18"/>
                <w:szCs w:val="18"/>
                <w:color w:val="auto"/>
              </w:rPr>
              <w:t>Sulfur Dioxide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Square Butte</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Square Butte Electric Cooperative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SWL&amp;P</w:t>
            </w:r>
          </w:p>
        </w:tc>
        <w:tc>
          <w:tcPr>
            <w:tcW w:w="8700" w:type="dxa"/>
            <w:vAlign w:val="bottom"/>
          </w:tcPr>
          <w:p>
            <w:pPr>
              <w:ind w:left="720"/>
              <w:spacing w:after="0"/>
              <w:rPr>
                <w:sz w:val="20"/>
                <w:szCs w:val="20"/>
                <w:color w:val="auto"/>
              </w:rPr>
            </w:pPr>
            <w:r>
              <w:rPr>
                <w:rFonts w:ascii="Arial" w:cs="Arial" w:eastAsia="Arial" w:hAnsi="Arial"/>
                <w:sz w:val="18"/>
                <w:szCs w:val="18"/>
                <w:color w:val="auto"/>
              </w:rPr>
              <w:t>Superior Water, Light and Power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Taconite Harbor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Taconite Ridge</w:t>
            </w:r>
          </w:p>
        </w:tc>
        <w:tc>
          <w:tcPr>
            <w:tcW w:w="8700" w:type="dxa"/>
            <w:vAlign w:val="bottom"/>
          </w:tcPr>
          <w:p>
            <w:pPr>
              <w:ind w:left="720"/>
              <w:spacing w:after="0"/>
              <w:rPr>
                <w:sz w:val="20"/>
                <w:szCs w:val="20"/>
                <w:color w:val="auto"/>
              </w:rPr>
            </w:pPr>
            <w:r>
              <w:rPr>
                <w:rFonts w:ascii="Arial" w:cs="Arial" w:eastAsia="Arial" w:hAnsi="Arial"/>
                <w:sz w:val="18"/>
                <w:szCs w:val="18"/>
                <w:color w:val="auto"/>
              </w:rPr>
              <w:t>Taconite Ridge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Town Center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Town Center at Palm Coast development project in Florida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Town Center District</w:t>
            </w:r>
          </w:p>
        </w:tc>
        <w:tc>
          <w:tcPr>
            <w:tcW w:w="8700" w:type="dxa"/>
            <w:vAlign w:val="bottom"/>
          </w:tcPr>
          <w:p>
            <w:pPr>
              <w:ind w:left="720"/>
              <w:spacing w:after="0"/>
              <w:rPr>
                <w:sz w:val="20"/>
                <w:szCs w:val="20"/>
                <w:color w:val="auto"/>
              </w:rPr>
            </w:pPr>
            <w:r>
              <w:rPr>
                <w:rFonts w:ascii="Arial" w:cs="Arial" w:eastAsia="Arial" w:hAnsi="Arial"/>
                <w:sz w:val="18"/>
                <w:szCs w:val="18"/>
                <w:color w:val="auto"/>
              </w:rPr>
              <w:t>Town Center at Palm Coast Community Development District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WDNR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Wisconsin Department of Natural Resources</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700" w:type="dxa"/>
            <w:vAlign w:val="bottom"/>
          </w:tcPr>
          <w:p>
            <w:pPr>
              <w:ind w:left="1760"/>
              <w:spacing w:after="0"/>
              <w:rPr>
                <w:sz w:val="20"/>
                <w:szCs w:val="20"/>
                <w:color w:val="auto"/>
              </w:rPr>
            </w:pPr>
            <w:r>
              <w:rPr>
                <w:rFonts w:ascii="Arial" w:cs="Arial" w:eastAsia="Arial" w:hAnsi="Arial"/>
                <w:sz w:val="14"/>
                <w:szCs w:val="14"/>
                <w:color w:val="auto"/>
              </w:rPr>
              <w:t>ALLETE Second Quarter 2010 Form 10-Q</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Private Securities Litigation Reform Act of 1995</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“projects,̶1; “will likely result,” “will continue,” “could,” “may,” “potential,” “target,” “outlook” or words of similar meaning) are not statements of historical facts and may be forward-looking.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Quarterly Report on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215" w:lineRule="exact"/>
        <w:rPr>
          <w:sz w:val="20"/>
          <w:szCs w:val="20"/>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840" w:hanging="832"/>
        <w:spacing w:after="0" w:line="281"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prevailing governmental policies, regulatory actions, and legislation including those of the United States Congress, state legislatures, the FERC, the MPUC, the PSCW, the NDPSC, the EPA and other various state,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3" w:lineRule="exact"/>
        <w:rPr>
          <w:rFonts w:ascii="Arial" w:cs="Arial" w:eastAsia="Arial" w:hAnsi="Arial"/>
          <w:sz w:val="16"/>
          <w:szCs w:val="16"/>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disasters and pandemic diseases;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operating expenses</w:t>
      </w:r>
      <w:r>
        <w:rPr>
          <w:rFonts w:ascii="Arial" w:cs="Arial" w:eastAsia="Arial" w:hAnsi="Arial"/>
          <w:sz w:val="18"/>
          <w:szCs w:val="18"/>
          <w:b w:val="1"/>
          <w:bCs w:val="1"/>
          <w:color w:val="auto"/>
        </w:rPr>
        <w:t>,</w:t>
      </w:r>
      <w:r>
        <w:rPr>
          <w:rFonts w:ascii="Arial" w:cs="Arial" w:eastAsia="Arial" w:hAnsi="Arial"/>
          <w:sz w:val="18"/>
          <w:szCs w:val="18"/>
          <w:color w:val="auto"/>
        </w:rPr>
        <w:t xml:space="preserve"> capital and land development expenditures;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outcome of legal and administrative proceedings (whether civil or criminal) and settlements that affect the business and profitability of</w:t>
      </w:r>
    </w:p>
    <w:p>
      <w:pPr>
        <w:spacing w:after="0" w:line="20"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8"/>
          <w:szCs w:val="18"/>
          <w:color w:val="auto"/>
        </w:rPr>
        <w:t>ALLETE.</w:t>
      </w:r>
    </w:p>
    <w:p>
      <w:pPr>
        <w:spacing w:after="0" w:line="200" w:lineRule="exact"/>
        <w:rPr>
          <w:sz w:val="20"/>
          <w:szCs w:val="20"/>
          <w:color w:val="auto"/>
        </w:rPr>
      </w:pPr>
    </w:p>
    <w:p>
      <w:pPr>
        <w:spacing w:after="0" w:line="2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23 of our 2009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$45.3</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Accounts Receivable (Less Allowance of $0.9 at June 30, 2010 and</w:t>
            </w:r>
          </w:p>
        </w:tc>
        <w:tc>
          <w:tcPr>
            <w:tcW w:w="18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December 31, 2009)</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107.9</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57.1</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Prepayments and Other</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232.2</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1,671.7</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Regulatory Assets</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287.8</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ATC</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91.1</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Investments</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131.6</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33.4</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$2,447.8</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Current Liabilities</w:t>
            </w: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Accrued Taxes</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16.8</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Long-Term Debt Due Within One Year</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30.7</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119.2</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Long-Term Debt</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709.6</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276.9</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Regulatory Liabilities</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46.5</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324.0</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Liabilities</w:t>
            </w: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1,476.2</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1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ALLETE’s Equity</w:t>
            </w:r>
          </w:p>
        </w:tc>
        <w:tc>
          <w:tcPr>
            <w:tcW w:w="1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Common Stock Without Par Value, 80.0 Shares Authorized, 35.7 and 35.2 Shares Outstanding</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629.8</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Unearned ESOP Shares</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(40.5)</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396.9</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80"/>
              <w:spacing w:after="0"/>
              <w:rPr>
                <w:sz w:val="20"/>
                <w:szCs w:val="20"/>
                <w:color w:val="auto"/>
              </w:rPr>
            </w:pPr>
            <w:r>
              <w:rPr>
                <w:rFonts w:ascii="Arial" w:cs="Arial" w:eastAsia="Arial" w:hAnsi="Arial"/>
                <w:sz w:val="18"/>
                <w:szCs w:val="18"/>
                <w:color w:val="auto"/>
              </w:rPr>
              <w:t>Total ALLETE Equity</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962.3</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Non-Controlling Interest in Subsidiaries</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Equity</w:t>
            </w: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971.6</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$2,447.8</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Quarter Ended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7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6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Operating Revenue</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$211.2</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$167.0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$444.8</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Prior Year Rate Refunds</w:t>
            </w:r>
          </w:p>
        </w:tc>
        <w:tc>
          <w:tcPr>
            <w:tcW w:w="2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Revenue</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211.2</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164.7</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444.8</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and Purchased Power</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74.3</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56.8</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154.1</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Operating and Maintenance</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85.4</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76.7</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173.1</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19.8</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15.5</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179.5</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149.0</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367.0</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31.7</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15.7</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Equity Earnings in ATC</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80" w:type="dxa"/>
            <w:vAlign w:val="bottom"/>
          </w:tcPr>
          <w:p>
            <w:pPr>
              <w:spacing w:after="0" w:line="198" w:lineRule="exact"/>
              <w:rPr>
                <w:sz w:val="20"/>
                <w:szCs w:val="20"/>
                <w:color w:val="auto"/>
              </w:rPr>
            </w:pPr>
            <w:r>
              <w:rPr>
                <w:rFonts w:ascii="Arial" w:cs="Arial" w:eastAsia="Arial" w:hAnsi="Arial"/>
                <w:sz w:val="18"/>
                <w:szCs w:val="18"/>
                <w:b w:val="1"/>
                <w:bCs w:val="1"/>
                <w:color w:val="auto"/>
              </w:rPr>
              <w:t>Income Before Non-Controlling Interest and</w:t>
            </w:r>
          </w:p>
        </w:tc>
        <w:tc>
          <w:tcPr>
            <w:tcW w:w="2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ind w:left="80"/>
              <w:spacing w:after="0"/>
              <w:rPr>
                <w:sz w:val="20"/>
                <w:szCs w:val="20"/>
                <w:color w:val="auto"/>
              </w:rPr>
            </w:pPr>
            <w:r>
              <w:rPr>
                <w:rFonts w:ascii="Arial" w:cs="Arial" w:eastAsia="Arial" w:hAnsi="Arial"/>
                <w:sz w:val="18"/>
                <w:szCs w:val="18"/>
                <w:b w:val="1"/>
                <w:bCs w:val="1"/>
                <w:color w:val="auto"/>
              </w:rPr>
              <w:t>Income Taxes</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28.8</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13.5</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71.5</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2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19.4</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Non-Controlling Interest in Subsidiaries</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ALLETE</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$19.4</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34.1</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31.8</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Diluted</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34.2</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31.8</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Basic Earnings Per Share of Common Stock</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$0.57</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$0.29</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of Common Stock</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$0.57</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$0.29</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2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$0.44</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$0.44</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$0.88</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34" w:lineRule="exact"/>
        <w:rPr>
          <w:sz w:val="20"/>
          <w:szCs w:val="20"/>
          <w:color w:val="auto"/>
        </w:rPr>
      </w:pPr>
    </w:p>
    <w:p>
      <w:pPr>
        <w:jc w:val="center"/>
        <w:ind w:left="960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jc w:val="center"/>
        <w:ind w:left="9600"/>
        <w:spacing w:after="0"/>
        <w:rPr>
          <w:sz w:val="20"/>
          <w:szCs w:val="20"/>
          <w:color w:val="auto"/>
        </w:rPr>
      </w:pPr>
      <w:r>
        <w:rPr>
          <w:rFonts w:ascii="Arial" w:cs="Arial" w:eastAsia="Arial" w:hAnsi="Arial"/>
          <w:sz w:val="18"/>
          <w:szCs w:val="18"/>
          <w:b w:val="1"/>
          <w:bCs w:val="1"/>
          <w:color w:val="auto"/>
        </w:rPr>
        <w:t>June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9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$42.2</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Allowance for Funds Used During Construction</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Income from Equity Investments, Net of Dividends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Real Estate Foreclosure</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39.8</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Deferred Income Tax Expense</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23.1</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Compensation Expense</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Bad Debt Expense</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80"/>
              <w:spacing w:after="0"/>
              <w:rPr>
                <w:sz w:val="20"/>
                <w:szCs w:val="20"/>
                <w:color w:val="auto"/>
              </w:rPr>
            </w:pPr>
            <w:r>
              <w:rPr>
                <w:rFonts w:ascii="Arial" w:cs="Arial" w:eastAsia="Arial" w:hAnsi="Arial"/>
                <w:sz w:val="18"/>
                <w:szCs w:val="18"/>
                <w:color w:val="auto"/>
              </w:rPr>
              <w:t>Prepayments and Other</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Regulatory and Other Non-Current Assets</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Changes in Regulatory and Other Non-Current Liabilities</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Cash from Operating Activities</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Proceeds from Sale of Available-for-sale Securities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for Purchase of Available-for-sale Securities</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Investment in ATC</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to Other Investments</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(79.5)</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(82.2)</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Proceeds from Issuance of Common Stock</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15.2</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Long-Term Debt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Reductions of Long-Term Debt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(69.9)</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Issuance Costs</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Dividends on Common Stock</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(30.8)</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Changes in Notes Payable</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Cash from (for) Financing Activities</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25.7</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$45.3</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920" w:type="dxa"/>
            <w:vAlign w:val="bottom"/>
          </w:tcPr>
          <w:p>
            <w:pPr>
              <w:ind w:left="33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2009, consolidated balance sheet presented in this Form 10-Q was derived from audited financial statements but does not include all disclosures required by GAAP for complete financial statements. All adjustments are of a normal, recurring nature, except as otherwise disclosed. Operating results for the period ended June 30, 2010, are not necessarily indicative of results that may be expected for any other interim period or for the year ending December 31, 2010. For further information, refer to the consolidated financial statements and notes inclu ded in our 2009 Form 10-K.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5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Inventories</w:t>
            </w:r>
          </w:p>
        </w:tc>
        <w:tc>
          <w:tcPr>
            <w:tcW w:w="4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8"/>
                <w:szCs w:val="18"/>
                <w:color w:val="auto"/>
              </w:rPr>
              <w:t>Fuel</w:t>
            </w:r>
          </w:p>
        </w:tc>
        <w:tc>
          <w:tcPr>
            <w:tcW w:w="4520" w:type="dxa"/>
            <w:vAlign w:val="bottom"/>
          </w:tcPr>
          <w:p>
            <w:pPr>
              <w:jc w:val="right"/>
              <w:ind w:right="250"/>
              <w:spacing w:after="0"/>
              <w:rPr>
                <w:sz w:val="20"/>
                <w:szCs w:val="20"/>
                <w:color w:val="auto"/>
              </w:rPr>
            </w:pPr>
            <w:r>
              <w:rPr>
                <w:rFonts w:ascii="Arial" w:cs="Arial" w:eastAsia="Arial" w:hAnsi="Arial"/>
                <w:sz w:val="18"/>
                <w:szCs w:val="18"/>
                <w:color w:val="auto"/>
              </w:rPr>
              <w:t>$20.3</w:t>
            </w:r>
          </w:p>
        </w:tc>
        <w:tc>
          <w:tcPr>
            <w:tcW w:w="138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Materials and Supplies</w:t>
            </w:r>
          </w:p>
        </w:tc>
        <w:tc>
          <w:tcPr>
            <w:tcW w:w="4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36.8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Inventories</w:t>
            </w:r>
          </w:p>
        </w:tc>
        <w:tc>
          <w:tcPr>
            <w:tcW w:w="4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$57.1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37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Prepayments and Other Current Assets</w:t>
            </w:r>
          </w:p>
        </w:tc>
        <w:tc>
          <w:tcPr>
            <w:tcW w:w="3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Deferred Fuel Adjustment Clause</w:t>
            </w:r>
          </w:p>
        </w:tc>
        <w:tc>
          <w:tcPr>
            <w:tcW w:w="3740" w:type="dxa"/>
            <w:vAlign w:val="bottom"/>
          </w:tcPr>
          <w:p>
            <w:pPr>
              <w:jc w:val="right"/>
              <w:ind w:right="250"/>
              <w:spacing w:after="0"/>
              <w:rPr>
                <w:sz w:val="20"/>
                <w:szCs w:val="20"/>
                <w:color w:val="auto"/>
              </w:rPr>
            </w:pPr>
            <w:r>
              <w:rPr>
                <w:rFonts w:ascii="Arial" w:cs="Arial" w:eastAsia="Arial" w:hAnsi="Arial"/>
                <w:sz w:val="18"/>
                <w:szCs w:val="18"/>
                <w:color w:val="auto"/>
              </w:rPr>
              <w:t>$14.8</w:t>
            </w:r>
          </w:p>
        </w:tc>
        <w:tc>
          <w:tcPr>
            <w:tcW w:w="13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Prepayments and Other Current Assets</w:t>
            </w:r>
          </w:p>
        </w:tc>
        <w:tc>
          <w:tcPr>
            <w:tcW w:w="3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$21.9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Non-Current Liabilities</w:t>
            </w:r>
          </w:p>
        </w:tc>
        <w:tc>
          <w:tcPr>
            <w:tcW w:w="2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320"/>
              <w:spacing w:after="0" w:line="201" w:lineRule="exact"/>
              <w:rPr>
                <w:sz w:val="20"/>
                <w:szCs w:val="20"/>
                <w:color w:val="auto"/>
              </w:rPr>
            </w:pPr>
            <w:r>
              <w:rPr>
                <w:rFonts w:ascii="Arial" w:cs="Arial" w:eastAsia="Arial" w:hAnsi="Arial"/>
                <w:sz w:val="18"/>
                <w:szCs w:val="18"/>
                <w:color w:val="auto"/>
              </w:rPr>
              <w:t>Future Benefit Obligation Under Defined Benefit Pension and</w:t>
            </w:r>
          </w:p>
        </w:tc>
        <w:tc>
          <w:tcPr>
            <w:tcW w:w="2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Other Postretirement Benefit Plans</w:t>
            </w: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$230.8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Retirement Obligation</w:t>
            </w:r>
          </w:p>
        </w:tc>
        <w:tc>
          <w:tcPr>
            <w:tcW w:w="2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44.5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Other Non-Current Liabilities</w:t>
            </w:r>
          </w:p>
        </w:tc>
        <w:tc>
          <w:tcPr>
            <w:tcW w:w="24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$324.0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7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2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Interest – Net of Amounts Capitalized</w:t>
            </w:r>
          </w:p>
        </w:tc>
        <w:tc>
          <w:tcPr>
            <w:tcW w:w="2460" w:type="dxa"/>
            <w:vAlign w:val="bottom"/>
          </w:tcPr>
          <w:p>
            <w:pPr>
              <w:jc w:val="right"/>
              <w:ind w:right="110"/>
              <w:spacing w:after="0"/>
              <w:rPr>
                <w:sz w:val="20"/>
                <w:szCs w:val="20"/>
                <w:color w:val="auto"/>
              </w:rPr>
            </w:pPr>
            <w:r>
              <w:rPr>
                <w:rFonts w:ascii="Arial" w:cs="Arial" w:eastAsia="Arial" w:hAnsi="Arial"/>
                <w:sz w:val="18"/>
                <w:szCs w:val="18"/>
                <w:color w:val="auto"/>
              </w:rPr>
              <w:t>$16.3</w:t>
            </w: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2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Change in Accounts Payable for Capital Additions to Property Plant and Equipment</w:t>
            </w:r>
          </w:p>
        </w:tc>
        <w:tc>
          <w:tcPr>
            <w:tcW w:w="246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AFUDC – Equity</w:t>
            </w:r>
          </w:p>
        </w:tc>
        <w:tc>
          <w:tcPr>
            <w:tcW w:w="2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ALLETE Common Stock contributed to the Defined Benefit Pension Plan</w:t>
            </w:r>
          </w:p>
        </w:tc>
        <w:tc>
          <w:tcPr>
            <w:tcW w:w="2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In February 2010, the FASB issued amended guidance that eliminates the requirement to disclose the date through which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events have been evaluated. The amended guidance was adopted and effective during the first quarter of 2010, and did not have an impact on our consolidated financial position, results of operations or cash flows.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In March 2010, the FASB issued new guidance on the accounting for credit derivatives that are embedded</w:t>
      </w:r>
      <w:r>
        <w:rPr>
          <w:rFonts w:ascii="Arial" w:cs="Arial" w:eastAsia="Arial" w:hAnsi="Arial"/>
          <w:sz w:val="18"/>
          <w:szCs w:val="18"/>
          <w:b w:val="1"/>
          <w:bCs w:val="1"/>
          <w:color w:val="auto"/>
        </w:rPr>
        <w:t xml:space="preserve"> </w:t>
      </w:r>
      <w:r>
        <w:rPr>
          <w:rFonts w:ascii="Arial" w:cs="Arial" w:eastAsia="Arial" w:hAnsi="Arial"/>
          <w:sz w:val="18"/>
          <w:szCs w:val="18"/>
          <w:color w:val="auto"/>
        </w:rPr>
        <w:t>in beneficial interests in securitized financial assets. This new guidance eliminated the scope exception for embedded credit derivatives and provided new guidance on the evaluation to be performed. This guidance was effective June 15, 2010. As of June 30, 2010, we did not have any embedded credit derivatives.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In January 2010, the FASB issued an amendment to the fair value measurement and disclosure standard improving disclosures about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measurements. This amended guidance requires separate disclosure of significant transfers in and out of Levels 1 and 2 and the reasons for the transfers. The amended guidance also requires that in the Level 3 reconciliation, the information about purchases, sales, issuances, and settlements be disclosed separately on a gross basis rather than as one net number. The guidance for the Level 1 and 2 disclosures was adopted January 1, 2010, and did not have an impact on our consolidated financial position, results of operations or cash flows. The guidance for the activity in Level 3 disclosures is effective January 1, 2011, and is not expected to have an impact on our consolidated financial position, results of operations or cash flows as the amended guidance provides only disclosure requirements.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Variable Interest Entities (VIEs). </w:t>
      </w:r>
      <w:r>
        <w:rPr>
          <w:rFonts w:ascii="Arial" w:cs="Arial" w:eastAsia="Arial" w:hAnsi="Arial"/>
          <w:sz w:val="18"/>
          <w:szCs w:val="18"/>
          <w:color w:val="auto"/>
        </w:rPr>
        <w:t>In June 2009, the FASB issued authoritative guidance changing the approach to determine a VIE’s primary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and requiring ongoing assessments of whether an enterprise is the primary beneficiary of a VIE. This guidance also requires additional disclosures about a company’s involvement with VIEs and any significant changes in risk exposure due to that involvement. This guidance was adopted January 1, 2010, and did not have an impact on our consolidated financial position, results of operations or cash flows.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investment. This segment also includes a small amount of non-rate base generation, approximately 7,000 acres of land available-for-sale in Minnesota, and earnings on cash and investments.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6"/>
              </w:rPr>
              <w:t>Regulated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Consolidated Operations</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For the Quarter Ended June 30, 2010</w:t>
            </w: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2940" w:type="dxa"/>
            <w:vAlign w:val="bottom"/>
          </w:tcPr>
          <w:p>
            <w:pPr>
              <w:jc w:val="right"/>
              <w:spacing w:after="0"/>
              <w:rPr>
                <w:sz w:val="20"/>
                <w:szCs w:val="20"/>
                <w:color w:val="auto"/>
              </w:rPr>
            </w:pPr>
            <w:r>
              <w:rPr>
                <w:rFonts w:ascii="Arial" w:cs="Arial" w:eastAsia="Arial" w:hAnsi="Arial"/>
                <w:sz w:val="18"/>
                <w:szCs w:val="18"/>
                <w:color w:val="auto"/>
              </w:rPr>
              <w:t>74.3</w:t>
            </w:r>
          </w:p>
        </w:tc>
        <w:tc>
          <w:tcPr>
            <w:tcW w:w="1000" w:type="dxa"/>
            <w:vAlign w:val="bottom"/>
          </w:tcPr>
          <w:p>
            <w:pPr>
              <w:jc w:val="right"/>
              <w:spacing w:after="0"/>
              <w:rPr>
                <w:sz w:val="20"/>
                <w:szCs w:val="20"/>
                <w:color w:val="auto"/>
              </w:rPr>
            </w:pPr>
            <w:r>
              <w:rPr>
                <w:rFonts w:ascii="Arial" w:cs="Arial" w:eastAsia="Arial" w:hAnsi="Arial"/>
                <w:sz w:val="18"/>
                <w:szCs w:val="18"/>
                <w:color w:val="auto"/>
              </w:rPr>
              <w:t>74.3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Expense</w:t>
            </w:r>
          </w:p>
        </w:tc>
        <w:tc>
          <w:tcPr>
            <w:tcW w:w="2940" w:type="dxa"/>
            <w:vAlign w:val="bottom"/>
          </w:tcPr>
          <w:p>
            <w:pPr>
              <w:jc w:val="right"/>
              <w:spacing w:after="0"/>
              <w:rPr>
                <w:sz w:val="20"/>
                <w:szCs w:val="20"/>
                <w:color w:val="auto"/>
              </w:rPr>
            </w:pPr>
            <w:r>
              <w:rPr>
                <w:rFonts w:ascii="Arial" w:cs="Arial" w:eastAsia="Arial" w:hAnsi="Arial"/>
                <w:sz w:val="18"/>
                <w:szCs w:val="18"/>
                <w:color w:val="auto"/>
              </w:rPr>
              <w:t>(9.5)</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Income (Loss) Before Non-Controlling Interest and Income</w:t>
            </w:r>
          </w:p>
        </w:tc>
        <w:tc>
          <w:tcPr>
            <w:tcW w:w="2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Attributable to ALLETE</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6"/>
              </w:rPr>
              <w:t>Regulated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Investments</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Consolidated Operations</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For the Quarter Ended June 30, 2009</w:t>
            </w: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Year Rate Refunds</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Revenue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2700" w:type="dxa"/>
            <w:vAlign w:val="bottom"/>
          </w:tcPr>
          <w:p>
            <w:pPr>
              <w:jc w:val="right"/>
              <w:spacing w:after="0"/>
              <w:rPr>
                <w:sz w:val="20"/>
                <w:szCs w:val="20"/>
                <w:color w:val="auto"/>
              </w:rPr>
            </w:pPr>
            <w:r>
              <w:rPr>
                <w:rFonts w:ascii="Arial" w:cs="Arial" w:eastAsia="Arial" w:hAnsi="Arial"/>
                <w:sz w:val="18"/>
                <w:szCs w:val="18"/>
                <w:color w:val="auto"/>
              </w:rPr>
              <w:t>56.8</w:t>
            </w: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Interest Expense</w:t>
            </w:r>
          </w:p>
        </w:tc>
        <w:tc>
          <w:tcPr>
            <w:tcW w:w="2700" w:type="dxa"/>
            <w:vAlign w:val="bottom"/>
          </w:tcPr>
          <w:p>
            <w:pPr>
              <w:jc w:val="right"/>
              <w:spacing w:after="0"/>
              <w:rPr>
                <w:sz w:val="20"/>
                <w:szCs w:val="20"/>
                <w:color w:val="auto"/>
              </w:rPr>
            </w:pPr>
            <w:r>
              <w:rPr>
                <w:rFonts w:ascii="Arial" w:cs="Arial" w:eastAsia="Arial" w:hAnsi="Arial"/>
                <w:sz w:val="18"/>
                <w:szCs w:val="18"/>
                <w:color w:val="auto"/>
              </w:rPr>
              <w:t>(8.4)</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Non-Controlling Interest and Income Taxes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ALLETE</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6"/>
              </w:rPr>
              <w:t>Regulated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Consolidated Operations</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2010</w:t>
            </w: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2940" w:type="dxa"/>
            <w:vAlign w:val="bottom"/>
          </w:tcPr>
          <w:p>
            <w:pPr>
              <w:jc w:val="right"/>
              <w:spacing w:after="0"/>
              <w:rPr>
                <w:sz w:val="20"/>
                <w:szCs w:val="20"/>
                <w:color w:val="auto"/>
              </w:rPr>
            </w:pPr>
            <w:r>
              <w:rPr>
                <w:rFonts w:ascii="Arial" w:cs="Arial" w:eastAsia="Arial" w:hAnsi="Arial"/>
                <w:sz w:val="18"/>
                <w:szCs w:val="18"/>
                <w:color w:val="auto"/>
              </w:rPr>
              <w:t>154.1</w:t>
            </w:r>
          </w:p>
        </w:tc>
        <w:tc>
          <w:tcPr>
            <w:tcW w:w="1000" w:type="dxa"/>
            <w:vAlign w:val="bottom"/>
          </w:tcPr>
          <w:p>
            <w:pPr>
              <w:jc w:val="right"/>
              <w:spacing w:after="0"/>
              <w:rPr>
                <w:sz w:val="20"/>
                <w:szCs w:val="20"/>
                <w:color w:val="auto"/>
              </w:rPr>
            </w:pPr>
            <w:r>
              <w:rPr>
                <w:rFonts w:ascii="Arial" w:cs="Arial" w:eastAsia="Arial" w:hAnsi="Arial"/>
                <w:sz w:val="18"/>
                <w:szCs w:val="18"/>
                <w:color w:val="auto"/>
              </w:rPr>
              <w:t>154.1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Expense</w:t>
            </w:r>
          </w:p>
        </w:tc>
        <w:tc>
          <w:tcPr>
            <w:tcW w:w="2940" w:type="dxa"/>
            <w:vAlign w:val="bottom"/>
          </w:tcPr>
          <w:p>
            <w:pPr>
              <w:jc w:val="right"/>
              <w:spacing w:after="0"/>
              <w:rPr>
                <w:sz w:val="20"/>
                <w:szCs w:val="20"/>
                <w:color w:val="auto"/>
              </w:rPr>
            </w:pPr>
            <w:r>
              <w:rPr>
                <w:rFonts w:ascii="Arial" w:cs="Arial" w:eastAsia="Arial" w:hAnsi="Arial"/>
                <w:sz w:val="18"/>
                <w:szCs w:val="18"/>
                <w:color w:val="auto"/>
              </w:rPr>
              <w:t>(18.4)</w:t>
            </w: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Income (Loss) Before Non-Controlling Interest and Income</w:t>
            </w:r>
          </w:p>
        </w:tc>
        <w:tc>
          <w:tcPr>
            <w:tcW w:w="2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ALLETE</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2010</w:t>
            </w:r>
          </w:p>
        </w:tc>
        <w:tc>
          <w:tcPr>
            <w:tcW w:w="2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Total Assets</w:t>
            </w:r>
          </w:p>
        </w:tc>
        <w:tc>
          <w:tcPr>
            <w:tcW w:w="2940" w:type="dxa"/>
            <w:vAlign w:val="bottom"/>
          </w:tcPr>
          <w:p>
            <w:pPr>
              <w:jc w:val="right"/>
              <w:spacing w:after="0"/>
              <w:rPr>
                <w:sz w:val="20"/>
                <w:szCs w:val="20"/>
                <w:color w:val="auto"/>
              </w:rPr>
            </w:pPr>
            <w:r>
              <w:rPr>
                <w:rFonts w:ascii="Arial" w:cs="Arial" w:eastAsia="Arial" w:hAnsi="Arial"/>
                <w:sz w:val="18"/>
                <w:szCs w:val="18"/>
                <w:color w:val="auto"/>
              </w:rPr>
              <w:t>$2,447.8</w:t>
            </w:r>
          </w:p>
        </w:tc>
        <w:tc>
          <w:tcPr>
            <w:tcW w:w="1000" w:type="dxa"/>
            <w:vAlign w:val="bottom"/>
          </w:tcPr>
          <w:p>
            <w:pPr>
              <w:jc w:val="right"/>
              <w:spacing w:after="0"/>
              <w:rPr>
                <w:sz w:val="20"/>
                <w:szCs w:val="20"/>
                <w:color w:val="auto"/>
              </w:rPr>
            </w:pPr>
            <w:r>
              <w:rPr>
                <w:rFonts w:ascii="Arial" w:cs="Arial" w:eastAsia="Arial" w:hAnsi="Arial"/>
                <w:sz w:val="18"/>
                <w:szCs w:val="18"/>
                <w:color w:val="auto"/>
              </w:rPr>
              <w:t>$2,211.2</w:t>
            </w:r>
          </w:p>
        </w:tc>
        <w:tc>
          <w:tcPr>
            <w:tcW w:w="1000" w:type="dxa"/>
            <w:vAlign w:val="bottom"/>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$1,007.5</w:t>
            </w:r>
          </w:p>
        </w:tc>
        <w:tc>
          <w:tcPr>
            <w:tcW w:w="1000" w:type="dxa"/>
            <w:vAlign w:val="bottom"/>
          </w:tcPr>
          <w:p>
            <w:pPr>
              <w:jc w:val="right"/>
              <w:spacing w:after="0"/>
              <w:rPr>
                <w:sz w:val="20"/>
                <w:szCs w:val="20"/>
                <w:color w:val="auto"/>
              </w:rPr>
            </w:pPr>
            <w:r>
              <w:rPr>
                <w:rFonts w:ascii="Arial" w:cs="Arial" w:eastAsia="Arial" w:hAnsi="Arial"/>
                <w:sz w:val="18"/>
                <w:szCs w:val="18"/>
                <w:color w:val="auto"/>
              </w:rPr>
              <w:t>$959.4</w:t>
            </w:r>
          </w:p>
        </w:tc>
        <w:tc>
          <w:tcPr>
            <w:tcW w:w="1000" w:type="dxa"/>
            <w:vAlign w:val="bottom"/>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Capital Additions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6"/>
              </w:rPr>
              <w:t>Regulated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Consolidated Operations</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2009</w:t>
            </w: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Year Rate Refunds</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Revenue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2700" w:type="dxa"/>
            <w:vAlign w:val="bottom"/>
          </w:tcPr>
          <w:p>
            <w:pPr>
              <w:jc w:val="right"/>
              <w:spacing w:after="0"/>
              <w:rPr>
                <w:sz w:val="20"/>
                <w:szCs w:val="20"/>
                <w:color w:val="auto"/>
              </w:rPr>
            </w:pPr>
            <w:r>
              <w:rPr>
                <w:rFonts w:ascii="Arial" w:cs="Arial" w:eastAsia="Arial" w:hAnsi="Arial"/>
                <w:sz w:val="18"/>
                <w:szCs w:val="18"/>
                <w:color w:val="auto"/>
              </w:rPr>
              <w:t>129.6</w:t>
            </w:r>
          </w:p>
        </w:tc>
        <w:tc>
          <w:tcPr>
            <w:tcW w:w="1000" w:type="dxa"/>
            <w:vAlign w:val="bottom"/>
          </w:tcPr>
          <w:p>
            <w:pPr>
              <w:jc w:val="right"/>
              <w:spacing w:after="0"/>
              <w:rPr>
                <w:sz w:val="20"/>
                <w:szCs w:val="20"/>
                <w:color w:val="auto"/>
              </w:rPr>
            </w:pPr>
            <w:r>
              <w:rPr>
                <w:rFonts w:ascii="Arial" w:cs="Arial" w:eastAsia="Arial" w:hAnsi="Arial"/>
                <w:sz w:val="18"/>
                <w:szCs w:val="18"/>
                <w:color w:val="auto"/>
              </w:rPr>
              <w:t>129.6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Interest Expense</w:t>
            </w:r>
          </w:p>
        </w:tc>
        <w:tc>
          <w:tcPr>
            <w:tcW w:w="2700" w:type="dxa"/>
            <w:vAlign w:val="bottom"/>
          </w:tcPr>
          <w:p>
            <w:pPr>
              <w:jc w:val="right"/>
              <w:spacing w:after="0"/>
              <w:rPr>
                <w:sz w:val="20"/>
                <w:szCs w:val="20"/>
                <w:color w:val="auto"/>
              </w:rPr>
            </w:pPr>
            <w:r>
              <w:rPr>
                <w:rFonts w:ascii="Arial" w:cs="Arial" w:eastAsia="Arial" w:hAnsi="Arial"/>
                <w:sz w:val="18"/>
                <w:szCs w:val="18"/>
                <w:color w:val="auto"/>
              </w:rPr>
              <w:t>(17.1)</w:t>
            </w: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Non-Controlling Interest and Income Taxes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ALLETE</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2009</w:t>
            </w:r>
          </w:p>
        </w:tc>
        <w:tc>
          <w:tcPr>
            <w:tcW w:w="2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 Assets</w:t>
            </w:r>
          </w:p>
        </w:tc>
        <w:tc>
          <w:tcPr>
            <w:tcW w:w="2700" w:type="dxa"/>
            <w:vAlign w:val="bottom"/>
          </w:tcPr>
          <w:p>
            <w:pPr>
              <w:jc w:val="right"/>
              <w:spacing w:after="0"/>
              <w:rPr>
                <w:sz w:val="20"/>
                <w:szCs w:val="20"/>
                <w:color w:val="auto"/>
              </w:rPr>
            </w:pPr>
            <w:r>
              <w:rPr>
                <w:rFonts w:ascii="Arial" w:cs="Arial" w:eastAsia="Arial" w:hAnsi="Arial"/>
                <w:sz w:val="18"/>
                <w:szCs w:val="18"/>
                <w:color w:val="auto"/>
              </w:rPr>
              <w:t>$2,217.6</w:t>
            </w:r>
          </w:p>
        </w:tc>
        <w:tc>
          <w:tcPr>
            <w:tcW w:w="1000" w:type="dxa"/>
            <w:vAlign w:val="bottom"/>
          </w:tcPr>
          <w:p>
            <w:pPr>
              <w:jc w:val="right"/>
              <w:spacing w:after="0"/>
              <w:rPr>
                <w:sz w:val="20"/>
                <w:szCs w:val="20"/>
                <w:color w:val="auto"/>
              </w:rPr>
            </w:pPr>
            <w:r>
              <w:rPr>
                <w:rFonts w:ascii="Arial" w:cs="Arial" w:eastAsia="Arial" w:hAnsi="Arial"/>
                <w:sz w:val="18"/>
                <w:szCs w:val="18"/>
                <w:color w:val="auto"/>
              </w:rPr>
              <w:t>$1,947.6</w:t>
            </w:r>
          </w:p>
        </w:tc>
        <w:tc>
          <w:tcPr>
            <w:tcW w:w="1000" w:type="dxa"/>
            <w:vAlign w:val="bottom"/>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700" w:type="dxa"/>
            <w:vAlign w:val="bottom"/>
          </w:tcPr>
          <w:p>
            <w:pPr>
              <w:jc w:val="right"/>
              <w:spacing w:after="0"/>
              <w:rPr>
                <w:sz w:val="20"/>
                <w:szCs w:val="20"/>
                <w:color w:val="auto"/>
              </w:rPr>
            </w:pPr>
            <w:r>
              <w:rPr>
                <w:rFonts w:ascii="Arial" w:cs="Arial" w:eastAsia="Arial" w:hAnsi="Arial"/>
                <w:sz w:val="18"/>
                <w:szCs w:val="18"/>
                <w:color w:val="auto"/>
              </w:rPr>
              <w:t>$875.2</w:t>
            </w:r>
          </w:p>
        </w:tc>
        <w:tc>
          <w:tcPr>
            <w:tcW w:w="1000" w:type="dxa"/>
            <w:vAlign w:val="bottom"/>
          </w:tcPr>
          <w:p>
            <w:pPr>
              <w:jc w:val="right"/>
              <w:spacing w:after="0"/>
              <w:rPr>
                <w:sz w:val="20"/>
                <w:szCs w:val="20"/>
                <w:color w:val="auto"/>
              </w:rPr>
            </w:pPr>
            <w:r>
              <w:rPr>
                <w:rFonts w:ascii="Arial" w:cs="Arial" w:eastAsia="Arial" w:hAnsi="Arial"/>
                <w:sz w:val="18"/>
                <w:szCs w:val="18"/>
                <w:color w:val="auto"/>
              </w:rPr>
              <w:t>$824.5</w:t>
            </w:r>
          </w:p>
        </w:tc>
        <w:tc>
          <w:tcPr>
            <w:tcW w:w="1000" w:type="dxa"/>
            <w:vAlign w:val="bottom"/>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Capital Additions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INVESTMENTS</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to fund employee benefits, ARS, and land held-for-sale in Minnesota.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4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Investments</w:t>
            </w:r>
          </w:p>
        </w:tc>
        <w:tc>
          <w:tcPr>
            <w:tcW w:w="4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ALLETE Properties</w:t>
            </w:r>
          </w:p>
        </w:tc>
        <w:tc>
          <w:tcPr>
            <w:tcW w:w="4480" w:type="dxa"/>
            <w:vAlign w:val="bottom"/>
          </w:tcPr>
          <w:p>
            <w:pPr>
              <w:jc w:val="right"/>
              <w:ind w:right="230"/>
              <w:spacing w:after="0"/>
              <w:rPr>
                <w:sz w:val="20"/>
                <w:szCs w:val="20"/>
                <w:color w:val="auto"/>
              </w:rPr>
            </w:pPr>
            <w:r>
              <w:rPr>
                <w:rFonts w:ascii="Arial" w:cs="Arial" w:eastAsia="Arial" w:hAnsi="Arial"/>
                <w:sz w:val="18"/>
                <w:szCs w:val="18"/>
                <w:color w:val="auto"/>
              </w:rPr>
              <w:t>$95.0</w:t>
            </w:r>
          </w:p>
        </w:tc>
        <w:tc>
          <w:tcPr>
            <w:tcW w:w="1360" w:type="dxa"/>
            <w:vAlign w:val="bottom"/>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Investments</w:t>
            </w:r>
          </w:p>
        </w:tc>
        <w:tc>
          <w:tcPr>
            <w:tcW w:w="4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$131.6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35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ALLETE Properties</w:t>
            </w:r>
          </w:p>
        </w:tc>
        <w:tc>
          <w:tcPr>
            <w:tcW w:w="3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Land Held-for-sale Beginning Balance</w:t>
            </w:r>
          </w:p>
        </w:tc>
        <w:tc>
          <w:tcPr>
            <w:tcW w:w="3500" w:type="dxa"/>
            <w:vAlign w:val="bottom"/>
          </w:tcPr>
          <w:p>
            <w:pPr>
              <w:jc w:val="right"/>
              <w:ind w:right="250"/>
              <w:spacing w:after="0"/>
              <w:rPr>
                <w:sz w:val="20"/>
                <w:szCs w:val="20"/>
                <w:color w:val="auto"/>
              </w:rPr>
            </w:pPr>
            <w:r>
              <w:rPr>
                <w:rFonts w:ascii="Arial" w:cs="Arial" w:eastAsia="Arial" w:hAnsi="Arial"/>
                <w:sz w:val="18"/>
                <w:szCs w:val="18"/>
                <w:color w:val="auto"/>
              </w:rPr>
              <w:t>$74.9</w:t>
            </w:r>
          </w:p>
        </w:tc>
        <w:tc>
          <w:tcPr>
            <w:tcW w:w="1380" w:type="dxa"/>
            <w:vAlign w:val="bottom"/>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during period:</w:t>
            </w:r>
          </w:p>
        </w:tc>
        <w:tc>
          <w:tcPr>
            <w:tcW w:w="3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640"/>
              <w:spacing w:after="0"/>
              <w:rPr>
                <w:sz w:val="20"/>
                <w:szCs w:val="20"/>
                <w:color w:val="auto"/>
              </w:rPr>
            </w:pPr>
            <w:r>
              <w:rPr>
                <w:rFonts w:ascii="Arial" w:cs="Arial" w:eastAsia="Arial" w:hAnsi="Arial"/>
                <w:sz w:val="18"/>
                <w:szCs w:val="18"/>
                <w:color w:val="auto"/>
              </w:rPr>
              <w:t xml:space="preserve">Deeds to Collateralized Property </w:t>
            </w:r>
            <w:r>
              <w:rPr>
                <w:rFonts w:ascii="Arial" w:cs="Arial" w:eastAsia="Arial" w:hAnsi="Arial"/>
                <w:sz w:val="18"/>
                <w:szCs w:val="18"/>
                <w:i w:val="1"/>
                <w:iCs w:val="1"/>
                <w:color w:val="auto"/>
              </w:rPr>
              <w:t>(a)</w:t>
            </w:r>
          </w:p>
        </w:tc>
        <w:tc>
          <w:tcPr>
            <w:tcW w:w="3500" w:type="dxa"/>
            <w:vAlign w:val="bottom"/>
          </w:tcPr>
          <w:p>
            <w:pPr>
              <w:jc w:val="right"/>
              <w:ind w:right="250"/>
              <w:spacing w:after="0"/>
              <w:rPr>
                <w:sz w:val="20"/>
                <w:szCs w:val="20"/>
                <w:color w:val="auto"/>
              </w:rPr>
            </w:pPr>
            <w:r>
              <w:rPr>
                <w:rFonts w:ascii="Arial" w:cs="Arial" w:eastAsia="Arial" w:hAnsi="Arial"/>
                <w:sz w:val="18"/>
                <w:szCs w:val="18"/>
                <w:color w:val="auto"/>
              </w:rPr>
              <w:t>9.9</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Capitalized Improvements and Other</w:t>
            </w:r>
          </w:p>
        </w:tc>
        <w:tc>
          <w:tcPr>
            <w:tcW w:w="3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Deductions during period: Cost of Real Estate Sold</w:t>
            </w:r>
          </w:p>
        </w:tc>
        <w:tc>
          <w:tcPr>
            <w:tcW w:w="3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Land Held-for-sale Ending Balance</w:t>
            </w:r>
          </w:p>
        </w:tc>
        <w:tc>
          <w:tcPr>
            <w:tcW w:w="3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85.2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Long-Term Finance Receivables</w:t>
            </w:r>
          </w:p>
        </w:tc>
        <w:tc>
          <w:tcPr>
            <w:tcW w:w="350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38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Real Estate Assets</w:t>
            </w:r>
          </w:p>
        </w:tc>
        <w:tc>
          <w:tcPr>
            <w:tcW w:w="3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$95.0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left="340" w:hanging="308"/>
        <w:spacing w:after="0" w:line="277"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deeds to collateralized property resulted primarily from an entity which filed for voluntary Chapter 11 bankruptcy and are recorded net of estimated selling costs.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Land Held-for-sale. </w:t>
      </w:r>
      <w:r>
        <w:rPr>
          <w:rFonts w:ascii="Arial" w:cs="Arial" w:eastAsia="Arial" w:hAnsi="Arial"/>
          <w:sz w:val="18"/>
          <w:szCs w:val="18"/>
          <w:color w:val="auto"/>
        </w:rPr>
        <w:t>Land held-for-sale is recorded at the lower of cost or fair value determined by the evaluation of individual land parcels. Land values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for impairment and no impairments were recorded for the six months ended June 30, 2010 (none in 2009).</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Long-Term Finance Receivables</w:t>
      </w:r>
      <w:r>
        <w:rPr>
          <w:rFonts w:ascii="Arial" w:cs="Arial" w:eastAsia="Arial" w:hAnsi="Arial"/>
          <w:sz w:val="17"/>
          <w:szCs w:val="17"/>
          <w:color w:val="auto"/>
        </w:rPr>
        <w:t>. Long-term finance receivables, which are collateralized by property sold, accrue interest at market-based rates and are net of</w:t>
      </w:r>
      <w:r>
        <w:rPr>
          <w:rFonts w:ascii="Arial" w:cs="Arial" w:eastAsia="Arial" w:hAnsi="Arial"/>
          <w:sz w:val="17"/>
          <w:szCs w:val="17"/>
          <w:i w:val="1"/>
          <w:iCs w:val="1"/>
          <w:color w:val="auto"/>
        </w:rPr>
        <w:t xml:space="preserve"> </w:t>
      </w:r>
      <w:r>
        <w:rPr>
          <w:rFonts w:ascii="Arial" w:cs="Arial" w:eastAsia="Arial" w:hAnsi="Arial"/>
          <w:sz w:val="17"/>
          <w:szCs w:val="17"/>
          <w:color w:val="auto"/>
        </w:rPr>
        <w:t>an allowance for doubtful accounts. There was no allowance for doubtful accounts as of June 30, 2010 ($0.4 million as of December 31, 2009). The receivables have maturities up to three years and no impairment was recorded during the six months ended June 30, 2010 (none in 2009).</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quarter ended June 30, 2010, we received deeds in lieu of foreclosure to properties which had been sold in multiple transactions over various years to one purchaser. The properties were sold with seller financing, of which $7.0 million remained due and owing from a purchaser that filed for voluntary Chapter 11 bankruptcy protection in June 2009. The bankruptcy trustee approved the transfer of the properties back to ALLETE Properties in satisfaction of the amount owed. The fair value of the properties received net of selling expenses was $8.8 million. The receipt of properties resulted in a pre-tax gain of $0.7 million after reflecting other liabilities assumed and non-controlling interest.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Auction Rate Securities. </w:t>
      </w:r>
      <w:r>
        <w:rPr>
          <w:rFonts w:ascii="Arial" w:cs="Arial" w:eastAsia="Arial" w:hAnsi="Arial"/>
          <w:sz w:val="18"/>
          <w:szCs w:val="18"/>
          <w:color w:val="auto"/>
        </w:rPr>
        <w:t>Included in Available-for-sale Securities as of June 30, 2010, is an auction rate municipal bond of $6.7 million ($6.7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2009) with a stated maturity date of March 1, 2024. Our ARS consist of guaranteed student loans insured or reinsured by the federal government. ARS were historically auctioned every 35 days to set new rates and provided a liquidating event in which investors could either buy or sell securities. Since 2008, the auctions for ARS have been unable to sustain themselves due to the overall lack of market liquidity and we have been unable to liquidate all of our ARS. As a result, we have classified our ARS as long-term investments and have the ability to hold these securities to maturity, until called by the iss uer, or until liquidity returns to this market. We anticipate our ARS will be redeemed in 2010 at par; however, the investment remains classified as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 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our 2009 Form 10-K.</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set forth by level within the fair value hierarchy our assets and liabilities that were accounted for at fair value on a recurring basis as of June 30, 2010, and December 31, 2009.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98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Fair Value as of June 30,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2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Level 2</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Level 3</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 Mutual Funds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Debt Securities Issued by States of the United States (ARS)</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Money Market Funds</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Assets</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Compensation</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Liabilities</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Fair Value of Assets (Liabilities)</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9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Fair Value as of December 31,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2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Level 2</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Level 3</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 Mutual Funds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Debt Securities Issued by States of the United States (ARS)</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Derivatives - Financial Transmission Rights</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Assets</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Liabilities</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Fair Value of Assets (Liabilities)</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FAIR VALUE (Continued)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Debt Securities Issued by</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w:t>
            </w:r>
          </w:p>
        </w:tc>
        <w:tc>
          <w:tcPr>
            <w:tcW w:w="2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States of the United States</w:t>
            </w:r>
          </w:p>
        </w:tc>
      </w:tr>
      <w:tr>
        <w:trPr>
          <w:trHeight w:val="241"/>
        </w:trPr>
        <w:tc>
          <w:tcPr>
            <w:tcW w:w="20" w:type="dxa"/>
            <w:vAlign w:val="bottom"/>
          </w:tcPr>
          <w:p>
            <w:pPr>
              <w:spacing w:after="0"/>
              <w:rPr>
                <w:sz w:val="20"/>
                <w:szCs w:val="20"/>
                <w:color w:val="auto"/>
              </w:rPr>
            </w:pPr>
          </w:p>
        </w:tc>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Activity in Level 3</w:t>
            </w:r>
          </w:p>
        </w:tc>
        <w:tc>
          <w:tcPr>
            <w:tcW w:w="25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Derivatives</w:t>
            </w:r>
          </w:p>
        </w:tc>
        <w:tc>
          <w:tcPr>
            <w:tcW w:w="144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b w:val="1"/>
                <w:bCs w:val="1"/>
                <w:color w:val="auto"/>
                <w:w w:val="95"/>
              </w:rPr>
              <w:t>(ARS)</w:t>
            </w:r>
          </w:p>
        </w:tc>
        <w:tc>
          <w:tcPr>
            <w:tcW w:w="640" w:type="dxa"/>
            <w:vAlign w:val="bottom"/>
            <w:tcBorders>
              <w:bottom w:val="single" w:sz="8" w:color="auto"/>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 and December 31, 2008, respectively</w:t>
            </w: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$6.7</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Purchases, Sales, Issuances and Settlements, Net</w:t>
            </w:r>
          </w:p>
        </w:tc>
        <w:tc>
          <w:tcPr>
            <w:tcW w:w="2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June 30, 2010 and June 30, 2009, respectively</w:t>
            </w: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$6.7</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recognize transfers in and transfers out as of the actual date of the event or change in circumstances that caused the transfer. For the six months ended June 30, 2010 and 2009, there were no transfers in or out of Levels 1, 2 or 3.</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items listed below, the estimated fair value of all financial instruments approximates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amount. The fair value for the items below was based on quoted market prices for the same or similar instruments.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Instruments</w:t>
            </w:r>
          </w:p>
        </w:tc>
        <w:tc>
          <w:tcPr>
            <w:tcW w:w="40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Carrying Amount</w:t>
            </w:r>
          </w:p>
        </w:tc>
        <w:tc>
          <w:tcPr>
            <w:tcW w:w="2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40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June 30, 2010</w:t>
            </w:r>
          </w:p>
        </w:tc>
        <w:tc>
          <w:tcPr>
            <w:tcW w:w="4080" w:type="dxa"/>
            <w:vAlign w:val="bottom"/>
          </w:tcPr>
          <w:p>
            <w:pPr>
              <w:jc w:val="right"/>
              <w:ind w:right="850"/>
              <w:spacing w:after="0"/>
              <w:rPr>
                <w:sz w:val="20"/>
                <w:szCs w:val="20"/>
                <w:color w:val="auto"/>
              </w:rPr>
            </w:pPr>
            <w:r>
              <w:rPr>
                <w:rFonts w:ascii="Arial" w:cs="Arial" w:eastAsia="Arial" w:hAnsi="Arial"/>
                <w:sz w:val="18"/>
                <w:szCs w:val="18"/>
                <w:color w:val="auto"/>
              </w:rPr>
              <w:t>$711.2</w:t>
            </w: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$767.3</w:t>
            </w: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December 31, 2009</w:t>
            </w:r>
          </w:p>
        </w:tc>
        <w:tc>
          <w:tcPr>
            <w:tcW w:w="408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$701.0</w:t>
            </w:r>
          </w:p>
        </w:tc>
        <w:tc>
          <w:tcPr>
            <w:tcW w:w="200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$734.8</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REGULATORY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5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2010 Rate Case. </w:t>
      </w:r>
      <w:r>
        <w:rPr>
          <w:rFonts w:ascii="Arial" w:cs="Arial" w:eastAsia="Arial" w:hAnsi="Arial"/>
          <w:sz w:val="16"/>
          <w:szCs w:val="16"/>
          <w:color w:val="auto"/>
        </w:rPr>
        <w:t>On November 2, 2009, Minnesota Power filed a retail rate increase request for additional revenues to recover the costs of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to ensure current and future system reliability, enhance environmental performance and bring new renewable energy to northeastern Minnesota. This retail rate request seeks a return on equity of 11.50 percent, a capital structure consisting of 54.29 percent equity and 45.71 percent debt, and on an annualized basis, an $81.0 million net increase in electric retail revenue, which was subsequently reduced to $72 million as discussed below.</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law allows the collection of interim rates while the MPUC processes the rate filing. On December 30, 2009, the MPUC issued an Order (the Order) authorizing $48.5 million of Minnesota Power’s November 2, 2009, interim rate increase request of $73.0 million. Interim rates, which were implemented on January 1, 2010, are subject to refund pending the MPUC’s final rate order.</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MPUC cited exigent circumstances in reducing Minnesota Power’s interim rate request. Because the scope and depth of this reduction in interim rates was unprecedented, and because Minnesota law does not allow Minnesota Power to formally challenge the MPUC’s action until a final decision in the case is rendered, on January 6, 2010, Minnesota Power sent a letter to the MPUC expressing its concerns about the Order and requested that the MPUC reconsider its decision on its own motion. Minnesota Power described its belief that the MPUC’s decision violates the law by prejudging the merits of the rate request prior to an evidentiary hearing and results in the confiscation of utility property. Further, the Company is concerned that the decision will have negative consequences on the environmental policy directions of the S tate of Minnesota by denying recovery for statutory mandates during the pendency of the rate proceeding. The MPUC has not acted in response to Minnesota Power’s letter.</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rate case process requires public hearings and an evidentiary hearing before an Administrative Law Judge. The public hearings occurred in April 2010, and the evidentiary hearing occurred in May 2010. A report and recommendation from the Administrative Law Judge is scheduled to be issued in August 2010, with a final decision on the rate request expected in November 2010.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REGULATORY MATTERS (Continued)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April 29, 2010, rebuttal testimony filing, we lowered our initial retail rate increase request from $81 million to approximately $72 million due to adjustments for known and measurable events that have occurred since we originally filed. The largest of these adjustments relates to increased sales to our industrial customers. At the same time, we also lowered our return on equity request from 11.50 percent to 11.25 percent. Also, during the second quarter of 2010, we entered into a stipulation agreement with several rate case interveners on several issues. The stipulation agreement is non-binding on the MPUC and will be considered for approval in the normal course of this proceeding. We cannot predict the final level of rates that may be approved by the MPUC and we cannot predict whether a legal challenge to the MPUC’s inte rim rate decision will be forthcoming or successful.</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2008 Rate Case – Fuel and Purchase Power</w:t>
      </w:r>
      <w:r>
        <w:rPr>
          <w:rFonts w:ascii="Arial" w:cs="Arial" w:eastAsia="Arial" w:hAnsi="Arial"/>
          <w:sz w:val="17"/>
          <w:szCs w:val="17"/>
          <w:color w:val="auto"/>
        </w:rPr>
        <w:t>. In the final 2008 retail rate case order, the MPUC approved the stipulation and settlement agreement that</w:t>
      </w:r>
      <w:r>
        <w:rPr>
          <w:rFonts w:ascii="Arial" w:cs="Arial" w:eastAsia="Arial" w:hAnsi="Arial"/>
          <w:sz w:val="17"/>
          <w:szCs w:val="17"/>
          <w:i w:val="1"/>
          <w:iCs w:val="1"/>
          <w:color w:val="auto"/>
        </w:rPr>
        <w:t xml:space="preserve"> </w:t>
      </w:r>
      <w:r>
        <w:rPr>
          <w:rFonts w:ascii="Arial" w:cs="Arial" w:eastAsia="Arial" w:hAnsi="Arial"/>
          <w:sz w:val="17"/>
          <w:szCs w:val="17"/>
          <w:color w:val="auto"/>
        </w:rPr>
        <w:t>affirmed Minnesota Power’s continued recovery of fuel and purchased power costs under the former base cost of fuel that was in effect prior to the 2008 retail rate filing. The transition to the former base cost of fuel began with the implementation of final rates on November 1, 2009. Any revenue impact associated with this transition will be identified in a future filing related to Minnesota Power’s fuel clause operation.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Power’s non-affiliated municipal customers consist of 16 municipalities in Minnesota and 1 private utility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SWL&amp;P, a wholly-owned subsidiary of ALLETE, is also a private utility in Wisconsin and a customer of Minnesota Power. In 2008, Minnesota Power entered into new contracts that transitioned these customers to formula-based rates which expire December 31, 2013. Under the formula-based rates provision, wholesale rates are set at the beginning of the year based on expected costs and provide for a true-up calculation for actual costs. Wholesale rate increases of approximately $6 million and $7 million annually were implemented on February 1, 2009 and January 1, 2010, respectively. Revenues recorde d for the 2009 true-up provision resulted in additional accruals of $6.5 million at June 30, 2010, and are included in accounts receivable on our consolidated balance sheet.</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Wisconsin Rates. </w:t>
      </w:r>
      <w:r>
        <w:rPr>
          <w:rFonts w:ascii="Arial" w:cs="Arial" w:eastAsia="Arial" w:hAnsi="Arial"/>
          <w:sz w:val="17"/>
          <w:szCs w:val="17"/>
          <w:color w:val="auto"/>
        </w:rPr>
        <w:t>SWL&amp;P’s current retail rates are based on a 2008 PSCW retail rate order, effective January 1, 2009. On May 17, 2010, SWL&amp;P filed a rate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request with the PSCW seeking an average overall increase of 3.6 percent for retail customers (a 1.4 percent increase in electric rates, a 3.0 percent increase in natural gas rates, and a 17.9 percent increase in water rates). The rate filing seeks an overall return on equity of 11.3 percent, and a capital structure consisting of 56.9 percent equity and 43.1 percent debt. On an annualized basis, the requested rate increase would generate approximately $3 million in additional revenue. Evidentiary and public hearings are schedul ed to be held in September 2010. The Company anticipates new rates will take effect during the first quarter of 2011. We cannot predict the level of rates that may be approved by the PSCW.</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Deferred Regulatory Assets and Liabilities. </w:t>
      </w:r>
      <w:r>
        <w:rPr>
          <w:rFonts w:ascii="Arial" w:cs="Arial" w:eastAsia="Arial" w:hAnsi="Arial"/>
          <w:sz w:val="18"/>
          <w:szCs w:val="18"/>
          <w:color w:val="auto"/>
        </w:rPr>
        <w:t>Our regulated utility operations are subject to the accounting guidance for Regulated Operations. We capitalize</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costs as regulatory assets, which are probable of recovery in future utility rates. Regulatory liabilities represent amounts expected to be credited to customers in rates. No regulatory assets or liabilities are currently earning a return.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NOTE 5. REGULATORY MATTERS (Continued)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19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Deferred Regulatory Assets and Liabilities</w:t>
            </w:r>
          </w:p>
        </w:tc>
        <w:tc>
          <w:tcPr>
            <w:tcW w:w="2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Deferred Regulatory Assets</w:t>
            </w: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Future Benefit Obligations Under</w:t>
            </w:r>
          </w:p>
        </w:tc>
        <w:tc>
          <w:tcPr>
            <w:tcW w:w="2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Defined Benefit Pension and Other Postretirement Benefit Plans</w:t>
            </w:r>
          </w:p>
        </w:tc>
        <w:tc>
          <w:tcPr>
            <w:tcW w:w="2860" w:type="dxa"/>
            <w:vAlign w:val="bottom"/>
          </w:tcPr>
          <w:p>
            <w:pPr>
              <w:jc w:val="right"/>
              <w:ind w:right="470"/>
              <w:spacing w:after="0"/>
              <w:rPr>
                <w:sz w:val="20"/>
                <w:szCs w:val="20"/>
                <w:color w:val="auto"/>
              </w:rPr>
            </w:pPr>
            <w:r>
              <w:rPr>
                <w:rFonts w:ascii="Arial" w:cs="Arial" w:eastAsia="Arial" w:hAnsi="Arial"/>
                <w:sz w:val="18"/>
                <w:szCs w:val="18"/>
                <w:color w:val="auto"/>
              </w:rPr>
              <w:t>$229.8</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Boswell Unit 3 Environmental Rider </w:t>
            </w:r>
            <w:r>
              <w:rPr>
                <w:rFonts w:ascii="Arial" w:cs="Arial" w:eastAsia="Arial" w:hAnsi="Arial"/>
                <w:sz w:val="18"/>
                <w:szCs w:val="18"/>
                <w:i w:val="1"/>
                <w:iCs w:val="1"/>
                <w:color w:val="auto"/>
              </w:rPr>
              <w:t>(a)</w:t>
            </w:r>
          </w:p>
        </w:tc>
        <w:tc>
          <w:tcPr>
            <w:tcW w:w="2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20.5</w:t>
            </w:r>
          </w:p>
        </w:tc>
        <w:tc>
          <w:tcPr>
            <w:tcW w:w="1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 xml:space="preserve">Deferred Fuel </w:t>
            </w:r>
            <w:r>
              <w:rPr>
                <w:rFonts w:ascii="Arial" w:cs="Arial" w:eastAsia="Arial" w:hAnsi="Arial"/>
                <w:sz w:val="18"/>
                <w:szCs w:val="18"/>
                <w:i w:val="1"/>
                <w:iCs w:val="1"/>
                <w:color w:val="auto"/>
              </w:rPr>
              <w:t>(b)</w:t>
            </w:r>
          </w:p>
        </w:tc>
        <w:tc>
          <w:tcPr>
            <w:tcW w:w="2860" w:type="dxa"/>
            <w:vAlign w:val="bottom"/>
          </w:tcPr>
          <w:p>
            <w:pPr>
              <w:jc w:val="right"/>
              <w:ind w:right="470"/>
              <w:spacing w:after="0"/>
              <w:rPr>
                <w:sz w:val="20"/>
                <w:szCs w:val="20"/>
                <w:color w:val="auto"/>
              </w:rPr>
            </w:pPr>
            <w:r>
              <w:rPr>
                <w:rFonts w:ascii="Arial" w:cs="Arial" w:eastAsia="Arial" w:hAnsi="Arial"/>
                <w:sz w:val="18"/>
                <w:szCs w:val="18"/>
                <w:color w:val="auto"/>
              </w:rPr>
              <w:t>20.1</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15.6</w:t>
            </w:r>
          </w:p>
        </w:tc>
        <w:tc>
          <w:tcPr>
            <w:tcW w:w="1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Asset Retirement Obligation</w:t>
            </w:r>
          </w:p>
        </w:tc>
        <w:tc>
          <w:tcPr>
            <w:tcW w:w="2860" w:type="dxa"/>
            <w:vAlign w:val="bottom"/>
          </w:tcPr>
          <w:p>
            <w:pPr>
              <w:jc w:val="right"/>
              <w:ind w:right="470"/>
              <w:spacing w:after="0"/>
              <w:rPr>
                <w:sz w:val="20"/>
                <w:szCs w:val="20"/>
                <w:color w:val="auto"/>
              </w:rPr>
            </w:pPr>
            <w:r>
              <w:rPr>
                <w:rFonts w:ascii="Arial" w:cs="Arial" w:eastAsia="Arial" w:hAnsi="Arial"/>
                <w:sz w:val="18"/>
                <w:szCs w:val="18"/>
                <w:color w:val="auto"/>
              </w:rPr>
              <w:t>7.0</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MISO Costs</w:t>
            </w:r>
          </w:p>
        </w:tc>
        <w:tc>
          <w:tcPr>
            <w:tcW w:w="2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1.6</w:t>
            </w:r>
          </w:p>
        </w:tc>
        <w:tc>
          <w:tcPr>
            <w:tcW w:w="1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Premium on Reacquired Debt</w:t>
            </w:r>
          </w:p>
        </w:tc>
        <w:tc>
          <w:tcPr>
            <w:tcW w:w="2860" w:type="dxa"/>
            <w:vAlign w:val="bottom"/>
          </w:tcPr>
          <w:p>
            <w:pPr>
              <w:jc w:val="right"/>
              <w:ind w:right="470"/>
              <w:spacing w:after="0"/>
              <w:rPr>
                <w:sz w:val="20"/>
                <w:szCs w:val="20"/>
                <w:color w:val="auto"/>
              </w:rPr>
            </w:pPr>
            <w:r>
              <w:rPr>
                <w:rFonts w:ascii="Arial" w:cs="Arial" w:eastAsia="Arial" w:hAnsi="Arial"/>
                <w:sz w:val="18"/>
                <w:szCs w:val="18"/>
                <w:color w:val="auto"/>
              </w:rPr>
              <w:t>1.9</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Case Expenses</w:t>
            </w:r>
          </w:p>
        </w:tc>
        <w:tc>
          <w:tcPr>
            <w:tcW w:w="2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w:t>
            </w:r>
          </w:p>
        </w:tc>
        <w:tc>
          <w:tcPr>
            <w:tcW w:w="1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4.1</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Regulatory Assets</w:t>
            </w:r>
          </w:p>
        </w:tc>
        <w:tc>
          <w:tcPr>
            <w:tcW w:w="28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$302.6</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Regulatory Liabilities</w:t>
            </w:r>
          </w:p>
        </w:tc>
        <w:tc>
          <w:tcPr>
            <w:tcW w:w="2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860" w:type="dxa"/>
            <w:vAlign w:val="bottom"/>
          </w:tcPr>
          <w:p>
            <w:pPr>
              <w:jc w:val="right"/>
              <w:ind w:right="470"/>
              <w:spacing w:after="0"/>
              <w:rPr>
                <w:sz w:val="20"/>
                <w:szCs w:val="20"/>
                <w:color w:val="auto"/>
              </w:rPr>
            </w:pPr>
            <w:r>
              <w:rPr>
                <w:rFonts w:ascii="Arial" w:cs="Arial" w:eastAsia="Arial" w:hAnsi="Arial"/>
                <w:sz w:val="18"/>
                <w:szCs w:val="18"/>
                <w:color w:val="auto"/>
              </w:rPr>
              <w:t>$24.6</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Plant Removal Obligations</w:t>
            </w:r>
          </w:p>
        </w:tc>
        <w:tc>
          <w:tcPr>
            <w:tcW w:w="2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17.7</w:t>
            </w:r>
          </w:p>
        </w:tc>
        <w:tc>
          <w:tcPr>
            <w:tcW w:w="1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4.2</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Regulatory Liabilities</w:t>
            </w:r>
          </w:p>
        </w:tc>
        <w:tc>
          <w:tcPr>
            <w:tcW w:w="28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$46.5</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40" w:hanging="332"/>
        <w:spacing w:after="0" w:line="258"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MPUC-approved current cost recovery rider related to environmental improvements that were placed in service in November 2009. The rider provides for a true-up calculation to be filed with the MPUC in the first quarter of 2011 for recovery of the rider balance.</w:t>
      </w:r>
    </w:p>
    <w:p>
      <w:pPr>
        <w:spacing w:after="0" w:line="1" w:lineRule="exact"/>
        <w:rPr>
          <w:rFonts w:ascii="Arial" w:cs="Arial" w:eastAsia="Arial" w:hAnsi="Arial"/>
          <w:sz w:val="18"/>
          <w:szCs w:val="18"/>
          <w:i w:val="1"/>
          <w:iCs w:val="1"/>
          <w:color w:val="auto"/>
        </w:rPr>
      </w:pPr>
    </w:p>
    <w:p>
      <w:pPr>
        <w:jc w:val="both"/>
        <w:ind w:left="340" w:right="140" w:hanging="332"/>
        <w:spacing w:after="0" w:line="323"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As of June 30, 2010 and December 31, 2009, approximately $5 million of this balance relates to deferred fuel costs incurred under the former base cost of fuel calculation. Any revenue impact associated with this transition will be identified in a future filing related to the Company’s fuel clause operation.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and Non-Current Deferred</w:t>
            </w:r>
          </w:p>
        </w:tc>
        <w:tc>
          <w:tcPr>
            <w:tcW w:w="356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9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Regulatory Assets and Liabilities</w:t>
            </w:r>
          </w:p>
        </w:tc>
        <w:tc>
          <w:tcPr>
            <w:tcW w:w="3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1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5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 xml:space="preserve">Total Current Deferred Regulatory Assets </w:t>
            </w:r>
            <w:r>
              <w:rPr>
                <w:rFonts w:ascii="Arial" w:cs="Arial" w:eastAsia="Arial" w:hAnsi="Arial"/>
                <w:sz w:val="18"/>
                <w:szCs w:val="18"/>
                <w:i w:val="1"/>
                <w:iCs w:val="1"/>
                <w:color w:val="auto"/>
              </w:rPr>
              <w:t>(a)</w:t>
            </w:r>
          </w:p>
        </w:tc>
        <w:tc>
          <w:tcPr>
            <w:tcW w:w="3560" w:type="dxa"/>
            <w:vAlign w:val="bottom"/>
          </w:tcPr>
          <w:p>
            <w:pPr>
              <w:jc w:val="right"/>
              <w:ind w:right="430"/>
              <w:spacing w:after="0"/>
              <w:rPr>
                <w:sz w:val="20"/>
                <w:szCs w:val="20"/>
                <w:color w:val="auto"/>
              </w:rPr>
            </w:pPr>
            <w:r>
              <w:rPr>
                <w:rFonts w:ascii="Arial" w:cs="Arial" w:eastAsia="Arial" w:hAnsi="Arial"/>
                <w:sz w:val="18"/>
                <w:szCs w:val="18"/>
                <w:color w:val="auto"/>
              </w:rPr>
              <w:t>$14.8</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Non-Current Deferred Regulatory Assets</w:t>
            </w:r>
          </w:p>
        </w:tc>
        <w:tc>
          <w:tcPr>
            <w:tcW w:w="35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287.8</w:t>
            </w:r>
          </w:p>
        </w:tc>
        <w:tc>
          <w:tcPr>
            <w:tcW w:w="1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Regulatory Assets</w:t>
            </w:r>
          </w:p>
        </w:tc>
        <w:tc>
          <w:tcPr>
            <w:tcW w:w="3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$302.6</w:t>
            </w:r>
          </w:p>
        </w:tc>
        <w:tc>
          <w:tcPr>
            <w:tcW w:w="1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Current Deferred Regulatory Liabilities</w:t>
            </w:r>
          </w:p>
        </w:tc>
        <w:tc>
          <w:tcPr>
            <w:tcW w:w="35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Non-Current Deferred Regulatory Liabilities</w:t>
            </w:r>
          </w:p>
        </w:tc>
        <w:tc>
          <w:tcPr>
            <w:tcW w:w="35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$46.5</w:t>
            </w:r>
          </w:p>
        </w:tc>
        <w:tc>
          <w:tcPr>
            <w:tcW w:w="1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Regulatory Liabilities</w:t>
            </w:r>
          </w:p>
        </w:tc>
        <w:tc>
          <w:tcPr>
            <w:tcW w:w="3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$46.5</w:t>
            </w:r>
          </w:p>
        </w:tc>
        <w:tc>
          <w:tcPr>
            <w:tcW w:w="1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Current deferred regulatory assets consist of deferred fuel and are included in prepayments and other on the consolidated balance sheet.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ATC</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wholly-owned subsidiary, Rainy River Energy, owns approximately 8 percent of ATC, a Wisconsin-based utility that owns and maintains electric transmission assets in parts of Wisconsin, Michigan, Minnesota, and Illinois. ATC provides transmission service under rates regulated by the FERC that are set in accordance with the FERC’s policy of encouraging the independent operation and ownership of, and investment in, transmission facilities. We account for our investment in ATC under the equity method of accounting. As of June 30, 2010, our equity investment balance in ATC was $91.1 million ($88.4 million as of December 31, 2009). We invested $1.2 million in ATC in the first quarter of 2010 and expect to invest an additional $1 million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Millions</w:t>
            </w:r>
          </w:p>
        </w:tc>
        <w:tc>
          <w:tcPr>
            <w:tcW w:w="412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Balance as of December 31, 2009</w:t>
            </w:r>
          </w:p>
        </w:tc>
        <w:tc>
          <w:tcPr>
            <w:tcW w:w="4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$88.4</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Investments</w:t>
            </w:r>
          </w:p>
        </w:tc>
        <w:tc>
          <w:tcPr>
            <w:tcW w:w="412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 in ATC Earnings</w:t>
            </w:r>
          </w:p>
        </w:tc>
        <w:tc>
          <w:tcPr>
            <w:tcW w:w="4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r>
      <w:tr>
        <w:trPr>
          <w:trHeight w:val="223"/>
        </w:trPr>
        <w:tc>
          <w:tcPr>
            <w:tcW w:w="20" w:type="dxa"/>
            <w:vAlign w:val="bottom"/>
          </w:tcPr>
          <w:p>
            <w:pPr>
              <w:spacing w:after="0"/>
              <w:rPr>
                <w:sz w:val="19"/>
                <w:szCs w:val="19"/>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Distributed ATC Earnings</w:t>
            </w:r>
          </w:p>
        </w:tc>
        <w:tc>
          <w:tcPr>
            <w:tcW w:w="4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w:t>
            </w:r>
          </w:p>
        </w:tc>
      </w:tr>
      <w:tr>
        <w:trPr>
          <w:trHeight w:val="223"/>
        </w:trPr>
        <w:tc>
          <w:tcPr>
            <w:tcW w:w="20" w:type="dxa"/>
            <w:vAlign w:val="bottom"/>
          </w:tcPr>
          <w:p>
            <w:pPr>
              <w:spacing w:after="0"/>
              <w:rPr>
                <w:sz w:val="19"/>
                <w:szCs w:val="19"/>
                <w:color w:val="auto"/>
              </w:rPr>
            </w:pPr>
          </w:p>
        </w:tc>
        <w:tc>
          <w:tcPr>
            <w:tcW w:w="7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Investment Balance as of June 30, 2010</w:t>
            </w:r>
          </w:p>
        </w:tc>
        <w:tc>
          <w:tcPr>
            <w:tcW w:w="4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$91.1</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NOTE 6. INVESTMENT IN ATC (Continued)</w:t>
            </w: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20" w:type="dxa"/>
            <w:vAlign w:val="bottom"/>
            <w:gridSpan w:val="2"/>
          </w:tcPr>
          <w:p>
            <w:pPr>
              <w:spacing w:after="0"/>
              <w:rPr>
                <w:sz w:val="20"/>
                <w:szCs w:val="20"/>
                <w:color w:val="auto"/>
              </w:rPr>
            </w:pPr>
            <w:r>
              <w:rPr>
                <w:rFonts w:ascii="Arial" w:cs="Arial" w:eastAsia="Arial" w:hAnsi="Arial"/>
                <w:sz w:val="18"/>
                <w:szCs w:val="18"/>
                <w:color w:val="auto"/>
                <w:w w:val="93"/>
              </w:rPr>
              <w:t>ATC's summarized financial data for the quarter and six months ended June 30, 2010 and 2009, is as follows: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146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Quarter Ended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ATC Summarized Financial Data</w:t>
            </w:r>
          </w:p>
        </w:tc>
        <w:tc>
          <w:tcPr>
            <w:tcW w:w="17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4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8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Operating Expense</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700" w:type="dxa"/>
            <w:vAlign w:val="bottom"/>
          </w:tcPr>
          <w:p>
            <w:pPr>
              <w:jc w:val="right"/>
              <w:spacing w:after="0"/>
              <w:rPr>
                <w:sz w:val="20"/>
                <w:szCs w:val="20"/>
                <w:color w:val="auto"/>
              </w:rPr>
            </w:pPr>
            <w:r>
              <w:rPr>
                <w:rFonts w:ascii="Arial" w:cs="Arial" w:eastAsia="Arial" w:hAnsi="Arial"/>
                <w:sz w:val="18"/>
                <w:szCs w:val="18"/>
                <w:color w:val="auto"/>
              </w:rPr>
              <w:t>56.6</w:t>
            </w:r>
          </w:p>
        </w:tc>
        <w:tc>
          <w:tcPr>
            <w:tcW w:w="860" w:type="dxa"/>
            <w:vAlign w:val="bottom"/>
          </w:tcPr>
          <w:p>
            <w:pPr>
              <w:jc w:val="right"/>
              <w:spacing w:after="0"/>
              <w:rPr>
                <w:sz w:val="20"/>
                <w:szCs w:val="20"/>
                <w:color w:val="auto"/>
              </w:rPr>
            </w:pPr>
            <w:r>
              <w:rPr>
                <w:rFonts w:ascii="Arial" w:cs="Arial" w:eastAsia="Arial" w:hAnsi="Arial"/>
                <w:sz w:val="18"/>
                <w:szCs w:val="18"/>
                <w:color w:val="auto"/>
              </w:rPr>
              <w:t>125.3</w:t>
            </w:r>
          </w:p>
        </w:tc>
        <w:tc>
          <w:tcPr>
            <w:tcW w:w="600" w:type="dxa"/>
            <w:vAlign w:val="bottom"/>
          </w:tcPr>
          <w:p>
            <w:pPr>
              <w:jc w:val="right"/>
              <w:spacing w:after="0"/>
              <w:rPr>
                <w:sz w:val="20"/>
                <w:szCs w:val="20"/>
                <w:color w:val="auto"/>
              </w:rPr>
            </w:pPr>
            <w:r>
              <w:rPr>
                <w:rFonts w:ascii="Arial" w:cs="Arial" w:eastAsia="Arial" w:hAnsi="Arial"/>
                <w:sz w:val="18"/>
                <w:szCs w:val="18"/>
                <w:color w:val="auto"/>
              </w:rPr>
              <w:t>113.7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ALLETE’s Equity in Net Income</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SHORT-TERM AND LONG-TERM DEBT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Total short-term debt outstanding as of June 30, 2010, was $1.6 million ($5.2 million at December 31, 2009) and consisted of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debt due within one year.</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In February 2010, we issued $80.0 million in principal amount of unregistered First Mortgage Bonds (Bonds) in the private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in three series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Issue Date</w:t>
            </w:r>
          </w:p>
        </w:tc>
        <w:tc>
          <w:tcPr>
            <w:tcW w:w="2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2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February 17, 2010</w:t>
            </w: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April 15, 2021</w:t>
            </w:r>
          </w:p>
        </w:tc>
        <w:tc>
          <w:tcPr>
            <w:tcW w:w="3140" w:type="dxa"/>
            <w:vAlign w:val="bottom"/>
          </w:tcPr>
          <w:p>
            <w:pPr>
              <w:jc w:val="center"/>
              <w:spacing w:after="0"/>
              <w:rPr>
                <w:sz w:val="20"/>
                <w:szCs w:val="20"/>
                <w:color w:val="auto"/>
              </w:rPr>
            </w:pPr>
            <w:r>
              <w:rPr>
                <w:rFonts w:ascii="Arial" w:cs="Arial" w:eastAsia="Arial" w:hAnsi="Arial"/>
                <w:sz w:val="18"/>
                <w:szCs w:val="18"/>
                <w:color w:val="auto"/>
                <w:w w:val="99"/>
              </w:rPr>
              <w:t>$15 Million</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4.85%</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February 17, 2010</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15, 2025</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$30 Million</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5.10%</w:t>
            </w:r>
          </w:p>
        </w:tc>
      </w:tr>
      <w:tr>
        <w:trPr>
          <w:trHeight w:val="223"/>
        </w:trPr>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17, 2010</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April 15, 2040</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$35 Million</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6.00%</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the option to prepay all or a portion of the Bonds at our discretion, subject to a make-whole provision. The Bonds are subject to the terms and conditions of our utility mortgage. The Bonds were sold in reliance on an exemption from registration under Section 4(2) of the Securities Act of 1933, as amended, to institutional accredited investors. We used the proceeds from the sale of the Bonds to pay off an outstanding draw on our syndicated revolving credit facility, to fund utility capital investments and for general corporate purposes.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2010, we agreed to sell $75.0 million in principal amount of unregistered First Mortgage Bonds in the private placement market. Subject to due diligence and execution of the bond purchase agreement, the Bonds will be issued in two series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Issue Date (on or about)</w:t>
            </w:r>
          </w:p>
        </w:tc>
        <w:tc>
          <w:tcPr>
            <w:tcW w:w="26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9"/>
              </w:rPr>
              <w:t>Maturity</w:t>
            </w:r>
          </w:p>
        </w:tc>
        <w:tc>
          <w:tcPr>
            <w:tcW w:w="2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2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August 17, 2010</w:t>
            </w:r>
          </w:p>
        </w:tc>
        <w:tc>
          <w:tcPr>
            <w:tcW w:w="2660" w:type="dxa"/>
            <w:vAlign w:val="bottom"/>
          </w:tcPr>
          <w:p>
            <w:pPr>
              <w:jc w:val="center"/>
              <w:ind w:right="30"/>
              <w:spacing w:after="0"/>
              <w:rPr>
                <w:sz w:val="20"/>
                <w:szCs w:val="20"/>
                <w:color w:val="auto"/>
              </w:rPr>
            </w:pPr>
            <w:r>
              <w:rPr>
                <w:rFonts w:ascii="Arial" w:cs="Arial" w:eastAsia="Arial" w:hAnsi="Arial"/>
                <w:sz w:val="18"/>
                <w:szCs w:val="18"/>
                <w:color w:val="auto"/>
                <w:w w:val="90"/>
              </w:rPr>
              <w:t>October 15, 2025</w:t>
            </w:r>
          </w:p>
        </w:tc>
        <w:tc>
          <w:tcPr>
            <w:tcW w:w="2980" w:type="dxa"/>
            <w:vAlign w:val="bottom"/>
          </w:tcPr>
          <w:p>
            <w:pPr>
              <w:jc w:val="center"/>
              <w:spacing w:after="0"/>
              <w:rPr>
                <w:sz w:val="20"/>
                <w:szCs w:val="20"/>
                <w:color w:val="auto"/>
              </w:rPr>
            </w:pPr>
            <w:r>
              <w:rPr>
                <w:rFonts w:ascii="Arial" w:cs="Arial" w:eastAsia="Arial" w:hAnsi="Arial"/>
                <w:sz w:val="18"/>
                <w:szCs w:val="18"/>
                <w:color w:val="auto"/>
                <w:w w:val="99"/>
              </w:rPr>
              <w:t>$30 Million</w:t>
            </w:r>
          </w:p>
        </w:tc>
        <w:tc>
          <w:tcPr>
            <w:tcW w:w="2700" w:type="dxa"/>
            <w:vAlign w:val="bottom"/>
          </w:tcPr>
          <w:p>
            <w:pPr>
              <w:jc w:val="center"/>
              <w:spacing w:after="0"/>
              <w:rPr>
                <w:sz w:val="20"/>
                <w:szCs w:val="20"/>
                <w:color w:val="auto"/>
              </w:rPr>
            </w:pPr>
            <w:r>
              <w:rPr>
                <w:rFonts w:ascii="Arial" w:cs="Arial" w:eastAsia="Arial" w:hAnsi="Arial"/>
                <w:sz w:val="18"/>
                <w:szCs w:val="18"/>
                <w:color w:val="auto"/>
                <w:w w:val="90"/>
              </w:rPr>
              <w:t>4.90%</w:t>
            </w:r>
          </w:p>
        </w:tc>
      </w:tr>
      <w:tr>
        <w:trPr>
          <w:trHeight w:val="223"/>
        </w:trPr>
        <w:tc>
          <w:tcPr>
            <w:tcW w:w="20" w:type="dxa"/>
            <w:vAlign w:val="bottom"/>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17, 2010</w:t>
            </w:r>
          </w:p>
        </w:tc>
        <w:tc>
          <w:tcPr>
            <w:tcW w:w="266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5"/>
              </w:rPr>
              <w:t>April 15, 2040</w:t>
            </w:r>
          </w:p>
        </w:tc>
        <w:tc>
          <w:tcPr>
            <w:tcW w:w="2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$45 Million</w:t>
            </w:r>
          </w:p>
        </w:tc>
        <w:tc>
          <w:tcPr>
            <w:tcW w:w="2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5.82%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expect to use the proceeds to fund utility capital expenditures and for general corporate purposes.</w:t>
      </w:r>
    </w:p>
    <w:p>
      <w:pPr>
        <w:spacing w:after="0" w:line="24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Financial Covenants. </w:t>
      </w:r>
      <w:r>
        <w:rPr>
          <w:rFonts w:ascii="Arial" w:cs="Arial" w:eastAsia="Arial" w:hAnsi="Arial"/>
          <w:sz w:val="16"/>
          <w:szCs w:val="16"/>
          <w:color w:val="auto"/>
        </w:rPr>
        <w:t>Our long-term debt arrangements contain customary covenants. In addition, our lines of credit and letters of credit supporting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long-term debt arrangements contain financial covenants. The most restrictive covenant requires ALLETE to maintain a ratio of its Funded Debt to Total Capital (as the amounts are calculated in accordance with the respective long-term debt arrangements) of less than or equal to 0.65 to 1.00 measured quarterly. As of June 30, 2010, our ratio was approximately 0.41 to 1.00. Failure to meet this covenant would give rise to an event of default if not cured after notice from the lender, in which event ALLETE may need to pursue alternative sources of funding. Some of ALLETE’s debt arrangements contain “cross-default&amp;# 8221; provisions that would result in an event of default if there is a failure under other financing arrangements to meet payment terms or to observe other covenants that would result in an acceleration of payments due. As of June 30, 2010,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8. OTHER INCOME</w:t>
            </w:r>
          </w:p>
        </w:tc>
        <w:tc>
          <w:tcPr>
            <w:tcW w:w="3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580" w:type="dxa"/>
            <w:vAlign w:val="bottom"/>
            <w:gridSpan w:val="2"/>
          </w:tcPr>
          <w:p>
            <w:pPr>
              <w:spacing w:after="0"/>
              <w:rPr>
                <w:sz w:val="21"/>
                <w:szCs w:val="21"/>
                <w:color w:val="auto"/>
              </w:rPr>
            </w:pPr>
          </w:p>
        </w:tc>
        <w:tc>
          <w:tcPr>
            <w:tcW w:w="146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Quarter Ended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5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14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8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AFUDC – Equity</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Investment and Other Income</w:t>
            </w:r>
          </w:p>
        </w:tc>
        <w:tc>
          <w:tcPr>
            <w:tcW w:w="3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3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 EXPENSE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23, 2010, the Patient Protection and Affordable Care Act (H.R. 3590), which was subsequently amended on March 30, 2010, was signed into law by the President. The law includes provisions to generate tax revenue to help offset the cost of the new legislation. One of the provisions changes the tax treatment for retiree prescription drug expenses by eliminating the tax deduction for expenses that are reimbursed under Medicare Part D, beginning January 1, 2013. Based on this provision, we are subject to additional taxes in the future and are required to reverse previously recorded tax benefits in the period of enactment. Consequently, the elimination of the previously recorded tax benefit resulted in a non-recurring charge to net income of $4.0 million in the first quarter of 2010. We plan to address the impacts of this legislation with our regulators in the near future, but at this time are unable to predict the outcome of this issue.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620"/>
              <w:spacing w:after="0"/>
              <w:rPr>
                <w:sz w:val="20"/>
                <w:szCs w:val="20"/>
                <w:color w:val="auto"/>
              </w:rPr>
            </w:pPr>
            <w:r>
              <w:rPr>
                <w:rFonts w:ascii="Arial" w:cs="Arial" w:eastAsia="Arial" w:hAnsi="Arial"/>
                <w:sz w:val="18"/>
                <w:szCs w:val="18"/>
                <w:b w:val="1"/>
                <w:bCs w:val="1"/>
                <w:color w:val="auto"/>
                <w:w w:val="95"/>
              </w:rPr>
              <w:t>Quarter Ended</w:t>
            </w:r>
          </w:p>
        </w:tc>
        <w:tc>
          <w:tcPr>
            <w:tcW w:w="18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5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7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2009</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Millions</w:t>
            </w:r>
          </w:p>
        </w:tc>
        <w:tc>
          <w:tcPr>
            <w:tcW w:w="3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 (Benefit)</w:t>
            </w:r>
          </w:p>
        </w:tc>
        <w:tc>
          <w:tcPr>
            <w:tcW w:w="3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$(8.1)</w:t>
            </w: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Tax Expense (Benefit)</w:t>
            </w:r>
          </w:p>
        </w:tc>
        <w:tc>
          <w:tcPr>
            <w:tcW w:w="3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(9.3)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w:t>
            </w:r>
          </w:p>
        </w:tc>
        <w:tc>
          <w:tcPr>
            <w:tcW w:w="3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358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c>
          <w:tcPr>
            <w:tcW w:w="52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Deferred Tax Credits</w:t>
            </w:r>
          </w:p>
        </w:tc>
        <w:tc>
          <w:tcPr>
            <w:tcW w:w="3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Tax Expense</w:t>
            </w:r>
          </w:p>
        </w:tc>
        <w:tc>
          <w:tcPr>
            <w:tcW w:w="3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Expense</w:t>
            </w:r>
          </w:p>
        </w:tc>
        <w:tc>
          <w:tcPr>
            <w:tcW w:w="3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Due to the bonus depreciation provisions in the American Recovery and Reinvestment Act of 2009, we were in a net operating loss position for the year ended December 31, 2009. The loss has been utilized by carrying it back against prior years’ taxable income.</w:t>
      </w:r>
    </w:p>
    <w:p>
      <w:pPr>
        <w:spacing w:after="0" w:line="1" w:lineRule="exact"/>
        <w:rPr>
          <w:rFonts w:ascii="Arial" w:cs="Arial" w:eastAsia="Arial" w:hAnsi="Arial"/>
          <w:sz w:val="18"/>
          <w:szCs w:val="18"/>
          <w:i w:val="1"/>
          <w:iCs w:val="1"/>
          <w:color w:val="auto"/>
        </w:rPr>
      </w:pPr>
    </w:p>
    <w:p>
      <w:pPr>
        <w:ind w:left="340" w:hanging="332"/>
        <w:spacing w:after="0" w:line="261"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the six month period ending June 30, 2010 is a one-time charge of $4.0 million as a result of the Patient Protection and Affordable Care Act eliminating the tax deduction for expenses that are reimbursed under Medicare Part D beginning January 1, 2013.</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six months ended June 30, 2010, the effective tax rate was 41.0 percent (36.4 percent for the six months ended June 30, 2009). Excluding additional tax expense recorded as a result of the Patient Protection and Affordable Care Act, the 2010 effective tax rate was 35.4 percent. The 2010 effective tax rate, excluding the additional tax expense recorded as a result of the Patient Protection and Affordable Care Act, deviated from the statutory rate of approximately 41 percent primarily due to deductions for AFUDC-Equity, investment tax credits, wind production tax credits, and depletion. The 2010 effective tax rate was also favorably impacted by $0.8 million for the completion of a state income tax audit.</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2010, we have gross unrecognized tax benefits of $9.8 million. Of this total, $0.7 million represents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unrecognized tax benefits that, if recognized, would favorably impact the effective income tax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total amount of unrecognized tax benefits as of June 30, 2010, will change by an immaterial amount in the next 12 months.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 OTHER 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comprehensive income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Six Months</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Quarter Ended</w:t>
            </w:r>
          </w:p>
        </w:tc>
        <w:tc>
          <w:tcPr>
            <w:tcW w:w="124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6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Unrealized Gain (Loss) on Securities</w:t>
            </w:r>
          </w:p>
        </w:tc>
        <w:tc>
          <w:tcPr>
            <w:tcW w:w="2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of income taxes of $(0.4), $1.2, $(0.4), and $0.6</w:t>
            </w:r>
          </w:p>
        </w:tc>
        <w:tc>
          <w:tcPr>
            <w:tcW w:w="2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500" w:type="dxa"/>
            <w:vAlign w:val="bottom"/>
          </w:tcPr>
          <w:p>
            <w:pPr>
              <w:ind w:left="160"/>
              <w:spacing w:after="0" w:line="201" w:lineRule="exact"/>
              <w:rPr>
                <w:sz w:val="20"/>
                <w:szCs w:val="20"/>
                <w:color w:val="auto"/>
              </w:rPr>
            </w:pPr>
            <w:r>
              <w:rPr>
                <w:rFonts w:ascii="Arial" w:cs="Arial" w:eastAsia="Arial" w:hAnsi="Arial"/>
                <w:sz w:val="18"/>
                <w:szCs w:val="18"/>
                <w:color w:val="auto"/>
              </w:rPr>
              <w:t>Unrealized Loss on Derivatives</w:t>
            </w:r>
          </w:p>
        </w:tc>
        <w:tc>
          <w:tcPr>
            <w:tcW w:w="2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400"/>
              <w:spacing w:after="0"/>
              <w:rPr>
                <w:sz w:val="20"/>
                <w:szCs w:val="20"/>
                <w:color w:val="auto"/>
              </w:rPr>
            </w:pPr>
            <w:r>
              <w:rPr>
                <w:rFonts w:ascii="Arial" w:cs="Arial" w:eastAsia="Arial" w:hAnsi="Arial"/>
                <w:sz w:val="18"/>
                <w:szCs w:val="18"/>
                <w:color w:val="auto"/>
              </w:rPr>
              <w:t>Net of income taxes of $–, $(0.1), $–, and $–</w:t>
            </w:r>
          </w:p>
        </w:tc>
        <w:tc>
          <w:tcPr>
            <w:tcW w:w="2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Defined Benefit Pension and Other Postretirement Plans</w:t>
            </w:r>
          </w:p>
        </w:tc>
        <w:tc>
          <w:tcPr>
            <w:tcW w:w="2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Net of income taxes of $0.2, $0.2, $0.4, and $0.3</w:t>
            </w:r>
          </w:p>
        </w:tc>
        <w:tc>
          <w:tcPr>
            <w:tcW w:w="2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Comprehensive Income (Loss)</w:t>
            </w:r>
          </w:p>
        </w:tc>
        <w:tc>
          <w:tcPr>
            <w:tcW w:w="2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ALLETE</w:t>
            </w:r>
          </w:p>
        </w:tc>
        <w:tc>
          <w:tcPr>
            <w:tcW w:w="2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basic and diluted earnings per share, if any, arises from outstanding stock options and performance share awards granted under our Executive and Director Long-Term Incentive Compensation Plans. For the quarter and six months ended June 30, 2010, and June 30, 2009, 0.6 million options to purchase shares of common stock were excluded from the computation of diluted earnings per share because the option exercise prices were greater than the average market prices and, therefore, their effect would have been anti-dilutive.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2010</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Reconciliation of Basic and Diluted</w:t>
            </w:r>
          </w:p>
        </w:tc>
        <w:tc>
          <w:tcPr>
            <w:tcW w:w="25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5"/>
              </w:rPr>
              <w:t>Dilutive</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Dilutive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Basic</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8"/>
              </w:rPr>
              <w:t>Diluted</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Basic</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Securities Diluted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Quarter Ended June 30,</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 Attributable to ALLETE</w:t>
            </w:r>
          </w:p>
        </w:tc>
        <w:tc>
          <w:tcPr>
            <w:tcW w:w="2560" w:type="dxa"/>
            <w:vAlign w:val="bottom"/>
          </w:tcPr>
          <w:p>
            <w:pPr>
              <w:jc w:val="right"/>
              <w:spacing w:after="0"/>
              <w:rPr>
                <w:sz w:val="20"/>
                <w:szCs w:val="20"/>
                <w:color w:val="auto"/>
              </w:rPr>
            </w:pPr>
            <w:r>
              <w:rPr>
                <w:rFonts w:ascii="Arial" w:cs="Arial" w:eastAsia="Arial" w:hAnsi="Arial"/>
                <w:sz w:val="18"/>
                <w:szCs w:val="18"/>
                <w:color w:val="auto"/>
              </w:rPr>
              <w:t>$19.4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$19.4</w:t>
            </w: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$0.57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Income Attributable to ALLETE</w:t>
            </w:r>
          </w:p>
        </w:tc>
        <w:tc>
          <w:tcPr>
            <w:tcW w:w="2560" w:type="dxa"/>
            <w:vAlign w:val="bottom"/>
          </w:tcPr>
          <w:p>
            <w:pPr>
              <w:jc w:val="right"/>
              <w:spacing w:after="0"/>
              <w:rPr>
                <w:sz w:val="20"/>
                <w:szCs w:val="20"/>
                <w:color w:val="auto"/>
              </w:rPr>
            </w:pPr>
            <w:r>
              <w:rPr>
                <w:rFonts w:ascii="Arial" w:cs="Arial" w:eastAsia="Arial" w:hAnsi="Arial"/>
                <w:sz w:val="18"/>
                <w:szCs w:val="18"/>
                <w:color w:val="auto"/>
              </w:rPr>
              <w:t>$42.4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$42.4</w:t>
            </w: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 AND OTHER POSTRETIREMENT BENEFIT PLANS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p>
        </w:tc>
        <w:tc>
          <w:tcPr>
            <w:tcW w:w="39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Pension</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7"/>
              </w:rPr>
              <w:t>Postretirement</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Components of Net Periodic Benefit Expense</w:t>
            </w:r>
          </w:p>
        </w:tc>
        <w:tc>
          <w:tcPr>
            <w:tcW w:w="3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For the Quarter Ended June 30,</w:t>
            </w:r>
          </w:p>
        </w:tc>
        <w:tc>
          <w:tcPr>
            <w:tcW w:w="3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Cost</w:t>
            </w:r>
          </w:p>
        </w:tc>
        <w:tc>
          <w:tcPr>
            <w:tcW w:w="31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1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3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Transition Obligation</w:t>
            </w:r>
          </w:p>
        </w:tc>
        <w:tc>
          <w:tcPr>
            <w:tcW w:w="3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Expense</w:t>
            </w:r>
          </w:p>
        </w:tc>
        <w:tc>
          <w:tcPr>
            <w:tcW w:w="3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Pension</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2"/>
              </w:rPr>
              <w:t>Postretirement</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Components of Net Periodic Benefit Expense</w:t>
            </w:r>
          </w:p>
        </w:tc>
        <w:tc>
          <w:tcPr>
            <w:tcW w:w="3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3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Cost</w:t>
            </w:r>
          </w:p>
        </w:tc>
        <w:tc>
          <w:tcPr>
            <w:tcW w:w="3300" w:type="dxa"/>
            <w:vAlign w:val="bottom"/>
          </w:tcPr>
          <w:p>
            <w:pPr>
              <w:jc w:val="right"/>
              <w:spacing w:after="0"/>
              <w:rPr>
                <w:sz w:val="20"/>
                <w:szCs w:val="20"/>
                <w:color w:val="auto"/>
              </w:rPr>
            </w:pPr>
            <w:r>
              <w:rPr>
                <w:rFonts w:ascii="Arial" w:cs="Arial" w:eastAsia="Arial" w:hAnsi="Arial"/>
                <w:sz w:val="18"/>
                <w:szCs w:val="18"/>
                <w:color w:val="auto"/>
              </w:rPr>
              <w:t>13.1</w:t>
            </w: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30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Transition Obligation</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Expense</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six months ended June 30, 2010, no contributions were made to our defined benefit pension plan. (For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2009, $24.0 million was contributed; $12.0 million was contributed through the issuance of 463,000 shares of ALLETE common stock.) For the six months ended June 30, 2010, we contributed $2.6 million to our other postretirement benefit plan ($9.3 million for the six months ended June 30, 2009).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23, 2010, a contribution of $1.5 million was made to our defined benefit pension plan and $4.8 million was contributed to our other postretirement benefit plan. We do not expect to make any additional contributions to our defined benefit pension plan in 2010; however, we expect to make additional contributions of approximately $6 million to our other postretirement benefit plan in 2010.</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provide postretirement health benefits that include prescription drug benefits which qualify us for the federal subsidy under the Medicare Prescription Drug, Improvement and Modernization Act of 2003. The expected reimbursement for Medicare health subsidies reduced our postretirement medical expense by $1.3 million for 2010 ($2.0 million for 2009). For the six months ended June 30, 2010, we have not received any prescription drug reimbursements.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Agreements. </w:t>
      </w:r>
      <w:r>
        <w:rPr>
          <w:rFonts w:ascii="Arial" w:cs="Arial" w:eastAsia="Arial" w:hAnsi="Arial"/>
          <w:sz w:val="18"/>
          <w:szCs w:val="18"/>
          <w:color w:val="auto"/>
        </w:rPr>
        <w:t>Our long-term power purchase agreements (PPA) have been evaluated under the accounting guidance for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We have determined that either we have no variable interest in the PPA, or where we do have variable interests, we are not the primary beneficiary; therefore, consolidation is not required. These conclusions are based on the following factors: we do not have control over activities that are most significant to the entity, and we have no obligation to absorb losses or receive benefits from the entity’s performance. Our financial exposure relating to these PPAs is limited to our fixed capacity and energy payments.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Square Butte Power Purchase Agreement. </w:t>
      </w:r>
      <w:r>
        <w:rPr>
          <w:rFonts w:ascii="Arial" w:cs="Arial" w:eastAsia="Arial" w:hAnsi="Arial"/>
          <w:sz w:val="17"/>
          <w:szCs w:val="17"/>
          <w:color w:val="auto"/>
        </w:rPr>
        <w:t>Minnesota Power has a power purchase agreement with Square Butte that extends through 2026 (Agreement). It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long-term supply of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Minnesota Power is obligated to pay its pro rata share of Square Butte’s costs based on Minnesota Power’s entitlement to Unit output. Our output entitlement under the Agreement is 50 percent for the remainder of the contract. Minnesota Power’s payment obligation will be suspended if Square Butte fails to deliver any power, whether produced or purchased, for a period of one year. Square Butte’s fixed costs consist primarily of debt service. At June 30, 2010, Square Butte had total debt outstanding of $289.3 million. Annual debt service for Square Butte is expected to be approximately $31 million in each of the five years, 2010 through 2014. Variable operating costs include the price of coal purchased from BNI Coal, our subsidiary, under a long-term contract.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In conjunction with the purchase of the existing 250 kV DC transmission line from Square Butte on December 31, 2009,</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entered into a contingent power sales agreement with Minnkota Power. Under the power sales agreement, Minnesota Power will sell a portion of its output from Square Butte to Minnkota, resulting in Minnkota’s net entitlement increasing and Minnesota Power’s net entitlement decreasing until Minnesota Power’s share is eliminated at the end of 2025.</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this agreement until Minnkota Power has placed in service a new AC transmission line, which is anticipated to occur in 2013. This new AC transmission line will allow Minnkota to transmit their entitlement from Square Butte to their customers, and allow Minnesota Power additional capacity on the recently acquired DC line to transmit new wind generation.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Wind Power Purchase Agreements. </w:t>
      </w:r>
      <w:r>
        <w:rPr>
          <w:rFonts w:ascii="Arial" w:cs="Arial" w:eastAsia="Arial" w:hAnsi="Arial"/>
          <w:sz w:val="18"/>
          <w:szCs w:val="18"/>
          <w:color w:val="auto"/>
        </w:rPr>
        <w:t>We have two wind power purchase agreements with an affiliate of NextEra Energy, Inc. to purchase the output from two</w:t>
      </w:r>
      <w:r>
        <w:rPr>
          <w:rFonts w:ascii="Arial" w:cs="Arial" w:eastAsia="Arial" w:hAnsi="Arial"/>
          <w:sz w:val="18"/>
          <w:szCs w:val="18"/>
          <w:i w:val="1"/>
          <w:iCs w:val="1"/>
          <w:color w:val="auto"/>
        </w:rPr>
        <w:t xml:space="preserve"> </w:t>
      </w:r>
      <w:r>
        <w:rPr>
          <w:rFonts w:ascii="Arial" w:cs="Arial" w:eastAsia="Arial" w:hAnsi="Arial"/>
          <w:sz w:val="18"/>
          <w:szCs w:val="18"/>
          <w:color w:val="auto"/>
        </w:rPr>
        <w:t>wind facilities, Oliver Wind I (50 MWs) and Oliver Wind II (48 MWs), located near Center, North Dakota. Each agreement is for 25 years and provides for the purchase of all output from the facilities.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Hydro Power Purchase Agreements. </w:t>
      </w:r>
      <w:r>
        <w:rPr>
          <w:rFonts w:ascii="Arial" w:cs="Arial" w:eastAsia="Arial" w:hAnsi="Arial"/>
          <w:sz w:val="18"/>
          <w:szCs w:val="18"/>
          <w:color w:val="auto"/>
        </w:rPr>
        <w:t>We have a power purchase agreement with Manitoba Hydro that began in May 2009 and expires in April 2015.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with Manitoba Hydro, Minnesota Power is purchasing 50 MWs of capacity and the energy associated with that capacity. Both the capacity price and the energy price are adjusted annually by the change in a governmental inflationary index.</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30, 2010, Minnesota Power signed a definitive agreement with Manitoba Hydro, subject to MPUC approval, to purchase surplus energy beginning in May 2011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w:t>
      </w:r>
    </w:p>
    <w:p>
      <w:pPr>
        <w:spacing w:after="0" w:line="21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North Dakota Wind Project. </w:t>
      </w:r>
      <w:r>
        <w:rPr>
          <w:rFonts w:ascii="Arial" w:cs="Arial" w:eastAsia="Arial" w:hAnsi="Arial"/>
          <w:sz w:val="16"/>
          <w:szCs w:val="16"/>
          <w:color w:val="auto"/>
        </w:rPr>
        <w:t>After obtaining the required approvals from the MPUC and the FERC in fourth quarter of 2009, on December 31, 2009, we</w:t>
      </w:r>
      <w:r>
        <w:rPr>
          <w:rFonts w:ascii="Arial" w:cs="Arial" w:eastAsia="Arial" w:hAnsi="Arial"/>
          <w:sz w:val="16"/>
          <w:szCs w:val="16"/>
          <w:b w:val="1"/>
          <w:bCs w:val="1"/>
          <w:color w:val="auto"/>
        </w:rPr>
        <w:t xml:space="preserve"> </w:t>
      </w:r>
      <w:r>
        <w:rPr>
          <w:rFonts w:ascii="Arial" w:cs="Arial" w:eastAsia="Arial" w:hAnsi="Arial"/>
          <w:sz w:val="16"/>
          <w:szCs w:val="16"/>
          <w:color w:val="auto"/>
        </w:rPr>
        <w:t>closed on the purchase of the existing 250 kV DC transmission line from Square Butte for $69.7 million. The 465-mile transmission line runs from Center, North Dakota, to Duluth, Minnesota. We expect to use this line to transport increasing amounts of wind energy from North Dakota while gradually phasing out coal-based electricity currently being delivered to our system over this transmission line from Square Butte’s lignite coal-fired generating unit.</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7, 2009, the MPUC approved Minnesota Power’s petition seeking current cost recovery eligibility for investments and expenditures related to Bison I and associated transmission upgrades. On September 29, 2009, the NDPSC authorized site construction for Bison I. On March 10, 2010, the NDPSC authorized construction of a 22-mile, 230 kV transmission line that will connect Bison I to the DC transmission line at the Square Butte Substation in Center, North Dakota. Bison I is the first portion of several hundred MWs of our North Dakota Wind Project, which upon completion will help fulfill the Minnesota 2025 renewable energy supply requirement for our retail load. Bison I, located near Center, North Dakota, will be comprised of 33 wind turbines with a total nameplate capacity of 75.9 MWs and will be phased into service in late 2010 and 2011. Bison I, including the associated transmission upgrades to the DC Line, will have a total capital cost of approximately $177 million. As of June 30, 2010, total costs incurred were approximately $63 million. In March 2010, we filed a petition with the MPUC to establish current cost recovery through customer billings for the approved project. On July 21, 2010, the MPUC approved our petition establishing rates effective August 1, 2010.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$8.8 million in 2010, $8.9 million in 2011, $9.0 million in 2012, $8.5 million in 2013, $8.2 million in 2014 and $45.7 million thereafter.</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three primary coal supply agreements and transportation agreements providing for the purchase and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a significant portion of our coal requirements. These agreements, including option terms, expire in various years between 2010 and 2015. Our remaining minimum payment obligation as of June 30, 2010, under these coal, rail and shipping agreements is $18.1 million for 2010. Our minimum annual payment obligation for 2011 is $7.4 million, with no specific commitments beyond 2011.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businesses are subject to regulation of environmental matters by various federal, state and local authorities. Currently, a number of regulatory changes are under consideration by both Congress and the EPA. Most notably, clean energy technologies and the regulation of GHGs have been a focus of these discussions. Minnesota Power’s fossil fueled facilities will likely be subject to regulation under these climate change policies. Our intention is to reduce our exposure to possible future carbon and GHG legislation by reshaping our generation portfolio, over time, to reduce our reliance on coal.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 xml:space="preserve">Clean Air Act. </w:t>
      </w:r>
      <w:r>
        <w:rPr>
          <w:rFonts w:ascii="Arial" w:cs="Arial" w:eastAsia="Arial" w:hAnsi="Arial"/>
          <w:sz w:val="17"/>
          <w:szCs w:val="17"/>
          <w:color w:val="auto"/>
        </w:rPr>
        <w:t>The federal Clean Air Act Amendments of 1990 (Clean Air Act) established the acid rain program which created emission allowances for SO</w:t>
      </w:r>
      <w:r>
        <w:rPr>
          <w:rFonts w:ascii="Arial" w:cs="Arial" w:eastAsia="Arial" w:hAnsi="Arial"/>
          <w:sz w:val="24"/>
          <w:szCs w:val="24"/>
          <w:color w:val="auto"/>
          <w:vertAlign w:val="subscript"/>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 system-wide average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limits. Minnesota Power’s generating facilities mainly burn low-sulfur western sub-bituminous coal. Square Butte, located in North Dakota, burns lignite coal. All of these facilities are equipped with pollution control equipment such as scrubbers, bag houses, or electrostatic precipitators. Minnesota Power’s generating facilities are currently in compliance with applicable emission requ irements.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New Source Review. </w:t>
      </w:r>
      <w:r>
        <w:rPr>
          <w:rFonts w:ascii="Arial" w:cs="Arial" w:eastAsia="Arial" w:hAnsi="Arial"/>
          <w:sz w:val="17"/>
          <w:szCs w:val="17"/>
          <w:color w:val="auto"/>
        </w:rPr>
        <w:t>On August 8, 2008, Minnesota Power received a Notice of Violation (NOV) from the United States EPA asserting violations of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Source Review (NSR) requirements of the Clean Air Act at Boswell Units 1-4 and Laskin Unit 2. The NOV asserts that seven projects undertaken at these coal-fired plants between the years 1981 and 2000 should have been reviewed under the NSR requirements, and that the Boswell Unit 4 Title V permit was violated. Minnesota Power believes the projects were in full compliance with the Clean Air Act, NSR requirements and applicable permits.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engaged in discussions with the EPA regarding resolution of these matters, but we are unable to predict the outcome of these discussions. Since 2006, Minnesota Power has significantly reduced emissions at Laskin and Boswell, and continues to reduce emissions at Boswell.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EPA Transport Rule. </w:t>
      </w:r>
      <w:r>
        <w:rPr>
          <w:rFonts w:ascii="Arial" w:cs="Arial" w:eastAsia="Arial" w:hAnsi="Arial"/>
          <w:sz w:val="17"/>
          <w:szCs w:val="17"/>
          <w:color w:val="auto"/>
        </w:rPr>
        <w:t>On July 6, 2010, the EPA proposed a rule known as the Transport Rule (TR) requiring 31 states, including Minnesota, and the District of</w:t>
      </w:r>
      <w:r>
        <w:rPr>
          <w:rFonts w:ascii="Arial" w:cs="Arial" w:eastAsia="Arial" w:hAnsi="Arial"/>
          <w:sz w:val="17"/>
          <w:szCs w:val="17"/>
          <w:i w:val="1"/>
          <w:iCs w:val="1"/>
          <w:color w:val="auto"/>
        </w:rPr>
        <w:t xml:space="preserve"> </w:t>
      </w:r>
      <w:r>
        <w:rPr>
          <w:rFonts w:ascii="Arial" w:cs="Arial" w:eastAsia="Arial" w:hAnsi="Arial"/>
          <w:sz w:val="17"/>
          <w:szCs w:val="17"/>
          <w:color w:val="auto"/>
        </w:rPr>
        <w:t>Columbia to reduce power plant SO</w:t>
      </w:r>
      <w:r>
        <w:rPr>
          <w:rFonts w:ascii="Arial" w:cs="Arial" w:eastAsia="Arial" w:hAnsi="Arial"/>
          <w:sz w:val="24"/>
          <w:szCs w:val="24"/>
          <w:color w:val="auto"/>
          <w:vertAlign w:val="subscript"/>
        </w:rPr>
        <w:t>2</w:t>
      </w:r>
      <w:r>
        <w:rPr>
          <w:rFonts w:ascii="Arial" w:cs="Arial" w:eastAsia="Arial" w:hAnsi="Arial"/>
          <w:sz w:val="17"/>
          <w:szCs w:val="17"/>
          <w:color w:val="auto"/>
        </w:rPr>
        <w:t xml:space="preserve"> and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emissions that can significantly contribute to ozone and fine particle pollution problems in other states. If adopted, the TR will replace the Clean Air Interstate Rule (CAIR) that was issued by the EPA in March 2005. CAIR sought to reduce and permanently cap emissions of SO</w:t>
      </w:r>
      <w:r>
        <w:rPr>
          <w:rFonts w:ascii="Arial" w:cs="Arial" w:eastAsia="Arial" w:hAnsi="Arial"/>
          <w:sz w:val="24"/>
          <w:szCs w:val="24"/>
          <w:color w:val="auto"/>
          <w:vertAlign w:val="subscript"/>
        </w:rPr>
        <w:t>2</w:t>
      </w:r>
      <w:r>
        <w:rPr>
          <w:rFonts w:ascii="Arial" w:cs="Arial" w:eastAsia="Arial" w:hAnsi="Arial"/>
          <w:sz w:val="17"/>
          <w:szCs w:val="17"/>
          <w:color w:val="auto"/>
        </w:rPr>
        <w:t>, NO</w:t>
      </w:r>
      <w:r>
        <w:rPr>
          <w:rFonts w:ascii="Arial" w:cs="Arial" w:eastAsia="Arial" w:hAnsi="Arial"/>
          <w:sz w:val="24"/>
          <w:szCs w:val="24"/>
          <w:color w:val="auto"/>
          <w:vertAlign w:val="subscript"/>
        </w:rPr>
        <w:t>x</w:t>
      </w:r>
      <w:r>
        <w:rPr>
          <w:rFonts w:ascii="Arial" w:cs="Arial" w:eastAsia="Arial" w:hAnsi="Arial"/>
          <w:sz w:val="17"/>
          <w:szCs w:val="17"/>
          <w:color w:val="auto"/>
        </w:rPr>
        <w:t>, and particul ates in the eastern United States. Minnesota was included as one of the original 28 CAIR states. The July 6, 2010, proposed TR responds to the United States Court of Appeals for the District of Columbia Circuit’s rejection of CAIR by replacing and reforming questionable provisions to address updated air quality standards, improved emissions data and reformed emissions transport modeling.</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Emissions reductions are proposed to take effect in 2012, within one year of projected finalization of the rule. The TR proposes phase two emission reductions to begin in 2014. The EPA estimates that by 2014, adoption of phase two of the rule, and other state and EPA actions, would reduce power plant SO</w:t>
      </w:r>
      <w:r>
        <w:rPr>
          <w:rFonts w:ascii="Arial" w:cs="Arial" w:eastAsia="Arial" w:hAnsi="Arial"/>
          <w:sz w:val="24"/>
          <w:szCs w:val="24"/>
          <w:color w:val="auto"/>
          <w:vertAlign w:val="subscript"/>
        </w:rPr>
        <w:t>2</w:t>
      </w:r>
      <w:r>
        <w:rPr>
          <w:rFonts w:ascii="Arial" w:cs="Arial" w:eastAsia="Arial" w:hAnsi="Arial"/>
          <w:sz w:val="17"/>
          <w:szCs w:val="17"/>
          <w:color w:val="auto"/>
        </w:rPr>
        <w:t xml:space="preserve"> emissions by 71 percent compared to 2005 levels and power plant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emissions by 52 percent from the 2005 baseline year.</w:t>
      </w: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Since this is still a proposed regulation, the EPA has not yet determined which compliance option it might implement. However, since 2005, we have made substantial investments in pollution control equipment at our Laskin, Taconite Harbor and Boswell generating units which have significantly reduced emissions to anticipate future federal and state requirements. We are unable to predict any additional compliance costs we might incur at this time.</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w:t>
      </w:r>
      <w:r>
        <w:rPr>
          <w:rFonts w:ascii="Arial" w:cs="Arial" w:eastAsia="Arial" w:hAnsi="Arial"/>
          <w:sz w:val="17"/>
          <w:szCs w:val="17"/>
          <w:i w:val="1"/>
          <w:iCs w:val="1"/>
          <w:color w:val="auto"/>
        </w:rPr>
        <w:t xml:space="preserve"> </w:t>
      </w:r>
      <w:r>
        <w:rPr>
          <w:rFonts w:ascii="Arial" w:cs="Arial" w:eastAsia="Arial" w:hAnsi="Arial"/>
          <w:sz w:val="17"/>
          <w:szCs w:val="17"/>
          <w:color w:val="auto"/>
        </w:rPr>
        <w:t>visibility impairment in 156 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certain steam units, Boswell Unit 3 and Taconite Harbor Unit 3, which are subject to BART requirements.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never filed due to the United States Court of Appeals for the District of Columbia Circuit’s review of CAIR as more fully described above under “EPA Transport Rule.” Subsequently, the MPCA requested that companies with BART eligible units complete and submit a BART emissions control retrofit study, which was done on Taconite Harbor Unit 3 in November 2008. The retrofit work completed in 2009 at Boswell Unit 3 meets the BART requirement for that unit. On December 15, 2009, the MPCA approved the SIP for submitta l to the EPA for its review and approval. The EPA is expected to make a decision on whether to approve the Minnesota SIP by January 2011. If approved, Minnesota Power will have five years to bring Taconite Harbor Unit 3 into compliance. It is uncertain what controls will ultimately be required at Taconite Harbor Unit 3 in connection with the regional haze rule.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EPA National Emission Standards for Hazardous Air Pollutants for Electric Utility Units. </w:t>
      </w:r>
      <w:r>
        <w:rPr>
          <w:rFonts w:ascii="Arial" w:cs="Arial" w:eastAsia="Arial" w:hAnsi="Arial"/>
          <w:sz w:val="17"/>
          <w:szCs w:val="17"/>
          <w:color w:val="auto"/>
        </w:rPr>
        <w:t>In March 2005, the EPA announced the Clean Air Mercury Rule</w:t>
      </w:r>
      <w:r>
        <w:rPr>
          <w:rFonts w:ascii="Arial" w:cs="Arial" w:eastAsia="Arial" w:hAnsi="Arial"/>
          <w:sz w:val="17"/>
          <w:szCs w:val="17"/>
          <w:i w:val="1"/>
          <w:iCs w:val="1"/>
          <w:color w:val="auto"/>
        </w:rPr>
        <w:t xml:space="preserve"> </w:t>
      </w:r>
      <w:r>
        <w:rPr>
          <w:rFonts w:ascii="Arial" w:cs="Arial" w:eastAsia="Arial" w:hAnsi="Arial"/>
          <w:sz w:val="17"/>
          <w:szCs w:val="17"/>
          <w:color w:val="auto"/>
        </w:rPr>
        <w:t>(CAMR) that would have reduced and permanently capped electric utility mercury emissions in the continental United States through a cap-and-trade program. In February 2008, the United States Court of Appeals for the District of Columbia Circuit vacated the CAMR and remanded the rulemaking to the EPA for reconsideration. In October 2008, the EPA petitioned the Supreme Court to review the Court’s decision in the CAMR case. In January 2009, the EPA withdrew its petition, paving the way for possible regulation of mercury and other hazardous air pollutant emissions through Section 112 of the Clean Air Act, setting Maximum Achievable Control Technology standards for the utility sector. In December 2009, Minnesota Power and other utilities received an Information Collection Request from the EPA requiring that emissions data be provided and stack testing be performed in order to develop an improved database upon which to base future regulations. On March 30, 2010, Minnesota Power responded to the Information Collection Request. Stack testing is scheduled to be completed during the third quarter of 2010. The EPA is subject to a consent decree which requires the EPA to propose a rule by March 2011, with the final rule by November 2011. Costs for complying with potential future mercury and other hazardous air pollutant regulations under the Clean Air Act cannot be estimated at this time.</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Minnesota Mercury Emission Reduction Act. </w:t>
      </w:r>
      <w:r>
        <w:rPr>
          <w:rFonts w:ascii="Arial" w:cs="Arial" w:eastAsia="Arial" w:hAnsi="Arial"/>
          <w:sz w:val="17"/>
          <w:szCs w:val="17"/>
          <w:color w:val="auto"/>
        </w:rPr>
        <w:t>This legislation requires Minnesota Power to file mercury emission reduction plans for Boswell Units 3 and 4,</w:t>
      </w:r>
      <w:r>
        <w:rPr>
          <w:rFonts w:ascii="Arial" w:cs="Arial" w:eastAsia="Arial" w:hAnsi="Arial"/>
          <w:sz w:val="17"/>
          <w:szCs w:val="17"/>
          <w:i w:val="1"/>
          <w:iCs w:val="1"/>
          <w:color w:val="auto"/>
        </w:rPr>
        <w:t xml:space="preserve"> </w:t>
      </w:r>
      <w:r>
        <w:rPr>
          <w:rFonts w:ascii="Arial" w:cs="Arial" w:eastAsia="Arial" w:hAnsi="Arial"/>
          <w:sz w:val="17"/>
          <w:szCs w:val="17"/>
          <w:color w:val="auto"/>
        </w:rPr>
        <w:t>with a goal of 90 percent reduction in mercury emissions. The Boswell Unit 3 emission reduction plan was filed with the MPCA in October 2006. Mercury control equipment has been installed and was placed into service in November 2009. The legislation required a mercury emissions reduction plan for Boswell Unit 4 to be submitted by July 1, 2011, with implementation no later than December 31, 2014, and legislation also called for an evaluation of a mercury control alternative which provides for environmental and public health benefits without imposing excessive costs on the utility’s customers. Minnesota legislation was passed i n the second quarter of 2010 that extends the Boswell Unit 4 plan submittal date to July 1, 2015, and the mercury compliance date to the end of 2018. Costs for the Boswell Unit 4 emission reduction plan cannot be estimated at this time.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Ozone. </w:t>
      </w:r>
      <w:r>
        <w:rPr>
          <w:rFonts w:ascii="Arial" w:cs="Arial" w:eastAsia="Arial" w:hAnsi="Arial"/>
          <w:sz w:val="17"/>
          <w:szCs w:val="17"/>
          <w:color w:val="auto"/>
        </w:rPr>
        <w:t>The EPA is attempting to control, more stringently, emissions that result in ground level ozone. In January 2010, the EPA proposed to reduce the</w:t>
      </w:r>
      <w:r>
        <w:rPr>
          <w:rFonts w:ascii="Arial" w:cs="Arial" w:eastAsia="Arial" w:hAnsi="Arial"/>
          <w:sz w:val="17"/>
          <w:szCs w:val="17"/>
          <w:i w:val="1"/>
          <w:iCs w:val="1"/>
          <w:color w:val="auto"/>
        </w:rPr>
        <w:t xml:space="preserve"> </w:t>
      </w:r>
      <w:r>
        <w:rPr>
          <w:rFonts w:ascii="Arial" w:cs="Arial" w:eastAsia="Arial" w:hAnsi="Arial"/>
          <w:sz w:val="17"/>
          <w:szCs w:val="17"/>
          <w:color w:val="auto"/>
        </w:rPr>
        <w:t>eight-hour ozone standard and to adopt a secondary standard for the protection of sensitive vegetation from ozone-related damage. The EPA expects to issue final standards in 2010. As proposed, states have until December 2013 to submit plans outlining how they will meet the standards.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Climate Change. </w:t>
      </w:r>
      <w:r>
        <w:rPr>
          <w:rFonts w:ascii="Arial" w:cs="Arial" w:eastAsia="Arial" w:hAnsi="Arial"/>
          <w:sz w:val="18"/>
          <w:szCs w:val="18"/>
          <w:color w:val="auto"/>
        </w:rPr>
        <w:t>Minnesota Power is addressing climate change by taking the following steps that also ensure reliable and environmentally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resources to meet our customer’s requirements:</w:t>
      </w:r>
    </w:p>
    <w:p>
      <w:pPr>
        <w:spacing w:after="0" w:line="193"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overall carbon emission reductions.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Federal Legislation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future regulations may restrict the emissions of GHGs from our generation facilities. Several proposals at the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level to “cap” the amount of GHG emissions have been made. On June 26, 2009, the U.S. House of Representatives passed H.R. 2454, the American Clean Energy and Security Act of 2009. H.R. 2454 is a comprehensive energy bill that also includes a cap-and-trade program. H.R. 2454 allocates a significant number of emission allowances to the electric utility sector to mitigate cost impacts on consumers. Based on the emission allowance allocations proposed in H.R. 2454, we expect we would have to purchase additional allowances. At this time we are unable to predict the cost of these allowances.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2009, the Senate introduced S. 1733, the Senate version of H.R. 2454. This proposed legislation features a more stringent, near-term greenhouse emissions reduction target in 2020, of 20 percent below 2005 levels, as compared to the 17 percent reduction proposed by H.R. 2454. Another cap and trade proposal introduced in the Senate on May 12, 2010, referred to as the American Power Act, carries similar emission reduction targets to S. 1733 while modifying allowance distribution mechanisms.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Congress may consider proposals other than cap-and-trade programs to address GHG emissions. We are unable to predict the outcome of H.R. 2454, S. 1733, or other efforts that Congress may make with respect to GHG emissions, and the impact that any GHG emission regulations may have on the Company. We also cannot predict the nature or timing of any additional GHG legislation or regulation.</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Minnesota Greenhouse Gas Reduction and Emissions Reporting. </w:t>
      </w:r>
      <w:r>
        <w:rPr>
          <w:rFonts w:ascii="Arial" w:cs="Arial" w:eastAsia="Arial" w:hAnsi="Arial"/>
          <w:sz w:val="17"/>
          <w:szCs w:val="17"/>
          <w:color w:val="auto"/>
        </w:rPr>
        <w:t>In 2007, Minnesota passed legislation establishing non-binding targets for carbon dioxide</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reductions. This legislation establishes a goal of reducing statewide GHG emissions across all sectors to a level at least 15 percent below 2005 levels by 2015, at least 30 percent below 2005 levels by 2025, and at least 80 percent below 2005 levels by 2050. In May 2008, Minnesota passed legislation that required the MPCA to track emissions and make interim emissions reduction recommendations towards meeting the State’s goal.</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Midwestern Greenhouse Gas Reduction Accord. </w:t>
      </w:r>
      <w:r>
        <w:rPr>
          <w:rFonts w:ascii="Arial" w:cs="Arial" w:eastAsia="Arial" w:hAnsi="Arial"/>
          <w:sz w:val="18"/>
          <w:szCs w:val="18"/>
          <w:color w:val="auto"/>
        </w:rPr>
        <w:t>Minnesota is also participating in the Midwestern Greenhouse Gas Reduction Accord (the Accord), a</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effort to develop a multi-state approach to GHG emission reductions. The Accord includes an agreement to develop a multi-sector cap-and-trade system to help meet the targets established by the group.</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International Climate Change Initiatives. </w:t>
      </w:r>
      <w:r>
        <w:rPr>
          <w:rFonts w:ascii="Arial" w:cs="Arial" w:eastAsia="Arial" w:hAnsi="Arial"/>
          <w:sz w:val="18"/>
          <w:szCs w:val="18"/>
          <w:color w:val="auto"/>
        </w:rPr>
        <w:t>The United States is not a party to the Kyoto Protocol, which is a protocol to the United Nations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 on Climate Change (UNFCCC) that requires developed countries to cap GHG emissions at certain levels during the 2008 to 2012 time period. In December 2009, leaders of developed and developing countries met in Copenhagen, Denmark, under the UNFCCC and issued the Copenhagen Accord. The Copenhagen Accord provides a mechanism for countries to make economy-wide GHG emission mitigation commitments for reducing emissions of GHG by 2020, and provides for developed countries to fund GHG emissions mitigation projects in developing countries. President Obama participated in the development of, and endorsed, the Copenhagen Accord.</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EPA Greenhouse Gas Reporting Rule</w:t>
      </w:r>
      <w:r>
        <w:rPr>
          <w:rFonts w:ascii="Arial" w:cs="Arial" w:eastAsia="Arial" w:hAnsi="Arial"/>
          <w:sz w:val="16"/>
          <w:szCs w:val="16"/>
          <w:color w:val="auto"/>
        </w:rPr>
        <w:t>. On September 22, 2009, the EPA issued a final rule mandating that certain GHG emission sources, including electric</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generating units, are required to report GHG emissions. The rule is intended to allow the EPA to collect accurate and timely data on GHG emissions that can be used to form future policy decisions. The rule was effective January 1, 2010, and all GHG emissions must be reported on an annual basis beginning March 31, 2011. Currently, we have the equipment and data tools necessary to report our 2010 emissions to comply with this rule.</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On December 15, 2009, the EPA issued an “Endangerment Finding” with respect to emissions of GHGs. The</w:t>
      </w:r>
      <w:r>
        <w:rPr>
          <w:rFonts w:ascii="Arial" w:cs="Arial" w:eastAsia="Arial" w:hAnsi="Arial"/>
          <w:sz w:val="17"/>
          <w:szCs w:val="17"/>
          <w:i w:val="1"/>
          <w:iCs w:val="1"/>
          <w:color w:val="auto"/>
        </w:rPr>
        <w:t xml:space="preserve"> </w:t>
      </w:r>
      <w:r>
        <w:rPr>
          <w:rFonts w:ascii="Arial" w:cs="Arial" w:eastAsia="Arial" w:hAnsi="Arial"/>
          <w:sz w:val="17"/>
          <w:szCs w:val="17"/>
          <w:color w:val="auto"/>
        </w:rPr>
        <w:t>Endangerment Finding was the EPA’s published determination that six GHGs endanger human health or welfare, and that emissions from motor vehicles contribute to that endangerment. Following this determination, on April 1, 2010, the United States Department of Transportation and the EPA jointly announced GHG emission standards for new passenger vehicles and light-duty trucks. The EPA’s exercise of authority over GHG emissions through the Endangerment Finding and Light Duty Vehicle Rule triggered the EPA’s regulation of stationary sources for GHGs under the Clean Air Act.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May 13, 2010, the EPA issued the final Prevention of Significant Deterioration (PSD) and Title V Greenhouse Gas Tailoring Rule. The PSD/Title V Greenhouse Gas Tailoring Rule establishes thresholds for when permits will be required to address GHG emissions for new facilities, at existing facilities that undergo major modifications, and at other facilities that are characterized as major sources under the Clean Air Act’s Title V program. Under the new rule, existing sources of emissions that already have a Title V permit would have GHG provisions added to their permits upon renewal. The rule requires large industrial facilities, including power plants, that undergo major modifications resulting in a significant increase in GHG emissions to obtain PSD permits that demonstrate that Best Available Control Technology (BACT) is being used at the facility to control emissions. The EPA has defined significant emissions increase for existing sources as a GHG increase of 75,000 tons per year or more of total GHG on a CO</w:t>
      </w:r>
      <w:r>
        <w:rPr>
          <w:rFonts w:ascii="Arial" w:cs="Arial" w:eastAsia="Arial" w:hAnsi="Arial"/>
          <w:sz w:val="24"/>
          <w:szCs w:val="24"/>
          <w:color w:val="auto"/>
          <w:vertAlign w:val="subscript"/>
        </w:rPr>
        <w:t>2</w:t>
      </w:r>
      <w:r>
        <w:rPr>
          <w:rFonts w:ascii="Arial" w:cs="Arial" w:eastAsia="Arial" w:hAnsi="Arial"/>
          <w:sz w:val="17"/>
          <w:szCs w:val="17"/>
          <w:color w:val="auto"/>
        </w:rPr>
        <w:t xml:space="preserve"> equivalent basis. The EPA is expected to propose BACT standards for GHG emissions from stationary sources in late 2010.</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our existing facilities, the rule does not require amending our existing Title V operating permits to include GHGs requirements. Implementation of that requirement to add GHG provisions will be completed at the state level in Minnesota by the MPCA when the Title V permits are renewed. However, installation of new units or modification of existing units resulting in GHG emissions that trigger the PSD permitting requirements will require obtaining PSD permits and amending our operating permits to incorporate BACT to control GHG emissions. Minnesota Power’s existing facilities become subject to the BACT requirements if they undergo major modifications that result in a significant emissions increase. Legal challenges to the EPA’s regulation of GHG emissions, including the Tailoring Rule, have been filed and are awaiting jud icial determination.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generates coal ash at all five of its steam electric stations. Two facilities store ash in onsite impoundments</w:t>
      </w:r>
      <w:r>
        <w:rPr>
          <w:rFonts w:ascii="Arial" w:cs="Arial" w:eastAsia="Arial" w:hAnsi="Arial"/>
          <w:sz w:val="17"/>
          <w:szCs w:val="17"/>
          <w:i w:val="1"/>
          <w:iCs w:val="1"/>
          <w:color w:val="auto"/>
        </w:rPr>
        <w:t xml:space="preserve"> </w:t>
      </w:r>
      <w:r>
        <w:rPr>
          <w:rFonts w:ascii="Arial" w:cs="Arial" w:eastAsia="Arial" w:hAnsi="Arial"/>
          <w:sz w:val="17"/>
          <w:szCs w:val="17"/>
          <w:color w:val="auto"/>
        </w:rPr>
        <w:t>(ash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On June 18, 2010, the EPA proposed new regulations for coal combustion residuals generated by the electric utility sector. The proposal seeks comments on two general regulatory schemes for coal ash. Comments are due to the EPA by September 18, 2010. We are unable to predict the compliance costs we might incur; howev er, there is the possibility they could have a material impact.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within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At June 30, 2010, we have a $0.5 million liability for this site, and a corresponding regulatory asset as we expect recovery of remediation costs to be allowed by the PSCW.</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June 30, 2010, BNI Coal had surety bonds outstanding of $18.4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an additional guarantee is required by federal and state regulations. In addition to the surety bonds, BNI Coal has secured a Letter of Credit with CoBANK ACB for an additional $10.0 million. The combination of the surety bonds and the Letter of Credit is sufficient to meet the requirements to guarantee BNI Coal’s total reclamation liability, currently estimated at $25.1 million.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June 30, 2010, ALLETE Properties, through its subsidiaries, had surety bonds outstanding of $14.7 million primarily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and maintenance obligations to governmental entities to construct improvements in the Company’s various projects. The remaining work to be completed on these improvements is estimated to be approximately $9.0 million, and ALLETE Properties does not believe it is likely that any of these outstanding bonds will be drawn upon.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Community Development District Obligations. </w:t>
      </w:r>
      <w:r>
        <w:rPr>
          <w:rFonts w:ascii="Arial" w:cs="Arial" w:eastAsia="Arial" w:hAnsi="Arial"/>
          <w:sz w:val="16"/>
          <w:szCs w:val="16"/>
          <w:color w:val="auto"/>
        </w:rPr>
        <w:t>In March 2005, the Town Center District issued $26.4 million of tax-exempt, 6 percent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Revenue Bonds, Series 2005; and in May 2006, the Palm Coast Park District issued $31.8 million of tax-exempt, 5.7 percent Special Assessment Bonds, Series 2006. The Capital Improvement Revenue Bonds and the Special Assessment Bonds are payable through property tax assessments on the land owners over 31 years (by May 1, 2036, and 2037, respectively). The bond proceeds were used to pay for the construction of a portion of the major infrastructure improvements in each district, and to mitigate traffic and environmental impacts. The bonds are payable from and secured by the revenue derived from annual assessments imposed, levied and coll ected by each district. The assessments are being billed annually to the landowners. To the extent that we own land at the time of the annual assessment, we will incur the cost of our portion of these assessments, based upon our ownership of benefited property. At June 30, 2010, we owned 69 percent of the assessable land in the Town Center District (69 percent at December 31, 2009) and 93 percent of the assessable land in the Palm Coast Park District (86 percent at December 31, 2009). At these ownership levels our annual assessments are approximately $1.5 million for Town Center and $2.1 million for Palm Coast Park. As we sell property, the obligation to pay special assessments will pass to the new landowners. Under current accounting rules, these bonds are not reflected as debt on our consolidated balance sheet.</w:t>
      </w:r>
    </w:p>
    <w:p>
      <w:pPr>
        <w:spacing w:after="0" w:line="16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2009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23 of our 2009 Form 10-K. The risks and u ncertainties described in this Form 10-Q and our 2009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145,000 retail customers and wholesale electric service to 16 municipalities. Minnesota Power also provides regulated utility electric service to 1 private utility in Wisconsin. SWL&amp;P provides regulated electric, natural gas and water service in northwestern Wisconsin to 15,000 electric customers, 12,000 natural gas customers and 10,000 water customers. Our regulated utility operations include retail and wholesale activities und er the jurisdiction of state and federal regulatory authorities.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OVERVIEW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and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This segment also includes a small amount of non-rate base generation, approximately 7,000 acres of land available-for-sale in Minnesota, and earnings on cash and investments.</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2010, unless otherwise indicated. All subsidiaries are wholly 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2010, to the six months ended June 30, 2009.</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ALLETE for the six months ended June 30, 2010, was $42.4 million, or $1.25 per diluted share, compared to $26.3 million, or $0.84 per diluted share, for the same period of 2009. The first six months of 2009 was reduced by a $4.9 million, or $0.15 per share, after-tax charge for the accrual of retail rate refunds related to 2008.</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$43.1 million for the first six months of 2010, compared to $28.4 million for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2009; the first six months of 2009 was reduced by a $4.9 million after-tax charge for the accrual of retail rate refunds related to 2008. The period-over-period increase is attributable to MPUC-approved interim retail rates (subject to refund), increased sales to our large power customers, higher FERC-approved wholesale rates, and increased transmission-related margins. These increases were significantly offset by higher operating and maintenance, depreciation, interest and income tax expenses. Income tax expense included a $3.6 million charge resulting from the Patient Protection and Affordable Care Act of 2010 that eliminated the deduction for expenses reimbursed under Medicare Part D. In addition, 2010 reflected $0.3 million in additional after-tax earnings from our investment in ATC over 2009.</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reflected a net loss attributable to ALLETE of $0.7 million in the first six months of 2010, compared to a net loss of $2.1 million in</w:t>
      </w:r>
      <w:r>
        <w:rPr>
          <w:rFonts w:ascii="Arial" w:cs="Arial" w:eastAsia="Arial" w:hAnsi="Arial"/>
          <w:sz w:val="17"/>
          <w:szCs w:val="17"/>
          <w:b w:val="1"/>
          <w:bCs w:val="1"/>
          <w:color w:val="auto"/>
        </w:rPr>
        <w:t xml:space="preserve"> </w:t>
      </w:r>
      <w:r>
        <w:rPr>
          <w:rFonts w:ascii="Arial" w:cs="Arial" w:eastAsia="Arial" w:hAnsi="Arial"/>
          <w:sz w:val="17"/>
          <w:szCs w:val="17"/>
          <w:color w:val="auto"/>
        </w:rPr>
        <w:t>2009. The decrease in net loss was primarily due to a tax benefit of $1.1 million (including interest) resulting from the completion of a state income tax audit and to lower equity losses on investments of $0.6 million. This was partially offset by a $0.4 million charge related to the Patient Protection and Affordable Care Act of 2010 and the transfer of a small generating facility to our Regulated Operations in November 2009.</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JUNE 30, 2010 AND 2009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$46.7 million, or 32 percent, from 2009 due to authorized Minnesota interim retail rates from our 2010 rate case,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absence of an accrual of prior year retail rate refunds related to our 2008 retail rate case. Also contributing to increased revenue was higher fuel and purchased power recoveries, increased sales to our retail and municipal customers, and higher transmission revenues. These increases were partially offset by lower sales to Other Power Suppliers.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Interim retail rates authorized by the MPUC in December 2009, and effective January 1, 2010, resulted in an increase of approximately $11.3 million. Interim rates are subject to refund pending the MPUC’s final rate order. (See Note 5. Regulatory Matters.)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Retail rate refunds related to 2008 resulting from the 2009 MPUC Order were recorded in 2009 and resulted in a reduction in 2009 revenues of $2.3 million.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COMPARISON OF THE QUARTERS ENDED JUNE 30, 2010 AND 2009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Higher fuel and purchased power recoveries, along with an increase in retail and municipal kilowatt-hour sales, combined for a total revenue increase of $37.2 million. Fuel and purchased power recoveries increased due to an increase in fuel and purchased power expense. (See Fuel and Purchased Power Expense.) Total kilowatt-hour sales to retail and municipal customers increased 50.5 percent from 2009 primarily due to increased sales to our taconite customers.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Transmission revenues increased $5.0 million from 2009 primarily due to revenues related to the 250 kV DC transmission line we purchased from Square Butte on December 31, 2009.</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increase in kilowatt-hour sales to retail and municipal customers was partially offset by decreased revenue from marketing power to Other Power Suppliers, which decreased $10.4 million in 2010. Sales to Other Power Suppliers are sold at market-based prices into the MISO market on a daily basis or through bilateral agreements of various durations.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Total kilowatt-hour sales to retail and municipal customers increased 50.5 percent from 2009 primarily due to an increase in sales to our taconite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Increased revenue from our industrial sales was partially offset by a 33.5 percent decrease in kilowatt-hour sales to Other Power Suppliers.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2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Quantity</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 Ended June 30,</w:t>
            </w:r>
          </w:p>
        </w:tc>
        <w:tc>
          <w:tcPr>
            <w:tcW w:w="2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Variance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Variance</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Regulated Utility</w:t>
            </w:r>
          </w:p>
        </w:tc>
        <w:tc>
          <w:tcPr>
            <w:tcW w:w="2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Retail and Municipals</w:t>
            </w:r>
          </w:p>
        </w:tc>
        <w:tc>
          <w:tcPr>
            <w:tcW w:w="2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140"/>
              <w:spacing w:after="0"/>
              <w:rPr>
                <w:sz w:val="20"/>
                <w:szCs w:val="20"/>
                <w:color w:val="auto"/>
              </w:rPr>
            </w:pPr>
            <w:r>
              <w:rPr>
                <w:rFonts w:ascii="Arial" w:cs="Arial" w:eastAsia="Arial" w:hAnsi="Arial"/>
                <w:sz w:val="18"/>
                <w:szCs w:val="18"/>
                <w:color w:val="auto"/>
              </w:rPr>
              <w:t>Residential</w:t>
            </w:r>
          </w:p>
        </w:tc>
        <w:tc>
          <w:tcPr>
            <w:tcW w:w="2880" w:type="dxa"/>
            <w:vAlign w:val="bottom"/>
          </w:tcPr>
          <w:p>
            <w:pPr>
              <w:jc w:val="right"/>
              <w:ind w:right="90"/>
              <w:spacing w:after="0"/>
              <w:rPr>
                <w:sz w:val="20"/>
                <w:szCs w:val="20"/>
                <w:color w:val="auto"/>
              </w:rPr>
            </w:pPr>
            <w:r>
              <w:rPr>
                <w:rFonts w:ascii="Arial" w:cs="Arial" w:eastAsia="Arial" w:hAnsi="Arial"/>
                <w:sz w:val="18"/>
                <w:szCs w:val="18"/>
                <w:color w:val="auto"/>
              </w:rPr>
              <w:t>229</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jc w:val="right"/>
              <w:spacing w:after="0"/>
              <w:rPr>
                <w:sz w:val="20"/>
                <w:szCs w:val="20"/>
                <w:color w:val="auto"/>
              </w:rPr>
            </w:pPr>
            <w:r>
              <w:rPr>
                <w:rFonts w:ascii="Arial" w:cs="Arial" w:eastAsia="Arial" w:hAnsi="Arial"/>
                <w:sz w:val="18"/>
                <w:szCs w:val="18"/>
                <w:color w:val="auto"/>
              </w:rPr>
              <w:t>(5.4)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Commercial</w:t>
            </w:r>
          </w:p>
        </w:tc>
        <w:tc>
          <w:tcPr>
            <w:tcW w:w="2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327</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140"/>
              <w:spacing w:after="0"/>
              <w:rPr>
                <w:sz w:val="20"/>
                <w:szCs w:val="20"/>
                <w:color w:val="auto"/>
              </w:rPr>
            </w:pPr>
            <w:r>
              <w:rPr>
                <w:rFonts w:ascii="Arial" w:cs="Arial" w:eastAsia="Arial" w:hAnsi="Arial"/>
                <w:sz w:val="18"/>
                <w:szCs w:val="18"/>
                <w:color w:val="auto"/>
              </w:rPr>
              <w:t>Industrial</w:t>
            </w:r>
          </w:p>
        </w:tc>
        <w:tc>
          <w:tcPr>
            <w:tcW w:w="2880" w:type="dxa"/>
            <w:vAlign w:val="bottom"/>
          </w:tcPr>
          <w:p>
            <w:pPr>
              <w:jc w:val="right"/>
              <w:ind w:right="90"/>
              <w:spacing w:after="0"/>
              <w:rPr>
                <w:sz w:val="20"/>
                <w:szCs w:val="20"/>
                <w:color w:val="auto"/>
              </w:rPr>
            </w:pPr>
            <w:r>
              <w:rPr>
                <w:rFonts w:ascii="Arial" w:cs="Arial" w:eastAsia="Arial" w:hAnsi="Arial"/>
                <w:sz w:val="18"/>
                <w:szCs w:val="18"/>
                <w:color w:val="auto"/>
              </w:rPr>
              <w:t>1,728</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900" w:type="dxa"/>
            <w:vAlign w:val="bottom"/>
          </w:tcPr>
          <w:p>
            <w:pPr>
              <w:jc w:val="right"/>
              <w:spacing w:after="0"/>
              <w:rPr>
                <w:sz w:val="20"/>
                <w:szCs w:val="20"/>
                <w:color w:val="auto"/>
              </w:rPr>
            </w:pPr>
            <w:r>
              <w:rPr>
                <w:rFonts w:ascii="Arial" w:cs="Arial" w:eastAsia="Arial" w:hAnsi="Arial"/>
                <w:sz w:val="18"/>
                <w:szCs w:val="18"/>
                <w:color w:val="auto"/>
              </w:rPr>
              <w:t>854</w:t>
            </w:r>
          </w:p>
        </w:tc>
        <w:tc>
          <w:tcPr>
            <w:tcW w:w="680" w:type="dxa"/>
            <w:vAlign w:val="bottom"/>
          </w:tcPr>
          <w:p>
            <w:pPr>
              <w:jc w:val="right"/>
              <w:spacing w:after="0"/>
              <w:rPr>
                <w:sz w:val="20"/>
                <w:szCs w:val="20"/>
                <w:color w:val="auto"/>
              </w:rPr>
            </w:pPr>
            <w:r>
              <w:rPr>
                <w:rFonts w:ascii="Arial" w:cs="Arial" w:eastAsia="Arial" w:hAnsi="Arial"/>
                <w:sz w:val="18"/>
                <w:szCs w:val="18"/>
                <w:color w:val="auto"/>
              </w:rPr>
              <w:t>97.7 %</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Municipals</w:t>
            </w:r>
          </w:p>
        </w:tc>
        <w:tc>
          <w:tcPr>
            <w:tcW w:w="2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940"/>
              <w:spacing w:after="0"/>
              <w:rPr>
                <w:sz w:val="20"/>
                <w:szCs w:val="20"/>
                <w:color w:val="auto"/>
              </w:rPr>
            </w:pPr>
            <w:r>
              <w:rPr>
                <w:rFonts w:ascii="Arial" w:cs="Arial" w:eastAsia="Arial" w:hAnsi="Arial"/>
                <w:sz w:val="18"/>
                <w:szCs w:val="18"/>
                <w:color w:val="auto"/>
              </w:rPr>
              <w:t>Total Retail and Municipals</w:t>
            </w:r>
          </w:p>
        </w:tc>
        <w:tc>
          <w:tcPr>
            <w:tcW w:w="2880" w:type="dxa"/>
            <w:vAlign w:val="bottom"/>
          </w:tcPr>
          <w:p>
            <w:pPr>
              <w:jc w:val="right"/>
              <w:ind w:right="90"/>
              <w:spacing w:after="0"/>
              <w:rPr>
                <w:sz w:val="20"/>
                <w:szCs w:val="20"/>
                <w:color w:val="auto"/>
              </w:rPr>
            </w:pPr>
            <w:r>
              <w:rPr>
                <w:rFonts w:ascii="Arial" w:cs="Arial" w:eastAsia="Arial" w:hAnsi="Arial"/>
                <w:sz w:val="18"/>
                <w:szCs w:val="18"/>
                <w:color w:val="auto"/>
              </w:rPr>
              <w:t>2,512</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1,669</w:t>
            </w:r>
          </w:p>
        </w:tc>
        <w:tc>
          <w:tcPr>
            <w:tcW w:w="900" w:type="dxa"/>
            <w:vAlign w:val="bottom"/>
          </w:tcPr>
          <w:p>
            <w:pPr>
              <w:jc w:val="right"/>
              <w:spacing w:after="0"/>
              <w:rPr>
                <w:sz w:val="20"/>
                <w:szCs w:val="20"/>
                <w:color w:val="auto"/>
              </w:rPr>
            </w:pPr>
            <w:r>
              <w:rPr>
                <w:rFonts w:ascii="Arial" w:cs="Arial" w:eastAsia="Arial" w:hAnsi="Arial"/>
                <w:sz w:val="18"/>
                <w:szCs w:val="18"/>
                <w:color w:val="auto"/>
              </w:rPr>
              <w:t>843</w:t>
            </w:r>
          </w:p>
        </w:tc>
        <w:tc>
          <w:tcPr>
            <w:tcW w:w="680" w:type="dxa"/>
            <w:vAlign w:val="bottom"/>
          </w:tcPr>
          <w:p>
            <w:pPr>
              <w:jc w:val="right"/>
              <w:spacing w:after="0"/>
              <w:rPr>
                <w:sz w:val="20"/>
                <w:szCs w:val="20"/>
                <w:color w:val="auto"/>
              </w:rPr>
            </w:pPr>
            <w:r>
              <w:rPr>
                <w:rFonts w:ascii="Arial" w:cs="Arial" w:eastAsia="Arial" w:hAnsi="Arial"/>
                <w:sz w:val="18"/>
                <w:szCs w:val="18"/>
                <w:color w:val="auto"/>
              </w:rPr>
              <w:t>50.5 %</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Power Suppliers</w:t>
            </w:r>
          </w:p>
        </w:tc>
        <w:tc>
          <w:tcPr>
            <w:tcW w:w="2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736</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(33.5) %</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Regulated Utility Kilowatt-hours Sold</w:t>
            </w:r>
          </w:p>
        </w:tc>
        <w:tc>
          <w:tcPr>
            <w:tcW w:w="2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3,248</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17.0 %</w:t>
            </w:r>
          </w:p>
        </w:tc>
        <w:tc>
          <w:tcPr>
            <w:tcW w:w="20" w:type="dxa"/>
            <w:vAlign w:val="bottom"/>
            <w:tcBorders>
              <w:bottom w:val="single" w:sz="8" w:color="auto"/>
            </w:tcBorders>
          </w:tcPr>
          <w:p>
            <w:pPr>
              <w:spacing w:after="0"/>
              <w:rPr>
                <w:sz w:val="19"/>
                <w:szCs w:val="19"/>
                <w:color w:val="auto"/>
              </w:rPr>
            </w:pPr>
          </w:p>
        </w:tc>
      </w:tr>
    </w:tbl>
    <w:p>
      <w:pPr>
        <w:spacing w:after="0" w:line="20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Revenue from electric sales to taconite customers accounted for 26 percent of consolidated operating revenue in 2010 (13 percent in 2009). The increase in revenue from our taconite customers was partially offset by a decrease in revenue from electric sales to Other Power Suppliers which accounted for 13 percent of consolidated operating revenue in 2010 (23 percent in 2009). Revenue from electric sales to paper and pulp mills accounted for 9 percent of consolidated operating revenue in 2010 (10 percent in 2009). Revenue from electric sales to pipelines and other industrials accounted for 6 percent of consolidated operating revenue in 2010 (8 percent in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$34.3 million, or 27 percent, from 2009.</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$17.5 million, or 31 percent, from 2009. The increase was due to higher fuel costs of $8.6 million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 30 percent increase in coal generation at our facilities and higher coal prices and related transportation. Purchased power expense also increased $6.2 million reflecting higher market prices and higher kilowatt-hour purchases.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$12.4 million, or 22 percent, from 2009 reflecting higher plant operating and maintenance expenses of $5.5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additional MISO expenses of $4.6 million relating to the 250 kV DC transmission line we purchased from Square Butte on December 31, 2009, and increased benefit costs of $2.6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$4.4 million, or 31 percent, from 2009 reflecting higher property, plant, and equipment placed in service.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increased $1.1 million, or 17 percent, from 2009 primarily due to additional long-term debt issued to fund new capital investments.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QUARTERS ENDED JUNE 30, 2010 AND 2009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$5.6 million, or 97 percent, from 2009 primarily due to higher pretax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$2.5 million, or 13 percent, from 2009. This decrease was primarily attributable to BNI Coal, which operates under a cost-plus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 and recorded $2.1 million less in sales revenue as a result of lower expenses in 2010 (See Operating Expense). Revenue from non-regulated generation also decreased $1.4 million primarily due to the transfer of a small generating facility to Regulated Operations in November 2009. These decreases were partially offset by a $0.7 million pre-tax gain at ALLETE Properties in 2010, due to the receipt of property from an entity which filed for voluntary Chapter 11 bankruptcy in June 2009. (See Note 3. Investments.) No land sales were made during the second quarter of 2010 or 2009 at ALLETE Properties, due to the continued lack of demand for our properti es as a result of poor real estate market conditions in Florida.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Properties</w:t>
            </w:r>
          </w:p>
        </w:tc>
        <w:tc>
          <w:tcPr>
            <w:tcW w:w="44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2010</w:t>
            </w:r>
          </w:p>
        </w:tc>
        <w:tc>
          <w:tcPr>
            <w:tcW w:w="16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2009</w:t>
            </w: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and Sales Activity</w:t>
            </w:r>
          </w:p>
        </w:tc>
        <w:tc>
          <w:tcPr>
            <w:tcW w:w="354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Quantity</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Quantity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3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3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Acres</w:t>
            </w:r>
          </w:p>
        </w:tc>
        <w:tc>
          <w:tcPr>
            <w:tcW w:w="3540" w:type="dxa"/>
            <w:vAlign w:val="bottom"/>
            <w:tcBorders>
              <w:bottom w:val="single" w:sz="8" w:color="auto"/>
            </w:tcBorders>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Contract Sales Price</w:t>
            </w:r>
          </w:p>
        </w:tc>
        <w:tc>
          <w:tcPr>
            <w:tcW w:w="3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3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(a)</w:t>
            </w:r>
          </w:p>
        </w:tc>
        <w:tc>
          <w:tcPr>
            <w:tcW w:w="3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ALLETE Properties Revenue</w:t>
            </w:r>
          </w:p>
        </w:tc>
        <w:tc>
          <w:tcPr>
            <w:tcW w:w="3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bl>
    <w:p>
      <w:pPr>
        <w:spacing w:after="0" w:line="202"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Other Revenue primarily includes a $0.7 million pre-tax gain for the quarter ended June 30, 2010, due to the receipt of property from an entity which filed for voluntary Chapter 11 bankruptcy in June 2009</w:t>
      </w:r>
      <w:r>
        <w:rPr>
          <w:rFonts w:ascii="Arial" w:cs="Arial" w:eastAsia="Arial" w:hAnsi="Arial"/>
          <w:sz w:val="18"/>
          <w:szCs w:val="18"/>
          <w:color w:val="auto"/>
        </w:rPr>
        <w: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$3.8 million, or 18 percent, from 2009 reflecting lower expenses at BNI Coal of $2.0 million primarily due to higher repairs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and lower diesel fuel unit costs in 2010 which were recovered through the cost-plus contract. (See Operating Revenue.) Also contributing to this decrease were lower non-regulated generation expenses of $1.1 million as a result of the transfer of a small generating facility to Regulated Operations in November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the quarter ended June 30, 2010, the effective tax rate was 32.6 percent (31.5 percent for the quarter ended June 30, 2009). The 2010 effective tax rate deviated from the statutory rate (approximately 41 percent) due to deductions for AFUDC-Equity, investment tax credits, wind production tax credits, and depletion. The 2010 effective tax rate was also favorably impacted by the completion of a state income tax audit. The 2009 effective tax rate was impacted by a state income tax refund. We expect the effective tax rate for the full year 2010 to be approximately 39 percent (36 percent excluding the effect of the Patient Protection and Affordable Care Act). (See Note 9. Income Tax Expense.)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2010 AND 2009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$76.4 million, or 23 percent, from 2009 due to authorized Minnesota interim retail electric rates from our 2010 rate case,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FERC-approved wholesale rates, and the absence of an accrual of prior year retail rate refunds related to our 2008 retail rate case. Also contributing to increased revenue was higher fuel and purchased power recoveries, increased sales to our retail and municipal customers, and higher transmission revenues. These increases were partially offset by lower sales to Other Power Suppliers.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SIX MONTHS ENDED JUNE 30, 2010 AND 2009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Interim retail rates authorized by the MPUC in December 2009, and effective January 1, 2010, resulted in an increase of approximately $20.8 million. Interim rates are subject to refund pending the MPUC’s final rate order. (See Note 5. Regulatory Matters.)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Higher rates from the January 1, 2010, FERC-approved wholesale rate increases for our municipal customers increased revenue by $4.8 million. (See Note 5. Regulatory Matters.)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Retail rate refunds related to 2008 resulting from the 2009 MPUC Order were recorded in 2009 and resulted in a reduction in 2009 revenues of $7.6 million.</w:t>
      </w:r>
    </w:p>
    <w:p>
      <w:pPr>
        <w:spacing w:after="0" w:line="24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Higher fuel and purchased power recoveries, along with an increase in retail and municipal kilowatt-hour sales, combined for a total revenue increase of $48.7 million. Fuel and purchased power recoveries increased due to an increase in fuel and purchased power expense. (See Fuel and Purchased Power Expense.) Total kilowatt-hour sales to retail and municipal customers increased 23.1 percent from 2009 primarily due to increased sales to our taconite customers.</w:t>
      </w:r>
    </w:p>
    <w:p>
      <w:pPr>
        <w:spacing w:after="0" w:line="187"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Transmission revenues increased $11.0 million from 2009 primarily due to revenues related to the 250 kV DC transmission line we purchased from Square Butte on December 31, 2009.</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increase in kilowatt-hour sales to retail and municipal customers has been partially offset by decreased revenue from marketing power to Other Power Suppliers, which decreased $13.2 million in 2010. Sales to Other Power Suppliers are sold at market-based prices into the MISO market on a daily basis or through bilateral agreements of various durations.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Total kilowatt-hour sales to retail and municipal customers increased 23.1 percent from 2009 primarily due to an increase in sales to our taconite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Increased revenue from our industrial sales was partially offset by a 24.0 percent decrease in kilowatt-hour sales to Other Power Suppliers.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Quantity</w:t>
            </w: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Six Months Ended June 30,</w:t>
            </w:r>
          </w:p>
        </w:tc>
        <w:tc>
          <w:tcPr>
            <w:tcW w:w="2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Variance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Variance</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Regulated Utility</w:t>
            </w:r>
          </w:p>
        </w:tc>
        <w:tc>
          <w:tcPr>
            <w:tcW w:w="2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Retail and Municipals</w:t>
            </w:r>
          </w:p>
        </w:tc>
        <w:tc>
          <w:tcPr>
            <w:tcW w:w="2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20"/>
              <w:spacing w:after="0"/>
              <w:rPr>
                <w:sz w:val="20"/>
                <w:szCs w:val="20"/>
                <w:color w:val="auto"/>
              </w:rPr>
            </w:pPr>
            <w:r>
              <w:rPr>
                <w:rFonts w:ascii="Arial" w:cs="Arial" w:eastAsia="Arial" w:hAnsi="Arial"/>
                <w:sz w:val="18"/>
                <w:szCs w:val="18"/>
                <w:color w:val="auto"/>
              </w:rPr>
              <w:t>Residential</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586</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760" w:type="dxa"/>
            <w:vAlign w:val="bottom"/>
          </w:tcPr>
          <w:p>
            <w:pPr>
              <w:jc w:val="right"/>
              <w:spacing w:after="0"/>
              <w:rPr>
                <w:sz w:val="20"/>
                <w:szCs w:val="20"/>
                <w:color w:val="auto"/>
              </w:rPr>
            </w:pPr>
            <w:r>
              <w:rPr>
                <w:rFonts w:ascii="Arial" w:cs="Arial" w:eastAsia="Arial" w:hAnsi="Arial"/>
                <w:sz w:val="18"/>
                <w:szCs w:val="18"/>
                <w:color w:val="auto"/>
              </w:rPr>
              <w:t>(5.0)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Commercial</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699</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20"/>
              <w:spacing w:after="0"/>
              <w:rPr>
                <w:sz w:val="20"/>
                <w:szCs w:val="20"/>
                <w:color w:val="auto"/>
              </w:rPr>
            </w:pPr>
            <w:r>
              <w:rPr>
                <w:rFonts w:ascii="Arial" w:cs="Arial" w:eastAsia="Arial" w:hAnsi="Arial"/>
                <w:sz w:val="18"/>
                <w:szCs w:val="18"/>
                <w:color w:val="auto"/>
              </w:rPr>
              <w:t>Industrial</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3,157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2,197</w:t>
            </w:r>
          </w:p>
        </w:tc>
        <w:tc>
          <w:tcPr>
            <w:tcW w:w="920" w:type="dxa"/>
            <w:vAlign w:val="bottom"/>
          </w:tcPr>
          <w:p>
            <w:pPr>
              <w:jc w:val="right"/>
              <w:spacing w:after="0"/>
              <w:rPr>
                <w:sz w:val="20"/>
                <w:szCs w:val="20"/>
                <w:color w:val="auto"/>
              </w:rPr>
            </w:pPr>
            <w:r>
              <w:rPr>
                <w:rFonts w:ascii="Arial" w:cs="Arial" w:eastAsia="Arial" w:hAnsi="Arial"/>
                <w:sz w:val="18"/>
                <w:szCs w:val="18"/>
                <w:color w:val="auto"/>
              </w:rPr>
              <w:t>960</w:t>
            </w:r>
          </w:p>
        </w:tc>
        <w:tc>
          <w:tcPr>
            <w:tcW w:w="760" w:type="dxa"/>
            <w:vAlign w:val="bottom"/>
          </w:tcPr>
          <w:p>
            <w:pPr>
              <w:jc w:val="right"/>
              <w:spacing w:after="0"/>
              <w:rPr>
                <w:sz w:val="20"/>
                <w:szCs w:val="20"/>
                <w:color w:val="auto"/>
              </w:rPr>
            </w:pPr>
            <w:r>
              <w:rPr>
                <w:rFonts w:ascii="Arial" w:cs="Arial" w:eastAsia="Arial" w:hAnsi="Arial"/>
                <w:sz w:val="18"/>
                <w:szCs w:val="18"/>
                <w:color w:val="auto"/>
              </w:rPr>
              <w:t>43.7 %</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Municipals</w:t>
            </w:r>
          </w:p>
        </w:tc>
        <w:tc>
          <w:tcPr>
            <w:tcW w:w="2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493</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720"/>
              <w:spacing w:after="0"/>
              <w:rPr>
                <w:sz w:val="20"/>
                <w:szCs w:val="20"/>
                <w:color w:val="auto"/>
              </w:rPr>
            </w:pPr>
            <w:r>
              <w:rPr>
                <w:rFonts w:ascii="Arial" w:cs="Arial" w:eastAsia="Arial" w:hAnsi="Arial"/>
                <w:sz w:val="18"/>
                <w:szCs w:val="18"/>
                <w:color w:val="auto"/>
              </w:rPr>
              <w:t>Total Retail and Municipals</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4,935</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4,010</w:t>
            </w:r>
          </w:p>
        </w:tc>
        <w:tc>
          <w:tcPr>
            <w:tcW w:w="920" w:type="dxa"/>
            <w:vAlign w:val="bottom"/>
          </w:tcPr>
          <w:p>
            <w:pPr>
              <w:jc w:val="right"/>
              <w:spacing w:after="0"/>
              <w:rPr>
                <w:sz w:val="20"/>
                <w:szCs w:val="20"/>
                <w:color w:val="auto"/>
              </w:rPr>
            </w:pPr>
            <w:r>
              <w:rPr>
                <w:rFonts w:ascii="Arial" w:cs="Arial" w:eastAsia="Arial" w:hAnsi="Arial"/>
                <w:sz w:val="18"/>
                <w:szCs w:val="18"/>
                <w:color w:val="auto"/>
              </w:rPr>
              <w:t>925</w:t>
            </w:r>
          </w:p>
        </w:tc>
        <w:tc>
          <w:tcPr>
            <w:tcW w:w="760" w:type="dxa"/>
            <w:vAlign w:val="bottom"/>
          </w:tcPr>
          <w:p>
            <w:pPr>
              <w:jc w:val="right"/>
              <w:spacing w:after="0"/>
              <w:rPr>
                <w:sz w:val="20"/>
                <w:szCs w:val="20"/>
                <w:color w:val="auto"/>
              </w:rPr>
            </w:pPr>
            <w:r>
              <w:rPr>
                <w:rFonts w:ascii="Arial" w:cs="Arial" w:eastAsia="Arial" w:hAnsi="Arial"/>
                <w:sz w:val="18"/>
                <w:szCs w:val="18"/>
                <w:color w:val="auto"/>
              </w:rPr>
              <w:t>23.1 %</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Power Suppliers</w:t>
            </w:r>
          </w:p>
        </w:tc>
        <w:tc>
          <w:tcPr>
            <w:tcW w:w="2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1,539</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Regulated Utility Kilowatt-hours Sold</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6,474</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6,034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20" w:type="dxa"/>
            <w:vAlign w:val="bottom"/>
            <w:tcBorders>
              <w:bottom w:val="single" w:sz="8" w:color="auto"/>
            </w:tcBorders>
          </w:tcPr>
          <w:p>
            <w:pPr>
              <w:spacing w:after="0"/>
              <w:rPr>
                <w:sz w:val="19"/>
                <w:szCs w:val="19"/>
                <w:color w:val="auto"/>
              </w:rPr>
            </w:pPr>
          </w:p>
        </w:tc>
      </w:tr>
    </w:tbl>
    <w:p>
      <w:pPr>
        <w:spacing w:after="0" w:line="20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Revenue from electric sales to taconite customers accounted for 23 percent of consolidated operating revenue in 2010 (16 percent in 2009). The increase in revenue from our taconite customers was partially offset by a decrease in revenue from electric sales to Other Power Suppliers which accounted for 13 percent of consolidated operating revenue in 2010 (23 percent in 2009). Revenue from electric sales to paper and pulp mills accounted for 9 percent of consolidated operating revenue in 2010 (9 percent in 2009). Revenue from electric sales to pipelines and other industrials accounted for 6 percent of consolidated operating revenue in 2010 (7 percent in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$53.2 million, or 19 percent, from 2009.</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$24.5 million, or 19 percent, from 2009. The increase is primarily due to higher fuel costs of $13.0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a 13 percent increase in coal generation at our facilities and higher coal prices and related transportation. Purchased power expense also increased $8.7 million reflecting higher market prices.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SIX MONTHS ENDED JUNE 30, 2010 AND 2009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$19.4 million, or 16 percent, from 2009 reflecting additional MISO expenses of $8.6 million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250 kV DC transmission line we purchased from Square Butte on December 31, 2009, higher plant maintenance and outage expenses of $6.6 million, and increased benefits costs of $4.6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$9.3 million, or 33 percent, from 2009 reflecting higher property, plant, and equipment placed in service.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increased $1.4 million, or 10 percent, from 2009 primarily due to additional long-term debt issued to fund new capital investments. This was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$0.5 million related to interest accrued on retail rate refunds in 2009.</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$14.5 million, or 82 percent, from 2009 primarily due to higher pretax income and a non-recurring charge to ALLETE’s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the Patient Protection and Affordable Care Act of $3.6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$3.5 million, or 9 percent, from 2009 primarily due to a $2.9 million decrease in revenue from non-regulated generation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transfer of a small generating facility to Regulated Operations in November 2009.</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 at ALLETE Properties was down $0.5 million primarily due to no land sales during the first six months of 2010. This was due to the continued lack of demand for our properties as a result of poor real estate market conditions in Florida. During the first six months of 2009, ALLETE Properties sold approximately 19 acres of property located outside of its three main development projects for $2.2 million.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Properties</w:t>
            </w:r>
          </w:p>
        </w:tc>
        <w:tc>
          <w:tcPr>
            <w:tcW w:w="3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2009</w:t>
            </w:r>
          </w:p>
        </w:tc>
        <w:tc>
          <w:tcPr>
            <w:tcW w:w="10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and Sales Activity</w:t>
            </w:r>
          </w:p>
        </w:tc>
        <w:tc>
          <w:tcPr>
            <w:tcW w:w="3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Quantity</w:t>
            </w: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Quantity</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3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3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3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 xml:space="preserve">Contract Sales Price </w:t>
            </w:r>
            <w:r>
              <w:rPr>
                <w:rFonts w:ascii="Arial" w:cs="Arial" w:eastAsia="Arial" w:hAnsi="Arial"/>
                <w:sz w:val="18"/>
                <w:szCs w:val="18"/>
                <w:i w:val="1"/>
                <w:iCs w:val="1"/>
                <w:color w:val="auto"/>
              </w:rPr>
              <w:t>(b)</w:t>
            </w:r>
          </w:p>
        </w:tc>
        <w:tc>
          <w:tcPr>
            <w:tcW w:w="318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318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(c)</w:t>
            </w:r>
          </w:p>
        </w:tc>
        <w:tc>
          <w:tcPr>
            <w:tcW w:w="3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ALLETE Properties Revenue</w:t>
            </w:r>
          </w:p>
        </w:tc>
        <w:tc>
          <w:tcPr>
            <w:tcW w:w="3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Acreage amounts are shown on a gross basis, including wetlands and non-controlling interest.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  Reflects total contract sales price on closed land transactions. Land sales are recorded using a percentage-of-completion method.</w:t>
      </w:r>
    </w:p>
    <w:p>
      <w:pPr>
        <w:spacing w:after="0" w:line="9" w:lineRule="exact"/>
        <w:rPr>
          <w:sz w:val="20"/>
          <w:szCs w:val="20"/>
          <w:color w:val="auto"/>
        </w:rPr>
      </w:pPr>
    </w:p>
    <w:p>
      <w:pPr>
        <w:ind w:left="340" w:hanging="332"/>
        <w:spacing w:after="0" w:line="261"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Other Revenue primarily includes a $0.7 million pre-tax gain for the six months ended June 30, 2010, due to the receipt of property from an entity which filed for voluntary Chapter 11 bankruptcy in June 2009</w:t>
      </w:r>
      <w:r>
        <w:rPr>
          <w:rFonts w:ascii="Arial" w:cs="Arial" w:eastAsia="Arial" w:hAnsi="Arial"/>
          <w:sz w:val="18"/>
          <w:szCs w:val="18"/>
          <w:color w:val="auto"/>
        </w:rPr>
        <w:t>.</w:t>
      </w:r>
    </w:p>
    <w:p>
      <w:pPr>
        <w:spacing w:after="0" w:line="1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$3.7 million, or 9 percent, from 2009 reflecting lower non-regulated generation expenses of $2.0 million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 of a small generating facility to Regulated Operations in November 2009, and decreased expenses at ALLETE Properties of $1.0 million due to reductions in the cost of land sold and general and administrative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SIX MONTHS ENDED JUNE 30, 2010 AND 2009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six months ended June 30, 2010, the effective tax rate was 41.0 percent (36.4 percent for the six months ended June 30, 2009). Excluding additional tax expense recorded as a result of the Patient Protection and Affordable Care Act, the 2010 effective tax rate was 35.4 percent. The effective tax rate in each period deviated from the statutory rate (approximately 41 percent) primarily due to deductions for Medicare health subsidies, AFUDC-Equity, investment tax credits, wind productions tax credits, and depletion. The 2010 effective tax rate, excluding the additional tax expense recorded as a result of the Patient Protection and Affordable Care Act, was also favorably impacted by the completion of a state income tax audit. The 2009 effective tax rate included the effect of deductions for Medicare prescription drug subsidies and additional expense related to a non-recurring permanen t item. We expect the effective tax rate for the full year 2010 to be approximately 39 percent (36 percent excluding the effect of the Patient Protection and Affordable Care Act). (See Note 9. Income Tax Expense.)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valuation of investments, pension and postretirement health and life actuarial assumptions, and taxation. These policies are reviewed with the Audit Committee of our Board of Directors on a regular basis and summarized in Part II, Item 7. Management’s Discussion and Analysis of Financial Condition and Results of Operations of our 2009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2009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To accomplish this, we intend to take actions necessary to earn our allowed rate of return in our regulated businesses, while we pursue growth initiatives in renewable energy, transmission and other energy-centric businesses.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over the long term, wind energy will play an increasingly important role in our nation’s energy mix. We intend to pursue the establishment of a renewable energy business focused initially on developing wind assets in North Dakota and the upper Midwest. We intend to develop wind resources which will be used to meet renewable supply requirements of our regulated businesses as well as wind resources that will be marketed to others. We will capitalize on our existing presence in North Dakota through BNI Coal, our recently acquired DC transmission line and Bison I. Through BNI Coal we have a long-term business presence and established landowner relationships in North Dakota. See page 37 for more discussion on the DC line acquisition and Bison I. For projects to be marketed to others, we intend to secure long-term power purchase agreements prior to construction of the wind generation facilities. Establishment of the business is subject to appropriate MPUC approvals.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plan to make investments in upper Midwest transmission opportunities that strengthen or enhance the regional transmission grid, or take advantage of our geographical location between sources of renewable energy and end users. In addition, we plan to make additional investments to fund our pro rata share of ATC’s future capital expansion program. Minnesota Power is also participating with other regional utilities in making regional transmission investments as a member of the CapX2020 initiative. The CapX2020 initiative is discussed in more detail on page 38.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exploring investing in other energy-centric businesses that will complement an entrance into the renewable energy business, or leverage demand trends related to transmission, environmental control or energy efficiency.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ALLETE intends to sell its Florida land assets at reasonable prices, over time or in bulk transactions, and reinvest the proceeds in its growth initiatives.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does not intend to acquire additional real estate.</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maintain its competitively priced production of energy, reduce customer concentration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exposure, comply with environmental permits and renewable requirements, and earn our allowed rate of return. Keeping the production of energy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Minnesota Power intends to reduce its customer concentration risk to reduce exposure to cyclical industries; this may include restructuring commercial contracts, additional sales to other regional power suppliers, and reshaping our power supply to be more flexible to swings in customer demand. We will monitor and review environmental proposals and may challenge those that add considerable cost with limited environmental benefit. Current economic conditions require a very careful balancing of the benefit of further environmental controls with the impacts of the costs of those controls on our customers as well as on the Company and its competitive position. We will pursue current cost recovery riders to recover environmental and renewable investments, and will work with our legislators and regulators to earn a fair return.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Rates</w:t>
      </w:r>
      <w:r>
        <w:rPr>
          <w:rFonts w:ascii="Arial" w:cs="Arial" w:eastAsia="Arial" w:hAnsi="Arial"/>
          <w:sz w:val="18"/>
          <w:szCs w:val="18"/>
          <w:color w:val="auto"/>
        </w:rPr>
        <w:t>. Entities within our Regulated Operations segment file for periodic rate revisions with the MPUC, the FERC or the PSCW.</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2010 Rate Case. </w:t>
      </w:r>
      <w:r>
        <w:rPr>
          <w:rFonts w:ascii="Arial" w:cs="Arial" w:eastAsia="Arial" w:hAnsi="Arial"/>
          <w:sz w:val="16"/>
          <w:szCs w:val="16"/>
          <w:color w:val="auto"/>
        </w:rPr>
        <w:t>On November 2, 2009, Minnesota Power filed a retail rate increase request for additional revenues to recover the costs of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to ensure current and future system reliability, enhance environmental performance and bring new renewable energy to northeastern Minnesota. This retail rate request seeks a return on equity of 11.50 percent, a capital structure consisting of 54.29 percent equity and 45.71 percent debt and, on an annualized basis, an $81.0 million net increase in electric retail revenue, which was subsequently reduced to $72 million as discussed below.</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law allows the collection of interim rates while the MPUC processes the rate filing. On December 30, 2009, the MPUC issued an Order (the Order) authorizing $48.5 million of Minnesota Power’s November 2, 2009, interim rate increase request of $73.0 million. Interim rates, which were implemented on January 1, 2010, are subject to refund pending the MPUC’s final rate order.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MPUC cited exigent circumstances in reducing Minnesota Power’s interim rate request. Because the scope and depth of this reduction in interim rates was unprecedented, and because Minnesota law does not allow Minnesota Power to formally challenge the MPUC’s action until a final decision in the case is rendered, on January 6, 2010, Minnesota Power sent a letter to the MPUC expressing its concerns about the Order and requested that the MPUC reconsider its decision on its own motion. Minnesota Power described its belief that the MPUC’s decision violates the law by prejudging the merits of the rate request prior to an evidentiary hearing and results in the confiscation of utility property. Further, the Company is concerned that the decision will have negative consequences on the environmental policy directions of the S tate of Minnesota by denying recovery for statutory mandates during the pendency of the rate proceeding. The MPUC has not acted in response to Minnesota Power’s letter.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rate case process requires public hearings and an evidentiary hearing before an Administrative Law Judge. The public hearings occurred in April 2010, and the evidentiary hearing occurred in May 2010. A report and recommendation from the Administrative Law Judge is scheduled to be issued in August 2010, with a final decision on the rate request expected in November 2010.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April 29, 2010, rebuttal testimony filing, we lowered our initial retail rate increase request from $81 million to approximately $72 million due to adjustments for known and measurable events that have occurred since we originally filed. The largest of these adjustments relates to increased sales to our industrial customers. At the same time, we also lowered our return on equity request from 11.50 percent to 11.25 percent. Also, during the second quarter of 2010, we entered into a stipulation agreement with several rate case interveners on several issues. The stipulation agreement is non-binding on the MPUC and will be considered for approval in the normal course of this proceeding. We cannot predict the final level of rates that may be approved by the MPUC and we cannot predict whether a legal challenge to the MPUC’s inte rim rate decision will be forthcoming or successful.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2008 Rate Case – Fuel and Purchase Power</w:t>
      </w:r>
      <w:r>
        <w:rPr>
          <w:rFonts w:ascii="Arial" w:cs="Arial" w:eastAsia="Arial" w:hAnsi="Arial"/>
          <w:sz w:val="18"/>
          <w:szCs w:val="18"/>
          <w:color w:val="auto"/>
        </w:rPr>
        <w:t>. In the final 2008 rate case order, the MPUC approved the stipulation and settlement agreement that affirmed</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continued recovery of fuel and purchased power costs under the former base cost of fuel that was in effect prior to the 2008 retail rate filing. The transition to the former base cost of fuel began with the implementation of final rates on November 1, 2009. Any revenue impact associated with this transition will be identified in a future filing related to Minnesota Power’s fuel clause operation.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FERC-Approved Wholesale Rates. </w:t>
      </w:r>
      <w:r>
        <w:rPr>
          <w:rFonts w:ascii="Arial" w:cs="Arial" w:eastAsia="Arial" w:hAnsi="Arial"/>
          <w:sz w:val="16"/>
          <w:szCs w:val="16"/>
          <w:color w:val="auto"/>
        </w:rPr>
        <w:t>Minnesota Power’s non-affiliated municipal customers consist of 16 municipalities in Minnesota and 1 private utility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SWL&amp;P, a wholly-owned subsidiary of ALLETE, is also a private utility in Wisconsin and a customer of Minnesota Power. In 2008, Minnesota Power entered into new contracts that transitioned these customers to formula-based rates which expire December 31, 2013. Under the formula-based rates provision, wholesale rates are set at the beginning of the year based on expected costs and provide for a true-up calculation for actual costs. Wholesale rate increases implemented on January 1, 2010, are expected to generate approximately $7 million in revenues on an annualized basis.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Wisconsin Rates. </w:t>
      </w:r>
      <w:r>
        <w:rPr>
          <w:rFonts w:ascii="Arial" w:cs="Arial" w:eastAsia="Arial" w:hAnsi="Arial"/>
          <w:sz w:val="17"/>
          <w:szCs w:val="17"/>
          <w:color w:val="auto"/>
        </w:rPr>
        <w:t>SWL&amp;P’s current retail rates are based on a 2008 PSCW retail rate order, effective January 1, 2009. On May 17, 2010, SWL&amp;P filed a rate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request with the PSCW seeking an average overall increase of 3.6 percent for retail customers (a 1.4 percent increase in electric rates, a 3.0 percent increase in natural gas rates, and a 17.9 percent increase in water rates). The rate filing seeks an overall return on equity of 11.3 percent, and a capital structure consisting of 56.9 percent equity and 43.1 percent debt. On an annualized basis, the requested rate increase would generate approximately $3 million in additional revenue. Evidentiary and public hearings are schedul ed to be held in September 2010. The Company anticipates new rates will take effect during the first quarter of 2011. We cannot predict the level of rates that may be approved by the PSCW.</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Industrial Customers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 power is one of several key inputs in the taconite mining, paper production, and pipeline industries. Approximately 49 percent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Regulated Utility kilowatt-hour sales in the quarter ended June 30, 2010 (36 percent in the quarter ended June 30, 2009), were made to our industrial customers, which include the taconite, paper and pulp, and pipeline industries.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 to the American Iron and Steel Institute, domestic raw steel production for the first six months of 2010, was approximately 71 percent of capacity, compared to 45 percent of capacity for the first six months of 2009. As a result, Minnesota Power expects an increase in taconite production for 2010 compared to 2009 (approximately 18 million tons in 2009), although production will still be less than previous levels (40 million tons in 2008). We will continue to market available power to Other Power Suppliers in an effort to mitigate the earnings impact of these lower industrial sales. Sales to Other Power Suppliers are dependent upon the availability of generation and are sold at market-based prices into the MISO market on a daily basis or through bilateral agreements of various durations. We can make no assurances that our powe r marketing efforts will fully offset the reduced earnings resulting from lower demand nominations from our industrial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Renewable Energy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2007, Minnesota enacted a law requiring 25 percent of Minnesota Power’s total retail energy sales in Minnesota to 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renewable energy sources by 2025. The law also requires Minnesota Power to meet interim milestones of 12 percent by 2012, 17 percent by 2016, and 20 percent by 2020. Minnesota Power has developed a plan to meet the renewable goals set by Minnesota and has included this plan in the most recent filing of the Integrated Resource Plan with the MPUC. The law allows the MPUC to modify or delay meeting a milestone if implementation will cause significant ratepayer cost or technical reliability issues. If a utility is not in compliance with a milestone, th e MPUC may order the utility to construct facilities, purchase renewable energy or purchase renewable energy credits. Minnesota Power was developing and making renewable supply additions as part of its generation planning strategy prior to the enactment of this law and this activity continues.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executing our renewable energy strategy. In 2006 and 2007, we entered into two long-term power purchase agreements for a total of 98 MWs of wind energy in North Dakota (Oliver Wind I and II). Taconite Ridge Wind I, our $50 million, 25-MW wind facility located in northeastern Minnesota became operational in 2008.</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North Dakota Wind Project. </w:t>
      </w:r>
      <w:r>
        <w:rPr>
          <w:rFonts w:ascii="Arial" w:cs="Arial" w:eastAsia="Arial" w:hAnsi="Arial"/>
          <w:sz w:val="16"/>
          <w:szCs w:val="16"/>
          <w:color w:val="auto"/>
        </w:rPr>
        <w:t>After obtaining the required approvals from the MPUC and the FERC in the fourth quarter of 2009, on December 31, 2009, we</w:t>
      </w:r>
      <w:r>
        <w:rPr>
          <w:rFonts w:ascii="Arial" w:cs="Arial" w:eastAsia="Arial" w:hAnsi="Arial"/>
          <w:sz w:val="16"/>
          <w:szCs w:val="16"/>
          <w:i w:val="1"/>
          <w:iCs w:val="1"/>
          <w:color w:val="auto"/>
        </w:rPr>
        <w:t xml:space="preserve"> </w:t>
      </w:r>
      <w:r>
        <w:rPr>
          <w:rFonts w:ascii="Arial" w:cs="Arial" w:eastAsia="Arial" w:hAnsi="Arial"/>
          <w:sz w:val="16"/>
          <w:szCs w:val="16"/>
          <w:color w:val="auto"/>
        </w:rPr>
        <w:t>closed on the purchase of the existing 250 kV DC transmission line from Square Butte for $69.7 million. The 465-mile transmission line runs from Center, North Dakota, to Duluth, Minnesota. We expect to use this line to transport increasing amounts of wind energy from North Dakota while gradually phasing out coal-based electricity currently being delivered to our system over this transmission line from Square Butte’s lignite coal-fired generating unit.</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7, 2009, the MPUC approved Minnesota Power’s petition seeking current cost recovery eligibility for investments and expenditures related to Bison I and associated transmission upgrades. On September 29, 2009, the NDPSC authorized site construction for Bison I. On March 10, 2010, the NDPSC authorized construction of a 22 mile, 230 kV transmission line that will connect Bison I to the DC transmission line at the Square Butte Substation in Center, North Dakota. Bison I is the first portion of several hundred MWs of our North Dakota Wind Project, which upon completion will help fulfill the Minnesota 2025 renewable energy supply requirement for our retail load. Bison I, located near Center, North Dakota, will be comprised of 33 wind turbines with a total nameplate capacity of 75.9 MWs and will be phased into service in late 2010 and 2011. Bison I, including the associated transmission upgrades to the DC Line, will have a total capital cost of approximately $177 million. As of June 30, 2010, total costs incurred were approximately $63 million. In March 2010, we filed a petition with the MPUC to establish current cost recovery through customer billings for the approved project. On July 21, 2010, the MPUC approved our petition establishing new rates effective August 1, 2010.</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On April 30, 2010, Minnesota Power signed a definitive agreement with Manitoba Hydro, subject to MPUC approval, to purchase surplus</w:t>
      </w:r>
      <w:r>
        <w:rPr>
          <w:rFonts w:ascii="Arial" w:cs="Arial" w:eastAsia="Arial" w:hAnsi="Arial"/>
          <w:sz w:val="18"/>
          <w:szCs w:val="18"/>
          <w:i w:val="1"/>
          <w:iCs w:val="1"/>
          <w:color w:val="auto"/>
        </w:rPr>
        <w:t xml:space="preserve"> </w:t>
      </w:r>
      <w:r>
        <w:rPr>
          <w:rFonts w:ascii="Arial" w:cs="Arial" w:eastAsia="Arial" w:hAnsi="Arial"/>
          <w:sz w:val="18"/>
          <w:szCs w:val="18"/>
          <w:color w:val="auto"/>
        </w:rPr>
        <w:t>energy beginning in May 2011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October 5, 2009, Minnesota Power filed with the MPUC its 2010 Integrated Resource Plan, a comprehensive estimate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capacity needs within Minnesota Power’s service territory. Minnesota Power does not anticipate the need for new base load generation within the Minnesota Power service territory through 2025, and plans to meet estimated future customer demand while achieving:</w:t>
      </w:r>
    </w:p>
    <w:p>
      <w:pPr>
        <w:spacing w:after="0" w:line="181" w:lineRule="exact"/>
        <w:rPr>
          <w:sz w:val="20"/>
          <w:szCs w:val="20"/>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system flexibility to adapt to volatile business cycles and varied future industrial load scenarios;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the emission of GHGs (primarily carbon dioxide);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mandated renewable energy standards.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achieve these objectives over the coming years, we plan to reshape our generation portfolio by adding 300 to 500 megawatts of renewable energy to our generation mix, and exploring options to incorporate peaking or intermediate resources. Bison I in North Dakota is expected to be in service in late 2010 and 2011.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Resource Plan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project average annual long-term growth of approximately one percent in electric usage through 2025. We will also focus on conservation and demand side management to meet the energy savings goals established in Minnesota legislation.</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Emission Reduction Plans. </w:t>
      </w:r>
      <w:r>
        <w:rPr>
          <w:rFonts w:ascii="Arial" w:cs="Arial" w:eastAsia="Arial" w:hAnsi="Arial"/>
          <w:sz w:val="18"/>
          <w:szCs w:val="18"/>
          <w:color w:val="auto"/>
        </w:rPr>
        <w:t>We have made investments in pollution control equipment at our Boswell Unit 3 generating unit that reduces particulates, SO</w:t>
      </w:r>
      <w:r>
        <w:rPr>
          <w:rFonts w:ascii="Arial" w:cs="Arial" w:eastAsia="Arial" w:hAnsi="Arial"/>
          <w:sz w:val="25"/>
          <w:szCs w:val="25"/>
          <w:color w:val="auto"/>
          <w:vertAlign w:val="subscript"/>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and mercury emissions to meet future federal and state requirements. This equipment was placed in service in November 2009. Our 2010 rate case proposes to move this project from a current cost recovery rider to base rates.</w:t>
      </w:r>
    </w:p>
    <w:p>
      <w:pPr>
        <w:spacing w:after="0" w:line="88" w:lineRule="exact"/>
        <w:rPr>
          <w:sz w:val="20"/>
          <w:szCs w:val="20"/>
          <w:color w:val="auto"/>
        </w:rPr>
      </w:pPr>
    </w:p>
    <w:p>
      <w:pPr>
        <w:jc w:val="both"/>
        <w:spacing w:after="0" w:line="221" w:lineRule="auto"/>
        <w:rPr>
          <w:sz w:val="20"/>
          <w:szCs w:val="20"/>
          <w:color w:val="auto"/>
        </w:rPr>
      </w:pPr>
      <w:r>
        <w:rPr>
          <w:rFonts w:ascii="Arial" w:cs="Arial" w:eastAsia="Arial" w:hAnsi="Arial"/>
          <w:sz w:val="17"/>
          <w:szCs w:val="17"/>
          <w:b w:val="1"/>
          <w:bCs w:val="1"/>
          <w:i w:val="1"/>
          <w:iCs w:val="1"/>
          <w:color w:val="auto"/>
        </w:rPr>
        <w:t>Boswell NO</w:t>
      </w:r>
      <w:r>
        <w:rPr>
          <w:rFonts w:ascii="Arial" w:cs="Arial" w:eastAsia="Arial" w:hAnsi="Arial"/>
          <w:sz w:val="24"/>
          <w:szCs w:val="24"/>
          <w:b w:val="1"/>
          <w:bCs w:val="1"/>
          <w:i w:val="1"/>
          <w:iCs w:val="1"/>
          <w:color w:val="auto"/>
          <w:vertAlign w:val="subscript"/>
        </w:rPr>
        <w:t>X</w:t>
      </w:r>
      <w:r>
        <w:rPr>
          <w:rFonts w:ascii="Arial" w:cs="Arial" w:eastAsia="Arial" w:hAnsi="Arial"/>
          <w:sz w:val="17"/>
          <w:szCs w:val="17"/>
          <w:b w:val="1"/>
          <w:bCs w:val="1"/>
          <w:i w:val="1"/>
          <w:iCs w:val="1"/>
          <w:color w:val="auto"/>
        </w:rPr>
        <w:t xml:space="preserve"> Reduction Plan. </w:t>
      </w:r>
      <w:r>
        <w:rPr>
          <w:rFonts w:ascii="Arial" w:cs="Arial" w:eastAsia="Arial" w:hAnsi="Arial"/>
          <w:sz w:val="17"/>
          <w:szCs w:val="17"/>
          <w:color w:val="auto"/>
        </w:rPr>
        <w:t>In September 2008, we submitted to the MPCA and MPUC a $92 million environmental initiative proposing cost recovery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relating to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emission reductions from Boswell Units 1, 2, and 4. The Boswell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Reduction Plan is expected to significantly reduce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emissions from these units. In conjunction with the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reduction, we plan to make an efficiency improvement to our existing turbine/generator at Boswell Unit 4 adding approximately 60 MWs of total output. The Boswell 1, 2 and 4 selective non-catalytic reduction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controls are currently in service, while the Boswell 4 low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burners and turbine efficiency projects will begin in the third quarter of 2010 and are anticipated to be in service in late 2010. Our 2010 rate case seeks recovery of the costs associated with these projects in base rates.</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make investments in upper Midwest transmission opportunities that strengthen or enhance the regional transmission grid.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include the CapX2020 initiative, investments in our transmission assets, and our investment in ATC.</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color w:val="auto"/>
        </w:rPr>
        <w:t>. 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intends to invest in two lines, a 250-mile 345 kV line between Fargo, North Dakota and Monticello, Minnesota, and a 70-mile, 230 kV line between Bemidji and Grand Rapids, Minnesota. The MPUC issued the Certificate of Need for the 230 kV line in July 2009. On July 12, 2010, the MPUC issued a Route Permit for the portion of the 345 kV line from Monticello to St. Cloud, Minnesota, and a decision for the remaining portion of the line to Fargo is still pending. Our total investment in these lines is expected to be between $100 and $125 million. We intend to seek recovery of these costs under the Minnesota Power transmission cost recovery tariff rider authorized by Minnesota legislation. Construction of the lines is targeted to begin in late 2010 and may take up to five years.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our current billing factor was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the MPUC in June 2009. The billing factor allows us to charge our retail customers on a current basis for the costs of constructing certain transmission facilities plus a return on the capital invested. Our 2010 rate case proposes to move completed transmission projects from the current cost recovery rider to base rates. In July 2010, we filed for an updated billing factor that includes additional transmission projects and expenses which we expect to be approved later this year.</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Investment in ATC. </w:t>
      </w:r>
      <w:r>
        <w:rPr>
          <w:rFonts w:ascii="Arial" w:cs="Arial" w:eastAsia="Arial" w:hAnsi="Arial"/>
          <w:sz w:val="17"/>
          <w:szCs w:val="17"/>
          <w:color w:val="auto"/>
        </w:rPr>
        <w:t>At June 30, 2010, our equity investment in ATC was $91.1 million, representing an approximate 8 percent ownership interest. ATC</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transmission service under rates regulated by the FERC that are set in accordance with the FERC’s policy of establishing the independent operation and ownership of, and investment in, transmission facilities. ATC rates are based on a 12.2 percent return on common equity dedicated to utility plant. ATC has identified $2.5 billion in future projects needed over the next 10 years to improve the adequacy and reliability of the electric transmission system. This investment is expected to be funded through a combination of internally generated cash, debt, and investor contributions. As additional opportunities arise, we plan t o make additional investments in ATC through general capital calls based upon our pro-rata ownership interest in ATC. We expect to invest an additional $1 million in 2010. (See Note 6. Investment in ATC.)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Power Sales Agreement. </w:t>
      </w:r>
      <w:r>
        <w:rPr>
          <w:rFonts w:ascii="Arial" w:cs="Arial" w:eastAsia="Arial" w:hAnsi="Arial"/>
          <w:sz w:val="17"/>
          <w:szCs w:val="17"/>
          <w:color w:val="auto"/>
        </w:rPr>
        <w:t>On October 29, 2009, Minnesota Power entered into an agreement to sell Basin 100 MWs of capacity and energy for the next 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beginning in May 2010. The Basin agreement contains a fixed monthly schedule of capacity charges with an annual escalation provision. The energy charge is based on a fixed monthly schedule and provides for annual escalation based on our cost of fuel. The agreement allows us to recover a pro-rata share of increased costs related to emissions that may occur during the last five years of the contract.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2010 (4.2 million tons were sold in 2009) and has sold approximately 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tons through June 30, 2010 (2.2 million tons sold as of June 30, 2009).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and sell the portfolio over time or in bulk transactions. ALLETE intends to sell its Florida land assets at reasonable prices when opportunities arise, and reinvest the proceeds in its growth initiatives. ALLETE Properties does not intend to acquire additional real estate.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two major development projects are Town Center and Palm Coast Park. Ormond Crossings is a third major project that is currently in the planning stage. On February 16, 2010, the City of Ormond Beach, Florida, approved a Development Agreement for Ormond Crossings. The agreement will facilitate development of the project as currently planned. Separately, the Lake Swamp wetland mitigation bank was permitted on land that was previously part of Ormond Crossings.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Development Projects</w:t>
            </w:r>
          </w:p>
        </w:tc>
        <w:tc>
          <w:tcPr>
            <w:tcW w:w="2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ResidentialNon-residential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Land Available-for-Sale</w:t>
            </w:r>
          </w:p>
        </w:tc>
        <w:tc>
          <w:tcPr>
            <w:tcW w:w="2960" w:type="dxa"/>
            <w:vAlign w:val="bottom"/>
          </w:tcPr>
          <w:p>
            <w:pPr>
              <w:ind w:left="2000"/>
              <w:spacing w:after="0"/>
              <w:rPr>
                <w:sz w:val="20"/>
                <w:szCs w:val="20"/>
                <w:color w:val="auto"/>
              </w:rPr>
            </w:pPr>
            <w:r>
              <w:rPr>
                <w:rFonts w:ascii="Arial" w:cs="Arial" w:eastAsia="Arial" w:hAnsi="Arial"/>
                <w:sz w:val="18"/>
                <w:szCs w:val="18"/>
                <w:b w:val="1"/>
                <w:bCs w:val="1"/>
                <w:color w:val="auto"/>
              </w:rPr>
              <w:t>Ownership</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Acres (a)</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Units (b) Sq. Ft. (b, 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Development Projects</w:t>
            </w:r>
          </w:p>
        </w:tc>
        <w:tc>
          <w:tcPr>
            <w:tcW w:w="2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Town Center</w:t>
            </w:r>
          </w:p>
        </w:tc>
        <w:tc>
          <w:tcPr>
            <w:tcW w:w="2960" w:type="dxa"/>
            <w:vAlign w:val="bottom"/>
          </w:tcPr>
          <w:p>
            <w:pPr>
              <w:jc w:val="center"/>
              <w:ind w:left="1630"/>
              <w:spacing w:after="0"/>
              <w:rPr>
                <w:sz w:val="20"/>
                <w:szCs w:val="20"/>
                <w:color w:val="auto"/>
              </w:rPr>
            </w:pPr>
            <w:r>
              <w:rPr>
                <w:rFonts w:ascii="Arial" w:cs="Arial" w:eastAsia="Arial" w:hAnsi="Arial"/>
                <w:sz w:val="18"/>
                <w:szCs w:val="18"/>
                <w:color w:val="auto"/>
                <w:w w:val="88"/>
              </w:rPr>
              <w:t>80%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862</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2,089</w:t>
            </w:r>
          </w:p>
        </w:tc>
        <w:tc>
          <w:tcPr>
            <w:tcW w:w="880" w:type="dxa"/>
            <w:vAlign w:val="bottom"/>
          </w:tcPr>
          <w:p>
            <w:pPr>
              <w:jc w:val="right"/>
              <w:spacing w:after="0"/>
              <w:rPr>
                <w:sz w:val="20"/>
                <w:szCs w:val="20"/>
                <w:color w:val="auto"/>
              </w:rPr>
            </w:pPr>
            <w:r>
              <w:rPr>
                <w:rFonts w:ascii="Arial" w:cs="Arial" w:eastAsia="Arial" w:hAnsi="Arial"/>
                <w:sz w:val="18"/>
                <w:szCs w:val="18"/>
                <w:color w:val="auto"/>
              </w:rPr>
              <w:t>2,215,200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Palm Coast Park</w:t>
            </w:r>
          </w:p>
        </w:tc>
        <w:tc>
          <w:tcPr>
            <w:tcW w:w="2960" w:type="dxa"/>
            <w:vAlign w:val="bottom"/>
            <w:tcBorders>
              <w:bottom w:val="single" w:sz="8" w:color="auto"/>
            </w:tcBorders>
            <w:shd w:val="clear" w:color="auto" w:fill="CCEEFF"/>
          </w:tcPr>
          <w:p>
            <w:pPr>
              <w:jc w:val="center"/>
              <w:ind w:left="1650"/>
              <w:spacing w:after="0"/>
              <w:rPr>
                <w:sz w:val="20"/>
                <w:szCs w:val="20"/>
                <w:color w:val="auto"/>
              </w:rPr>
            </w:pPr>
            <w:r>
              <w:rPr>
                <w:rFonts w:ascii="Arial" w:cs="Arial" w:eastAsia="Arial" w:hAnsi="Arial"/>
                <w:sz w:val="18"/>
                <w:szCs w:val="18"/>
                <w:color w:val="auto"/>
                <w:w w:val="91"/>
              </w:rPr>
              <w:t>100%</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3,868</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3,554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Current Development Projects</w:t>
            </w:r>
          </w:p>
        </w:tc>
        <w:tc>
          <w:tcPr>
            <w:tcW w:w="29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4,730</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5,643</w:t>
            </w:r>
          </w:p>
        </w:tc>
        <w:tc>
          <w:tcPr>
            <w:tcW w:w="880" w:type="dxa"/>
            <w:vAlign w:val="bottom"/>
          </w:tcPr>
          <w:p>
            <w:pPr>
              <w:jc w:val="right"/>
              <w:spacing w:after="0"/>
              <w:rPr>
                <w:sz w:val="20"/>
                <w:szCs w:val="20"/>
                <w:color w:val="auto"/>
              </w:rPr>
            </w:pPr>
            <w:r>
              <w:rPr>
                <w:rFonts w:ascii="Arial" w:cs="Arial" w:eastAsia="Arial" w:hAnsi="Arial"/>
                <w:sz w:val="18"/>
                <w:szCs w:val="18"/>
                <w:color w:val="auto"/>
              </w:rPr>
              <w:t>5,272,000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Planned Development Project</w:t>
            </w:r>
          </w:p>
        </w:tc>
        <w:tc>
          <w:tcPr>
            <w:tcW w:w="2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Ormond Crossings</w:t>
            </w:r>
          </w:p>
        </w:tc>
        <w:tc>
          <w:tcPr>
            <w:tcW w:w="296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1"/>
              </w:rPr>
              <w:t>100%</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2,924</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Lake Swamp Wetland Mitigation Project</w:t>
            </w:r>
          </w:p>
        </w:tc>
        <w:tc>
          <w:tcPr>
            <w:tcW w:w="296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1"/>
              </w:rPr>
              <w:t>100%</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3,049</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of Development Projects</w:t>
            </w:r>
          </w:p>
        </w:tc>
        <w:tc>
          <w:tcPr>
            <w:tcW w:w="2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10,703</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8,593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non-controlling interest.</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and includes non-controlling interest.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20" w:lineRule="exact"/>
        <w:rPr>
          <w:rFonts w:ascii="Arial" w:cs="Arial" w:eastAsia="Arial" w:hAnsi="Arial"/>
          <w:sz w:val="17"/>
          <w:szCs w:val="17"/>
          <w:i w:val="1"/>
          <w:iCs w:val="1"/>
          <w:color w:val="auto"/>
        </w:rPr>
      </w:pPr>
    </w:p>
    <w:p>
      <w:pPr>
        <w:jc w:val="both"/>
        <w:ind w:left="340" w:hanging="332"/>
        <w:spacing w:after="0" w:line="255"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Lake Swamp wetland mitigation bank is a regionally significant wetlands mitigation bank that was permitted by the St. Johns River Water Management District in 2008 and by the U.S. Army Corps of Engineers in December 2009. Wetland mitigation credits will be used at Ormond Crossings, and will also be available-for-sale to developers of other projects that are located in the bank’s service area.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also has 1,980 acres of other land available-for-sale outside of the three development projects.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intends to sell its Florida land assets at reasonable prices when opportunities arise. However, if weak market conditions continue for an extended period of time, the impact on our future operations would be the continuation of minimal or no sales while still incurring operating expenses such as community development district assessments and property taxes. This could result in annual net losses for ALLETE Properties similar to 2009.</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Income Taxes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ALLETE’s aggregate federal and multi-state statutory tax rate is approximately 41 percent for 2010. On an ongoing basis, ALLETE has</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tax credits and other tax adjustments that will reduce the statutory rate to the expected effective tax rate. These tax credits and adjustments historically have included items such as investment tax credits, wind production tax credits, AFUDC-Equity, domestic manufacturer’s deduction, depletion, Medicare prescription drug subsidies, as well as other items. The annual effective rate can also be impacted by such items as changes in income before non-controlling interest and income taxes, state and feder al tax law changes that become effective during the year, business combinations and configuration changes, tax planning initiatives and resolution of prior years’ tax matters. We expect our 2010 effective tax rate to be approximately 39 percent (36 percent excluding the effect of the Patient Protection and Affordable Care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immediate cash flow needs. At June 30, 2010, we had a cash balance of</w:t>
      </w:r>
      <w:r>
        <w:rPr>
          <w:rFonts w:ascii="Arial" w:cs="Arial" w:eastAsia="Arial" w:hAnsi="Arial"/>
          <w:sz w:val="18"/>
          <w:szCs w:val="18"/>
          <w:b w:val="1"/>
          <w:bCs w:val="1"/>
          <w:color w:val="auto"/>
        </w:rPr>
        <w:t xml:space="preserve"> </w:t>
      </w:r>
      <w:r>
        <w:rPr>
          <w:rFonts w:ascii="Arial" w:cs="Arial" w:eastAsia="Arial" w:hAnsi="Arial"/>
          <w:sz w:val="18"/>
          <w:szCs w:val="18"/>
          <w:color w:val="auto"/>
        </w:rPr>
        <w:t>$45.3 million, $153.6 million in available consolidated lines of credit which included a committed, syndicated, unsecured revolving line of credit of $150.0 million, and a debt-to-capital ratio of 42 percent. At June 30, 2010, we project sufficient capital availability.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December</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p>
        </w:tc>
        <w:tc>
          <w:tcPr>
            <w:tcW w:w="21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9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31,</w:t>
            </w: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ALLETE Equity</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$962.3</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$929.5</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Long-Term Debt (Including Long-Term Debt Due within One Year)</w:t>
            </w:r>
          </w:p>
        </w:tc>
        <w:tc>
          <w:tcPr>
            <w:tcW w:w="2100" w:type="dxa"/>
            <w:vAlign w:val="bottom"/>
          </w:tcPr>
          <w:p>
            <w:pPr>
              <w:jc w:val="right"/>
              <w:ind w:right="310"/>
              <w:spacing w:after="0"/>
              <w:rPr>
                <w:sz w:val="20"/>
                <w:szCs w:val="20"/>
                <w:color w:val="auto"/>
              </w:rPr>
            </w:pPr>
            <w:r>
              <w:rPr>
                <w:rFonts w:ascii="Arial" w:cs="Arial" w:eastAsia="Arial" w:hAnsi="Arial"/>
                <w:sz w:val="18"/>
                <w:szCs w:val="18"/>
                <w:color w:val="auto"/>
              </w:rPr>
              <w:t>711.2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701.0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1.4</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$1,684.2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100</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$1,641.9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432"/>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Cash Flows. </w:t>
            </w:r>
            <w:r>
              <w:rPr>
                <w:rFonts w:ascii="Arial" w:cs="Arial" w:eastAsia="Arial" w:hAnsi="Arial"/>
                <w:sz w:val="18"/>
                <w:szCs w:val="18"/>
                <w:color w:val="auto"/>
                <w:w w:val="97"/>
              </w:rPr>
              <w:t>Selected information from ALLETE’s Consolidated Statement of Cash Flows is as follows:</w:t>
            </w: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2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Flows from (used for)</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108.5</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Investing Activities</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(82.2)</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Financing Activities</w:t>
            </w:r>
          </w:p>
        </w:tc>
        <w:tc>
          <w:tcPr>
            <w:tcW w:w="2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19.6</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$45.3</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from operating activities was $108.5 million for the six months ended June 30, 2010 ($63.7 million for the six months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2009). Cash from operating activities was higher in 2010 primarily due to higher net income, higher depreciation expense, the collection of tax receivables in 2010, and lower contributions to the defined benefit pension and other postretirement benefit plans (included in changes in regulatory and other non-current liabilities on the consolidated statement of cash flows).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for investing activities was $82.2 million for the six months ended June 30, 2010 ($135.0 million for the six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2009). Cash used for investing activities was lower than 2009 reflecting decreased capital additions to property, plant and equipment. Capital additions in 2009 were higher due to construction activity for environmental retrofit projects in 2009.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Cash used for financing activities was $6.7 million for the six months ended June 30, 2010 (cash from financing activities was $41.7</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six months ended June 30, 2009). The change in cash used for financing activities from a source of cash in 2009 to a use of cash in 2010 reflects lower net proceeds from debt issued due to higher repayments on outstanding debt in 2010. In February 2010, we issued $80 million of First Mortgage Bonds and used the majority of the proceeds to pay off the $65 million borrowed from the syndicated revolving credit facility in late 2009, resulting in net proceeds of $15 million in 2010, compared to $42 million of proceeds in 2009. More financing was needed in 2009 because of higher capital additions.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paper. At June 30, 2010, we had available consolidated bank lines of credit aggregating $153.6 million, the majority of which expire in January 2012. In addition, we had 2.1 million original issue shares of our common stock available for issuance through </w:t>
      </w:r>
      <w:r>
        <w:rPr>
          <w:rFonts w:ascii="Arial" w:cs="Arial" w:eastAsia="Arial" w:hAnsi="Arial"/>
          <w:sz w:val="17"/>
          <w:szCs w:val="17"/>
          <w:i w:val="1"/>
          <w:iCs w:val="1"/>
          <w:color w:val="auto"/>
        </w:rPr>
        <w:t>Invest Direct</w:t>
      </w:r>
      <w:r>
        <w:rPr>
          <w:rFonts w:ascii="Arial" w:cs="Arial" w:eastAsia="Arial" w:hAnsi="Arial"/>
          <w:sz w:val="17"/>
          <w:szCs w:val="17"/>
          <w:color w:val="auto"/>
        </w:rPr>
        <w:t>, our direct stock purchase and dividend reinvestment plan, and 3.1 million original issue shares of common stock available for issuance through a Distribution Agreement with KCCI, Inc. The amount and timing of future sales of our securities will depend upon market conditions and our specific needs.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In February 2010, we issued $80.0 million in principal amount of unregistered First Mortgage Bonds (Bonds) in the private placement market in</w:t>
      </w:r>
      <w:r>
        <w:rPr>
          <w:rFonts w:ascii="Arial" w:cs="Arial" w:eastAsia="Arial" w:hAnsi="Arial"/>
          <w:sz w:val="17"/>
          <w:szCs w:val="17"/>
          <w:b w:val="1"/>
          <w:bCs w:val="1"/>
          <w:color w:val="auto"/>
        </w:rPr>
        <w:t xml:space="preserve"> </w:t>
      </w:r>
      <w:r>
        <w:rPr>
          <w:rFonts w:ascii="Arial" w:cs="Arial" w:eastAsia="Arial" w:hAnsi="Arial"/>
          <w:sz w:val="17"/>
          <w:szCs w:val="17"/>
          <w:color w:val="auto"/>
        </w:rPr>
        <w:t>three series (See Note 7. Short-Term and Long-Term Debt). We used the proceeds from the sale of Bonds to pay down the syndicated revolving credit facility, to fund utility capital investments and for general corporate purposes. We have the option to prepay all or a portion of the Bonds at our discretion, subject to a make-whole provision. The Bonds are subject to the terms and conditions of our utility mortgage. The Bonds were sold in reliance on an exemption from registration under Section 4(2) of the Securities Act of 1933, as amended, to institutional accredited investors.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2010, we agreed to sell $75.0 million in principal amount of unregistered First Mortgage Bonds in the private placement market in two series on or about August 17, 2010 (See Note 7. Short-Term and Long-Term Debt). We expect to use the proceeds to fund utility capital investments and for general corporate purposes.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Distribution Agreement with KCCI, Inc., in February 2008, which was subsequently amended in February 2009, with respect to the issuance and sale of up to an aggregate of 6.6 million shares of our common stock, without par value. The shares may be offered for sale, from time to time, in accordance with the terms of the agreement pursuant to Registration Statement No. 333-147965. For the six months ended June 30, 2010, 0.2 million shares of common stock were issued under this agreement resulting in net proceeds of $6.0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2010, we issued 0.3 million shares of common stock through Invest Direct, the Employee Stock Purchase Plan and the Retirement Savings and Stock Ownership Plan resulting in net proceeds of $9.2 million. These shares of common stock were registered under Registration Statement Nos. 333-150681, 333-105225, and 333-124455,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7. Short-Term and Long-Term Debt for information regarding our financial covenants.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Pension and Other Postretirement Benefit Plans</w:t>
      </w:r>
      <w:r>
        <w:rPr>
          <w:rFonts w:ascii="Arial" w:cs="Arial" w:eastAsia="Arial" w:hAnsi="Arial"/>
          <w:sz w:val="18"/>
          <w:szCs w:val="18"/>
          <w:color w:val="auto"/>
        </w:rPr>
        <w:t>. The funded status of the defined benefit pension plan and other postretirement benefit plan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refers to the difference between plan assets and estimated obligations under the plans. The funded status may change over time due to several factors, including contribution levels, assumed discount rates and actual and assumed rates of return on plan assets.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considers various factors when making funding decisions, such as regulatory requirements, actuarially determined minimum contribution requirements, and contributions required to avoid benefit restrictions for the defined benefit pension plans. Our total 2010 contributions for our defined benefit pension plan and our other postretirement benefit plan are expected to be approximately $2 million and $13 million, respectively. (See Note 12. Pension and Other Postretirement Benefit Plans for 2010 contributions made to date.) Estimated defined benefit pension contributions for years 2011 through 2014 are expected to be up to $25 million per year, and are based on estimates and assumptions that are subject to change. Funding for the other postretirement benefit plans is impacted by utility regulatory requirements. Estimated other p ostretirement benefit plan contributions for years 2011 through 2014 are expected to be approximately $11 million per year, and are based on estimates and assumptions that are subject to change.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arrangements are summarized in our 2009 Form 10-K, with additional disclosure in Note 13. Commitments, Guarantees and Contingencies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capital expenditures for 2010 are expected to be $250 million as disclosed in our 2009 Form 10-K. For the six months ended June 30, 2010, capital expenditures totaled $85.1 million ($122.5 million at June 30, 2009). The expenditures were primarily made in the Regulated Operations segment. Internally generated funds and long-term debt and equity issuances were the primary sources of funding.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Environmental Matters are summarized in our 2009 Form 10-K, with additional disclosure in Note 13. Commitments, Guarantees and Contingencies of this Form 10-Q. We are unable to predict the outcome of the matters discussed.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and SWL&amp;P have an aggregate 611 employees who are members of the International Brotherhood of Electrical Workers (IBEW) Local 31. Throughout 2009, Minnesota Power, SWL&amp;P and IBEW Local 31 worked towards settling new contracts to replace those which expired on January 31, 2009. Final resolution of the union contracts for Minnesota Power and SWL&amp;P occurred in January, and March 2010, respectively. The terms of both agreements are retroactive to February 1, 2009, and will expire on January 31, 2012.</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30, 2010, our available-for-sale securities portfolio consisted of securities established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auction rate securities. (See Note 3.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utilities’ exposure to price risk for these commodities is significantly mitigated by the current ratemaking process and regulatory environment, which allows recovery of fuel costs in excess of those in the 2008 retail rate case filing. Conversely, costs below those in the 2008 retail rate case filing result in a credit to our ratepayers. We seek to prudently manage our customers’ exposure to price risk by entering into contracts of various durations and terms for the purchase of power and coal and related transportation costs (in Minnesota) and natural gas (in Wisconsin).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to the wholesale market to optimize the value of this energy.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Demand nominations for power from our taconite customers in 2010 are expected to be higher than 2009, but lower than previous years’ levels.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Power Sales Agreement. </w:t>
      </w:r>
      <w:r>
        <w:rPr>
          <w:rFonts w:ascii="Arial" w:cs="Arial" w:eastAsia="Arial" w:hAnsi="Arial"/>
          <w:sz w:val="17"/>
          <w:szCs w:val="17"/>
          <w:color w:val="auto"/>
        </w:rPr>
        <w:t>On October 29, 2009, Minnesota Power entered into an agreement to sell Basin 100 MWs of capacity and energy for the next ten</w:t>
      </w:r>
      <w:r>
        <w:rPr>
          <w:rFonts w:ascii="Arial" w:cs="Arial" w:eastAsia="Arial" w:hAnsi="Arial"/>
          <w:sz w:val="17"/>
          <w:szCs w:val="17"/>
          <w:i w:val="1"/>
          <w:iCs w:val="1"/>
          <w:color w:val="auto"/>
        </w:rPr>
        <w:t xml:space="preserve"> </w:t>
      </w:r>
      <w:r>
        <w:rPr>
          <w:rFonts w:ascii="Arial" w:cs="Arial" w:eastAsia="Arial" w:hAnsi="Arial"/>
          <w:sz w:val="17"/>
          <w:szCs w:val="17"/>
          <w:color w:val="auto"/>
        </w:rPr>
        <w:t>years, which began in May 2010. The Basin agreement contains a fixed monthly schedule of capacity charges with a minimum annual escalation provision. The energy charge is based on a fixed monthly schedule and provides for annual escalation based on our cost of fuel. The agreement allows us to recover a pro-rata share of increased costs related to emissions that may occur during the last five years of the contract.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Interest rates on variable rate long-term debt are reset on a periodic basis reflecting current market conditions. Based on the variable rate debt outstanding at June 30, 2010, and assuming no other changes to our financial structure, an increase or decrease of 100 basis points in interest rates would impact the amount of pretax interest expense by $0.7 million. This amount was determined by considering the impact of a hypothetical 100 basis point change to the average variable interest rate on the var iable rate debt outstanding as of June 30, 2010.</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2010,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 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While we continue to enhance our internal control over financial reporting, there has been no change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that occurred during our most recent fiscal quarter that has materially affected, or is reasonably likely to materially affect, our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2009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0" w:lineRule="exact"/>
        <w:rPr>
          <w:sz w:val="20"/>
          <w:szCs w:val="20"/>
          <w:color w:val="auto"/>
        </w:rPr>
      </w:pPr>
    </w:p>
    <w:p>
      <w:pPr>
        <w:spacing w:after="0" w:line="227"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u w:val="single" w:color="auto"/>
          <w:color w:val="0000EE"/>
        </w:rPr>
        <w:t>31(a)</w:t>
      </w:r>
      <w:r>
        <w:rPr>
          <w:sz w:val="20"/>
          <w:szCs w:val="20"/>
          <w:color w:val="auto"/>
        </w:rPr>
        <w:tab/>
      </w:r>
      <w:r>
        <w:rPr>
          <w:rFonts w:ascii="Arial" w:cs="Arial" w:eastAsia="Arial" w:hAnsi="Arial"/>
          <w:sz w:val="18"/>
          <w:szCs w:val="18"/>
          <w:u w:val="single" w:color="auto"/>
          <w:color w:val="0000EE"/>
        </w:rPr>
        <w:t>Rule 13a-14(a)/15d-14(a) 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-10160</wp:posOffset>
            </wp:positionV>
            <wp:extent cx="285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u w:val="single" w:color="auto"/>
          <w:color w:val="0000EE"/>
        </w:rPr>
        <w:t>31(b)</w:t>
      </w:r>
      <w:r>
        <w:rPr>
          <w:sz w:val="20"/>
          <w:szCs w:val="20"/>
          <w:color w:val="auto"/>
        </w:rPr>
        <w:tab/>
      </w:r>
      <w:r>
        <w:rPr>
          <w:rFonts w:ascii="Arial" w:cs="Arial" w:eastAsia="Arial" w:hAnsi="Arial"/>
          <w:sz w:val="18"/>
          <w:szCs w:val="18"/>
          <w:u w:val="single" w:color="auto"/>
          <w:color w:val="0000EE"/>
        </w:rPr>
        <w:t>Rule 13a-14(a)/15d-14(a) Certification by the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-10160</wp:posOffset>
            </wp:positionV>
            <wp:extent cx="28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740" w:right="140" w:hanging="462"/>
        <w:spacing w:after="0" w:line="277" w:lineRule="auto"/>
        <w:tabs>
          <w:tab w:leader="none" w:pos="740" w:val="left"/>
        </w:tabs>
        <w:numPr>
          <w:ilvl w:val="0"/>
          <w:numId w:val="11"/>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Section 1350 Certification of Periodic Report by the Chief Executive Officer and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-182245</wp:posOffset>
            </wp:positionV>
            <wp:extent cx="28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0" w:lineRule="exact"/>
        <w:rPr>
          <w:sz w:val="20"/>
          <w:szCs w:val="20"/>
          <w:color w:val="auto"/>
        </w:rPr>
      </w:pPr>
    </w:p>
    <w:p>
      <w:pPr>
        <w:ind w:left="720" w:right="80" w:hanging="442"/>
        <w:spacing w:after="0" w:line="264" w:lineRule="auto"/>
        <w:tabs>
          <w:tab w:leader="none" w:pos="720" w:val="left"/>
        </w:tabs>
        <w:numPr>
          <w:ilvl w:val="0"/>
          <w:numId w:val="12"/>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ALLETE News Release dated August 4, 2010, announcing 2010 second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-312420</wp:posOffset>
            </wp:positionV>
            <wp:extent cx="28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456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456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4560" w:type="dxa"/>
            <w:vAlign w:val="bottom"/>
          </w:tcPr>
          <w:p>
            <w:pPr>
              <w:ind w:left="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45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4560" w:type="dxa"/>
            <w:vAlign w:val="bottom"/>
          </w:tcPr>
          <w:p>
            <w:pPr>
              <w:ind w:left="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4" w:name="page45"/>
    <w:bookmarkEnd w:id="44"/>
    <w:p>
      <w:pPr>
        <w:ind w:left="55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7920" w:val="left"/>
        </w:tabs>
        <w:rPr>
          <w:sz w:val="20"/>
          <w:szCs w:val="20"/>
          <w:color w:val="auto"/>
        </w:rPr>
      </w:pPr>
      <w:r>
        <w:rPr>
          <w:rFonts w:ascii="Arial" w:cs="Arial" w:eastAsia="Arial" w:hAnsi="Arial"/>
          <w:sz w:val="18"/>
          <w:szCs w:val="18"/>
          <w:color w:val="auto"/>
        </w:rPr>
        <w:t>August 4, 2010</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90595" cy="17145"/>
                    </a:xfrm>
                    <a:prstGeom prst="rect">
                      <a:avLst/>
                    </a:prstGeom>
                    <a:noFill/>
                  </pic:spPr>
                </pic:pic>
              </a:graphicData>
            </a:graphic>
          </wp:anchor>
        </w:drawing>
      </w:r>
    </w:p>
    <w:p>
      <w:pPr>
        <w:spacing w:after="0" w:line="16"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August 4, 2010</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90595" cy="17145"/>
                    </a:xfrm>
                    <a:prstGeom prst="rect">
                      <a:avLst/>
                    </a:prstGeom>
                    <a:noFill/>
                  </pic:spPr>
                </pic:pic>
              </a:graphicData>
            </a:graphic>
          </wp:anchor>
        </w:drawing>
      </w:r>
    </w:p>
    <w:p>
      <w:pPr>
        <w:spacing w:after="0" w:line="16"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Steven Q. DeVinck</w:t>
      </w:r>
    </w:p>
    <w:p>
      <w:pPr>
        <w:spacing w:after="0" w:line="23"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Controller and Vice President – Business Support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2010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340" w:hanging="23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2010, of ALLETE;</w:t>
      </w:r>
    </w:p>
    <w:p>
      <w:pPr>
        <w:spacing w:after="0" w:line="225" w:lineRule="exact"/>
        <w:rPr>
          <w:rFonts w:ascii="Arial" w:cs="Arial" w:eastAsia="Arial" w:hAnsi="Arial"/>
          <w:sz w:val="18"/>
          <w:szCs w:val="18"/>
          <w:color w:val="auto"/>
        </w:rPr>
      </w:pPr>
    </w:p>
    <w:p>
      <w:pPr>
        <w:ind w:left="340" w:hanging="233"/>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233"/>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233"/>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233"/>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040" w:val="left"/>
        </w:tabs>
        <w:rPr>
          <w:sz w:val="20"/>
          <w:szCs w:val="20"/>
          <w:color w:val="auto"/>
        </w:rPr>
      </w:pPr>
      <w:r>
        <w:rPr>
          <w:rFonts w:ascii="Arial" w:cs="Arial" w:eastAsia="Arial" w:hAnsi="Arial"/>
          <w:sz w:val="18"/>
          <w:szCs w:val="18"/>
          <w:color w:val="auto"/>
        </w:rPr>
        <w:t>Date: August 4, 2010</w:t>
      </w:r>
      <w:r>
        <w:rPr>
          <w:sz w:val="20"/>
          <w:szCs w:val="20"/>
          <w:color w:val="auto"/>
        </w:rPr>
        <w:tab/>
      </w:r>
      <w:r>
        <w:rPr>
          <w:rFonts w:ascii="Arial" w:cs="Arial" w:eastAsia="Arial" w:hAnsi="Arial"/>
          <w:sz w:val="17"/>
          <w:szCs w:val="17"/>
          <w:u w:val="single" w:color="auto"/>
          <w:color w:val="auto"/>
        </w:rPr>
        <w:t>Alan R. Hodnik</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Alan R. Hodnik</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2010, of ALLETE;</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040" w:val="left"/>
        </w:tabs>
        <w:rPr>
          <w:sz w:val="20"/>
          <w:szCs w:val="20"/>
          <w:color w:val="auto"/>
        </w:rPr>
      </w:pPr>
      <w:r>
        <w:rPr>
          <w:rFonts w:ascii="Arial" w:cs="Arial" w:eastAsia="Arial" w:hAnsi="Arial"/>
          <w:sz w:val="18"/>
          <w:szCs w:val="18"/>
          <w:color w:val="auto"/>
        </w:rPr>
        <w:t>Date: August 4, 2010</w:t>
      </w:r>
      <w:r>
        <w:rPr>
          <w:sz w:val="20"/>
          <w:szCs w:val="20"/>
          <w:color w:val="auto"/>
        </w:rPr>
        <w:tab/>
      </w:r>
      <w:r>
        <w:rPr>
          <w:rFonts w:ascii="Arial" w:cs="Arial" w:eastAsia="Arial" w:hAnsi="Arial"/>
          <w:sz w:val="16"/>
          <w:szCs w:val="16"/>
          <w:u w:val="single" w:color="auto"/>
          <w:color w:val="auto"/>
        </w:rPr>
        <w:t>Mark A. Schober</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340" w:hanging="233"/>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quarterly period ended June 30, 2010,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left="340" w:hanging="233"/>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040" w:val="left"/>
        </w:tabs>
        <w:rPr>
          <w:sz w:val="20"/>
          <w:szCs w:val="20"/>
          <w:color w:val="auto"/>
        </w:rPr>
      </w:pPr>
      <w:r>
        <w:rPr>
          <w:rFonts w:ascii="Arial" w:cs="Arial" w:eastAsia="Arial" w:hAnsi="Arial"/>
          <w:sz w:val="18"/>
          <w:szCs w:val="18"/>
          <w:color w:val="auto"/>
        </w:rPr>
        <w:t>Date: August 4, 2010</w:t>
      </w:r>
      <w:r>
        <w:rPr>
          <w:sz w:val="20"/>
          <w:szCs w:val="20"/>
          <w:color w:val="auto"/>
        </w:rPr>
        <w:tab/>
      </w:r>
      <w:r>
        <w:rPr>
          <w:rFonts w:ascii="Arial" w:cs="Arial" w:eastAsia="Arial" w:hAnsi="Arial"/>
          <w:sz w:val="17"/>
          <w:szCs w:val="17"/>
          <w:u w:val="single" w:color="auto"/>
          <w:color w:val="auto"/>
        </w:rPr>
        <w:t>Alan R. Hodnik</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Alan R. Hodnik</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040" w:val="left"/>
        </w:tabs>
        <w:rPr>
          <w:sz w:val="20"/>
          <w:szCs w:val="20"/>
          <w:color w:val="auto"/>
        </w:rPr>
      </w:pPr>
      <w:r>
        <w:rPr>
          <w:rFonts w:ascii="Arial" w:cs="Arial" w:eastAsia="Arial" w:hAnsi="Arial"/>
          <w:sz w:val="18"/>
          <w:szCs w:val="18"/>
          <w:color w:val="auto"/>
        </w:rPr>
        <w:t>Date: August 4, 2010</w:t>
      </w:r>
      <w:r>
        <w:rPr>
          <w:sz w:val="20"/>
          <w:szCs w:val="20"/>
          <w:color w:val="auto"/>
        </w:rPr>
        <w:tab/>
      </w:r>
      <w:r>
        <w:rPr>
          <w:rFonts w:ascii="Arial" w:cs="Arial" w:eastAsia="Arial" w:hAnsi="Arial"/>
          <w:sz w:val="16"/>
          <w:szCs w:val="16"/>
          <w:u w:val="single" w:color="auto"/>
          <w:color w:val="auto"/>
        </w:rPr>
        <w:t>Mark A. Schober</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line="220"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For Release:</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6"/>
          <w:szCs w:val="16"/>
          <w:i w:val="1"/>
          <w:iCs w:val="1"/>
          <w:color w:val="auto"/>
        </w:rPr>
        <w:t>Investor Contact:</w:t>
      </w:r>
    </w:p>
    <w:p>
      <w:pPr>
        <w:spacing w:after="0" w:line="20" w:lineRule="exact"/>
        <w:rPr>
          <w:sz w:val="20"/>
          <w:szCs w:val="20"/>
          <w:color w:val="auto"/>
        </w:rPr>
      </w:pPr>
      <w:r>
        <w:rPr>
          <w:sz w:val="20"/>
          <w:szCs w:val="20"/>
          <w:color w:val="auto"/>
        </w:rPr>
        <w:br w:type="column"/>
      </w:r>
    </w:p>
    <w:p>
      <w:pPr>
        <w:ind w:firstLine="555"/>
        <w:spacing w:after="0" w:line="298" w:lineRule="auto"/>
        <w:rPr>
          <w:sz w:val="20"/>
          <w:szCs w:val="20"/>
          <w:color w:val="auto"/>
        </w:rPr>
      </w:pPr>
      <w:r>
        <w:rPr>
          <w:rFonts w:ascii="Arial" w:cs="Arial" w:eastAsia="Arial" w:hAnsi="Arial"/>
          <w:sz w:val="16"/>
          <w:szCs w:val="16"/>
          <w:b w:val="1"/>
          <w:bCs w:val="1"/>
          <w:color w:val="auto"/>
        </w:rPr>
        <w:t xml:space="preserve">Exhibit 99 </w:t>
      </w:r>
      <w:r>
        <w:rPr>
          <w:rFonts w:ascii="Arial" w:cs="Arial" w:eastAsia="Arial" w:hAnsi="Arial"/>
          <w:sz w:val="16"/>
          <w:szCs w:val="16"/>
          <w:color w:val="auto"/>
        </w:rPr>
        <w:t>August 4, 2010 Tim Thorp 218-723-3953 tthorp@allete.com</w:t>
      </w:r>
    </w:p>
    <w:p>
      <w:pPr>
        <w:spacing w:after="0" w:line="200" w:lineRule="exact"/>
        <w:rPr>
          <w:sz w:val="20"/>
          <w:szCs w:val="20"/>
          <w:color w:val="auto"/>
        </w:rPr>
      </w:pPr>
    </w:p>
    <w:p>
      <w:pPr>
        <w:sectPr>
          <w:pgSz w:w="11900" w:h="16838" w:orient="portrait"/>
          <w:cols w:equalWidth="0" w:num="2">
            <w:col w:w="9740" w:space="320"/>
            <w:col w:w="1360"/>
          </w:cols>
          <w:pgMar w:left="240" w:top="121" w:right="23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65"/>
          <w:szCs w:val="65"/>
          <w:b w:val="1"/>
          <w:bCs w:val="1"/>
          <w:i w:val="1"/>
          <w:iCs w:val="1"/>
          <w:color w:val="auto"/>
        </w:rPr>
        <w:t>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ALLETE reports second quarter 2010 earnings of 57 cents per share</w:t>
      </w:r>
    </w:p>
    <w:p>
      <w:pPr>
        <w:spacing w:after="0" w:line="200" w:lineRule="exact"/>
        <w:rPr>
          <w:sz w:val="20"/>
          <w:szCs w:val="20"/>
          <w:color w:val="auto"/>
        </w:rPr>
      </w:pPr>
    </w:p>
    <w:p>
      <w:pPr>
        <w:spacing w:after="0" w:line="25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ALLETE, Inc. (NYSE: ALE) today reported second quarter 2010 earnings of 57 cents per share on revenue of $211.2 million and net income of $19.4 million. The company earned 29 cents per share in the corresponding period a year ago on revenue of $164.7 million and net income of $9.4 million.</w:t>
      </w:r>
    </w:p>
    <w:p>
      <w:pPr>
        <w:spacing w:after="0" w:line="120"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 xml:space="preserve">ALLETE’s </w:t>
      </w:r>
      <w:r>
        <w:rPr>
          <w:rFonts w:ascii="Arial" w:cs="Arial" w:eastAsia="Arial" w:hAnsi="Arial"/>
          <w:sz w:val="18"/>
          <w:szCs w:val="18"/>
          <w:b w:val="1"/>
          <w:bCs w:val="1"/>
          <w:color w:val="auto"/>
        </w:rPr>
        <w:t>Regulated Operations</w:t>
      </w:r>
      <w:r>
        <w:rPr>
          <w:rFonts w:ascii="Arial" w:cs="Arial" w:eastAsia="Arial" w:hAnsi="Arial"/>
          <w:sz w:val="18"/>
          <w:szCs w:val="18"/>
          <w:color w:val="auto"/>
        </w:rPr>
        <w:t xml:space="preserve"> earned $18.2 million during the quarter, compared to $10.7 million in the second quarter of 2009. Minnesota Power’s industrial kilowatt-hour sales were 98 percent higher than in the second quarter of 2009, when the company’s taconite customers dramatically curtailed production.</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“We’re pleased to see our taconite customers returning to higher production levels,” said ALLETE President and CEO Alan R. Hodnik. He noted that Minnesota Power recently received demand nominations from its industrial customers for the last four months of 2010 that are 43 percent higher than the same period in 2009, and are similar to the preceding four month period. The projected increase in sales to industrial customers was the primary reason Minnesota Power reduced the size of its requested rate increase from $81 million to $72 million earlier in 2010. The Minnesota Public Utilities Commission is expected to act on this requested increase later this year.</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significantly higher industrial power sales, other contributing factors in the year-over-year earnings improvement included interim retail electric rates approved by the Minnesota Public Utilities Commission. These increases were partially offset by higher operating and maintenance, depreciation and interest expenses, and by lower sales to other power suppliers compared to the same period a year ago. In addition, net income for the second quarter of 2009 was reduced by an accrual for rate refunds related to the 2008 rate case.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Investments and Other</w:t>
      </w:r>
      <w:r>
        <w:rPr>
          <w:rFonts w:ascii="Arial" w:cs="Arial" w:eastAsia="Arial" w:hAnsi="Arial"/>
          <w:sz w:val="16"/>
          <w:szCs w:val="16"/>
          <w:color w:val="auto"/>
        </w:rPr>
        <w:t xml:space="preserve"> segment earned $1.2 million in the second quarter of 2010 compared to a $1.3 million loss in last year’s comparable period.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ALLETE, in the second quarter of 2010, recorded a successful resolution from a state income tax audit.</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 increase in the average number of common shares outstanding, with issuance proceeds used to fund the company’s capital expenditure program, had a dilutive impact of four cents per share.</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on track to meet our earnings guidance of $2.05 to $2.35 per share for 2010,” said Hodnik. The earnings guidance provides for a range of potential regulatory outcomes, and excludes the impact of a non-recurring 12 cents per share charge recorded in the first quarter as a result of the Patient Protection and Affordable Care Act.</w:t>
      </w:r>
    </w:p>
    <w:p>
      <w:pPr>
        <w:ind w:right="80"/>
        <w:spacing w:after="0" w:line="255" w:lineRule="auto"/>
        <w:rPr>
          <w:sz w:val="20"/>
          <w:szCs w:val="20"/>
          <w:color w:val="auto"/>
        </w:rPr>
      </w:pPr>
      <w:r>
        <w:rPr>
          <w:rFonts w:ascii="Arial" w:cs="Arial" w:eastAsia="Arial" w:hAnsi="Arial"/>
          <w:sz w:val="18"/>
          <w:szCs w:val="18"/>
          <w:color w:val="auto"/>
        </w:rPr>
        <w:t>ALLETE (NYSE: ALE) is an energy company in the Upper Midwest whose regulated utility holdings include Minnesota Power and Superior Water, Light &amp; Power. ALLETE owns BNI Coal of North Dakota and holds investments in Florida real estate and the American Transmission Company. More information about the company is available on ALLETE’s Web site at www.allete.com.</w:t>
      </w:r>
    </w:p>
    <w:p>
      <w:pPr>
        <w:spacing w:after="0" w:line="19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rPr>
              <w:t>ALLETE, Inc.</w:t>
            </w: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9"/>
              </w:rPr>
              <w:t>Consolidated Statement of Income</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9"/>
              </w:rPr>
              <w:t>For the Periods Ended June 30, 2010 and 2009</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color w:val="auto"/>
                <w:w w:val="92"/>
              </w:rPr>
              <w:t>Millions Except Per Share Amounts – Unaudited</w:t>
            </w: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Quarter Ended</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Year to Date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40"/>
              <w:spacing w:after="0"/>
              <w:rPr>
                <w:sz w:val="20"/>
                <w:szCs w:val="20"/>
                <w:color w:val="auto"/>
              </w:rPr>
            </w:pPr>
            <w:r>
              <w:rPr>
                <w:rFonts w:ascii="Arial" w:cs="Arial" w:eastAsia="Arial" w:hAnsi="Arial"/>
                <w:sz w:val="18"/>
                <w:szCs w:val="18"/>
                <w:color w:val="auto"/>
              </w:rPr>
              <w:t>Operating Revenue</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$211.2</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$167.0</w:t>
            </w:r>
          </w:p>
        </w:tc>
        <w:tc>
          <w:tcPr>
            <w:tcW w:w="760" w:type="dxa"/>
            <w:vAlign w:val="bottom"/>
          </w:tcPr>
          <w:p>
            <w:pPr>
              <w:jc w:val="right"/>
              <w:spacing w:after="0"/>
              <w:rPr>
                <w:sz w:val="20"/>
                <w:szCs w:val="20"/>
                <w:color w:val="auto"/>
              </w:rPr>
            </w:pPr>
            <w:r>
              <w:rPr>
                <w:rFonts w:ascii="Arial" w:cs="Arial" w:eastAsia="Arial" w:hAnsi="Arial"/>
                <w:sz w:val="18"/>
                <w:szCs w:val="18"/>
                <w:color w:val="auto"/>
              </w:rPr>
              <w:t>$444.8</w:t>
            </w:r>
          </w:p>
        </w:tc>
        <w:tc>
          <w:tcPr>
            <w:tcW w:w="600" w:type="dxa"/>
            <w:vAlign w:val="bottom"/>
          </w:tcPr>
          <w:p>
            <w:pPr>
              <w:jc w:val="right"/>
              <w:spacing w:after="0"/>
              <w:rPr>
                <w:sz w:val="20"/>
                <w:szCs w:val="20"/>
                <w:color w:val="auto"/>
              </w:rPr>
            </w:pPr>
            <w:r>
              <w:rPr>
                <w:rFonts w:ascii="Arial" w:cs="Arial" w:eastAsia="Arial" w:hAnsi="Arial"/>
                <w:sz w:val="18"/>
                <w:szCs w:val="18"/>
                <w:color w:val="auto"/>
              </w:rPr>
              <w:t>$371.9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Prior Year Rate Refunds</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Total Operating Revenue</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211.2</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Fuel and Purchased Power</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40"/>
              <w:spacing w:after="0"/>
              <w:rPr>
                <w:sz w:val="20"/>
                <w:szCs w:val="20"/>
                <w:color w:val="auto"/>
              </w:rPr>
            </w:pPr>
            <w:r>
              <w:rPr>
                <w:rFonts w:ascii="Arial" w:cs="Arial" w:eastAsia="Arial" w:hAnsi="Arial"/>
                <w:sz w:val="18"/>
                <w:szCs w:val="18"/>
                <w:color w:val="auto"/>
              </w:rPr>
              <w:t>Operating and Maintenance</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760" w:type="dxa"/>
            <w:vAlign w:val="bottom"/>
          </w:tcPr>
          <w:p>
            <w:pPr>
              <w:jc w:val="right"/>
              <w:spacing w:after="0"/>
              <w:rPr>
                <w:sz w:val="20"/>
                <w:szCs w:val="20"/>
                <w:color w:val="auto"/>
              </w:rPr>
            </w:pPr>
            <w:r>
              <w:rPr>
                <w:rFonts w:ascii="Arial" w:cs="Arial" w:eastAsia="Arial" w:hAnsi="Arial"/>
                <w:sz w:val="18"/>
                <w:szCs w:val="18"/>
                <w:color w:val="auto"/>
              </w:rPr>
              <w:t>173.1</w:t>
            </w:r>
          </w:p>
        </w:tc>
        <w:tc>
          <w:tcPr>
            <w:tcW w:w="600" w:type="dxa"/>
            <w:vAlign w:val="bottom"/>
          </w:tcPr>
          <w:p>
            <w:pPr>
              <w:jc w:val="right"/>
              <w:spacing w:after="0"/>
              <w:rPr>
                <w:sz w:val="20"/>
                <w:szCs w:val="20"/>
                <w:color w:val="auto"/>
              </w:rPr>
            </w:pPr>
            <w:r>
              <w:rPr>
                <w:rFonts w:ascii="Arial" w:cs="Arial" w:eastAsia="Arial" w:hAnsi="Arial"/>
                <w:sz w:val="18"/>
                <w:szCs w:val="18"/>
                <w:color w:val="auto"/>
              </w:rPr>
              <w:t>157.2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179.5</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40"/>
              <w:spacing w:after="0"/>
              <w:rPr>
                <w:sz w:val="20"/>
                <w:szCs w:val="20"/>
                <w:color w:val="auto"/>
              </w:rPr>
            </w:pPr>
            <w:r>
              <w:rPr>
                <w:rFonts w:ascii="Arial" w:cs="Arial" w:eastAsia="Arial" w:hAnsi="Arial"/>
                <w:sz w:val="18"/>
                <w:szCs w:val="18"/>
                <w:color w:val="auto"/>
              </w:rPr>
              <w:t>Equity Earnings in ATC</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Total Other Income (Expense)</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760" w:type="dxa"/>
            <w:vAlign w:val="bottom"/>
          </w:tcPr>
          <w:p>
            <w:pPr>
              <w:jc w:val="right"/>
              <w:spacing w:after="0"/>
              <w:rPr>
                <w:sz w:val="20"/>
                <w:szCs w:val="20"/>
                <w:color w:val="auto"/>
              </w:rPr>
            </w:pPr>
            <w:r>
              <w:rPr>
                <w:rFonts w:ascii="Arial" w:cs="Arial" w:eastAsia="Arial" w:hAnsi="Arial"/>
                <w:sz w:val="18"/>
                <w:szCs w:val="18"/>
                <w:color w:val="auto"/>
              </w:rPr>
              <w:t>71.5</w:t>
            </w:r>
          </w:p>
        </w:tc>
        <w:tc>
          <w:tcPr>
            <w:tcW w:w="600" w:type="dxa"/>
            <w:vAlign w:val="bottom"/>
          </w:tcPr>
          <w:p>
            <w:pPr>
              <w:jc w:val="right"/>
              <w:spacing w:after="0"/>
              <w:rPr>
                <w:sz w:val="20"/>
                <w:szCs w:val="20"/>
                <w:color w:val="auto"/>
              </w:rPr>
            </w:pPr>
            <w:r>
              <w:rPr>
                <w:rFonts w:ascii="Arial" w:cs="Arial" w:eastAsia="Arial" w:hAnsi="Arial"/>
                <w:sz w:val="18"/>
                <w:szCs w:val="18"/>
                <w:color w:val="auto"/>
              </w:rPr>
              <w:t>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Less: Non-Controlling Interest in Subsidiaries</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ALLETE</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 of Common Stock</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600" w:type="dxa"/>
            <w:vAlign w:val="bottom"/>
          </w:tcPr>
          <w:p>
            <w:pPr>
              <w:jc w:val="right"/>
              <w:spacing w:after="0"/>
              <w:rPr>
                <w:sz w:val="20"/>
                <w:szCs w:val="20"/>
                <w:color w:val="auto"/>
              </w:rPr>
            </w:pPr>
            <w:r>
              <w:rPr>
                <w:rFonts w:ascii="Arial" w:cs="Arial" w:eastAsia="Arial" w:hAnsi="Arial"/>
                <w:sz w:val="18"/>
                <w:szCs w:val="18"/>
                <w:color w:val="auto"/>
              </w:rPr>
              <w:t>$0.84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$0.44</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560" w:type="dxa"/>
            <w:vAlign w:val="bottom"/>
            <w:gridSpan w:val="2"/>
          </w:tcPr>
          <w:p>
            <w:pPr>
              <w:jc w:val="center"/>
              <w:ind w:right="2090"/>
              <w:spacing w:after="0"/>
              <w:rPr>
                <w:sz w:val="20"/>
                <w:szCs w:val="20"/>
                <w:color w:val="auto"/>
              </w:rPr>
            </w:pPr>
            <w:r>
              <w:rPr>
                <w:rFonts w:ascii="Arial" w:cs="Arial" w:eastAsia="Arial" w:hAnsi="Arial"/>
                <w:sz w:val="18"/>
                <w:szCs w:val="18"/>
                <w:b w:val="1"/>
                <w:bCs w:val="1"/>
                <w:color w:val="auto"/>
                <w:w w:val="88"/>
              </w:rPr>
              <w:t>Consolidated Balance Sheet</w:t>
            </w:r>
          </w:p>
        </w:tc>
        <w:tc>
          <w:tcPr>
            <w:tcW w:w="1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560" w:type="dxa"/>
            <w:vAlign w:val="bottom"/>
            <w:gridSpan w:val="2"/>
          </w:tcPr>
          <w:p>
            <w:pPr>
              <w:jc w:val="center"/>
              <w:ind w:right="2090"/>
              <w:spacing w:after="0"/>
              <w:rPr>
                <w:sz w:val="20"/>
                <w:szCs w:val="20"/>
                <w:color w:val="auto"/>
              </w:rPr>
            </w:pPr>
            <w:r>
              <w:rPr>
                <w:rFonts w:ascii="Arial" w:cs="Arial" w:eastAsia="Arial" w:hAnsi="Arial"/>
                <w:sz w:val="18"/>
                <w:szCs w:val="18"/>
                <w:color w:val="auto"/>
                <w:w w:val="94"/>
              </w:rPr>
              <w:t>Millions – Unaudited</w:t>
            </w: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Jun. 30,</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Dec. 31,</w:t>
            </w:r>
          </w:p>
        </w:tc>
        <w:tc>
          <w:tcPr>
            <w:tcW w:w="3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Jun. 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3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Liabilities and Equity</w:t>
            </w: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$45.3</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$25.7</w:t>
            </w:r>
          </w:p>
        </w:tc>
        <w:tc>
          <w:tcPr>
            <w:tcW w:w="326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$119.2</w:t>
            </w:r>
          </w:p>
        </w:tc>
        <w:tc>
          <w:tcPr>
            <w:tcW w:w="820" w:type="dxa"/>
            <w:vAlign w:val="bottom"/>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186.9</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199.8</w:t>
            </w:r>
          </w:p>
        </w:tc>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709.6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1,671.7</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1,622.7</w:t>
            </w:r>
          </w:p>
        </w:tc>
        <w:tc>
          <w:tcPr>
            <w:tcW w:w="326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324.0</w:t>
            </w:r>
          </w:p>
        </w:tc>
        <w:tc>
          <w:tcPr>
            <w:tcW w:w="820" w:type="dxa"/>
            <w:vAlign w:val="bottom"/>
          </w:tcPr>
          <w:p>
            <w:pPr>
              <w:jc w:val="right"/>
              <w:spacing w:after="0"/>
              <w:rPr>
                <w:sz w:val="20"/>
                <w:szCs w:val="20"/>
                <w:color w:val="auto"/>
              </w:rPr>
            </w:pPr>
            <w:r>
              <w:rPr>
                <w:rFonts w:ascii="Arial" w:cs="Arial" w:eastAsia="Arial" w:hAnsi="Arial"/>
                <w:sz w:val="18"/>
                <w:szCs w:val="18"/>
                <w:color w:val="auto"/>
              </w:rPr>
              <w:t>325.0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Regulatory Assets</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287.8</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293.2</w:t>
            </w:r>
          </w:p>
        </w:tc>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Regulatory Liabilities</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Investment in ATC</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91.1</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88.4</w:t>
            </w:r>
          </w:p>
        </w:tc>
        <w:tc>
          <w:tcPr>
            <w:tcW w:w="32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276.9</w:t>
            </w:r>
          </w:p>
        </w:tc>
        <w:tc>
          <w:tcPr>
            <w:tcW w:w="820" w:type="dxa"/>
            <w:vAlign w:val="bottom"/>
          </w:tcPr>
          <w:p>
            <w:pPr>
              <w:jc w:val="right"/>
              <w:spacing w:after="0"/>
              <w:rPr>
                <w:sz w:val="20"/>
                <w:szCs w:val="20"/>
                <w:color w:val="auto"/>
              </w:rPr>
            </w:pPr>
            <w:r>
              <w:rPr>
                <w:rFonts w:ascii="Arial" w:cs="Arial" w:eastAsia="Arial" w:hAnsi="Arial"/>
                <w:sz w:val="18"/>
                <w:szCs w:val="18"/>
                <w:color w:val="auto"/>
              </w:rPr>
              <w:t>253.1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131.6</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130.5</w:t>
            </w:r>
          </w:p>
        </w:tc>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33.4</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32.8</w:t>
            </w:r>
          </w:p>
        </w:tc>
        <w:tc>
          <w:tcPr>
            <w:tcW w:w="3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$2,447.8</w:t>
            </w: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$2,393.1</w:t>
            </w:r>
          </w:p>
        </w:tc>
        <w:tc>
          <w:tcPr>
            <w:tcW w:w="3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 and Equity</w:t>
            </w:r>
          </w:p>
        </w:tc>
        <w:tc>
          <w:tcPr>
            <w:tcW w:w="1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$2,447.8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20" w:type="dxa"/>
            <w:vAlign w:val="bottom"/>
          </w:tcPr>
          <w:p>
            <w:pPr>
              <w:spacing w:after="0"/>
              <w:rPr>
                <w:sz w:val="19"/>
                <w:szCs w:val="19"/>
                <w:color w:val="auto"/>
              </w:rPr>
            </w:pPr>
          </w:p>
        </w:tc>
      </w:tr>
      <w:tr>
        <w:trPr>
          <w:trHeight w:val="618"/>
        </w:trPr>
        <w:tc>
          <w:tcPr>
            <w:tcW w:w="20" w:type="dxa"/>
            <w:vAlign w:val="bottom"/>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260" w:type="dxa"/>
            <w:vAlign w:val="bottom"/>
            <w:tcBorders>
              <w:top w:val="single" w:sz="8" w:color="auto"/>
            </w:tcBorders>
            <w:shd w:val="clear" w:color="auto" w:fill="CCEEFF"/>
          </w:tcPr>
          <w:p>
            <w:pPr>
              <w:spacing w:after="0"/>
              <w:rPr>
                <w:sz w:val="19"/>
                <w:szCs w:val="19"/>
                <w:color w:val="auto"/>
              </w:rPr>
            </w:pPr>
          </w:p>
        </w:tc>
        <w:tc>
          <w:tcPr>
            <w:tcW w:w="3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Quarter Ended</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Year to 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0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11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ALLETE, Inc.</w:t>
            </w:r>
          </w:p>
        </w:tc>
        <w:tc>
          <w:tcPr>
            <w:tcW w:w="2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2009</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2010</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Income (Loss)</w:t>
            </w: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2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900"/>
              <w:spacing w:after="0"/>
              <w:rPr>
                <w:sz w:val="20"/>
                <w:szCs w:val="20"/>
                <w:color w:val="auto"/>
              </w:rPr>
            </w:pPr>
            <w:r>
              <w:rPr>
                <w:rFonts w:ascii="Arial" w:cs="Arial" w:eastAsia="Arial" w:hAnsi="Arial"/>
                <w:sz w:val="18"/>
                <w:szCs w:val="18"/>
                <w:color w:val="auto"/>
              </w:rPr>
              <w:t>Regulated Operations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$18.2</w:t>
            </w: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540" w:type="dxa"/>
            <w:vAlign w:val="bottom"/>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Investments and Other</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Statistical Data</w:t>
            </w:r>
          </w:p>
        </w:tc>
        <w:tc>
          <w:tcPr>
            <w:tcW w:w="2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Corporate</w:t>
            </w: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Common Stock</w:t>
            </w:r>
          </w:p>
        </w:tc>
        <w:tc>
          <w:tcPr>
            <w:tcW w:w="2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0"/>
              <w:spacing w:after="0"/>
              <w:rPr>
                <w:sz w:val="20"/>
                <w:szCs w:val="20"/>
                <w:color w:val="auto"/>
              </w:rPr>
            </w:pPr>
            <w:r>
              <w:rPr>
                <w:rFonts w:ascii="Arial" w:cs="Arial" w:eastAsia="Arial" w:hAnsi="Arial"/>
                <w:sz w:val="18"/>
                <w:szCs w:val="18"/>
                <w:color w:val="auto"/>
              </w:rPr>
              <w:t>High</w:t>
            </w:r>
          </w:p>
        </w:tc>
        <w:tc>
          <w:tcPr>
            <w:tcW w:w="2480" w:type="dxa"/>
            <w:vAlign w:val="bottom"/>
          </w:tcPr>
          <w:p>
            <w:pPr>
              <w:jc w:val="right"/>
              <w:spacing w:after="0"/>
              <w:rPr>
                <w:sz w:val="20"/>
                <w:szCs w:val="20"/>
                <w:color w:val="auto"/>
              </w:rPr>
            </w:pPr>
            <w:r>
              <w:rPr>
                <w:rFonts w:ascii="Arial" w:cs="Arial" w:eastAsia="Arial" w:hAnsi="Arial"/>
                <w:sz w:val="18"/>
                <w:szCs w:val="18"/>
                <w:color w:val="auto"/>
              </w:rPr>
              <w:t>$37.87</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$29.14</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$37.87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Low</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$29.99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0"/>
              <w:spacing w:after="0"/>
              <w:rPr>
                <w:sz w:val="20"/>
                <w:szCs w:val="20"/>
                <w:color w:val="auto"/>
              </w:rPr>
            </w:pPr>
            <w:r>
              <w:rPr>
                <w:rFonts w:ascii="Arial" w:cs="Arial" w:eastAsia="Arial" w:hAnsi="Arial"/>
                <w:sz w:val="18"/>
                <w:szCs w:val="18"/>
                <w:color w:val="auto"/>
              </w:rPr>
              <w:t>Close</w:t>
            </w:r>
          </w:p>
        </w:tc>
        <w:tc>
          <w:tcPr>
            <w:tcW w:w="2480" w:type="dxa"/>
            <w:vAlign w:val="bottom"/>
          </w:tcPr>
          <w:p>
            <w:pPr>
              <w:jc w:val="right"/>
              <w:spacing w:after="0"/>
              <w:rPr>
                <w:sz w:val="20"/>
                <w:szCs w:val="20"/>
                <w:color w:val="auto"/>
              </w:rPr>
            </w:pPr>
            <w:r>
              <w:rPr>
                <w:rFonts w:ascii="Arial" w:cs="Arial" w:eastAsia="Arial" w:hAnsi="Arial"/>
                <w:sz w:val="18"/>
                <w:szCs w:val="18"/>
                <w:color w:val="auto"/>
              </w:rPr>
              <w:t>$34.24</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$28.75</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$34.24</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Book Value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$26.97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2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Regulated Utility</w:t>
            </w:r>
          </w:p>
        </w:tc>
        <w:tc>
          <w:tcPr>
            <w:tcW w:w="2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0"/>
              <w:spacing w:after="0"/>
              <w:rPr>
                <w:sz w:val="20"/>
                <w:szCs w:val="20"/>
                <w:color w:val="auto"/>
              </w:rPr>
            </w:pPr>
            <w:r>
              <w:rPr>
                <w:rFonts w:ascii="Arial" w:cs="Arial" w:eastAsia="Arial" w:hAnsi="Arial"/>
                <w:sz w:val="18"/>
                <w:szCs w:val="18"/>
                <w:color w:val="auto"/>
              </w:rPr>
              <w:t>Retail and Municipals</w:t>
            </w: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Residential</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28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spacing w:after="0"/>
              <w:rPr>
                <w:sz w:val="20"/>
                <w:szCs w:val="20"/>
                <w:color w:val="auto"/>
              </w:rPr>
            </w:pPr>
            <w:r>
              <w:rPr>
                <w:rFonts w:ascii="Arial" w:cs="Arial" w:eastAsia="Arial" w:hAnsi="Arial"/>
                <w:sz w:val="18"/>
                <w:szCs w:val="18"/>
                <w:color w:val="auto"/>
              </w:rPr>
              <w:t>327</w:t>
            </w: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c>
          <w:tcPr>
            <w:tcW w:w="560" w:type="dxa"/>
            <w:vAlign w:val="bottom"/>
          </w:tcPr>
          <w:p>
            <w:pPr>
              <w:jc w:val="right"/>
              <w:spacing w:after="0"/>
              <w:rPr>
                <w:sz w:val="20"/>
                <w:szCs w:val="20"/>
                <w:color w:val="auto"/>
              </w:rPr>
            </w:pPr>
            <w:r>
              <w:rPr>
                <w:rFonts w:ascii="Arial" w:cs="Arial" w:eastAsia="Arial" w:hAnsi="Arial"/>
                <w:sz w:val="18"/>
                <w:szCs w:val="18"/>
                <w:color w:val="auto"/>
              </w:rPr>
              <w:t>699</w:t>
            </w:r>
          </w:p>
        </w:tc>
        <w:tc>
          <w:tcPr>
            <w:tcW w:w="540" w:type="dxa"/>
            <w:vAlign w:val="bottom"/>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Municipals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Industrial</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Total Retail and Municipal</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Other Power Suppliers</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540"/>
              <w:spacing w:after="0"/>
              <w:rPr>
                <w:sz w:val="20"/>
                <w:szCs w:val="20"/>
                <w:color w:val="auto"/>
              </w:rPr>
            </w:pPr>
            <w:r>
              <w:rPr>
                <w:rFonts w:ascii="Arial" w:cs="Arial" w:eastAsia="Arial" w:hAnsi="Arial"/>
                <w:sz w:val="18"/>
                <w:szCs w:val="18"/>
                <w:color w:val="auto"/>
              </w:rPr>
              <w:t>Total Regulated Utility</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Non-regulated Energy Operations</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Borders>
              <w:bottom w:val="single" w:sz="8" w:color="auto"/>
            </w:tcBorders>
            <w:shd w:val="clear" w:color="auto" w:fill="CCEEFF"/>
          </w:tcPr>
          <w:p>
            <w:pPr>
              <w:ind w:left="3540"/>
              <w:spacing w:after="0"/>
              <w:rPr>
                <w:sz w:val="20"/>
                <w:szCs w:val="20"/>
                <w:color w:val="auto"/>
              </w:rPr>
            </w:pPr>
            <w:r>
              <w:rPr>
                <w:rFonts w:ascii="Arial" w:cs="Arial" w:eastAsia="Arial" w:hAnsi="Arial"/>
                <w:sz w:val="18"/>
                <w:szCs w:val="18"/>
                <w:color w:val="auto"/>
              </w:rPr>
              <w:t>Total Kilowatt-hours Sold</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644525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2" w:right="239" w:bottom="1440" w:gutter="0" w:footer="0" w:header="0"/>
        </w:sectPr>
      </w:pPr>
    </w:p>
    <w:bookmarkStart w:id="55" w:name="page56"/>
    <w:bookmarkEnd w:id="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T"/>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3"/>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32"/>
    </w:lvl>
  </w:abstractNum>
  <w:abstractNum w:abstractNumId="11">
    <w:nsid w:val="109CF92E"/>
    <w:multiLevelType w:val="hybridMultilevel"/>
    <w:lvl w:ilvl="0">
      <w:lvlJc w:val="left"/>
      <w:lvlText w:val="%1"/>
      <w:numFmt w:val="decimal"/>
      <w:start w:val="99"/>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2019-12-10T01:58:17Z</dcterms:created>
  <dcterms:modified xsi:type="dcterms:W3CDTF">2019-12-10T01:58:17Z</dcterms:modified>
</cp:coreProperties>
</file>