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151" w:lineRule="exact"/>
        <w:rPr>
          <w:sz w:val="24"/>
          <w:szCs w:val="24"/>
          <w:color w:val="auto"/>
        </w:rPr>
      </w:pPr>
    </w:p>
    <w:p>
      <w:pPr>
        <w:ind w:right="4300" w:firstLine="35"/>
        <w:spacing w:after="0" w:line="360" w:lineRule="auto"/>
        <w:tabs>
          <w:tab w:leader="none" w:pos="71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 For the quarterly period ended June 30, 2019</w:t>
      </w:r>
    </w:p>
    <w:p>
      <w:pPr>
        <w:jc w:val="center"/>
        <w:ind w:right="-19"/>
        <w:spacing w:after="0"/>
        <w:rPr>
          <w:sz w:val="20"/>
          <w:szCs w:val="20"/>
          <w:color w:val="auto"/>
        </w:rPr>
      </w:pPr>
      <w:r>
        <w:rPr>
          <w:rFonts w:ascii="Times New Roman" w:cs="Times New Roman" w:eastAsia="Times New Roman" w:hAnsi="Times New Roman"/>
          <w:sz w:val="18"/>
          <w:szCs w:val="18"/>
          <w:color w:val="auto"/>
        </w:rPr>
        <w:t>or</w:t>
      </w:r>
    </w:p>
    <w:p>
      <w:pPr>
        <w:spacing w:after="0" w:line="225" w:lineRule="exact"/>
        <w:rPr>
          <w:sz w:val="24"/>
          <w:szCs w:val="24"/>
          <w:color w:val="auto"/>
        </w:rPr>
      </w:pPr>
    </w:p>
    <w:p>
      <w:pPr>
        <w:ind w:left="720" w:right="4260" w:hanging="685"/>
        <w:spacing w:after="0" w:line="342" w:lineRule="auto"/>
        <w:tabs>
          <w:tab w:leader="none" w:pos="7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______________ to ______________</w:t>
      </w: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1-3548</w:t>
      </w:r>
    </w:p>
    <w:p>
      <w:pPr>
        <w:spacing w:after="0" w:line="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ALLETE, Inc.</w:t>
      </w:r>
    </w:p>
    <w:p>
      <w:pPr>
        <w:spacing w:after="0" w:line="2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8" w:lineRule="exact"/>
        <w:rPr>
          <w:sz w:val="24"/>
          <w:szCs w:val="24"/>
          <w:color w:val="auto"/>
        </w:rPr>
      </w:pPr>
    </w:p>
    <w:p>
      <w:pPr>
        <w:ind w:left="2400"/>
        <w:spacing w:after="0"/>
        <w:tabs>
          <w:tab w:leader="none" w:pos="8160" w:val="left"/>
        </w:tabs>
        <w:rPr>
          <w:sz w:val="20"/>
          <w:szCs w:val="20"/>
          <w:color w:val="auto"/>
        </w:rPr>
      </w:pPr>
      <w:r>
        <w:rPr>
          <w:rFonts w:ascii="Times New Roman" w:cs="Times New Roman" w:eastAsia="Times New Roman" w:hAnsi="Times New Roman"/>
          <w:sz w:val="18"/>
          <w:szCs w:val="18"/>
          <w:b w:val="1"/>
          <w:bCs w:val="1"/>
          <w:color w:val="auto"/>
        </w:rPr>
        <w:t>Minnesota</w:t>
      </w:r>
      <w:r>
        <w:rPr>
          <w:sz w:val="20"/>
          <w:szCs w:val="20"/>
          <w:color w:val="auto"/>
        </w:rPr>
        <w:tab/>
      </w:r>
      <w:r>
        <w:rPr>
          <w:rFonts w:ascii="Times New Roman" w:cs="Times New Roman" w:eastAsia="Times New Roman" w:hAnsi="Times New Roman"/>
          <w:sz w:val="18"/>
          <w:szCs w:val="18"/>
          <w:b w:val="1"/>
          <w:bCs w:val="1"/>
          <w:color w:val="auto"/>
        </w:rPr>
        <w:t>41-0418150</w:t>
      </w:r>
    </w:p>
    <w:p>
      <w:pPr>
        <w:spacing w:after="0" w:line="67" w:lineRule="exact"/>
        <w:rPr>
          <w:sz w:val="24"/>
          <w:szCs w:val="24"/>
          <w:color w:val="auto"/>
        </w:rPr>
      </w:pPr>
    </w:p>
    <w:p>
      <w:pPr>
        <w:ind w:left="660"/>
        <w:spacing w:after="0"/>
        <w:tabs>
          <w:tab w:leader="none" w:pos="7360" w:val="left"/>
        </w:tabs>
        <w:rPr>
          <w:sz w:val="20"/>
          <w:szCs w:val="20"/>
          <w:color w:val="auto"/>
        </w:rPr>
      </w:pPr>
      <w:r>
        <w:rPr>
          <w:rFonts w:ascii="Times New Roman" w:cs="Times New Roman" w:eastAsia="Times New Roman" w:hAnsi="Times New Roman"/>
          <w:sz w:val="18"/>
          <w:szCs w:val="18"/>
          <w:color w:val="auto"/>
        </w:rPr>
        <w:t>(State or other jurisdiction of incorporation or organization)</w:t>
      </w:r>
      <w:r>
        <w:rPr>
          <w:sz w:val="20"/>
          <w:szCs w:val="20"/>
          <w:color w:val="auto"/>
        </w:rPr>
        <w:tab/>
      </w:r>
      <w:r>
        <w:rPr>
          <w:rFonts w:ascii="Times New Roman" w:cs="Times New Roman" w:eastAsia="Times New Roman" w:hAnsi="Times New Roman"/>
          <w:sz w:val="17"/>
          <w:szCs w:val="17"/>
          <w:color w:val="auto"/>
        </w:rPr>
        <w:t>(IRS Employer Identification No.)</w:t>
      </w:r>
    </w:p>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30 West Superior Street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Duluth, Minnesota 55802-2093</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(Zip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(218) 279-5000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71" w:lineRule="exact"/>
        <w:rPr>
          <w:sz w:val="24"/>
          <w:szCs w:val="24"/>
          <w:color w:val="auto"/>
        </w:rPr>
      </w:pPr>
    </w:p>
    <w:p>
      <w:pPr>
        <w:ind w:left="1580"/>
        <w:spacing w:after="0"/>
        <w:tabs>
          <w:tab w:leader="none" w:pos="5140" w:val="left"/>
          <w:tab w:leader="none" w:pos="7580" w:val="left"/>
        </w:tabs>
        <w:rPr>
          <w:sz w:val="20"/>
          <w:szCs w:val="20"/>
          <w:color w:val="auto"/>
        </w:rPr>
      </w:pPr>
      <w:r>
        <w:rPr>
          <w:rFonts w:ascii="Times New Roman" w:cs="Times New Roman" w:eastAsia="Times New Roman" w:hAnsi="Times New Roman"/>
          <w:sz w:val="18"/>
          <w:szCs w:val="18"/>
          <w:color w:val="auto"/>
        </w:rPr>
        <w:t>Title of each class</w:t>
      </w:r>
      <w:r>
        <w:rPr>
          <w:sz w:val="20"/>
          <w:szCs w:val="20"/>
          <w:color w:val="auto"/>
        </w:rPr>
        <w:tab/>
      </w:r>
      <w:r>
        <w:rPr>
          <w:rFonts w:ascii="Times New Roman" w:cs="Times New Roman" w:eastAsia="Times New Roman" w:hAnsi="Times New Roman"/>
          <w:sz w:val="18"/>
          <w:szCs w:val="18"/>
          <w:color w:val="auto"/>
        </w:rPr>
        <w:t>Trading symbol</w:t>
      </w:r>
      <w:r>
        <w:rPr>
          <w:sz w:val="20"/>
          <w:szCs w:val="20"/>
          <w:color w:val="auto"/>
        </w:rPr>
        <w:tab/>
      </w:r>
      <w:r>
        <w:rPr>
          <w:rFonts w:ascii="Times New Roman" w:cs="Times New Roman" w:eastAsia="Times New Roman" w:hAnsi="Times New Roman"/>
          <w:sz w:val="18"/>
          <w:szCs w:val="18"/>
          <w:color w:val="auto"/>
        </w:rPr>
        <w:t>Name of each exchange on which registered</w:t>
      </w:r>
    </w:p>
    <w:p>
      <w:pPr>
        <w:spacing w:after="0" w:line="59" w:lineRule="exact"/>
        <w:rPr>
          <w:sz w:val="24"/>
          <w:szCs w:val="24"/>
          <w:color w:val="auto"/>
        </w:rPr>
      </w:pPr>
    </w:p>
    <w:p>
      <w:pPr>
        <w:ind w:left="920"/>
        <w:spacing w:after="0"/>
        <w:tabs>
          <w:tab w:leader="none" w:pos="5700" w:val="left"/>
          <w:tab w:leader="none" w:pos="8160" w:val="left"/>
        </w:tabs>
        <w:rPr>
          <w:sz w:val="20"/>
          <w:szCs w:val="20"/>
          <w:color w:val="auto"/>
        </w:rPr>
      </w:pPr>
      <w:r>
        <w:rPr>
          <w:rFonts w:ascii="Times New Roman" w:cs="Times New Roman" w:eastAsia="Times New Roman" w:hAnsi="Times New Roman"/>
          <w:sz w:val="18"/>
          <w:szCs w:val="18"/>
          <w:b w:val="1"/>
          <w:bCs w:val="1"/>
          <w:color w:val="auto"/>
        </w:rPr>
        <w:t>Common Stock, without par value</w:t>
      </w:r>
      <w:r>
        <w:rPr>
          <w:sz w:val="20"/>
          <w:szCs w:val="20"/>
          <w:color w:val="auto"/>
        </w:rPr>
        <w:tab/>
      </w:r>
      <w:r>
        <w:rPr>
          <w:rFonts w:ascii="Times New Roman" w:cs="Times New Roman" w:eastAsia="Times New Roman" w:hAnsi="Times New Roman"/>
          <w:sz w:val="18"/>
          <w:szCs w:val="18"/>
          <w:b w:val="1"/>
          <w:bCs w:val="1"/>
          <w:color w:val="auto"/>
        </w:rPr>
        <w:t>ALE</w:t>
      </w:r>
      <w:r>
        <w:rPr>
          <w:sz w:val="20"/>
          <w:szCs w:val="20"/>
          <w:color w:val="auto"/>
        </w:rPr>
        <w:tab/>
      </w:r>
      <w:r>
        <w:rPr>
          <w:rFonts w:ascii="Times New Roman" w:cs="Times New Roman" w:eastAsia="Times New Roman" w:hAnsi="Times New Roman"/>
          <w:sz w:val="17"/>
          <w:szCs w:val="17"/>
          <w:b w:val="1"/>
          <w:bCs w:val="1"/>
          <w:color w:val="auto"/>
        </w:rPr>
        <w:t>New York Stock Exchange</w:t>
      </w:r>
    </w:p>
    <w:p>
      <w:pPr>
        <w:spacing w:after="0" w:line="40"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9"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9"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9" w:lineRule="exact"/>
        <w:rPr>
          <w:sz w:val="24"/>
          <w:szCs w:val="24"/>
          <w:color w:val="auto"/>
        </w:rPr>
      </w:pPr>
    </w:p>
    <w:p>
      <w:pPr>
        <w:ind w:left="1300"/>
        <w:spacing w:after="0" w:line="207" w:lineRule="exact"/>
        <w:tabs>
          <w:tab w:leader="none" w:pos="3180" w:val="left"/>
          <w:tab w:leader="none" w:pos="3920" w:val="left"/>
          <w:tab w:leader="none" w:pos="5340" w:val="left"/>
        </w:tabs>
        <w:rPr>
          <w:sz w:val="20"/>
          <w:szCs w:val="20"/>
          <w:color w:val="auto"/>
        </w:rPr>
      </w:pPr>
      <w:r>
        <w:rPr>
          <w:rFonts w:ascii="Times New Roman" w:cs="Times New Roman" w:eastAsia="Times New Roman" w:hAnsi="Times New Roman"/>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Accelerated Filer</w:t>
      </w:r>
      <w:r>
        <w:rPr>
          <w:sz w:val="20"/>
          <w:szCs w:val="20"/>
          <w:color w:val="auto"/>
        </w:rPr>
        <w:tab/>
      </w:r>
      <w:r>
        <w:rPr>
          <w:rFonts w:ascii="MS PGothic" w:cs="MS PGothic" w:eastAsia="MS PGothic" w:hAnsi="MS PGothic"/>
          <w:sz w:val="16"/>
          <w:szCs w:val="16"/>
          <w:color w:val="auto"/>
        </w:rPr>
        <w:t>☐</w:t>
      </w:r>
    </w:p>
    <w:p>
      <w:pPr>
        <w:spacing w:after="0" w:line="51" w:lineRule="exact"/>
        <w:rPr>
          <w:sz w:val="24"/>
          <w:szCs w:val="24"/>
          <w:color w:val="auto"/>
        </w:rPr>
      </w:pPr>
    </w:p>
    <w:p>
      <w:pPr>
        <w:ind w:left="1300"/>
        <w:spacing w:after="0" w:line="207" w:lineRule="exact"/>
        <w:tabs>
          <w:tab w:leader="none" w:pos="3080" w:val="left"/>
          <w:tab w:leader="none" w:pos="3640" w:val="left"/>
          <w:tab w:leader="none" w:pos="5900" w:val="left"/>
        </w:tabs>
        <w:rPr>
          <w:sz w:val="20"/>
          <w:szCs w:val="20"/>
          <w:color w:val="auto"/>
        </w:rPr>
      </w:pPr>
      <w:r>
        <w:rPr>
          <w:rFonts w:ascii="Times New Roman" w:cs="Times New Roman" w:eastAsia="Times New Roman" w:hAnsi="Times New Roman"/>
          <w:sz w:val="18"/>
          <w:szCs w:val="18"/>
          <w:color w:val="auto"/>
        </w:rPr>
        <w:t>Non-Accelerated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Smaller Reporting Company</w:t>
      </w:r>
      <w:r>
        <w:rPr>
          <w:sz w:val="20"/>
          <w:szCs w:val="20"/>
          <w:color w:val="auto"/>
        </w:rPr>
        <w:tab/>
      </w:r>
      <w:r>
        <w:rPr>
          <w:rFonts w:ascii="MS PGothic" w:cs="MS PGothic" w:eastAsia="MS PGothic" w:hAnsi="MS PGothic"/>
          <w:sz w:val="16"/>
          <w:szCs w:val="16"/>
          <w:color w:val="auto"/>
        </w:rPr>
        <w:t>☐</w:t>
      </w:r>
    </w:p>
    <w:p>
      <w:pPr>
        <w:spacing w:after="0" w:line="9" w:lineRule="exact"/>
        <w:rPr>
          <w:sz w:val="24"/>
          <w:szCs w:val="24"/>
          <w:color w:val="auto"/>
        </w:rPr>
      </w:pPr>
    </w:p>
    <w:p>
      <w:pPr>
        <w:ind w:left="4540"/>
        <w:spacing w:after="0" w:line="207" w:lineRule="exact"/>
        <w:tabs>
          <w:tab w:leader="none" w:pos="67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04" w:lineRule="exact"/>
        <w:rPr>
          <w:sz w:val="24"/>
          <w:szCs w:val="24"/>
          <w:color w:val="auto"/>
        </w:rPr>
      </w:pPr>
    </w:p>
    <w:p>
      <w:pPr>
        <w:jc w:val="both"/>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Common Stock, without par value,</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51,655,541 shares outstanding</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of June 30, 2019</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ALLETE, Inc. Second Quarter 2019 Form 10-Q</w:t>
      </w:r>
    </w:p>
    <w:p>
      <w:pPr>
        <w:sectPr>
          <w:pgSz w:w="11900" w:h="16838" w:orient="portrait"/>
          <w:cols w:equalWidth="0" w:num="1">
            <w:col w:w="11420"/>
          </w:cols>
          <w:pgMar w:left="240" w:top="1144" w:right="239" w:bottom="1440" w:gutter="0" w:footer="0" w:header="0"/>
        </w:sectPr>
      </w:pPr>
    </w:p>
    <w:p>
      <w:pPr>
        <w:spacing w:after="0" w:line="17" w:lineRule="exact"/>
        <w:rPr>
          <w:sz w:val="24"/>
          <w:szCs w:val="24"/>
          <w:color w:val="auto"/>
        </w:rPr>
      </w:pPr>
    </w:p>
    <w:p>
      <w:pPr>
        <w:ind w:left="11340"/>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1420"/>
          </w:cols>
          <w:pgMar w:left="240" w:top="1144"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920" w:type="dxa"/>
            <w:vAlign w:val="bottom"/>
            <w:gridSpan w:val="10"/>
          </w:tcPr>
          <w:p>
            <w:pPr>
              <w:ind w:left="200"/>
              <w:spacing w:after="0"/>
              <w:rPr>
                <w:sz w:val="20"/>
                <w:szCs w:val="20"/>
                <w:color w:val="auto"/>
              </w:rPr>
            </w:pPr>
            <w:r>
              <w:rPr>
                <w:rFonts w:ascii="Times New Roman" w:cs="Times New Roman" w:eastAsia="Times New Roman" w:hAnsi="Times New Roman"/>
                <w:sz w:val="18"/>
                <w:szCs w:val="18"/>
                <w:b w:val="1"/>
                <w:bCs w:val="1"/>
                <w:color w:val="auto"/>
              </w:rPr>
              <w:t>Index</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08"/>
        </w:trPr>
        <w:tc>
          <w:tcPr>
            <w:tcW w:w="40" w:type="dxa"/>
            <w:vAlign w:val="bottom"/>
          </w:tcPr>
          <w:p>
            <w:pPr>
              <w:spacing w:after="0"/>
              <w:rPr>
                <w:sz w:val="24"/>
                <w:szCs w:val="24"/>
                <w:color w:val="auto"/>
              </w:rPr>
            </w:pPr>
          </w:p>
        </w:tc>
        <w:tc>
          <w:tcPr>
            <w:tcW w:w="800" w:type="dxa"/>
            <w:vAlign w:val="bottom"/>
            <w:gridSpan w:val="4"/>
          </w:tcPr>
          <w:p>
            <w:pPr>
              <w:spacing w:after="0"/>
              <w:rPr>
                <w:rFonts w:ascii="Times New Roman" w:cs="Times New Roman" w:eastAsia="Times New Roman" w:hAnsi="Times New Roman"/>
                <w:sz w:val="18"/>
                <w:szCs w:val="18"/>
                <w:color w:val="0000EE"/>
                <w:w w:val="96"/>
              </w:rPr>
            </w:pPr>
            <w:hyperlink w:anchor="page3">
              <w:r>
                <w:rPr>
                  <w:rFonts w:ascii="Times New Roman" w:cs="Times New Roman" w:eastAsia="Times New Roman" w:hAnsi="Times New Roman"/>
                  <w:sz w:val="18"/>
                  <w:szCs w:val="18"/>
                  <w:color w:val="0000EE"/>
                  <w:w w:val="96"/>
                </w:rPr>
                <w:t>Definitions</w:t>
              </w:r>
            </w:hyperlink>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00" w:type="dxa"/>
            <w:vAlign w:val="bottom"/>
            <w:gridSpan w:val="3"/>
          </w:tcPr>
          <w:p>
            <w:pPr>
              <w:jc w:val="right"/>
              <w:ind w:right="20"/>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3</w:t>
              </w:r>
            </w:hyperlink>
          </w:p>
        </w:tc>
      </w:tr>
      <w:tr>
        <w:trPr>
          <w:trHeight w:val="48"/>
        </w:trPr>
        <w:tc>
          <w:tcPr>
            <w:tcW w:w="40" w:type="dxa"/>
            <w:vAlign w:val="bottom"/>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1180" w:type="dxa"/>
            <w:vAlign w:val="bottom"/>
            <w:gridSpan w:val="45"/>
            <w:shd w:val="clear" w:color="auto" w:fill="CCEEFF"/>
          </w:tcPr>
          <w:p>
            <w:pPr>
              <w:spacing w:after="0" w:line="202"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Forward-Looking Statements</w:t>
              </w:r>
            </w:hyperlink>
          </w:p>
        </w:tc>
        <w:tc>
          <w:tcPr>
            <w:tcW w:w="200" w:type="dxa"/>
            <w:vAlign w:val="bottom"/>
            <w:gridSpan w:val="3"/>
            <w:shd w:val="clear" w:color="auto" w:fill="CCEEFF"/>
          </w:tcPr>
          <w:p>
            <w:pPr>
              <w:jc w:val="right"/>
              <w:ind w:right="20"/>
              <w:spacing w:after="0" w:line="202"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5</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900" w:type="dxa"/>
            <w:vAlign w:val="bottom"/>
            <w:tcBorders>
              <w:top w:val="single" w:sz="8" w:color="CCEEFF"/>
            </w:tcBorders>
            <w:shd w:val="clear" w:color="auto" w:fill="CCEEFF"/>
          </w:tcPr>
          <w:p>
            <w:pPr>
              <w:spacing w:after="0"/>
              <w:rPr>
                <w:sz w:val="4"/>
                <w:szCs w:val="4"/>
                <w:color w:val="auto"/>
              </w:rPr>
            </w:pPr>
          </w:p>
        </w:tc>
        <w:tc>
          <w:tcPr>
            <w:tcW w:w="28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800" w:type="dxa"/>
            <w:vAlign w:val="bottom"/>
            <w:gridSpan w:val="4"/>
          </w:tcPr>
          <w:p>
            <w:pPr>
              <w:spacing w:after="0" w:line="202"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Part I.</w:t>
              </w:r>
            </w:hyperlink>
          </w:p>
        </w:tc>
        <w:tc>
          <w:tcPr>
            <w:tcW w:w="10380" w:type="dxa"/>
            <w:vAlign w:val="bottom"/>
            <w:gridSpan w:val="41"/>
          </w:tcPr>
          <w:p>
            <w:pPr>
              <w:spacing w:after="0" w:line="202"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Financial Information</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0000EE"/>
            </w:tcBorders>
            <w:shd w:val="clear" w:color="auto" w:fill="CCEEFF"/>
          </w:tcPr>
          <w:p>
            <w:pPr>
              <w:spacing w:after="0" w:line="202" w:lineRule="exact"/>
              <w:rPr>
                <w:rFonts w:ascii="Times New Roman" w:cs="Times New Roman" w:eastAsia="Times New Roman" w:hAnsi="Times New Roman"/>
                <w:sz w:val="18"/>
                <w:szCs w:val="18"/>
                <w:color w:val="0000EE"/>
                <w:w w:val="97"/>
              </w:rPr>
            </w:pPr>
            <w:hyperlink w:anchor="page7">
              <w:r>
                <w:rPr>
                  <w:rFonts w:ascii="Times New Roman" w:cs="Times New Roman" w:eastAsia="Times New Roman" w:hAnsi="Times New Roman"/>
                  <w:sz w:val="18"/>
                  <w:szCs w:val="18"/>
                  <w:color w:val="0000EE"/>
                  <w:w w:val="97"/>
                </w:rPr>
                <w:t>Item 1.</w:t>
              </w:r>
            </w:hyperlink>
          </w:p>
        </w:tc>
        <w:tc>
          <w:tcPr>
            <w:tcW w:w="520" w:type="dxa"/>
            <w:vAlign w:val="bottom"/>
            <w:tcBorders>
              <w:bottom w:val="single" w:sz="8" w:color="CCEEFF"/>
            </w:tcBorders>
            <w:gridSpan w:val="2"/>
            <w:shd w:val="clear" w:color="auto" w:fill="CCEEFF"/>
          </w:tcPr>
          <w:p>
            <w:pPr>
              <w:spacing w:after="0"/>
              <w:rPr>
                <w:sz w:val="21"/>
                <w:szCs w:val="21"/>
                <w:color w:val="auto"/>
              </w:rPr>
            </w:pPr>
          </w:p>
        </w:tc>
        <w:tc>
          <w:tcPr>
            <w:tcW w:w="3400" w:type="dxa"/>
            <w:vAlign w:val="bottom"/>
            <w:tcBorders>
              <w:bottom w:val="single" w:sz="8" w:color="0000EE"/>
            </w:tcBorders>
            <w:gridSpan w:val="27"/>
            <w:shd w:val="clear" w:color="auto" w:fill="CCEEFF"/>
          </w:tcPr>
          <w:p>
            <w:pPr>
              <w:spacing w:after="0" w:line="202" w:lineRule="exact"/>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Consolidated Financial Statements - Unaudited</w:t>
              </w:r>
            </w:hyperlink>
          </w:p>
        </w:tc>
        <w:tc>
          <w:tcPr>
            <w:tcW w:w="5940" w:type="dxa"/>
            <w:vAlign w:val="bottom"/>
            <w:tcBorders>
              <w:bottom w:val="single" w:sz="8" w:color="CCEEFF"/>
            </w:tcBorders>
            <w:gridSpan w:val="11"/>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Times New Roman" w:cs="Times New Roman" w:eastAsia="Times New Roman" w:hAnsi="Times New Roman"/>
                <w:sz w:val="18"/>
                <w:szCs w:val="18"/>
                <w:color w:val="0000EE"/>
                <w:w w:val="88"/>
              </w:rPr>
            </w:pPr>
            <w:hyperlink w:anchor="page7">
              <w:r>
                <w:rPr>
                  <w:rFonts w:ascii="Times New Roman" w:cs="Times New Roman" w:eastAsia="Times New Roman" w:hAnsi="Times New Roman"/>
                  <w:sz w:val="18"/>
                  <w:szCs w:val="18"/>
                  <w:color w:val="0000EE"/>
                  <w:w w:val="88"/>
                </w:rPr>
                <w:t>7</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40" w:type="dxa"/>
            <w:vAlign w:val="bottom"/>
            <w:gridSpan w:val="38"/>
          </w:tcPr>
          <w:p>
            <w:pPr>
              <w:ind w:left="240"/>
              <w:spacing w:after="0" w:line="202"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Consolidated Balance Sheet</w:t>
              </w:r>
            </w:hyperlink>
          </w:p>
        </w:tc>
        <w:tc>
          <w:tcPr>
            <w:tcW w:w="200" w:type="dxa"/>
            <w:vAlign w:val="bottom"/>
            <w:gridSpan w:val="3"/>
          </w:tcPr>
          <w:p>
            <w:pPr>
              <w:jc w:val="right"/>
              <w:ind w:right="20"/>
              <w:spacing w:after="0" w:line="202"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7</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340" w:type="dxa"/>
            <w:vAlign w:val="bottom"/>
            <w:gridSpan w:val="38"/>
            <w:shd w:val="clear" w:color="auto" w:fill="CCEEFF"/>
          </w:tcPr>
          <w:p>
            <w:pPr>
              <w:ind w:left="240"/>
              <w:spacing w:after="0" w:line="202"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Consolidated Statement of Income</w:t>
              </w:r>
            </w:hyperlink>
          </w:p>
        </w:tc>
        <w:tc>
          <w:tcPr>
            <w:tcW w:w="200" w:type="dxa"/>
            <w:vAlign w:val="bottom"/>
            <w:gridSpan w:val="3"/>
            <w:shd w:val="clear" w:color="auto" w:fill="CCEEFF"/>
          </w:tcPr>
          <w:p>
            <w:pPr>
              <w:jc w:val="right"/>
              <w:ind w:right="20"/>
              <w:spacing w:after="0" w:line="202"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8</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900" w:type="dxa"/>
            <w:vAlign w:val="bottom"/>
            <w:tcBorders>
              <w:top w:val="single" w:sz="8" w:color="CCEEFF"/>
            </w:tcBorders>
            <w:shd w:val="clear" w:color="auto" w:fill="CCEEFF"/>
          </w:tcPr>
          <w:p>
            <w:pPr>
              <w:spacing w:after="0"/>
              <w:rPr>
                <w:sz w:val="4"/>
                <w:szCs w:val="4"/>
                <w:color w:val="auto"/>
              </w:rPr>
            </w:pPr>
          </w:p>
        </w:tc>
        <w:tc>
          <w:tcPr>
            <w:tcW w:w="28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40" w:type="dxa"/>
            <w:vAlign w:val="bottom"/>
            <w:gridSpan w:val="38"/>
          </w:tcPr>
          <w:p>
            <w:pPr>
              <w:ind w:left="240"/>
              <w:spacing w:after="0" w:line="202" w:lineRule="exact"/>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Consolidated Statement of Comprehensive Income</w:t>
              </w:r>
            </w:hyperlink>
          </w:p>
        </w:tc>
        <w:tc>
          <w:tcPr>
            <w:tcW w:w="200" w:type="dxa"/>
            <w:vAlign w:val="bottom"/>
            <w:gridSpan w:val="3"/>
          </w:tcPr>
          <w:p>
            <w:pPr>
              <w:jc w:val="right"/>
              <w:ind w:right="20"/>
              <w:spacing w:after="0" w:line="202" w:lineRule="exact"/>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9</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340" w:type="dxa"/>
            <w:vAlign w:val="bottom"/>
            <w:gridSpan w:val="38"/>
            <w:shd w:val="clear" w:color="auto" w:fill="CCEEFF"/>
          </w:tcPr>
          <w:p>
            <w:pPr>
              <w:ind w:left="240"/>
              <w:spacing w:after="0" w:line="202" w:lineRule="exact"/>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Consolidated Statement of Cash Flows</w:t>
              </w:r>
            </w:hyperlink>
          </w:p>
        </w:tc>
        <w:tc>
          <w:tcPr>
            <w:tcW w:w="200" w:type="dxa"/>
            <w:vAlign w:val="bottom"/>
            <w:gridSpan w:val="3"/>
            <w:shd w:val="clear" w:color="auto" w:fill="CCEEFF"/>
          </w:tcPr>
          <w:p>
            <w:pPr>
              <w:jc w:val="right"/>
              <w:ind w:right="20"/>
              <w:spacing w:after="0" w:line="202" w:lineRule="exact"/>
              <w:rPr>
                <w:rFonts w:ascii="Times New Roman" w:cs="Times New Roman" w:eastAsia="Times New Roman" w:hAnsi="Times New Roman"/>
                <w:sz w:val="18"/>
                <w:szCs w:val="18"/>
                <w:color w:val="0000EE"/>
                <w:w w:val="88"/>
              </w:rPr>
            </w:pPr>
            <w:hyperlink w:anchor="page10">
              <w:r>
                <w:rPr>
                  <w:rFonts w:ascii="Times New Roman" w:cs="Times New Roman" w:eastAsia="Times New Roman" w:hAnsi="Times New Roman"/>
                  <w:sz w:val="18"/>
                  <w:szCs w:val="18"/>
                  <w:color w:val="0000EE"/>
                  <w:w w:val="88"/>
                </w:rPr>
                <w:t>10</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900" w:type="dxa"/>
            <w:vAlign w:val="bottom"/>
            <w:tcBorders>
              <w:top w:val="single" w:sz="8" w:color="CCEEFF"/>
            </w:tcBorders>
            <w:shd w:val="clear" w:color="auto" w:fill="CCEEFF"/>
          </w:tcPr>
          <w:p>
            <w:pPr>
              <w:spacing w:after="0"/>
              <w:rPr>
                <w:sz w:val="4"/>
                <w:szCs w:val="4"/>
                <w:color w:val="auto"/>
              </w:rPr>
            </w:pPr>
          </w:p>
        </w:tc>
        <w:tc>
          <w:tcPr>
            <w:tcW w:w="28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40" w:type="dxa"/>
            <w:vAlign w:val="bottom"/>
            <w:gridSpan w:val="38"/>
          </w:tcPr>
          <w:p>
            <w:pPr>
              <w:ind w:left="240"/>
              <w:spacing w:after="0" w:line="202" w:lineRule="exact"/>
              <w:rPr>
                <w:rFonts w:ascii="Times New Roman" w:cs="Times New Roman" w:eastAsia="Times New Roman" w:hAnsi="Times New Roman"/>
                <w:sz w:val="18"/>
                <w:szCs w:val="18"/>
                <w:color w:val="0000EE"/>
              </w:rPr>
            </w:pPr>
            <w:hyperlink w:anchor="page11">
              <w:r>
                <w:rPr>
                  <w:rFonts w:ascii="Times New Roman" w:cs="Times New Roman" w:eastAsia="Times New Roman" w:hAnsi="Times New Roman"/>
                  <w:sz w:val="18"/>
                  <w:szCs w:val="18"/>
                  <w:color w:val="0000EE"/>
                </w:rPr>
                <w:t>Consolidated Statement of Shareholders’ Equity</w:t>
              </w:r>
            </w:hyperlink>
          </w:p>
        </w:tc>
        <w:tc>
          <w:tcPr>
            <w:tcW w:w="200" w:type="dxa"/>
            <w:vAlign w:val="bottom"/>
            <w:gridSpan w:val="3"/>
          </w:tcPr>
          <w:p>
            <w:pPr>
              <w:jc w:val="right"/>
              <w:ind w:right="20"/>
              <w:spacing w:after="0" w:line="202" w:lineRule="exact"/>
              <w:rPr>
                <w:rFonts w:ascii="Times New Roman" w:cs="Times New Roman" w:eastAsia="Times New Roman" w:hAnsi="Times New Roman"/>
                <w:sz w:val="18"/>
                <w:szCs w:val="18"/>
                <w:color w:val="0000EE"/>
                <w:w w:val="88"/>
              </w:rPr>
            </w:pPr>
            <w:hyperlink w:anchor="page11">
              <w:r>
                <w:rPr>
                  <w:rFonts w:ascii="Times New Roman" w:cs="Times New Roman" w:eastAsia="Times New Roman" w:hAnsi="Times New Roman"/>
                  <w:sz w:val="18"/>
                  <w:szCs w:val="18"/>
                  <w:color w:val="0000EE"/>
                  <w:w w:val="88"/>
                </w:rPr>
                <w:t>11</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340" w:type="dxa"/>
            <w:vAlign w:val="bottom"/>
            <w:gridSpan w:val="38"/>
            <w:shd w:val="clear" w:color="auto" w:fill="CCEEFF"/>
          </w:tcPr>
          <w:p>
            <w:pPr>
              <w:ind w:left="240"/>
              <w:spacing w:after="0" w:line="202" w:lineRule="exact"/>
              <w:rPr>
                <w:rFonts w:ascii="Times New Roman" w:cs="Times New Roman" w:eastAsia="Times New Roman" w:hAnsi="Times New Roman"/>
                <w:sz w:val="18"/>
                <w:szCs w:val="18"/>
                <w:color w:val="0000EE"/>
              </w:rPr>
            </w:pPr>
            <w:hyperlink w:anchor="page12">
              <w:r>
                <w:rPr>
                  <w:rFonts w:ascii="Times New Roman" w:cs="Times New Roman" w:eastAsia="Times New Roman" w:hAnsi="Times New Roman"/>
                  <w:sz w:val="18"/>
                  <w:szCs w:val="18"/>
                  <w:color w:val="0000EE"/>
                </w:rPr>
                <w:t>Notes to Consolidated Financial Statements</w:t>
              </w:r>
            </w:hyperlink>
          </w:p>
        </w:tc>
        <w:tc>
          <w:tcPr>
            <w:tcW w:w="200" w:type="dxa"/>
            <w:vAlign w:val="bottom"/>
            <w:gridSpan w:val="3"/>
            <w:shd w:val="clear" w:color="auto" w:fill="CCEEFF"/>
          </w:tcPr>
          <w:p>
            <w:pPr>
              <w:jc w:val="right"/>
              <w:ind w:right="20"/>
              <w:spacing w:after="0" w:line="202" w:lineRule="exact"/>
              <w:rPr>
                <w:rFonts w:ascii="Times New Roman" w:cs="Times New Roman" w:eastAsia="Times New Roman" w:hAnsi="Times New Roman"/>
                <w:sz w:val="18"/>
                <w:szCs w:val="18"/>
                <w:color w:val="0000EE"/>
                <w:w w:val="88"/>
              </w:rPr>
            </w:pPr>
            <w:hyperlink w:anchor="page12">
              <w:r>
                <w:rPr>
                  <w:rFonts w:ascii="Times New Roman" w:cs="Times New Roman" w:eastAsia="Times New Roman" w:hAnsi="Times New Roman"/>
                  <w:sz w:val="18"/>
                  <w:szCs w:val="18"/>
                  <w:color w:val="0000EE"/>
                  <w:w w:val="88"/>
                </w:rPr>
                <w:t>12</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900" w:type="dxa"/>
            <w:vAlign w:val="bottom"/>
            <w:tcBorders>
              <w:top w:val="single" w:sz="8" w:color="CCEEFF"/>
            </w:tcBorders>
            <w:shd w:val="clear" w:color="auto" w:fill="CCEEFF"/>
          </w:tcPr>
          <w:p>
            <w:pPr>
              <w:spacing w:after="0"/>
              <w:rPr>
                <w:sz w:val="4"/>
                <w:szCs w:val="4"/>
                <w:color w:val="auto"/>
              </w:rPr>
            </w:pPr>
          </w:p>
        </w:tc>
        <w:tc>
          <w:tcPr>
            <w:tcW w:w="28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80" w:type="dxa"/>
            <w:vAlign w:val="bottom"/>
            <w:gridSpan w:val="34"/>
          </w:tcPr>
          <w:p>
            <w:pPr>
              <w:spacing w:after="0" w:line="202" w:lineRule="exact"/>
              <w:rPr>
                <w:rFonts w:ascii="Times New Roman" w:cs="Times New Roman" w:eastAsia="Times New Roman" w:hAnsi="Times New Roman"/>
                <w:sz w:val="18"/>
                <w:szCs w:val="18"/>
                <w:color w:val="0000EE"/>
              </w:rPr>
            </w:pPr>
            <w:hyperlink w:anchor="page12">
              <w:r>
                <w:rPr>
                  <w:rFonts w:ascii="Times New Roman" w:cs="Times New Roman" w:eastAsia="Times New Roman" w:hAnsi="Times New Roman"/>
                  <w:sz w:val="18"/>
                  <w:szCs w:val="18"/>
                  <w:color w:val="0000EE"/>
                </w:rPr>
                <w:t>Note 1. Operations and Significant Accounting Policies</w:t>
              </w:r>
            </w:hyperlink>
          </w:p>
        </w:tc>
        <w:tc>
          <w:tcPr>
            <w:tcW w:w="200" w:type="dxa"/>
            <w:vAlign w:val="bottom"/>
            <w:gridSpan w:val="3"/>
          </w:tcPr>
          <w:p>
            <w:pPr>
              <w:jc w:val="right"/>
              <w:ind w:right="20"/>
              <w:spacing w:after="0" w:line="202" w:lineRule="exact"/>
              <w:rPr>
                <w:rFonts w:ascii="Times New Roman" w:cs="Times New Roman" w:eastAsia="Times New Roman" w:hAnsi="Times New Roman"/>
                <w:sz w:val="18"/>
                <w:szCs w:val="18"/>
                <w:color w:val="0000EE"/>
                <w:w w:val="88"/>
              </w:rPr>
            </w:pPr>
            <w:hyperlink w:anchor="page12">
              <w:r>
                <w:rPr>
                  <w:rFonts w:ascii="Times New Roman" w:cs="Times New Roman" w:eastAsia="Times New Roman" w:hAnsi="Times New Roman"/>
                  <w:sz w:val="18"/>
                  <w:szCs w:val="18"/>
                  <w:color w:val="0000EE"/>
                  <w:w w:val="88"/>
                </w:rPr>
                <w:t>12</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80" w:type="dxa"/>
            <w:vAlign w:val="bottom"/>
            <w:gridSpan w:val="34"/>
            <w:shd w:val="clear" w:color="auto" w:fill="CCEEFF"/>
          </w:tcPr>
          <w:p>
            <w:pPr>
              <w:spacing w:after="0" w:line="202" w:lineRule="exact"/>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Note 2. Regulatory Matters</w:t>
              </w:r>
            </w:hyperlink>
          </w:p>
        </w:tc>
        <w:tc>
          <w:tcPr>
            <w:tcW w:w="200" w:type="dxa"/>
            <w:vAlign w:val="bottom"/>
            <w:gridSpan w:val="3"/>
            <w:shd w:val="clear" w:color="auto" w:fill="CCEEFF"/>
          </w:tcPr>
          <w:p>
            <w:pPr>
              <w:jc w:val="right"/>
              <w:ind w:right="20"/>
              <w:spacing w:after="0" w:line="202" w:lineRule="exact"/>
              <w:rPr>
                <w:rFonts w:ascii="Times New Roman" w:cs="Times New Roman" w:eastAsia="Times New Roman" w:hAnsi="Times New Roman"/>
                <w:sz w:val="18"/>
                <w:szCs w:val="18"/>
                <w:color w:val="0000EE"/>
                <w:w w:val="88"/>
              </w:rPr>
            </w:pPr>
            <w:hyperlink w:anchor="page16">
              <w:r>
                <w:rPr>
                  <w:rFonts w:ascii="Times New Roman" w:cs="Times New Roman" w:eastAsia="Times New Roman" w:hAnsi="Times New Roman"/>
                  <w:sz w:val="18"/>
                  <w:szCs w:val="18"/>
                  <w:color w:val="0000EE"/>
                  <w:w w:val="88"/>
                </w:rPr>
                <w:t>16</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900" w:type="dxa"/>
            <w:vAlign w:val="bottom"/>
            <w:tcBorders>
              <w:top w:val="single" w:sz="8" w:color="CCEEFF"/>
            </w:tcBorders>
            <w:shd w:val="clear" w:color="auto" w:fill="CCEEFF"/>
          </w:tcPr>
          <w:p>
            <w:pPr>
              <w:spacing w:after="0"/>
              <w:rPr>
                <w:sz w:val="4"/>
                <w:szCs w:val="4"/>
                <w:color w:val="auto"/>
              </w:rPr>
            </w:pPr>
          </w:p>
        </w:tc>
        <w:tc>
          <w:tcPr>
            <w:tcW w:w="28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80" w:type="dxa"/>
            <w:vAlign w:val="bottom"/>
            <w:gridSpan w:val="34"/>
          </w:tcPr>
          <w:p>
            <w:pPr>
              <w:spacing w:after="0" w:line="202" w:lineRule="exact"/>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Note 3. Equity Investments</w:t>
              </w:r>
            </w:hyperlink>
          </w:p>
        </w:tc>
        <w:tc>
          <w:tcPr>
            <w:tcW w:w="200" w:type="dxa"/>
            <w:vAlign w:val="bottom"/>
            <w:gridSpan w:val="3"/>
          </w:tcPr>
          <w:p>
            <w:pPr>
              <w:jc w:val="right"/>
              <w:ind w:right="20"/>
              <w:spacing w:after="0" w:line="202" w:lineRule="exact"/>
              <w:rPr>
                <w:rFonts w:ascii="Times New Roman" w:cs="Times New Roman" w:eastAsia="Times New Roman" w:hAnsi="Times New Roman"/>
                <w:sz w:val="18"/>
                <w:szCs w:val="18"/>
                <w:color w:val="0000EE"/>
                <w:w w:val="88"/>
              </w:rPr>
            </w:pPr>
            <w:hyperlink w:anchor="page18">
              <w:r>
                <w:rPr>
                  <w:rFonts w:ascii="Times New Roman" w:cs="Times New Roman" w:eastAsia="Times New Roman" w:hAnsi="Times New Roman"/>
                  <w:sz w:val="18"/>
                  <w:szCs w:val="18"/>
                  <w:color w:val="0000EE"/>
                  <w:w w:val="88"/>
                </w:rPr>
                <w:t>18</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80" w:type="dxa"/>
            <w:vAlign w:val="bottom"/>
            <w:gridSpan w:val="34"/>
            <w:shd w:val="clear" w:color="auto" w:fill="CCEEFF"/>
          </w:tcPr>
          <w:p>
            <w:pPr>
              <w:spacing w:after="0" w:line="202" w:lineRule="exact"/>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Note 4. Goodwill and Intangible Assets</w:t>
              </w:r>
            </w:hyperlink>
          </w:p>
        </w:tc>
        <w:tc>
          <w:tcPr>
            <w:tcW w:w="200" w:type="dxa"/>
            <w:vAlign w:val="bottom"/>
            <w:gridSpan w:val="3"/>
            <w:shd w:val="clear" w:color="auto" w:fill="CCEEFF"/>
          </w:tcPr>
          <w:p>
            <w:pPr>
              <w:jc w:val="right"/>
              <w:ind w:right="20"/>
              <w:spacing w:after="0" w:line="202" w:lineRule="exact"/>
              <w:rPr>
                <w:rFonts w:ascii="Times New Roman" w:cs="Times New Roman" w:eastAsia="Times New Roman" w:hAnsi="Times New Roman"/>
                <w:sz w:val="18"/>
                <w:szCs w:val="18"/>
                <w:color w:val="0000EE"/>
                <w:w w:val="88"/>
              </w:rPr>
            </w:pPr>
            <w:hyperlink w:anchor="page19">
              <w:r>
                <w:rPr>
                  <w:rFonts w:ascii="Times New Roman" w:cs="Times New Roman" w:eastAsia="Times New Roman" w:hAnsi="Times New Roman"/>
                  <w:sz w:val="18"/>
                  <w:szCs w:val="18"/>
                  <w:color w:val="0000EE"/>
                  <w:w w:val="88"/>
                </w:rPr>
                <w:t>19</w:t>
              </w:r>
            </w:hyperlink>
          </w:p>
        </w:tc>
      </w:tr>
      <w:tr>
        <w:trPr>
          <w:trHeight w:val="203"/>
        </w:trPr>
        <w:tc>
          <w:tcPr>
            <w:tcW w:w="4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840" w:type="dxa"/>
            <w:vAlign w:val="bottom"/>
            <w:tcBorders>
              <w:top w:val="single" w:sz="8" w:color="0000EE"/>
            </w:tcBorders>
            <w:gridSpan w:val="21"/>
          </w:tcPr>
          <w:p>
            <w:pPr>
              <w:spacing w:after="0" w:line="202" w:lineRule="exact"/>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Note 5. Fair Value</w:t>
              </w:r>
            </w:hyperlink>
          </w:p>
        </w:tc>
        <w:tc>
          <w:tcPr>
            <w:tcW w:w="6040" w:type="dxa"/>
            <w:vAlign w:val="bottom"/>
            <w:tcBorders>
              <w:top w:val="single" w:sz="8" w:color="CCEEFF"/>
            </w:tcBorders>
            <w:gridSpan w:val="13"/>
          </w:tcPr>
          <w:p>
            <w:pPr>
              <w:spacing w:after="0"/>
              <w:rPr>
                <w:sz w:val="17"/>
                <w:szCs w:val="17"/>
                <w:color w:val="auto"/>
              </w:rPr>
            </w:pPr>
          </w:p>
        </w:tc>
        <w:tc>
          <w:tcPr>
            <w:tcW w:w="180" w:type="dxa"/>
            <w:vAlign w:val="bottom"/>
            <w:tcBorders>
              <w:top w:val="single" w:sz="8" w:color="0000EE"/>
            </w:tcBorders>
            <w:gridSpan w:val="2"/>
          </w:tcPr>
          <w:p>
            <w:pPr>
              <w:jc w:val="right"/>
              <w:spacing w:after="0" w:line="202" w:lineRule="exact"/>
              <w:rPr>
                <w:rFonts w:ascii="Times New Roman" w:cs="Times New Roman" w:eastAsia="Times New Roman" w:hAnsi="Times New Roman"/>
                <w:sz w:val="18"/>
                <w:szCs w:val="18"/>
                <w:color w:val="0000EE"/>
                <w:w w:val="88"/>
              </w:rPr>
            </w:pPr>
            <w:hyperlink w:anchor="page19">
              <w:r>
                <w:rPr>
                  <w:rFonts w:ascii="Times New Roman" w:cs="Times New Roman" w:eastAsia="Times New Roman" w:hAnsi="Times New Roman"/>
                  <w:sz w:val="18"/>
                  <w:szCs w:val="18"/>
                  <w:color w:val="0000EE"/>
                  <w:w w:val="88"/>
                </w:rPr>
                <w:t>19</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960" w:type="dxa"/>
            <w:vAlign w:val="bottom"/>
            <w:tcBorders>
              <w:bottom w:val="single" w:sz="8" w:color="0000EE"/>
            </w:tcBorders>
            <w:gridSpan w:val="24"/>
            <w:shd w:val="clear" w:color="auto" w:fill="CCEEFF"/>
          </w:tcPr>
          <w:p>
            <w:pPr>
              <w:spacing w:after="0" w:line="202" w:lineRule="exact"/>
              <w:rPr>
                <w:rFonts w:ascii="Times New Roman" w:cs="Times New Roman" w:eastAsia="Times New Roman" w:hAnsi="Times New Roman"/>
                <w:sz w:val="18"/>
                <w:szCs w:val="18"/>
                <w:color w:val="0000EE"/>
                <w:w w:val="98"/>
              </w:rPr>
            </w:pPr>
            <w:hyperlink w:anchor="page21">
              <w:r>
                <w:rPr>
                  <w:rFonts w:ascii="Times New Roman" w:cs="Times New Roman" w:eastAsia="Times New Roman" w:hAnsi="Times New Roman"/>
                  <w:sz w:val="18"/>
                  <w:szCs w:val="18"/>
                  <w:color w:val="0000EE"/>
                  <w:w w:val="98"/>
                </w:rPr>
                <w:t>Note 6. Short-Term and Long-Term Debt</w:t>
              </w:r>
            </w:hyperlink>
          </w:p>
        </w:tc>
        <w:tc>
          <w:tcPr>
            <w:tcW w:w="5920" w:type="dxa"/>
            <w:vAlign w:val="bottom"/>
            <w:tcBorders>
              <w:bottom w:val="single" w:sz="8" w:color="CCEEFF"/>
            </w:tcBorders>
            <w:gridSpan w:val="10"/>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Times New Roman" w:cs="Times New Roman" w:eastAsia="Times New Roman" w:hAnsi="Times New Roman"/>
                <w:sz w:val="18"/>
                <w:szCs w:val="18"/>
                <w:color w:val="0000EE"/>
                <w:w w:val="88"/>
              </w:rPr>
            </w:pPr>
            <w:hyperlink w:anchor="page21">
              <w:r>
                <w:rPr>
                  <w:rFonts w:ascii="Times New Roman" w:cs="Times New Roman" w:eastAsia="Times New Roman" w:hAnsi="Times New Roman"/>
                  <w:sz w:val="18"/>
                  <w:szCs w:val="18"/>
                  <w:color w:val="0000EE"/>
                  <w:w w:val="88"/>
                </w:rPr>
                <w:t>21</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80" w:type="dxa"/>
            <w:vAlign w:val="bottom"/>
            <w:gridSpan w:val="34"/>
          </w:tcPr>
          <w:p>
            <w:pPr>
              <w:spacing w:after="0" w:line="202"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Note 7. Commitments, Guarantees and Contingencies</w:t>
              </w:r>
            </w:hyperlink>
          </w:p>
        </w:tc>
        <w:tc>
          <w:tcPr>
            <w:tcW w:w="200" w:type="dxa"/>
            <w:vAlign w:val="bottom"/>
            <w:gridSpan w:val="3"/>
          </w:tcPr>
          <w:p>
            <w:pPr>
              <w:jc w:val="right"/>
              <w:ind w:right="20"/>
              <w:spacing w:after="0" w:line="202" w:lineRule="exact"/>
              <w:rPr>
                <w:rFonts w:ascii="Times New Roman" w:cs="Times New Roman" w:eastAsia="Times New Roman" w:hAnsi="Times New Roman"/>
                <w:sz w:val="18"/>
                <w:szCs w:val="18"/>
                <w:color w:val="0000EE"/>
                <w:w w:val="88"/>
              </w:rPr>
            </w:pPr>
            <w:hyperlink w:anchor="page22">
              <w:r>
                <w:rPr>
                  <w:rFonts w:ascii="Times New Roman" w:cs="Times New Roman" w:eastAsia="Times New Roman" w:hAnsi="Times New Roman"/>
                  <w:sz w:val="18"/>
                  <w:szCs w:val="18"/>
                  <w:color w:val="0000EE"/>
                  <w:w w:val="88"/>
                </w:rPr>
                <w:t>22</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80" w:type="dxa"/>
            <w:vAlign w:val="bottom"/>
            <w:gridSpan w:val="34"/>
            <w:shd w:val="clear" w:color="auto" w:fill="CCEEFF"/>
          </w:tcPr>
          <w:p>
            <w:pPr>
              <w:spacing w:after="0" w:line="202"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Note 8. Earnings Per Share and Common Stock</w:t>
              </w:r>
            </w:hyperlink>
          </w:p>
        </w:tc>
        <w:tc>
          <w:tcPr>
            <w:tcW w:w="200" w:type="dxa"/>
            <w:vAlign w:val="bottom"/>
            <w:gridSpan w:val="3"/>
            <w:shd w:val="clear" w:color="auto" w:fill="CCEEFF"/>
          </w:tcPr>
          <w:p>
            <w:pPr>
              <w:jc w:val="right"/>
              <w:ind w:right="20"/>
              <w:spacing w:after="0" w:line="202" w:lineRule="exact"/>
              <w:rPr>
                <w:rFonts w:ascii="Times New Roman" w:cs="Times New Roman" w:eastAsia="Times New Roman" w:hAnsi="Times New Roman"/>
                <w:sz w:val="18"/>
                <w:szCs w:val="18"/>
                <w:color w:val="0000EE"/>
                <w:w w:val="88"/>
              </w:rPr>
            </w:pPr>
            <w:hyperlink w:anchor="page27">
              <w:r>
                <w:rPr>
                  <w:rFonts w:ascii="Times New Roman" w:cs="Times New Roman" w:eastAsia="Times New Roman" w:hAnsi="Times New Roman"/>
                  <w:sz w:val="18"/>
                  <w:szCs w:val="18"/>
                  <w:color w:val="0000EE"/>
                  <w:w w:val="88"/>
                </w:rPr>
                <w:t>27</w:t>
              </w:r>
            </w:hyperlink>
          </w:p>
        </w:tc>
      </w:tr>
      <w:tr>
        <w:trPr>
          <w:trHeight w:val="203"/>
        </w:trPr>
        <w:tc>
          <w:tcPr>
            <w:tcW w:w="4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3420" w:type="dxa"/>
            <w:vAlign w:val="bottom"/>
            <w:tcBorders>
              <w:top w:val="single" w:sz="8" w:color="0000EE"/>
            </w:tcBorders>
            <w:gridSpan w:val="26"/>
          </w:tcPr>
          <w:p>
            <w:pPr>
              <w:spacing w:after="0" w:line="202"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Note 9. Income Tax Expense</w:t>
              </w:r>
            </w:hyperlink>
          </w:p>
        </w:tc>
        <w:tc>
          <w:tcPr>
            <w:tcW w:w="5460" w:type="dxa"/>
            <w:vAlign w:val="bottom"/>
            <w:tcBorders>
              <w:top w:val="single" w:sz="8" w:color="CCEEFF"/>
            </w:tcBorders>
            <w:gridSpan w:val="8"/>
          </w:tcPr>
          <w:p>
            <w:pPr>
              <w:spacing w:after="0"/>
              <w:rPr>
                <w:sz w:val="17"/>
                <w:szCs w:val="17"/>
                <w:color w:val="auto"/>
              </w:rPr>
            </w:pPr>
          </w:p>
        </w:tc>
        <w:tc>
          <w:tcPr>
            <w:tcW w:w="180" w:type="dxa"/>
            <w:vAlign w:val="bottom"/>
            <w:tcBorders>
              <w:top w:val="single" w:sz="8" w:color="0000EE"/>
            </w:tcBorders>
            <w:gridSpan w:val="2"/>
          </w:tcPr>
          <w:p>
            <w:pPr>
              <w:jc w:val="right"/>
              <w:spacing w:after="0" w:line="202" w:lineRule="exact"/>
              <w:rPr>
                <w:rFonts w:ascii="Times New Roman" w:cs="Times New Roman" w:eastAsia="Times New Roman" w:hAnsi="Times New Roman"/>
                <w:sz w:val="18"/>
                <w:szCs w:val="18"/>
                <w:color w:val="0000EE"/>
                <w:w w:val="88"/>
              </w:rPr>
            </w:pPr>
            <w:hyperlink w:anchor="page27">
              <w:r>
                <w:rPr>
                  <w:rFonts w:ascii="Times New Roman" w:cs="Times New Roman" w:eastAsia="Times New Roman" w:hAnsi="Times New Roman"/>
                  <w:sz w:val="18"/>
                  <w:szCs w:val="18"/>
                  <w:color w:val="0000EE"/>
                  <w:w w:val="88"/>
                </w:rPr>
                <w:t>27</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100" w:type="dxa"/>
            <w:vAlign w:val="bottom"/>
            <w:tcBorders>
              <w:bottom w:val="single" w:sz="8" w:color="0000EE"/>
            </w:tcBorders>
            <w:gridSpan w:val="32"/>
            <w:shd w:val="clear" w:color="auto" w:fill="CCEEFF"/>
          </w:tcPr>
          <w:p>
            <w:pPr>
              <w:spacing w:after="0" w:line="202" w:lineRule="exact"/>
              <w:rPr>
                <w:rFonts w:ascii="Times New Roman" w:cs="Times New Roman" w:eastAsia="Times New Roman" w:hAnsi="Times New Roman"/>
                <w:sz w:val="18"/>
                <w:szCs w:val="18"/>
                <w:color w:val="0000EE"/>
                <w:w w:val="99"/>
              </w:rPr>
            </w:pPr>
            <w:hyperlink w:anchor="page29">
              <w:r>
                <w:rPr>
                  <w:rFonts w:ascii="Times New Roman" w:cs="Times New Roman" w:eastAsia="Times New Roman" w:hAnsi="Times New Roman"/>
                  <w:sz w:val="18"/>
                  <w:szCs w:val="18"/>
                  <w:color w:val="0000EE"/>
                  <w:w w:val="99"/>
                </w:rPr>
                <w:t>Note 10. Pension and Other Postretirement Benefit Plans</w:t>
              </w:r>
            </w:hyperlink>
          </w:p>
        </w:tc>
        <w:tc>
          <w:tcPr>
            <w:tcW w:w="478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Times New Roman" w:cs="Times New Roman" w:eastAsia="Times New Roman" w:hAnsi="Times New Roman"/>
                <w:sz w:val="18"/>
                <w:szCs w:val="18"/>
                <w:color w:val="0000EE"/>
                <w:w w:val="88"/>
              </w:rPr>
            </w:pPr>
            <w:hyperlink w:anchor="page29">
              <w:r>
                <w:rPr>
                  <w:rFonts w:ascii="Times New Roman" w:cs="Times New Roman" w:eastAsia="Times New Roman" w:hAnsi="Times New Roman"/>
                  <w:sz w:val="18"/>
                  <w:szCs w:val="18"/>
                  <w:color w:val="0000EE"/>
                  <w:w w:val="88"/>
                </w:rPr>
                <w:t>29</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80" w:type="dxa"/>
            <w:vAlign w:val="bottom"/>
            <w:gridSpan w:val="34"/>
          </w:tcPr>
          <w:p>
            <w:pPr>
              <w:spacing w:after="0" w:line="202"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Note 11. Business Segments</w:t>
              </w:r>
            </w:hyperlink>
          </w:p>
        </w:tc>
        <w:tc>
          <w:tcPr>
            <w:tcW w:w="200" w:type="dxa"/>
            <w:vAlign w:val="bottom"/>
            <w:gridSpan w:val="3"/>
          </w:tcPr>
          <w:p>
            <w:pPr>
              <w:jc w:val="right"/>
              <w:ind w:right="20"/>
              <w:spacing w:after="0" w:line="202" w:lineRule="exact"/>
              <w:rPr>
                <w:rFonts w:ascii="Times New Roman" w:cs="Times New Roman" w:eastAsia="Times New Roman" w:hAnsi="Times New Roman"/>
                <w:sz w:val="18"/>
                <w:szCs w:val="18"/>
                <w:color w:val="0000EE"/>
                <w:w w:val="88"/>
              </w:rPr>
            </w:pPr>
            <w:hyperlink w:anchor="page29">
              <w:r>
                <w:rPr>
                  <w:rFonts w:ascii="Times New Roman" w:cs="Times New Roman" w:eastAsia="Times New Roman" w:hAnsi="Times New Roman"/>
                  <w:sz w:val="18"/>
                  <w:szCs w:val="18"/>
                  <w:color w:val="0000EE"/>
                  <w:w w:val="88"/>
                </w:rPr>
                <w:t>29</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0000EE"/>
            </w:tcBorders>
            <w:shd w:val="clear" w:color="auto" w:fill="CCEEFF"/>
          </w:tcPr>
          <w:p>
            <w:pPr>
              <w:spacing w:after="0" w:line="202" w:lineRule="exact"/>
              <w:rPr>
                <w:rFonts w:ascii="Times New Roman" w:cs="Times New Roman" w:eastAsia="Times New Roman" w:hAnsi="Times New Roman"/>
                <w:sz w:val="18"/>
                <w:szCs w:val="18"/>
                <w:color w:val="0000EE"/>
                <w:w w:val="97"/>
              </w:rPr>
            </w:pPr>
            <w:hyperlink w:anchor="page32">
              <w:r>
                <w:rPr>
                  <w:rFonts w:ascii="Times New Roman" w:cs="Times New Roman" w:eastAsia="Times New Roman" w:hAnsi="Times New Roman"/>
                  <w:sz w:val="18"/>
                  <w:szCs w:val="18"/>
                  <w:color w:val="0000EE"/>
                  <w:w w:val="97"/>
                </w:rPr>
                <w:t>Item 2.</w:t>
              </w:r>
            </w:hyperlink>
          </w:p>
        </w:tc>
        <w:tc>
          <w:tcPr>
            <w:tcW w:w="520" w:type="dxa"/>
            <w:vAlign w:val="bottom"/>
            <w:tcBorders>
              <w:bottom w:val="single" w:sz="8" w:color="CCEEFF"/>
            </w:tcBorders>
            <w:gridSpan w:val="2"/>
            <w:shd w:val="clear" w:color="auto" w:fill="CCEEFF"/>
          </w:tcPr>
          <w:p>
            <w:pPr>
              <w:spacing w:after="0"/>
              <w:rPr>
                <w:sz w:val="21"/>
                <w:szCs w:val="21"/>
                <w:color w:val="auto"/>
              </w:rPr>
            </w:pPr>
          </w:p>
        </w:tc>
        <w:tc>
          <w:tcPr>
            <w:tcW w:w="6460" w:type="dxa"/>
            <w:vAlign w:val="bottom"/>
            <w:tcBorders>
              <w:bottom w:val="single" w:sz="8" w:color="0000EE"/>
            </w:tcBorders>
            <w:gridSpan w:val="37"/>
            <w:shd w:val="clear" w:color="auto" w:fill="CCEEFF"/>
          </w:tcPr>
          <w:p>
            <w:pPr>
              <w:spacing w:after="0" w:line="202" w:lineRule="exact"/>
              <w:rPr>
                <w:rFonts w:ascii="Times New Roman" w:cs="Times New Roman" w:eastAsia="Times New Roman" w:hAnsi="Times New Roman"/>
                <w:sz w:val="18"/>
                <w:szCs w:val="18"/>
                <w:color w:val="0000EE"/>
                <w:w w:val="99"/>
              </w:rPr>
            </w:pPr>
            <w:hyperlink w:anchor="page32">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28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Times New Roman" w:cs="Times New Roman" w:eastAsia="Times New Roman" w:hAnsi="Times New Roman"/>
                <w:sz w:val="18"/>
                <w:szCs w:val="18"/>
                <w:color w:val="0000EE"/>
                <w:w w:val="88"/>
              </w:rPr>
            </w:pPr>
            <w:hyperlink w:anchor="page32">
              <w:r>
                <w:rPr>
                  <w:rFonts w:ascii="Times New Roman" w:cs="Times New Roman" w:eastAsia="Times New Roman" w:hAnsi="Times New Roman"/>
                  <w:sz w:val="18"/>
                  <w:szCs w:val="18"/>
                  <w:color w:val="0000EE"/>
                  <w:w w:val="88"/>
                </w:rPr>
                <w:t>31</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40" w:type="dxa"/>
            <w:vAlign w:val="bottom"/>
            <w:gridSpan w:val="38"/>
          </w:tcPr>
          <w:p>
            <w:pPr>
              <w:ind w:left="240"/>
              <w:spacing w:after="0" w:line="202"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Comparison of Quarters Ended</w:t>
              </w:r>
            </w:hyperlink>
          </w:p>
        </w:tc>
        <w:tc>
          <w:tcPr>
            <w:tcW w:w="200" w:type="dxa"/>
            <w:vAlign w:val="bottom"/>
            <w:gridSpan w:val="3"/>
          </w:tcPr>
          <w:p>
            <w:pPr>
              <w:jc w:val="right"/>
              <w:ind w:right="20"/>
              <w:spacing w:after="0" w:line="202" w:lineRule="exact"/>
              <w:rPr>
                <w:rFonts w:ascii="Times New Roman" w:cs="Times New Roman" w:eastAsia="Times New Roman" w:hAnsi="Times New Roman"/>
                <w:sz w:val="18"/>
                <w:szCs w:val="18"/>
                <w:color w:val="0000EE"/>
                <w:w w:val="88"/>
              </w:rPr>
            </w:pPr>
            <w:hyperlink w:anchor="page33">
              <w:r>
                <w:rPr>
                  <w:rFonts w:ascii="Times New Roman" w:cs="Times New Roman" w:eastAsia="Times New Roman" w:hAnsi="Times New Roman"/>
                  <w:sz w:val="18"/>
                  <w:szCs w:val="18"/>
                  <w:color w:val="0000EE"/>
                  <w:w w:val="88"/>
                </w:rPr>
                <w:t>32</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340" w:type="dxa"/>
            <w:vAlign w:val="bottom"/>
            <w:gridSpan w:val="38"/>
            <w:shd w:val="clear" w:color="auto" w:fill="CCEEFF"/>
          </w:tcPr>
          <w:p>
            <w:pPr>
              <w:ind w:left="240"/>
              <w:spacing w:after="0" w:line="202" w:lineRule="exact"/>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Comparison of the Six Months Ended</w:t>
              </w:r>
            </w:hyperlink>
          </w:p>
        </w:tc>
        <w:tc>
          <w:tcPr>
            <w:tcW w:w="200" w:type="dxa"/>
            <w:vAlign w:val="bottom"/>
            <w:gridSpan w:val="3"/>
            <w:shd w:val="clear" w:color="auto" w:fill="CCEEFF"/>
          </w:tcPr>
          <w:p>
            <w:pPr>
              <w:jc w:val="right"/>
              <w:ind w:right="20"/>
              <w:spacing w:after="0" w:line="202" w:lineRule="exact"/>
              <w:rPr>
                <w:rFonts w:ascii="Times New Roman" w:cs="Times New Roman" w:eastAsia="Times New Roman" w:hAnsi="Times New Roman"/>
                <w:sz w:val="18"/>
                <w:szCs w:val="18"/>
                <w:color w:val="0000EE"/>
                <w:w w:val="88"/>
              </w:rPr>
            </w:pPr>
            <w:hyperlink w:anchor="page36">
              <w:r>
                <w:rPr>
                  <w:rFonts w:ascii="Times New Roman" w:cs="Times New Roman" w:eastAsia="Times New Roman" w:hAnsi="Times New Roman"/>
                  <w:sz w:val="18"/>
                  <w:szCs w:val="18"/>
                  <w:color w:val="0000EE"/>
                  <w:w w:val="88"/>
                </w:rPr>
                <w:t>35</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900" w:type="dxa"/>
            <w:vAlign w:val="bottom"/>
            <w:tcBorders>
              <w:top w:val="single" w:sz="8" w:color="CCEEFF"/>
            </w:tcBorders>
            <w:shd w:val="clear" w:color="auto" w:fill="CCEEFF"/>
          </w:tcPr>
          <w:p>
            <w:pPr>
              <w:spacing w:after="0"/>
              <w:rPr>
                <w:sz w:val="4"/>
                <w:szCs w:val="4"/>
                <w:color w:val="auto"/>
              </w:rPr>
            </w:pPr>
          </w:p>
        </w:tc>
        <w:tc>
          <w:tcPr>
            <w:tcW w:w="28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40" w:type="dxa"/>
            <w:vAlign w:val="bottom"/>
            <w:gridSpan w:val="38"/>
          </w:tcPr>
          <w:p>
            <w:pPr>
              <w:ind w:left="240"/>
              <w:spacing w:after="0" w:line="202" w:lineRule="exact"/>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Critical Accounting Policies</w:t>
              </w:r>
            </w:hyperlink>
          </w:p>
        </w:tc>
        <w:tc>
          <w:tcPr>
            <w:tcW w:w="200" w:type="dxa"/>
            <w:vAlign w:val="bottom"/>
            <w:gridSpan w:val="3"/>
          </w:tcPr>
          <w:p>
            <w:pPr>
              <w:jc w:val="right"/>
              <w:ind w:right="20"/>
              <w:spacing w:after="0" w:line="202" w:lineRule="exact"/>
              <w:rPr>
                <w:rFonts w:ascii="Times New Roman" w:cs="Times New Roman" w:eastAsia="Times New Roman" w:hAnsi="Times New Roman"/>
                <w:sz w:val="18"/>
                <w:szCs w:val="18"/>
                <w:color w:val="0000EE"/>
                <w:w w:val="88"/>
              </w:rPr>
            </w:pPr>
            <w:hyperlink w:anchor="page39">
              <w:r>
                <w:rPr>
                  <w:rFonts w:ascii="Times New Roman" w:cs="Times New Roman" w:eastAsia="Times New Roman" w:hAnsi="Times New Roman"/>
                  <w:sz w:val="18"/>
                  <w:szCs w:val="18"/>
                  <w:color w:val="0000EE"/>
                  <w:w w:val="88"/>
                </w:rPr>
                <w:t>38</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340" w:type="dxa"/>
            <w:vAlign w:val="bottom"/>
            <w:gridSpan w:val="38"/>
            <w:shd w:val="clear" w:color="auto" w:fill="CCEEFF"/>
          </w:tcPr>
          <w:p>
            <w:pPr>
              <w:ind w:left="240"/>
              <w:spacing w:after="0" w:line="202" w:lineRule="exact"/>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Outlook</w:t>
              </w:r>
            </w:hyperlink>
          </w:p>
        </w:tc>
        <w:tc>
          <w:tcPr>
            <w:tcW w:w="200" w:type="dxa"/>
            <w:vAlign w:val="bottom"/>
            <w:gridSpan w:val="3"/>
            <w:shd w:val="clear" w:color="auto" w:fill="CCEEFF"/>
          </w:tcPr>
          <w:p>
            <w:pPr>
              <w:jc w:val="right"/>
              <w:ind w:right="20"/>
              <w:spacing w:after="0" w:line="202" w:lineRule="exact"/>
              <w:rPr>
                <w:rFonts w:ascii="Times New Roman" w:cs="Times New Roman" w:eastAsia="Times New Roman" w:hAnsi="Times New Roman"/>
                <w:sz w:val="18"/>
                <w:szCs w:val="18"/>
                <w:color w:val="0000EE"/>
                <w:w w:val="88"/>
              </w:rPr>
            </w:pPr>
            <w:hyperlink w:anchor="page39">
              <w:r>
                <w:rPr>
                  <w:rFonts w:ascii="Times New Roman" w:cs="Times New Roman" w:eastAsia="Times New Roman" w:hAnsi="Times New Roman"/>
                  <w:sz w:val="18"/>
                  <w:szCs w:val="18"/>
                  <w:color w:val="0000EE"/>
                  <w:w w:val="88"/>
                </w:rPr>
                <w:t>38</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900" w:type="dxa"/>
            <w:vAlign w:val="bottom"/>
            <w:tcBorders>
              <w:top w:val="single" w:sz="8" w:color="CCEEFF"/>
            </w:tcBorders>
            <w:shd w:val="clear" w:color="auto" w:fill="CCEEFF"/>
          </w:tcPr>
          <w:p>
            <w:pPr>
              <w:spacing w:after="0"/>
              <w:rPr>
                <w:sz w:val="4"/>
                <w:szCs w:val="4"/>
                <w:color w:val="auto"/>
              </w:rPr>
            </w:pPr>
          </w:p>
        </w:tc>
        <w:tc>
          <w:tcPr>
            <w:tcW w:w="28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40" w:type="dxa"/>
            <w:vAlign w:val="bottom"/>
            <w:gridSpan w:val="38"/>
          </w:tcPr>
          <w:p>
            <w:pPr>
              <w:ind w:left="240"/>
              <w:spacing w:after="0" w:line="202" w:lineRule="exact"/>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Liquidity and Capital Resources</w:t>
              </w:r>
            </w:hyperlink>
          </w:p>
        </w:tc>
        <w:tc>
          <w:tcPr>
            <w:tcW w:w="200" w:type="dxa"/>
            <w:vAlign w:val="bottom"/>
            <w:gridSpan w:val="3"/>
          </w:tcPr>
          <w:p>
            <w:pPr>
              <w:jc w:val="right"/>
              <w:ind w:right="20"/>
              <w:spacing w:after="0" w:line="202" w:lineRule="exact"/>
              <w:rPr>
                <w:rFonts w:ascii="Times New Roman" w:cs="Times New Roman" w:eastAsia="Times New Roman" w:hAnsi="Times New Roman"/>
                <w:sz w:val="18"/>
                <w:szCs w:val="18"/>
                <w:color w:val="0000EE"/>
                <w:w w:val="88"/>
              </w:rPr>
            </w:pPr>
            <w:hyperlink w:anchor="page45">
              <w:r>
                <w:rPr>
                  <w:rFonts w:ascii="Times New Roman" w:cs="Times New Roman" w:eastAsia="Times New Roman" w:hAnsi="Times New Roman"/>
                  <w:sz w:val="18"/>
                  <w:szCs w:val="18"/>
                  <w:color w:val="0000EE"/>
                  <w:w w:val="88"/>
                </w:rPr>
                <w:t>44</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340" w:type="dxa"/>
            <w:vAlign w:val="bottom"/>
            <w:gridSpan w:val="38"/>
            <w:shd w:val="clear" w:color="auto" w:fill="CCEEFF"/>
          </w:tcPr>
          <w:p>
            <w:pPr>
              <w:ind w:left="240"/>
              <w:spacing w:after="0" w:line="202" w:lineRule="exact"/>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Other</w:t>
              </w:r>
            </w:hyperlink>
          </w:p>
        </w:tc>
        <w:tc>
          <w:tcPr>
            <w:tcW w:w="200" w:type="dxa"/>
            <w:vAlign w:val="bottom"/>
            <w:gridSpan w:val="3"/>
            <w:shd w:val="clear" w:color="auto" w:fill="CCEEFF"/>
          </w:tcPr>
          <w:p>
            <w:pPr>
              <w:jc w:val="right"/>
              <w:ind w:right="20"/>
              <w:spacing w:after="0" w:line="202" w:lineRule="exact"/>
              <w:rPr>
                <w:rFonts w:ascii="Times New Roman" w:cs="Times New Roman" w:eastAsia="Times New Roman" w:hAnsi="Times New Roman"/>
                <w:sz w:val="18"/>
                <w:szCs w:val="18"/>
                <w:color w:val="0000EE"/>
                <w:w w:val="88"/>
              </w:rPr>
            </w:pPr>
            <w:hyperlink w:anchor="page47">
              <w:r>
                <w:rPr>
                  <w:rFonts w:ascii="Times New Roman" w:cs="Times New Roman" w:eastAsia="Times New Roman" w:hAnsi="Times New Roman"/>
                  <w:sz w:val="18"/>
                  <w:szCs w:val="18"/>
                  <w:color w:val="0000EE"/>
                  <w:w w:val="88"/>
                </w:rPr>
                <w:t>46</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900" w:type="dxa"/>
            <w:vAlign w:val="bottom"/>
            <w:tcBorders>
              <w:top w:val="single" w:sz="8" w:color="CCEEFF"/>
            </w:tcBorders>
            <w:shd w:val="clear" w:color="auto" w:fill="CCEEFF"/>
          </w:tcPr>
          <w:p>
            <w:pPr>
              <w:spacing w:after="0"/>
              <w:rPr>
                <w:sz w:val="4"/>
                <w:szCs w:val="4"/>
                <w:color w:val="auto"/>
              </w:rPr>
            </w:pPr>
          </w:p>
        </w:tc>
        <w:tc>
          <w:tcPr>
            <w:tcW w:w="28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gridSpan w:val="3"/>
          </w:tcPr>
          <w:p>
            <w:pPr>
              <w:spacing w:after="0" w:line="202" w:lineRule="exact"/>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Item 3.</w:t>
              </w:r>
            </w:hyperlink>
          </w:p>
        </w:tc>
        <w:tc>
          <w:tcPr>
            <w:tcW w:w="9340" w:type="dxa"/>
            <w:vAlign w:val="bottom"/>
            <w:gridSpan w:val="38"/>
          </w:tcPr>
          <w:p>
            <w:pPr>
              <w:spacing w:after="0" w:line="202" w:lineRule="exact"/>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Quantitative and Qualitative Disclosures about Market Risk</w:t>
              </w:r>
            </w:hyperlink>
          </w:p>
        </w:tc>
        <w:tc>
          <w:tcPr>
            <w:tcW w:w="200" w:type="dxa"/>
            <w:vAlign w:val="bottom"/>
            <w:gridSpan w:val="3"/>
          </w:tcPr>
          <w:p>
            <w:pPr>
              <w:jc w:val="right"/>
              <w:ind w:right="20"/>
              <w:spacing w:after="0" w:line="202" w:lineRule="exact"/>
              <w:rPr>
                <w:rFonts w:ascii="Times New Roman" w:cs="Times New Roman" w:eastAsia="Times New Roman" w:hAnsi="Times New Roman"/>
                <w:sz w:val="18"/>
                <w:szCs w:val="18"/>
                <w:color w:val="0000EE"/>
                <w:w w:val="88"/>
              </w:rPr>
            </w:pPr>
            <w:hyperlink w:anchor="page48">
              <w:r>
                <w:rPr>
                  <w:rFonts w:ascii="Times New Roman" w:cs="Times New Roman" w:eastAsia="Times New Roman" w:hAnsi="Times New Roman"/>
                  <w:sz w:val="18"/>
                  <w:szCs w:val="18"/>
                  <w:color w:val="0000EE"/>
                  <w:w w:val="88"/>
                </w:rPr>
                <w:t>47</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line="202" w:lineRule="exact"/>
              <w:rPr>
                <w:rFonts w:ascii="Times New Roman" w:cs="Times New Roman" w:eastAsia="Times New Roman" w:hAnsi="Times New Roman"/>
                <w:sz w:val="18"/>
                <w:szCs w:val="18"/>
                <w:color w:val="0000EE"/>
                <w:w w:val="97"/>
              </w:rPr>
            </w:pPr>
            <w:hyperlink w:anchor="page48">
              <w:r>
                <w:rPr>
                  <w:rFonts w:ascii="Times New Roman" w:cs="Times New Roman" w:eastAsia="Times New Roman" w:hAnsi="Times New Roman"/>
                  <w:sz w:val="18"/>
                  <w:szCs w:val="18"/>
                  <w:color w:val="0000EE"/>
                  <w:w w:val="97"/>
                </w:rPr>
                <w:t>Item 4.</w:t>
              </w:r>
            </w:hyperlink>
          </w:p>
        </w:tc>
        <w:tc>
          <w:tcPr>
            <w:tcW w:w="520" w:type="dxa"/>
            <w:vAlign w:val="bottom"/>
            <w:gridSpan w:val="2"/>
            <w:shd w:val="clear" w:color="auto" w:fill="CCEEFF"/>
          </w:tcPr>
          <w:p>
            <w:pPr>
              <w:spacing w:after="0"/>
              <w:rPr>
                <w:sz w:val="17"/>
                <w:szCs w:val="17"/>
                <w:color w:val="auto"/>
              </w:rPr>
            </w:pPr>
          </w:p>
        </w:tc>
        <w:tc>
          <w:tcPr>
            <w:tcW w:w="9340" w:type="dxa"/>
            <w:vAlign w:val="bottom"/>
            <w:gridSpan w:val="38"/>
            <w:shd w:val="clear" w:color="auto" w:fill="CCEEFF"/>
          </w:tcPr>
          <w:p>
            <w:pPr>
              <w:spacing w:after="0" w:line="202" w:lineRule="exact"/>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Controls and Procedures</w:t>
              </w:r>
            </w:hyperlink>
          </w:p>
        </w:tc>
        <w:tc>
          <w:tcPr>
            <w:tcW w:w="200" w:type="dxa"/>
            <w:vAlign w:val="bottom"/>
            <w:gridSpan w:val="3"/>
            <w:shd w:val="clear" w:color="auto" w:fill="CCEEFF"/>
          </w:tcPr>
          <w:p>
            <w:pPr>
              <w:jc w:val="right"/>
              <w:ind w:right="20"/>
              <w:spacing w:after="0" w:line="202" w:lineRule="exact"/>
              <w:rPr>
                <w:rFonts w:ascii="Times New Roman" w:cs="Times New Roman" w:eastAsia="Times New Roman" w:hAnsi="Times New Roman"/>
                <w:sz w:val="18"/>
                <w:szCs w:val="18"/>
                <w:color w:val="0000EE"/>
                <w:w w:val="88"/>
              </w:rPr>
            </w:pPr>
            <w:hyperlink w:anchor="page48">
              <w:r>
                <w:rPr>
                  <w:rFonts w:ascii="Times New Roman" w:cs="Times New Roman" w:eastAsia="Times New Roman" w:hAnsi="Times New Roman"/>
                  <w:sz w:val="18"/>
                  <w:szCs w:val="18"/>
                  <w:color w:val="0000EE"/>
                  <w:w w:val="88"/>
                </w:rPr>
                <w:t>47</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900" w:type="dxa"/>
            <w:vAlign w:val="bottom"/>
            <w:tcBorders>
              <w:top w:val="single" w:sz="8" w:color="CCEEFF"/>
            </w:tcBorders>
            <w:shd w:val="clear" w:color="auto" w:fill="CCEEFF"/>
          </w:tcPr>
          <w:p>
            <w:pPr>
              <w:spacing w:after="0"/>
              <w:rPr>
                <w:sz w:val="4"/>
                <w:szCs w:val="4"/>
                <w:color w:val="auto"/>
              </w:rPr>
            </w:pPr>
          </w:p>
        </w:tc>
        <w:tc>
          <w:tcPr>
            <w:tcW w:w="28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800" w:type="dxa"/>
            <w:vAlign w:val="bottom"/>
            <w:gridSpan w:val="4"/>
          </w:tcPr>
          <w:p>
            <w:pPr>
              <w:spacing w:after="0" w:line="202" w:lineRule="exact"/>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Part II.</w:t>
              </w:r>
            </w:hyperlink>
          </w:p>
        </w:tc>
        <w:tc>
          <w:tcPr>
            <w:tcW w:w="10380" w:type="dxa"/>
            <w:vAlign w:val="bottom"/>
            <w:gridSpan w:val="41"/>
          </w:tcPr>
          <w:p>
            <w:pPr>
              <w:spacing w:after="0" w:line="202" w:lineRule="exact"/>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Other Information</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line="202" w:lineRule="exact"/>
              <w:rPr>
                <w:rFonts w:ascii="Times New Roman" w:cs="Times New Roman" w:eastAsia="Times New Roman" w:hAnsi="Times New Roman"/>
                <w:sz w:val="18"/>
                <w:szCs w:val="18"/>
                <w:color w:val="0000EE"/>
                <w:w w:val="97"/>
              </w:rPr>
            </w:pPr>
            <w:hyperlink w:anchor="page49">
              <w:r>
                <w:rPr>
                  <w:rFonts w:ascii="Times New Roman" w:cs="Times New Roman" w:eastAsia="Times New Roman" w:hAnsi="Times New Roman"/>
                  <w:sz w:val="18"/>
                  <w:szCs w:val="18"/>
                  <w:color w:val="0000EE"/>
                  <w:w w:val="97"/>
                </w:rPr>
                <w:t>Item 1.</w:t>
              </w:r>
            </w:hyperlink>
          </w:p>
        </w:tc>
        <w:tc>
          <w:tcPr>
            <w:tcW w:w="520" w:type="dxa"/>
            <w:vAlign w:val="bottom"/>
            <w:gridSpan w:val="2"/>
            <w:shd w:val="clear" w:color="auto" w:fill="CCEEFF"/>
          </w:tcPr>
          <w:p>
            <w:pPr>
              <w:spacing w:after="0"/>
              <w:rPr>
                <w:sz w:val="17"/>
                <w:szCs w:val="17"/>
                <w:color w:val="auto"/>
              </w:rPr>
            </w:pPr>
          </w:p>
        </w:tc>
        <w:tc>
          <w:tcPr>
            <w:tcW w:w="9340" w:type="dxa"/>
            <w:vAlign w:val="bottom"/>
            <w:gridSpan w:val="38"/>
            <w:shd w:val="clear" w:color="auto" w:fill="CCEEFF"/>
          </w:tcPr>
          <w:p>
            <w:pPr>
              <w:spacing w:after="0" w:line="202" w:lineRule="exact"/>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Legal Proceedings</w:t>
              </w:r>
            </w:hyperlink>
          </w:p>
        </w:tc>
        <w:tc>
          <w:tcPr>
            <w:tcW w:w="200" w:type="dxa"/>
            <w:vAlign w:val="bottom"/>
            <w:gridSpan w:val="3"/>
            <w:shd w:val="clear" w:color="auto" w:fill="CCEEFF"/>
          </w:tcPr>
          <w:p>
            <w:pPr>
              <w:jc w:val="right"/>
              <w:ind w:right="20"/>
              <w:spacing w:after="0" w:line="202" w:lineRule="exact"/>
              <w:rPr>
                <w:rFonts w:ascii="Times New Roman" w:cs="Times New Roman" w:eastAsia="Times New Roman" w:hAnsi="Times New Roman"/>
                <w:sz w:val="18"/>
                <w:szCs w:val="18"/>
                <w:color w:val="0000EE"/>
                <w:w w:val="88"/>
              </w:rPr>
            </w:pPr>
            <w:hyperlink w:anchor="page49">
              <w:r>
                <w:rPr>
                  <w:rFonts w:ascii="Times New Roman" w:cs="Times New Roman" w:eastAsia="Times New Roman" w:hAnsi="Times New Roman"/>
                  <w:sz w:val="18"/>
                  <w:szCs w:val="18"/>
                  <w:color w:val="0000EE"/>
                  <w:w w:val="88"/>
                </w:rPr>
                <w:t>48</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900" w:type="dxa"/>
            <w:vAlign w:val="bottom"/>
            <w:tcBorders>
              <w:top w:val="single" w:sz="8" w:color="CCEEFF"/>
            </w:tcBorders>
            <w:shd w:val="clear" w:color="auto" w:fill="CCEEFF"/>
          </w:tcPr>
          <w:p>
            <w:pPr>
              <w:spacing w:after="0"/>
              <w:rPr>
                <w:sz w:val="4"/>
                <w:szCs w:val="4"/>
                <w:color w:val="auto"/>
              </w:rPr>
            </w:pPr>
          </w:p>
        </w:tc>
        <w:tc>
          <w:tcPr>
            <w:tcW w:w="28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gridSpan w:val="3"/>
          </w:tcPr>
          <w:p>
            <w:pPr>
              <w:spacing w:after="0" w:line="202" w:lineRule="exact"/>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Item 1A.</w:t>
              </w:r>
            </w:hyperlink>
          </w:p>
        </w:tc>
        <w:tc>
          <w:tcPr>
            <w:tcW w:w="9340" w:type="dxa"/>
            <w:vAlign w:val="bottom"/>
            <w:gridSpan w:val="38"/>
          </w:tcPr>
          <w:p>
            <w:pPr>
              <w:spacing w:after="0" w:line="202" w:lineRule="exact"/>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Risk Factors</w:t>
              </w:r>
            </w:hyperlink>
          </w:p>
        </w:tc>
        <w:tc>
          <w:tcPr>
            <w:tcW w:w="200" w:type="dxa"/>
            <w:vAlign w:val="bottom"/>
            <w:gridSpan w:val="3"/>
          </w:tcPr>
          <w:p>
            <w:pPr>
              <w:jc w:val="right"/>
              <w:ind w:right="20"/>
              <w:spacing w:after="0" w:line="202" w:lineRule="exact"/>
              <w:rPr>
                <w:rFonts w:ascii="Times New Roman" w:cs="Times New Roman" w:eastAsia="Times New Roman" w:hAnsi="Times New Roman"/>
                <w:sz w:val="18"/>
                <w:szCs w:val="18"/>
                <w:color w:val="0000EE"/>
                <w:w w:val="88"/>
              </w:rPr>
            </w:pPr>
            <w:hyperlink w:anchor="page49">
              <w:r>
                <w:rPr>
                  <w:rFonts w:ascii="Times New Roman" w:cs="Times New Roman" w:eastAsia="Times New Roman" w:hAnsi="Times New Roman"/>
                  <w:sz w:val="18"/>
                  <w:szCs w:val="18"/>
                  <w:color w:val="0000EE"/>
                  <w:w w:val="88"/>
                </w:rPr>
                <w:t>48</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line="202" w:lineRule="exact"/>
              <w:rPr>
                <w:rFonts w:ascii="Times New Roman" w:cs="Times New Roman" w:eastAsia="Times New Roman" w:hAnsi="Times New Roman"/>
                <w:sz w:val="18"/>
                <w:szCs w:val="18"/>
                <w:color w:val="0000EE"/>
                <w:w w:val="97"/>
              </w:rPr>
            </w:pPr>
            <w:hyperlink w:anchor="page49">
              <w:r>
                <w:rPr>
                  <w:rFonts w:ascii="Times New Roman" w:cs="Times New Roman" w:eastAsia="Times New Roman" w:hAnsi="Times New Roman"/>
                  <w:sz w:val="18"/>
                  <w:szCs w:val="18"/>
                  <w:color w:val="0000EE"/>
                  <w:w w:val="97"/>
                </w:rPr>
                <w:t>Item 2.</w:t>
              </w:r>
            </w:hyperlink>
          </w:p>
        </w:tc>
        <w:tc>
          <w:tcPr>
            <w:tcW w:w="520" w:type="dxa"/>
            <w:vAlign w:val="bottom"/>
            <w:gridSpan w:val="2"/>
            <w:shd w:val="clear" w:color="auto" w:fill="CCEEFF"/>
          </w:tcPr>
          <w:p>
            <w:pPr>
              <w:spacing w:after="0"/>
              <w:rPr>
                <w:sz w:val="21"/>
                <w:szCs w:val="21"/>
                <w:color w:val="auto"/>
              </w:rPr>
            </w:pPr>
          </w:p>
        </w:tc>
        <w:tc>
          <w:tcPr>
            <w:tcW w:w="9340" w:type="dxa"/>
            <w:vAlign w:val="bottom"/>
            <w:gridSpan w:val="38"/>
            <w:shd w:val="clear" w:color="auto" w:fill="CCEEFF"/>
          </w:tcPr>
          <w:p>
            <w:pPr>
              <w:spacing w:after="0" w:line="202" w:lineRule="exact"/>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Unregistered Sales of Equity Securities and Use of Proceeds</w:t>
              </w:r>
            </w:hyperlink>
          </w:p>
        </w:tc>
        <w:tc>
          <w:tcPr>
            <w:tcW w:w="200" w:type="dxa"/>
            <w:vAlign w:val="bottom"/>
            <w:gridSpan w:val="3"/>
            <w:shd w:val="clear" w:color="auto" w:fill="CCEEFF"/>
          </w:tcPr>
          <w:p>
            <w:pPr>
              <w:jc w:val="right"/>
              <w:ind w:right="20"/>
              <w:spacing w:after="0" w:line="202" w:lineRule="exact"/>
              <w:rPr>
                <w:rFonts w:ascii="Times New Roman" w:cs="Times New Roman" w:eastAsia="Times New Roman" w:hAnsi="Times New Roman"/>
                <w:sz w:val="18"/>
                <w:szCs w:val="18"/>
                <w:color w:val="0000EE"/>
                <w:w w:val="88"/>
              </w:rPr>
            </w:pPr>
            <w:hyperlink w:anchor="page49">
              <w:r>
                <w:rPr>
                  <w:rFonts w:ascii="Times New Roman" w:cs="Times New Roman" w:eastAsia="Times New Roman" w:hAnsi="Times New Roman"/>
                  <w:sz w:val="18"/>
                  <w:szCs w:val="18"/>
                  <w:color w:val="0000EE"/>
                  <w:w w:val="88"/>
                </w:rPr>
                <w:t>48</w:t>
              </w:r>
            </w:hyperlink>
          </w:p>
        </w:tc>
      </w:tr>
      <w:tr>
        <w:trPr>
          <w:trHeight w:val="203"/>
        </w:trPr>
        <w:tc>
          <w:tcPr>
            <w:tcW w:w="4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520" w:type="dxa"/>
            <w:vAlign w:val="bottom"/>
            <w:tcBorders>
              <w:top w:val="single" w:sz="8" w:color="0000EE"/>
            </w:tcBorders>
          </w:tcPr>
          <w:p>
            <w:pPr>
              <w:spacing w:after="0" w:line="202" w:lineRule="exact"/>
              <w:rPr>
                <w:rFonts w:ascii="Times New Roman" w:cs="Times New Roman" w:eastAsia="Times New Roman" w:hAnsi="Times New Roman"/>
                <w:sz w:val="18"/>
                <w:szCs w:val="18"/>
                <w:color w:val="0000EE"/>
                <w:w w:val="97"/>
              </w:rPr>
            </w:pPr>
            <w:hyperlink w:anchor="page49">
              <w:r>
                <w:rPr>
                  <w:rFonts w:ascii="Times New Roman" w:cs="Times New Roman" w:eastAsia="Times New Roman" w:hAnsi="Times New Roman"/>
                  <w:sz w:val="18"/>
                  <w:szCs w:val="18"/>
                  <w:color w:val="0000EE"/>
                  <w:w w:val="97"/>
                </w:rPr>
                <w:t>Item 3.</w:t>
              </w:r>
            </w:hyperlink>
          </w:p>
        </w:tc>
        <w:tc>
          <w:tcPr>
            <w:tcW w:w="520" w:type="dxa"/>
            <w:vAlign w:val="bottom"/>
            <w:tcBorders>
              <w:top w:val="single" w:sz="8" w:color="CCEEFF"/>
            </w:tcBorders>
            <w:gridSpan w:val="2"/>
          </w:tcPr>
          <w:p>
            <w:pPr>
              <w:spacing w:after="0"/>
              <w:rPr>
                <w:sz w:val="17"/>
                <w:szCs w:val="17"/>
                <w:color w:val="auto"/>
              </w:rPr>
            </w:pPr>
          </w:p>
        </w:tc>
        <w:tc>
          <w:tcPr>
            <w:tcW w:w="4340" w:type="dxa"/>
            <w:vAlign w:val="bottom"/>
            <w:tcBorders>
              <w:top w:val="single" w:sz="8" w:color="0000EE"/>
            </w:tcBorders>
            <w:gridSpan w:val="34"/>
          </w:tcPr>
          <w:p>
            <w:pPr>
              <w:spacing w:after="0" w:line="202" w:lineRule="exact"/>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Defaults Upon Senior Securities</w:t>
              </w:r>
            </w:hyperlink>
          </w:p>
        </w:tc>
        <w:tc>
          <w:tcPr>
            <w:tcW w:w="5000" w:type="dxa"/>
            <w:vAlign w:val="bottom"/>
            <w:tcBorders>
              <w:top w:val="single" w:sz="8" w:color="CCEEFF"/>
            </w:tcBorders>
            <w:gridSpan w:val="4"/>
          </w:tcPr>
          <w:p>
            <w:pPr>
              <w:spacing w:after="0"/>
              <w:rPr>
                <w:sz w:val="17"/>
                <w:szCs w:val="17"/>
                <w:color w:val="auto"/>
              </w:rPr>
            </w:pPr>
          </w:p>
        </w:tc>
        <w:tc>
          <w:tcPr>
            <w:tcW w:w="180" w:type="dxa"/>
            <w:vAlign w:val="bottom"/>
            <w:tcBorders>
              <w:top w:val="single" w:sz="8" w:color="0000EE"/>
            </w:tcBorders>
            <w:gridSpan w:val="2"/>
          </w:tcPr>
          <w:p>
            <w:pPr>
              <w:jc w:val="right"/>
              <w:spacing w:after="0" w:line="202" w:lineRule="exact"/>
              <w:rPr>
                <w:rFonts w:ascii="Times New Roman" w:cs="Times New Roman" w:eastAsia="Times New Roman" w:hAnsi="Times New Roman"/>
                <w:sz w:val="18"/>
                <w:szCs w:val="18"/>
                <w:color w:val="0000EE"/>
                <w:w w:val="88"/>
              </w:rPr>
            </w:pPr>
            <w:hyperlink w:anchor="page49">
              <w:r>
                <w:rPr>
                  <w:rFonts w:ascii="Times New Roman" w:cs="Times New Roman" w:eastAsia="Times New Roman" w:hAnsi="Times New Roman"/>
                  <w:sz w:val="18"/>
                  <w:szCs w:val="18"/>
                  <w:color w:val="0000EE"/>
                  <w:w w:val="88"/>
                </w:rPr>
                <w:t>48</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line="202" w:lineRule="exact"/>
              <w:rPr>
                <w:rFonts w:ascii="Times New Roman" w:cs="Times New Roman" w:eastAsia="Times New Roman" w:hAnsi="Times New Roman"/>
                <w:sz w:val="18"/>
                <w:szCs w:val="18"/>
                <w:color w:val="0000EE"/>
                <w:w w:val="97"/>
              </w:rPr>
            </w:pPr>
            <w:hyperlink w:anchor="page49">
              <w:r>
                <w:rPr>
                  <w:rFonts w:ascii="Times New Roman" w:cs="Times New Roman" w:eastAsia="Times New Roman" w:hAnsi="Times New Roman"/>
                  <w:sz w:val="18"/>
                  <w:szCs w:val="18"/>
                  <w:color w:val="0000EE"/>
                  <w:w w:val="97"/>
                </w:rPr>
                <w:t>Item 4.</w:t>
              </w:r>
            </w:hyperlink>
          </w:p>
        </w:tc>
        <w:tc>
          <w:tcPr>
            <w:tcW w:w="520" w:type="dxa"/>
            <w:vAlign w:val="bottom"/>
            <w:gridSpan w:val="2"/>
            <w:shd w:val="clear" w:color="auto" w:fill="CCEEFF"/>
          </w:tcPr>
          <w:p>
            <w:pPr>
              <w:spacing w:after="0"/>
              <w:rPr>
                <w:sz w:val="21"/>
                <w:szCs w:val="21"/>
                <w:color w:val="auto"/>
              </w:rPr>
            </w:pPr>
          </w:p>
        </w:tc>
        <w:tc>
          <w:tcPr>
            <w:tcW w:w="9340" w:type="dxa"/>
            <w:vAlign w:val="bottom"/>
            <w:gridSpan w:val="38"/>
            <w:shd w:val="clear" w:color="auto" w:fill="CCEEFF"/>
          </w:tcPr>
          <w:p>
            <w:pPr>
              <w:spacing w:after="0" w:line="202" w:lineRule="exact"/>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Mine Safety Disclosures</w:t>
              </w:r>
            </w:hyperlink>
          </w:p>
        </w:tc>
        <w:tc>
          <w:tcPr>
            <w:tcW w:w="200" w:type="dxa"/>
            <w:vAlign w:val="bottom"/>
            <w:gridSpan w:val="3"/>
            <w:shd w:val="clear" w:color="auto" w:fill="CCEEFF"/>
          </w:tcPr>
          <w:p>
            <w:pPr>
              <w:jc w:val="right"/>
              <w:ind w:right="20"/>
              <w:spacing w:after="0" w:line="202" w:lineRule="exact"/>
              <w:rPr>
                <w:rFonts w:ascii="Times New Roman" w:cs="Times New Roman" w:eastAsia="Times New Roman" w:hAnsi="Times New Roman"/>
                <w:sz w:val="18"/>
                <w:szCs w:val="18"/>
                <w:color w:val="0000EE"/>
                <w:w w:val="88"/>
              </w:rPr>
            </w:pPr>
            <w:hyperlink w:anchor="page49">
              <w:r>
                <w:rPr>
                  <w:rFonts w:ascii="Times New Roman" w:cs="Times New Roman" w:eastAsia="Times New Roman" w:hAnsi="Times New Roman"/>
                  <w:sz w:val="18"/>
                  <w:szCs w:val="18"/>
                  <w:color w:val="0000EE"/>
                  <w:w w:val="88"/>
                </w:rPr>
                <w:t>48</w:t>
              </w:r>
            </w:hyperlink>
          </w:p>
        </w:tc>
      </w:tr>
      <w:tr>
        <w:trPr>
          <w:trHeight w:val="203"/>
        </w:trPr>
        <w:tc>
          <w:tcPr>
            <w:tcW w:w="4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520" w:type="dxa"/>
            <w:vAlign w:val="bottom"/>
            <w:tcBorders>
              <w:top w:val="single" w:sz="8" w:color="0000EE"/>
            </w:tcBorders>
          </w:tcPr>
          <w:p>
            <w:pPr>
              <w:spacing w:after="0" w:line="202" w:lineRule="exact"/>
              <w:rPr>
                <w:rFonts w:ascii="Times New Roman" w:cs="Times New Roman" w:eastAsia="Times New Roman" w:hAnsi="Times New Roman"/>
                <w:sz w:val="18"/>
                <w:szCs w:val="18"/>
                <w:color w:val="0000EE"/>
                <w:w w:val="97"/>
              </w:rPr>
            </w:pPr>
            <w:hyperlink w:anchor="page49">
              <w:r>
                <w:rPr>
                  <w:rFonts w:ascii="Times New Roman" w:cs="Times New Roman" w:eastAsia="Times New Roman" w:hAnsi="Times New Roman"/>
                  <w:sz w:val="18"/>
                  <w:szCs w:val="18"/>
                  <w:color w:val="0000EE"/>
                  <w:w w:val="97"/>
                </w:rPr>
                <w:t>Item 5.</w:t>
              </w:r>
            </w:hyperlink>
          </w:p>
        </w:tc>
        <w:tc>
          <w:tcPr>
            <w:tcW w:w="520" w:type="dxa"/>
            <w:vAlign w:val="bottom"/>
            <w:tcBorders>
              <w:top w:val="single" w:sz="8" w:color="CCEEFF"/>
            </w:tcBorders>
            <w:gridSpan w:val="2"/>
          </w:tcPr>
          <w:p>
            <w:pPr>
              <w:spacing w:after="0"/>
              <w:rPr>
                <w:sz w:val="17"/>
                <w:szCs w:val="17"/>
                <w:color w:val="auto"/>
              </w:rPr>
            </w:pPr>
          </w:p>
        </w:tc>
        <w:tc>
          <w:tcPr>
            <w:tcW w:w="1760" w:type="dxa"/>
            <w:vAlign w:val="bottom"/>
            <w:tcBorders>
              <w:top w:val="single" w:sz="8" w:color="0000EE"/>
            </w:tcBorders>
            <w:gridSpan w:val="12"/>
          </w:tcPr>
          <w:p>
            <w:pPr>
              <w:spacing w:after="0" w:line="202" w:lineRule="exact"/>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Other Information</w:t>
              </w:r>
            </w:hyperlink>
          </w:p>
        </w:tc>
        <w:tc>
          <w:tcPr>
            <w:tcW w:w="7580" w:type="dxa"/>
            <w:vAlign w:val="bottom"/>
            <w:tcBorders>
              <w:top w:val="single" w:sz="8" w:color="CCEEFF"/>
            </w:tcBorders>
            <w:gridSpan w:val="26"/>
          </w:tcPr>
          <w:p>
            <w:pPr>
              <w:spacing w:after="0"/>
              <w:rPr>
                <w:sz w:val="17"/>
                <w:szCs w:val="17"/>
                <w:color w:val="auto"/>
              </w:rPr>
            </w:pPr>
          </w:p>
        </w:tc>
        <w:tc>
          <w:tcPr>
            <w:tcW w:w="180" w:type="dxa"/>
            <w:vAlign w:val="bottom"/>
            <w:tcBorders>
              <w:top w:val="single" w:sz="8" w:color="0000EE"/>
            </w:tcBorders>
            <w:gridSpan w:val="2"/>
          </w:tcPr>
          <w:p>
            <w:pPr>
              <w:jc w:val="right"/>
              <w:spacing w:after="0" w:line="202" w:lineRule="exact"/>
              <w:rPr>
                <w:rFonts w:ascii="Times New Roman" w:cs="Times New Roman" w:eastAsia="Times New Roman" w:hAnsi="Times New Roman"/>
                <w:sz w:val="18"/>
                <w:szCs w:val="18"/>
                <w:color w:val="0000EE"/>
                <w:w w:val="88"/>
              </w:rPr>
            </w:pPr>
            <w:hyperlink w:anchor="page49">
              <w:r>
                <w:rPr>
                  <w:rFonts w:ascii="Times New Roman" w:cs="Times New Roman" w:eastAsia="Times New Roman" w:hAnsi="Times New Roman"/>
                  <w:sz w:val="18"/>
                  <w:szCs w:val="18"/>
                  <w:color w:val="0000EE"/>
                  <w:w w:val="88"/>
                </w:rPr>
                <w:t>48</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0000EE"/>
            </w:tcBorders>
            <w:shd w:val="clear" w:color="auto" w:fill="CCEEFF"/>
          </w:tcPr>
          <w:p>
            <w:pPr>
              <w:spacing w:after="0" w:line="202" w:lineRule="exact"/>
              <w:rPr>
                <w:rFonts w:ascii="Times New Roman" w:cs="Times New Roman" w:eastAsia="Times New Roman" w:hAnsi="Times New Roman"/>
                <w:sz w:val="18"/>
                <w:szCs w:val="18"/>
                <w:color w:val="0000EE"/>
                <w:w w:val="97"/>
              </w:rPr>
            </w:pPr>
            <w:hyperlink w:anchor="page50">
              <w:r>
                <w:rPr>
                  <w:rFonts w:ascii="Times New Roman" w:cs="Times New Roman" w:eastAsia="Times New Roman" w:hAnsi="Times New Roman"/>
                  <w:sz w:val="18"/>
                  <w:szCs w:val="18"/>
                  <w:color w:val="0000EE"/>
                  <w:w w:val="97"/>
                </w:rPr>
                <w:t>Item 6.</w:t>
              </w:r>
            </w:hyperlink>
          </w:p>
        </w:tc>
        <w:tc>
          <w:tcPr>
            <w:tcW w:w="520" w:type="dxa"/>
            <w:vAlign w:val="bottom"/>
            <w:tcBorders>
              <w:bottom w:val="single" w:sz="8" w:color="CCEEFF"/>
            </w:tcBorders>
            <w:gridSpan w:val="2"/>
            <w:shd w:val="clear" w:color="auto" w:fill="CCEEFF"/>
          </w:tcPr>
          <w:p>
            <w:pPr>
              <w:spacing w:after="0"/>
              <w:rPr>
                <w:sz w:val="21"/>
                <w:szCs w:val="21"/>
                <w:color w:val="auto"/>
              </w:rPr>
            </w:pPr>
          </w:p>
        </w:tc>
        <w:tc>
          <w:tcPr>
            <w:tcW w:w="600" w:type="dxa"/>
            <w:vAlign w:val="bottom"/>
            <w:tcBorders>
              <w:bottom w:val="single" w:sz="8" w:color="0000EE"/>
            </w:tcBorders>
            <w:gridSpan w:val="6"/>
            <w:shd w:val="clear" w:color="auto" w:fill="CCEEFF"/>
          </w:tcPr>
          <w:p>
            <w:pPr>
              <w:spacing w:after="0" w:line="202" w:lineRule="exact"/>
              <w:rPr>
                <w:rFonts w:ascii="Times New Roman" w:cs="Times New Roman" w:eastAsia="Times New Roman" w:hAnsi="Times New Roman"/>
                <w:sz w:val="18"/>
                <w:szCs w:val="18"/>
                <w:color w:val="0000EE"/>
                <w:w w:val="96"/>
              </w:rPr>
            </w:pPr>
            <w:hyperlink w:anchor="page50">
              <w:r>
                <w:rPr>
                  <w:rFonts w:ascii="Times New Roman" w:cs="Times New Roman" w:eastAsia="Times New Roman" w:hAnsi="Times New Roman"/>
                  <w:sz w:val="18"/>
                  <w:szCs w:val="18"/>
                  <w:color w:val="0000EE"/>
                  <w:w w:val="96"/>
                </w:rPr>
                <w:t>Exhibits</w:t>
              </w:r>
            </w:hyperlink>
          </w:p>
        </w:tc>
        <w:tc>
          <w:tcPr>
            <w:tcW w:w="8740" w:type="dxa"/>
            <w:vAlign w:val="bottom"/>
            <w:tcBorders>
              <w:bottom w:val="single" w:sz="8" w:color="CCEEFF"/>
            </w:tcBorders>
            <w:gridSpan w:val="32"/>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Times New Roman" w:cs="Times New Roman" w:eastAsia="Times New Roman" w:hAnsi="Times New Roman"/>
                <w:sz w:val="18"/>
                <w:szCs w:val="18"/>
                <w:color w:val="0000EE"/>
                <w:w w:val="88"/>
              </w:rPr>
            </w:pPr>
            <w:hyperlink w:anchor="page50">
              <w:r>
                <w:rPr>
                  <w:rFonts w:ascii="Times New Roman" w:cs="Times New Roman" w:eastAsia="Times New Roman" w:hAnsi="Times New Roman"/>
                  <w:sz w:val="18"/>
                  <w:szCs w:val="18"/>
                  <w:color w:val="0000EE"/>
                  <w:w w:val="88"/>
                </w:rPr>
                <w:t>49</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760" w:type="dxa"/>
            <w:vAlign w:val="bottom"/>
            <w:tcBorders>
              <w:bottom w:val="single" w:sz="8" w:color="0000EE"/>
            </w:tcBorders>
            <w:gridSpan w:val="3"/>
          </w:tcPr>
          <w:p>
            <w:pPr>
              <w:spacing w:after="0" w:line="202" w:lineRule="exact"/>
              <w:rPr>
                <w:rFonts w:ascii="Times New Roman" w:cs="Times New Roman" w:eastAsia="Times New Roman" w:hAnsi="Times New Roman"/>
                <w:sz w:val="18"/>
                <w:szCs w:val="18"/>
                <w:color w:val="0000EE"/>
                <w:w w:val="97"/>
              </w:rPr>
            </w:pPr>
            <w:hyperlink w:anchor="page51">
              <w:r>
                <w:rPr>
                  <w:rFonts w:ascii="Times New Roman" w:cs="Times New Roman" w:eastAsia="Times New Roman" w:hAnsi="Times New Roman"/>
                  <w:sz w:val="18"/>
                  <w:szCs w:val="18"/>
                  <w:color w:val="0000EE"/>
                  <w:w w:val="97"/>
                </w:rPr>
                <w:t>Signatures</w:t>
              </w:r>
            </w:hyperlink>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202" w:lineRule="exact"/>
              <w:rPr>
                <w:rFonts w:ascii="Times New Roman" w:cs="Times New Roman" w:eastAsia="Times New Roman" w:hAnsi="Times New Roman"/>
                <w:sz w:val="18"/>
                <w:szCs w:val="18"/>
                <w:color w:val="0000EE"/>
                <w:w w:val="88"/>
              </w:rPr>
            </w:pPr>
            <w:hyperlink w:anchor="page51">
              <w:r>
                <w:rPr>
                  <w:rFonts w:ascii="Times New Roman" w:cs="Times New Roman" w:eastAsia="Times New Roman" w:hAnsi="Times New Roman"/>
                  <w:sz w:val="18"/>
                  <w:szCs w:val="18"/>
                  <w:color w:val="0000EE"/>
                  <w:w w:val="88"/>
                </w:rPr>
                <w:t>50</w:t>
              </w:r>
            </w:hyperlink>
          </w:p>
        </w:tc>
        <w:tc>
          <w:tcPr>
            <w:tcW w:w="20" w:type="dxa"/>
            <w:vAlign w:val="bottom"/>
          </w:tcPr>
          <w:p>
            <w:pPr>
              <w:spacing w:after="0"/>
              <w:rPr>
                <w:sz w:val="17"/>
                <w:szCs w:val="17"/>
                <w:color w:val="auto"/>
              </w:rPr>
            </w:pPr>
          </w:p>
        </w:tc>
      </w:tr>
    </w:tbl>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Second Quarter 2019 Form 10-Q</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420"/>
          </w:cols>
          <w:pgMar w:left="240" w:top="1036"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abbreviations or acronyms are used in the text. References in this report to “we,” “us” and “our” are to ALLETE, Inc., and its subsidiaries, collectively.</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Abbreviation or Acronym</w:t>
            </w:r>
          </w:p>
        </w:tc>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Term</w:t>
            </w:r>
          </w:p>
        </w:tc>
      </w:tr>
      <w:tr>
        <w:trPr>
          <w:trHeight w:val="48"/>
        </w:trPr>
        <w:tc>
          <w:tcPr>
            <w:tcW w:w="40" w:type="dxa"/>
            <w:vAlign w:val="bottom"/>
          </w:tcPr>
          <w:p>
            <w:pPr>
              <w:spacing w:after="0"/>
              <w:rPr>
                <w:sz w:val="4"/>
                <w:szCs w:val="4"/>
                <w:color w:val="auto"/>
              </w:rPr>
            </w:pPr>
          </w:p>
        </w:tc>
        <w:tc>
          <w:tcPr>
            <w:tcW w:w="1980" w:type="dxa"/>
            <w:vAlign w:val="bottom"/>
            <w:tcBorders>
              <w:top w:val="single" w:sz="8" w:color="auto"/>
            </w:tcBorders>
          </w:tcPr>
          <w:p>
            <w:pPr>
              <w:spacing w:after="0"/>
              <w:rPr>
                <w:sz w:val="4"/>
                <w:szCs w:val="4"/>
                <w:color w:val="auto"/>
              </w:rPr>
            </w:pPr>
          </w:p>
        </w:tc>
        <w:tc>
          <w:tcPr>
            <w:tcW w:w="122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7780" w:type="dxa"/>
            <w:vAlign w:val="bottom"/>
          </w:tcPr>
          <w:p>
            <w:pPr>
              <w:spacing w:after="0"/>
              <w:rPr>
                <w:sz w:val="4"/>
                <w:szCs w:val="4"/>
                <w:color w:val="auto"/>
              </w:rPr>
            </w:pPr>
          </w:p>
        </w:tc>
      </w:tr>
      <w:tr>
        <w:trPr>
          <w:trHeight w:val="225"/>
        </w:trPr>
        <w:tc>
          <w:tcPr>
            <w:tcW w:w="32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AFUDC</w:t>
            </w:r>
          </w:p>
        </w:tc>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Funds Used During Construction – the cost of both debt and equity funds used to finance</w:t>
            </w:r>
          </w:p>
        </w:tc>
      </w:tr>
      <w:tr>
        <w:trPr>
          <w:trHeight w:val="241"/>
        </w:trPr>
        <w:tc>
          <w:tcPr>
            <w:tcW w:w="4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regulated utility plant additions during construction periods</w:t>
            </w:r>
          </w:p>
        </w:tc>
      </w:tr>
      <w:tr>
        <w:trPr>
          <w:trHeight w:val="243"/>
        </w:trPr>
        <w:tc>
          <w:tcPr>
            <w:tcW w:w="3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ALLETE</w:t>
            </w:r>
          </w:p>
        </w:tc>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ALLETE,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ALLETE Clean Energy</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ALLETE Clean Energy, Inc. and its subsidiaries</w:t>
            </w:r>
          </w:p>
        </w:tc>
      </w:tr>
      <w:tr>
        <w:trPr>
          <w:trHeight w:val="243"/>
        </w:trPr>
        <w:tc>
          <w:tcPr>
            <w:tcW w:w="3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ALLETE Properties</w:t>
            </w:r>
          </w:p>
        </w:tc>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ALLETE Properties, LLC and its subsidiaries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ALLETE Transmission Holdings</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ALLETE Transmission Holdings, Inc.</w:t>
            </w:r>
          </w:p>
        </w:tc>
      </w:tr>
      <w:tr>
        <w:trPr>
          <w:trHeight w:val="243"/>
        </w:trPr>
        <w:tc>
          <w:tcPr>
            <w:tcW w:w="3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ATC</w:t>
            </w:r>
          </w:p>
        </w:tc>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American Transmission Company LLC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Bison</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Bison Wind Energy Center</w:t>
            </w:r>
          </w:p>
        </w:tc>
      </w:tr>
      <w:tr>
        <w:trPr>
          <w:trHeight w:val="243"/>
        </w:trPr>
        <w:tc>
          <w:tcPr>
            <w:tcW w:w="3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BNI Energy</w:t>
            </w:r>
          </w:p>
        </w:tc>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BNI Energy, Inc. and its subsidiary</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Boswell</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Boswell Energy Center</w:t>
            </w:r>
          </w:p>
        </w:tc>
      </w:tr>
      <w:tr>
        <w:trPr>
          <w:trHeight w:val="243"/>
        </w:trPr>
        <w:tc>
          <w:tcPr>
            <w:tcW w:w="3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Camp Ripley</w:t>
            </w:r>
          </w:p>
        </w:tc>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Camp Ripley Solar Array</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CIP</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Conservation Improvement Program</w:t>
            </w:r>
          </w:p>
        </w:tc>
      </w:tr>
      <w:tr>
        <w:trPr>
          <w:trHeight w:val="243"/>
        </w:trPr>
        <w:tc>
          <w:tcPr>
            <w:tcW w:w="3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Cliffs</w:t>
            </w:r>
          </w:p>
        </w:tc>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Cleveland-Cliffs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Company</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ALLETE, Inc. and its subsidiaries</w:t>
            </w:r>
          </w:p>
        </w:tc>
      </w:tr>
      <w:tr>
        <w:trPr>
          <w:trHeight w:val="243"/>
        </w:trPr>
        <w:tc>
          <w:tcPr>
            <w:tcW w:w="3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CSAPR</w:t>
            </w:r>
          </w:p>
        </w:tc>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Cross-State Air Pollution Rule</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DC</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Current</w:t>
            </w:r>
          </w:p>
        </w:tc>
      </w:tr>
      <w:tr>
        <w:trPr>
          <w:trHeight w:val="243"/>
        </w:trPr>
        <w:tc>
          <w:tcPr>
            <w:tcW w:w="3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EIS</w:t>
            </w:r>
          </w:p>
        </w:tc>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Environmental Impact Statement</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EITE</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Energy-Intensive Trade-Exposed</w:t>
            </w:r>
          </w:p>
        </w:tc>
      </w:tr>
      <w:tr>
        <w:trPr>
          <w:trHeight w:val="243"/>
        </w:trPr>
        <w:tc>
          <w:tcPr>
            <w:tcW w:w="3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EPA</w:t>
            </w:r>
          </w:p>
        </w:tc>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 Environmental Protection Agency</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ESOP</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Stock Ownership Plan</w:t>
            </w:r>
          </w:p>
        </w:tc>
      </w:tr>
      <w:tr>
        <w:trPr>
          <w:trHeight w:val="243"/>
        </w:trPr>
        <w:tc>
          <w:tcPr>
            <w:tcW w:w="3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FASB</w:t>
            </w:r>
          </w:p>
        </w:tc>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Accounting Standards Board</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FERC</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Energy Regulatory Commission</w:t>
            </w:r>
          </w:p>
        </w:tc>
      </w:tr>
      <w:tr>
        <w:trPr>
          <w:trHeight w:val="243"/>
        </w:trPr>
        <w:tc>
          <w:tcPr>
            <w:tcW w:w="3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Form 10-K</w:t>
            </w:r>
          </w:p>
        </w:tc>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ALLETE Annual Report on Form 10-K</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Form 10-Q</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ALLETE Quarterly Report on Form 10-Q</w:t>
            </w:r>
          </w:p>
        </w:tc>
      </w:tr>
      <w:tr>
        <w:trPr>
          <w:trHeight w:val="243"/>
        </w:trPr>
        <w:tc>
          <w:tcPr>
            <w:tcW w:w="3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GAAP</w:t>
            </w:r>
          </w:p>
        </w:tc>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Generally Accepted Accounting Principles in the United States of America</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GHG</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Greenhouse Gases</w:t>
            </w:r>
          </w:p>
        </w:tc>
      </w:tr>
      <w:tr>
        <w:trPr>
          <w:trHeight w:val="243"/>
        </w:trPr>
        <w:tc>
          <w:tcPr>
            <w:tcW w:w="3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GNTL</w:t>
            </w:r>
          </w:p>
        </w:tc>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Great Northern Transmission Line</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Husky Energy</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Husky Energy Inc.</w:t>
            </w:r>
          </w:p>
        </w:tc>
      </w:tr>
      <w:tr>
        <w:trPr>
          <w:trHeight w:val="243"/>
        </w:trPr>
        <w:tc>
          <w:tcPr>
            <w:tcW w:w="3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Invest Direct</w:t>
            </w:r>
          </w:p>
        </w:tc>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ALLETE’s Direct Stock Purchase and Dividend Reinvestment Plan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IRP</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Integrated Resource Plan</w:t>
            </w:r>
          </w:p>
        </w:tc>
      </w:tr>
      <w:tr>
        <w:trPr>
          <w:trHeight w:val="243"/>
        </w:trPr>
        <w:tc>
          <w:tcPr>
            <w:tcW w:w="3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Item ___</w:t>
            </w:r>
          </w:p>
        </w:tc>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___ of this Form 10-Q</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kV</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Kilovolt(s)</w:t>
            </w:r>
          </w:p>
        </w:tc>
      </w:tr>
      <w:tr>
        <w:trPr>
          <w:trHeight w:val="243"/>
        </w:trPr>
        <w:tc>
          <w:tcPr>
            <w:tcW w:w="3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kW / kWh</w:t>
            </w:r>
          </w:p>
        </w:tc>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Kilowatt(s) / Kilowatt-hour(s)</w:t>
            </w:r>
          </w:p>
        </w:tc>
      </w:tr>
      <w:tr>
        <w:trPr>
          <w:trHeight w:val="203"/>
        </w:trPr>
        <w:tc>
          <w:tcPr>
            <w:tcW w:w="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780" w:type="dxa"/>
            <w:vAlign w:val="bottom"/>
          </w:tcPr>
          <w:p>
            <w:pPr>
              <w:spacing w:after="0"/>
              <w:rPr>
                <w:sz w:val="17"/>
                <w:szCs w:val="17"/>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Laskin</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Laskin Energy Center</w:t>
            </w:r>
          </w:p>
        </w:tc>
      </w:tr>
      <w:tr>
        <w:trPr>
          <w:trHeight w:val="243"/>
        </w:trPr>
        <w:tc>
          <w:tcPr>
            <w:tcW w:w="3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Manitoba Hydro</w:t>
            </w:r>
          </w:p>
        </w:tc>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Manitoba Hydro-Electric Board</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Minnesota Power</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 operating division of ALLETE, Inc.</w:t>
            </w:r>
          </w:p>
        </w:tc>
      </w:tr>
      <w:tr>
        <w:trPr>
          <w:trHeight w:val="243"/>
        </w:trPr>
        <w:tc>
          <w:tcPr>
            <w:tcW w:w="3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Minnkota Power</w:t>
            </w:r>
          </w:p>
        </w:tc>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Minnkota Power Cooperative,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MISO</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Midcontinent Independent System Operator, Inc.</w:t>
            </w:r>
          </w:p>
        </w:tc>
      </w:tr>
      <w:tr>
        <w:trPr>
          <w:trHeight w:val="243"/>
        </w:trPr>
        <w:tc>
          <w:tcPr>
            <w:tcW w:w="3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MMTP</w:t>
            </w:r>
          </w:p>
        </w:tc>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Manitoba-Minnesota Transmission Project</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Montana-Dakota Utilities</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Montana-Dakota Utilities Co., a subsidiary of MDU Resources Group, Inc.</w:t>
            </w:r>
          </w:p>
        </w:tc>
      </w:tr>
      <w:tr>
        <w:trPr>
          <w:trHeight w:val="243"/>
        </w:trPr>
        <w:tc>
          <w:tcPr>
            <w:tcW w:w="3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Moody’s</w:t>
            </w:r>
          </w:p>
        </w:tc>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Moody’s Investors Service,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MPCA</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Minnesota Pollution Control Agency</w:t>
            </w:r>
          </w:p>
        </w:tc>
      </w:tr>
      <w:tr>
        <w:trPr>
          <w:trHeight w:val="398"/>
        </w:trPr>
        <w:tc>
          <w:tcPr>
            <w:tcW w:w="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7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ALLETE, Inc. Second Quarter 2019 Form 10-Q</w:t>
            </w:r>
          </w:p>
        </w:tc>
      </w:tr>
    </w:tbl>
    <w:p>
      <w:pPr>
        <w:spacing w:after="0" w:line="1" w:lineRule="exact"/>
        <w:rPr>
          <w:sz w:val="20"/>
          <w:szCs w:val="20"/>
          <w:color w:val="auto"/>
        </w:rPr>
      </w:pPr>
    </w:p>
    <w:p>
      <w:pPr>
        <w:sectPr>
          <w:pgSz w:w="11900" w:h="16838" w:orient="portrait"/>
          <w:cols w:equalWidth="0" w:num="1">
            <w:col w:w="11420"/>
          </w:cols>
          <w:pgMar w:left="240" w:top="1036" w:right="239" w:bottom="1440" w:gutter="0" w:footer="0" w:header="0"/>
        </w:sectPr>
      </w:pPr>
    </w:p>
    <w:p>
      <w:pPr>
        <w:ind w:left="1134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420"/>
          </w:cols>
          <w:pgMar w:left="240" w:top="1036" w:right="2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32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Abbreviation or Acronym</w:t>
            </w:r>
          </w:p>
        </w:tc>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Term</w:t>
            </w:r>
          </w:p>
        </w:tc>
      </w:tr>
      <w:tr>
        <w:trPr>
          <w:trHeight w:val="48"/>
        </w:trPr>
        <w:tc>
          <w:tcPr>
            <w:tcW w:w="40" w:type="dxa"/>
            <w:vAlign w:val="bottom"/>
          </w:tcPr>
          <w:p>
            <w:pPr>
              <w:spacing w:after="0"/>
              <w:rPr>
                <w:sz w:val="4"/>
                <w:szCs w:val="4"/>
                <w:color w:val="auto"/>
              </w:rPr>
            </w:pPr>
          </w:p>
        </w:tc>
        <w:tc>
          <w:tcPr>
            <w:tcW w:w="1980" w:type="dxa"/>
            <w:vAlign w:val="bottom"/>
            <w:tcBorders>
              <w:top w:val="single" w:sz="8" w:color="auto"/>
            </w:tcBorders>
          </w:tcPr>
          <w:p>
            <w:pPr>
              <w:spacing w:after="0"/>
              <w:rPr>
                <w:sz w:val="4"/>
                <w:szCs w:val="4"/>
                <w:color w:val="auto"/>
              </w:rPr>
            </w:pPr>
          </w:p>
        </w:tc>
        <w:tc>
          <w:tcPr>
            <w:tcW w:w="122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7780" w:type="dxa"/>
            <w:vAlign w:val="bottom"/>
          </w:tcPr>
          <w:p>
            <w:pPr>
              <w:spacing w:after="0"/>
              <w:rPr>
                <w:sz w:val="4"/>
                <w:szCs w:val="4"/>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MPUC</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Minnesota Public Utilities Commission</w:t>
            </w:r>
          </w:p>
        </w:tc>
      </w:tr>
      <w:tr>
        <w:trPr>
          <w:trHeight w:val="243"/>
        </w:trPr>
        <w:tc>
          <w:tcPr>
            <w:tcW w:w="3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MW / MWh</w:t>
            </w:r>
          </w:p>
        </w:tc>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Megawatt(s) / Megawatt-hour(s)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NAAQS</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National Ambient Air Quality Standards</w:t>
            </w:r>
          </w:p>
        </w:tc>
      </w:tr>
      <w:tr>
        <w:trPr>
          <w:trHeight w:val="243"/>
        </w:trPr>
        <w:tc>
          <w:tcPr>
            <w:tcW w:w="3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NDPSC</w:t>
            </w:r>
          </w:p>
        </w:tc>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North Dakota Public Service Commission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Nobles 2</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Nobles 2 Power Partners, LLC</w:t>
            </w:r>
          </w:p>
        </w:tc>
      </w:tr>
      <w:tr>
        <w:trPr>
          <w:trHeight w:val="243"/>
        </w:trPr>
        <w:tc>
          <w:tcPr>
            <w:tcW w:w="3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NOL</w:t>
            </w:r>
          </w:p>
        </w:tc>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Operating Loss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NOX</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Nitrogen Oxides</w:t>
            </w:r>
          </w:p>
        </w:tc>
      </w:tr>
      <w:tr>
        <w:trPr>
          <w:trHeight w:val="243"/>
        </w:trPr>
        <w:tc>
          <w:tcPr>
            <w:tcW w:w="3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Northern States Power</w:t>
            </w:r>
          </w:p>
        </w:tc>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Northern States Power Company, a subsidiary of Xcel Energy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Northshore Mining</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Northshore Mining Company, a wholly-owned subsidiary of Cleveland-Cliffs Inc.</w:t>
            </w:r>
          </w:p>
        </w:tc>
      </w:tr>
      <w:tr>
        <w:trPr>
          <w:trHeight w:val="243"/>
        </w:trPr>
        <w:tc>
          <w:tcPr>
            <w:tcW w:w="3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Note ___</w:t>
            </w:r>
          </w:p>
        </w:tc>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 ___ to the Consolidated Financial Statements in this Form 10-Q</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NPDES</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National Pollutant Discharge Elimination System</w:t>
            </w:r>
          </w:p>
        </w:tc>
      </w:tr>
      <w:tr>
        <w:trPr>
          <w:trHeight w:val="243"/>
        </w:trPr>
        <w:tc>
          <w:tcPr>
            <w:tcW w:w="3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NTEC</w:t>
            </w:r>
          </w:p>
        </w:tc>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Nemadji Trail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Oliver Wind I</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Oliver Wind I Energy Center</w:t>
            </w:r>
          </w:p>
        </w:tc>
      </w:tr>
      <w:tr>
        <w:trPr>
          <w:trHeight w:val="243"/>
        </w:trPr>
        <w:tc>
          <w:tcPr>
            <w:tcW w:w="3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Oliver Wind II</w:t>
            </w:r>
          </w:p>
        </w:tc>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Oliver Wind II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Palm Coast Park District</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Palm Coast Park Community Development District in Florida</w:t>
            </w:r>
          </w:p>
        </w:tc>
      </w:tr>
      <w:tr>
        <w:trPr>
          <w:trHeight w:val="243"/>
        </w:trPr>
        <w:tc>
          <w:tcPr>
            <w:tcW w:w="3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PolyMet</w:t>
            </w:r>
          </w:p>
        </w:tc>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PolyMet Mining Corp.</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PPA / PSA</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Power Purchase Agreement / Power Sales Agreement</w:t>
            </w:r>
          </w:p>
        </w:tc>
      </w:tr>
      <w:tr>
        <w:trPr>
          <w:trHeight w:val="243"/>
        </w:trPr>
        <w:tc>
          <w:tcPr>
            <w:tcW w:w="3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PPACA</w:t>
            </w:r>
          </w:p>
        </w:tc>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Patient Protection and Affordable Care Act of 2010</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PSCW</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Service Commission of Wisconsin</w:t>
            </w:r>
          </w:p>
        </w:tc>
      </w:tr>
      <w:tr>
        <w:trPr>
          <w:trHeight w:val="243"/>
        </w:trPr>
        <w:tc>
          <w:tcPr>
            <w:tcW w:w="3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SEC</w:t>
            </w:r>
          </w:p>
        </w:tc>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and Exchange Commission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Silver Bay Power</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Silver Bay Power Company, a wholly-owned subsidiary of Cleveland-Cliffs Inc.</w:t>
            </w:r>
          </w:p>
        </w:tc>
      </w:tr>
      <w:tr>
        <w:trPr>
          <w:trHeight w:val="243"/>
        </w:trPr>
        <w:tc>
          <w:tcPr>
            <w:tcW w:w="3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SO</w:t>
            </w:r>
            <w:r>
              <w:rPr>
                <w:rFonts w:ascii="Times New Roman" w:cs="Times New Roman" w:eastAsia="Times New Roman" w:hAnsi="Times New Roman"/>
                <w:sz w:val="12"/>
                <w:szCs w:val="12"/>
                <w:color w:val="auto"/>
              </w:rPr>
              <w:t>2</w:t>
            </w:r>
          </w:p>
        </w:tc>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Sulfur Dioxide</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Square Butte</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Square Butte Electric Cooperative, a North Dakota cooperative corporation</w:t>
            </w:r>
          </w:p>
        </w:tc>
      </w:tr>
      <w:tr>
        <w:trPr>
          <w:trHeight w:val="243"/>
        </w:trPr>
        <w:tc>
          <w:tcPr>
            <w:tcW w:w="3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SWL&amp;P</w:t>
            </w:r>
          </w:p>
        </w:tc>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Superior Water, Light and Power Company</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Taconite Harbor</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Taconite Harbor Energy Center</w:t>
            </w:r>
          </w:p>
        </w:tc>
      </w:tr>
      <w:tr>
        <w:trPr>
          <w:trHeight w:val="243"/>
        </w:trPr>
        <w:tc>
          <w:tcPr>
            <w:tcW w:w="3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TCJA</w:t>
            </w:r>
          </w:p>
        </w:tc>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Cuts and Job Act of 2017 (Public Law 115-97)</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Town Center District</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Town Center at Palm Coast Community Development District in Florida</w:t>
            </w:r>
          </w:p>
        </w:tc>
      </w:tr>
      <w:tr>
        <w:trPr>
          <w:trHeight w:val="243"/>
        </w:trPr>
        <w:tc>
          <w:tcPr>
            <w:tcW w:w="3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U.S.</w:t>
            </w:r>
          </w:p>
        </w:tc>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Water Services</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Water Services Holding Company and its subsidiaries</w:t>
            </w:r>
          </w:p>
        </w:tc>
      </w:tr>
      <w:tr>
        <w:trPr>
          <w:trHeight w:val="243"/>
        </w:trPr>
        <w:tc>
          <w:tcPr>
            <w:tcW w:w="3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WTG</w:t>
            </w:r>
          </w:p>
        </w:tc>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Wind Turbine Generator</w:t>
            </w:r>
          </w:p>
        </w:tc>
      </w:tr>
      <w:tr>
        <w:trPr>
          <w:trHeight w:val="858"/>
        </w:trPr>
        <w:tc>
          <w:tcPr>
            <w:tcW w:w="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7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ALLETE, Inc. Second Quarter 2019 Form 10-Q</w:t>
            </w:r>
          </w:p>
        </w:tc>
      </w:tr>
    </w:tbl>
    <w:p>
      <w:pPr>
        <w:jc w:val="right"/>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1420"/>
          </w:cols>
          <w:pgMar w:left="240" w:top="1189"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Statements in this report that are not statements of historical facts are considered “forward-looking” and, accordingly, involve risks and uncertainties that could cause actual results to differ materially from those discussed. Although such forward-looking statements have been made in good faith and are based on reasonable assumptions, there can be no assurance that the expected results will be achieved. Any statements that express, or involve discussions as to, future expectations, risks, beliefs, plans, objectives, assumptions, events, uncertainties, financial performance, or growth strategies (often, but not always, through the use of words or phrases such as “anticipates,” “believes,” “estimates,” “expects,” “intends,” “plans,” “projects,” “likely,” “will continue,” “could,” “may,” “potential,” “target,” “outlook” or words of similar meaning) are not statements of historical facts and may be forward-looking.</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safe harbor provisions of the Private Securities Litigation Reform Act of 1995, we are providing this cautionary statement to identify important factors that could cause our actual results to differ materially from those indicated in forward-looking statements made by or on behalf of ALLETE in this Form 10-Q, in presentations, on our website, in response to questions or otherwise. These statements are qualified in their entirety by reference to, and are accompanied by, the following important factors, in addition to any assumptions and other factors referred to specifically in connection with such forward-looking statements that could cause our actual results to differ materially from those indicated in the forward-looking statements:</w:t>
      </w:r>
    </w:p>
    <w:p>
      <w:pPr>
        <w:spacing w:after="0" w:line="184"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strategic objectives;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and domestic economic conditions affecting us or our customers;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compliance with laws and regulations;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rates or policies or in rates of inflation;</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legal and administrative proceedings (whether civil or criminal) and settlements;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 natural disasters and pandemic diseases;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capital markets and bank financing;</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 and the performance of the financial markets;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 delays or changes in project costs;</w:t>
      </w:r>
    </w:p>
    <w:p>
      <w:pPr>
        <w:spacing w:after="0" w:line="9"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expenses and capital expenditures and our ability to raise revenues from our customers in regulated rates or contract price increases at our Energy Infrastructure and Related Services and other businesses;</w:t>
      </w: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commodity prices on ALLETE and our customers;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skilled and experienced personnel;</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emerging technology;</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 acts of terrorism and cybersecurity attacks;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expansion and integrate acquisitions;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population growth rates and demographic patterns;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wholesale power market conditions;</w:t>
      </w:r>
    </w:p>
    <w:p>
      <w:pPr>
        <w:spacing w:after="0" w:line="9" w:lineRule="exact"/>
        <w:rPr>
          <w:rFonts w:ascii="Times New Roman" w:cs="Times New Roman" w:eastAsia="Times New Roman" w:hAnsi="Times New Roman"/>
          <w:sz w:val="18"/>
          <w:szCs w:val="18"/>
          <w:color w:val="auto"/>
        </w:rPr>
      </w:pPr>
    </w:p>
    <w:p>
      <w:pPr>
        <w:jc w:val="both"/>
        <w:ind w:left="340" w:right="20" w:hanging="332"/>
        <w:spacing w:after="0" w:line="250"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regulatory and legislative actions that impact regulated utility economics, including our allowed rates of return, capital structure, ability to secure financing, industry and rate structure, acquisition and disposal of assets and facilities, operation and construction of plant facilities and utility infrastructure, recovery of purchased power, capital investments and other expenses, including present or prospective environmental matters;</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competition, including competition for retail and wholesale customers;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restructuring initiatives in the electric industry;</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on our Regulated Operations segment of climate change and future regulation to restrict the emissions of GHG;</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increased deployment of distributed low-carbon electricity generation resources;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laws and regulations related to renewable and distributed generation;</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availability and transportation of fuel and other commodities and the ability to recover the costs of such commodities;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and potential industrial and municipal customers’ ability to execute announced expansion plans;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market conditions where our legacy Florida real estate investment is located may not improve;</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efforts to realize value from, invest in, and develop new opportunities in, our Energy Infrastructure and Related Services businesses; and</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affecting our Energy Infrastructure and Related Services businesses, including unanticipated cost increases, changes in legislation and regulations impacting the industries in which the customers served operate, the effects of weather, creditworthiness of customers, ability to obtain materials required to perform services, and changing market conditions.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Second Quarter 2019 Form 10-Q</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1420"/>
          </w:cols>
          <w:pgMar w:left="240" w:top="1036" w:right="239" w:bottom="1440" w:gutter="0" w:footer="0" w:header="0"/>
        </w:sectPr>
      </w:pPr>
    </w:p>
    <w:bookmarkStart w:id="5" w:name="page6"/>
    <w:bookmarkEnd w:id="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Forward-Looking Statements (Continued)</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 disclosures regarding factors that could cause our results or performance to differ from those anticipated by this report are discussed in Part I, Item 1A. Risk Factors of ALLETE’s 2018 Form 10-K. Any forward-looking statement speaks only as of the date on which such statement is made, and we undertake no obligation to update any forward-looking statement to reflect events or circumstances after the date on which that statement is made or to reflect the occurrence of unanticipated events. New factors emerge from time to time, and it is not possible for management to predict all of these factors, nor can it assess the impact of each of these factors on the businesses of ALLETE or the extent to which any factor, or combination of factors, may cause actual results to differ materially from those contained in any forward-looking statement. Readers are urged to carefully review and consider the various disclosures made by ALLETE in this Form 10-Q and in other reports filed with the SEC that attempt to identify the risks and uncertainties that may affect ALLETE’s business.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Second Quarter 2019 Form 10-Q</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1420"/>
          </w:cols>
          <w:pgMar w:left="240" w:top="1036"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8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4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32"/>
        </w:trPr>
        <w:tc>
          <w:tcPr>
            <w:tcW w:w="8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CONSOLIDATED FINANCIAL STATEMENTS</w:t>
            </w:r>
          </w:p>
        </w:tc>
        <w:tc>
          <w:tcPr>
            <w:tcW w:w="14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10"/>
        </w:trPr>
        <w:tc>
          <w:tcPr>
            <w:tcW w:w="8460" w:type="dxa"/>
            <w:vAlign w:val="bottom"/>
          </w:tcPr>
          <w:p>
            <w:pPr>
              <w:jc w:val="center"/>
              <w:ind w:left="2870"/>
              <w:spacing w:after="0"/>
              <w:rPr>
                <w:sz w:val="20"/>
                <w:szCs w:val="20"/>
                <w:color w:val="auto"/>
              </w:rPr>
            </w:pPr>
            <w:r>
              <w:rPr>
                <w:rFonts w:ascii="Times New Roman" w:cs="Times New Roman" w:eastAsia="Times New Roman" w:hAnsi="Times New Roman"/>
                <w:sz w:val="18"/>
                <w:szCs w:val="18"/>
                <w:b w:val="1"/>
                <w:bCs w:val="1"/>
                <w:color w:val="auto"/>
              </w:rPr>
              <w:t>ALLETE</w:t>
            </w:r>
          </w:p>
        </w:tc>
        <w:tc>
          <w:tcPr>
            <w:tcW w:w="14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16"/>
        </w:trPr>
        <w:tc>
          <w:tcPr>
            <w:tcW w:w="8460" w:type="dxa"/>
            <w:vAlign w:val="bottom"/>
          </w:tcPr>
          <w:p>
            <w:pPr>
              <w:jc w:val="center"/>
              <w:ind w:left="287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w:t>
            </w:r>
          </w:p>
        </w:tc>
        <w:tc>
          <w:tcPr>
            <w:tcW w:w="14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8"/>
        </w:trPr>
        <w:tc>
          <w:tcPr>
            <w:tcW w:w="8460" w:type="dxa"/>
            <w:vAlign w:val="bottom"/>
          </w:tcPr>
          <w:p>
            <w:pPr>
              <w:jc w:val="center"/>
              <w:ind w:left="287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4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37"/>
        </w:trPr>
        <w:tc>
          <w:tcPr>
            <w:tcW w:w="8460" w:type="dxa"/>
            <w:vAlign w:val="bottom"/>
          </w:tcPr>
          <w:p>
            <w:pPr>
              <w:spacing w:after="0"/>
              <w:rPr>
                <w:sz w:val="24"/>
                <w:szCs w:val="24"/>
                <w:color w:val="auto"/>
              </w:rPr>
            </w:pPr>
          </w:p>
        </w:tc>
        <w:tc>
          <w:tcPr>
            <w:tcW w:w="14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4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460" w:type="dxa"/>
            <w:vAlign w:val="bottom"/>
          </w:tcPr>
          <w:p>
            <w:pPr>
              <w:spacing w:after="0"/>
              <w:rPr>
                <w:sz w:val="20"/>
                <w:szCs w:val="20"/>
                <w:color w:val="auto"/>
              </w:rPr>
            </w:pPr>
          </w:p>
        </w:tc>
        <w:tc>
          <w:tcPr>
            <w:tcW w:w="14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8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14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84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14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84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$203.1</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$69.1</w:t>
            </w:r>
          </w:p>
        </w:tc>
      </w:tr>
      <w:tr>
        <w:trPr>
          <w:trHeight w:val="243"/>
        </w:trPr>
        <w:tc>
          <w:tcPr>
            <w:tcW w:w="8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Receivable (Less Allowance of $1.1 and $1.7)</w:t>
            </w:r>
          </w:p>
        </w:tc>
        <w:tc>
          <w:tcPr>
            <w:tcW w:w="1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87.4</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144.4</w:t>
            </w:r>
          </w:p>
        </w:tc>
      </w:tr>
      <w:tr>
        <w:trPr>
          <w:trHeight w:val="27"/>
        </w:trPr>
        <w:tc>
          <w:tcPr>
            <w:tcW w:w="84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Inventories – Net</w:t>
            </w:r>
          </w:p>
        </w:tc>
        <w:tc>
          <w:tcPr>
            <w:tcW w:w="1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78.2</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86.7</w:t>
            </w:r>
          </w:p>
        </w:tc>
      </w:tr>
      <w:tr>
        <w:trPr>
          <w:trHeight w:val="243"/>
        </w:trPr>
        <w:tc>
          <w:tcPr>
            <w:tcW w:w="8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Prepayments and Other</w:t>
            </w:r>
          </w:p>
        </w:tc>
        <w:tc>
          <w:tcPr>
            <w:tcW w:w="1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28.6</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34.1</w:t>
            </w:r>
          </w:p>
        </w:tc>
      </w:tr>
      <w:tr>
        <w:trPr>
          <w:trHeight w:val="27"/>
        </w:trPr>
        <w:tc>
          <w:tcPr>
            <w:tcW w:w="8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1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397.3</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334.3</w:t>
            </w:r>
          </w:p>
        </w:tc>
      </w:tr>
      <w:tr>
        <w:trPr>
          <w:trHeight w:val="243"/>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 Net</w:t>
            </w:r>
          </w:p>
        </w:tc>
        <w:tc>
          <w:tcPr>
            <w:tcW w:w="1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4,062.9</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3,904.4</w:t>
            </w:r>
          </w:p>
        </w:tc>
      </w:tr>
      <w:tr>
        <w:trPr>
          <w:trHeight w:val="27"/>
        </w:trPr>
        <w:tc>
          <w:tcPr>
            <w:tcW w:w="84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Regulatory Assets</w:t>
            </w:r>
          </w:p>
        </w:tc>
        <w:tc>
          <w:tcPr>
            <w:tcW w:w="1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391.2</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389.5</w:t>
            </w:r>
          </w:p>
        </w:tc>
      </w:tr>
      <w:tr>
        <w:trPr>
          <w:trHeight w:val="243"/>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Investments</w:t>
            </w:r>
          </w:p>
        </w:tc>
        <w:tc>
          <w:tcPr>
            <w:tcW w:w="1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160.2</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161.1</w:t>
            </w:r>
          </w:p>
        </w:tc>
      </w:tr>
      <w:tr>
        <w:trPr>
          <w:trHeight w:val="27"/>
        </w:trPr>
        <w:tc>
          <w:tcPr>
            <w:tcW w:w="84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 and Intangible Assets – Net</w:t>
            </w:r>
          </w:p>
        </w:tc>
        <w:tc>
          <w:tcPr>
            <w:tcW w:w="1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1.1</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223.3</w:t>
            </w:r>
          </w:p>
        </w:tc>
      </w:tr>
      <w:tr>
        <w:trPr>
          <w:trHeight w:val="243"/>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Non-Current Assets</w:t>
            </w:r>
          </w:p>
        </w:tc>
        <w:tc>
          <w:tcPr>
            <w:tcW w:w="1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163.8</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152.4</w:t>
            </w:r>
          </w:p>
        </w:tc>
      </w:tr>
      <w:tr>
        <w:trPr>
          <w:trHeight w:val="27"/>
        </w:trPr>
        <w:tc>
          <w:tcPr>
            <w:tcW w:w="8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$5,176.5</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$5,165.0</w:t>
            </w:r>
          </w:p>
        </w:tc>
      </w:tr>
      <w:tr>
        <w:trPr>
          <w:trHeight w:val="237"/>
        </w:trPr>
        <w:tc>
          <w:tcPr>
            <w:tcW w:w="84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4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r>
      <w:tr>
        <w:trPr>
          <w:trHeight w:val="27"/>
        </w:trPr>
        <w:tc>
          <w:tcPr>
            <w:tcW w:w="84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14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84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1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$150.4</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$149.8</w:t>
            </w:r>
          </w:p>
        </w:tc>
      </w:tr>
      <w:tr>
        <w:trPr>
          <w:trHeight w:val="243"/>
        </w:trPr>
        <w:tc>
          <w:tcPr>
            <w:tcW w:w="8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Accrued Taxes</w:t>
            </w:r>
          </w:p>
        </w:tc>
        <w:tc>
          <w:tcPr>
            <w:tcW w:w="1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41.3</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51.4</w:t>
            </w:r>
          </w:p>
        </w:tc>
      </w:tr>
      <w:tr>
        <w:trPr>
          <w:trHeight w:val="27"/>
        </w:trPr>
        <w:tc>
          <w:tcPr>
            <w:tcW w:w="84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Accrued Interest</w:t>
            </w:r>
          </w:p>
        </w:tc>
        <w:tc>
          <w:tcPr>
            <w:tcW w:w="1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17.7</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17.9</w:t>
            </w:r>
          </w:p>
        </w:tc>
      </w:tr>
      <w:tr>
        <w:trPr>
          <w:trHeight w:val="243"/>
        </w:trPr>
        <w:tc>
          <w:tcPr>
            <w:tcW w:w="8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Long-Term Debt Due Within One Year</w:t>
            </w:r>
          </w:p>
        </w:tc>
        <w:tc>
          <w:tcPr>
            <w:tcW w:w="1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27.7</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57.5</w:t>
            </w:r>
          </w:p>
        </w:tc>
      </w:tr>
      <w:tr>
        <w:trPr>
          <w:trHeight w:val="27"/>
        </w:trPr>
        <w:tc>
          <w:tcPr>
            <w:tcW w:w="84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5"/>
        </w:trPr>
        <w:tc>
          <w:tcPr>
            <w:tcW w:w="84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1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59.5</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128.5</w:t>
            </w:r>
          </w:p>
        </w:tc>
      </w:tr>
      <w:tr>
        <w:trPr>
          <w:trHeight w:val="237"/>
        </w:trPr>
        <w:tc>
          <w:tcPr>
            <w:tcW w:w="846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2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296.6</w:t>
            </w:r>
          </w:p>
        </w:tc>
        <w:tc>
          <w:tcPr>
            <w:tcW w:w="14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405.1</w:t>
            </w:r>
          </w:p>
        </w:tc>
      </w:tr>
      <w:tr>
        <w:trPr>
          <w:trHeight w:val="27"/>
        </w:trPr>
        <w:tc>
          <w:tcPr>
            <w:tcW w:w="84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1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1,505.9</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1,428.5</w:t>
            </w:r>
          </w:p>
        </w:tc>
      </w:tr>
      <w:tr>
        <w:trPr>
          <w:trHeight w:val="243"/>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1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213.5</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223.6</w:t>
            </w:r>
          </w:p>
        </w:tc>
      </w:tr>
      <w:tr>
        <w:trPr>
          <w:trHeight w:val="27"/>
        </w:trPr>
        <w:tc>
          <w:tcPr>
            <w:tcW w:w="84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Regulatory Liabilities</w:t>
            </w:r>
          </w:p>
        </w:tc>
        <w:tc>
          <w:tcPr>
            <w:tcW w:w="1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508.8</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512.1</w:t>
            </w:r>
          </w:p>
        </w:tc>
      </w:tr>
      <w:tr>
        <w:trPr>
          <w:trHeight w:val="243"/>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Defined Benefit Pension and Other Postretirement Benefit Plans</w:t>
            </w:r>
          </w:p>
        </w:tc>
        <w:tc>
          <w:tcPr>
            <w:tcW w:w="1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163.9</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177.3</w:t>
            </w:r>
          </w:p>
        </w:tc>
      </w:tr>
      <w:tr>
        <w:trPr>
          <w:trHeight w:val="27"/>
        </w:trPr>
        <w:tc>
          <w:tcPr>
            <w:tcW w:w="84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5"/>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282.8</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262.6</w:t>
            </w:r>
          </w:p>
        </w:tc>
      </w:tr>
      <w:tr>
        <w:trPr>
          <w:trHeight w:val="237"/>
        </w:trPr>
        <w:tc>
          <w:tcPr>
            <w:tcW w:w="846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142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2,971.5</w:t>
            </w:r>
          </w:p>
        </w:tc>
        <w:tc>
          <w:tcPr>
            <w:tcW w:w="14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3,009.2</w:t>
            </w:r>
          </w:p>
        </w:tc>
      </w:tr>
      <w:tr>
        <w:trPr>
          <w:trHeight w:val="27"/>
        </w:trPr>
        <w:tc>
          <w:tcPr>
            <w:tcW w:w="8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Commitments, Guarantees and Contingencies (Note 7)</w:t>
            </w:r>
          </w:p>
        </w:tc>
        <w:tc>
          <w:tcPr>
            <w:tcW w:w="14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r>
      <w:tr>
        <w:trPr>
          <w:trHeight w:val="237"/>
        </w:trPr>
        <w:tc>
          <w:tcPr>
            <w:tcW w:w="84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4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r>
      <w:tr>
        <w:trPr>
          <w:trHeight w:val="27"/>
        </w:trPr>
        <w:tc>
          <w:tcPr>
            <w:tcW w:w="84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Common Stock Without Par Value, 80.0 Shares Authorized, 51.7 and 51.5 Shares Issued and Outstanding</w:t>
            </w:r>
          </w:p>
        </w:tc>
        <w:tc>
          <w:tcPr>
            <w:tcW w:w="1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1,433.3</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1,428.5</w:t>
            </w:r>
          </w:p>
        </w:tc>
      </w:tr>
      <w:tr>
        <w:trPr>
          <w:trHeight w:val="243"/>
        </w:trPr>
        <w:tc>
          <w:tcPr>
            <w:tcW w:w="8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(26.9)</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7"/>
        </w:trPr>
        <w:tc>
          <w:tcPr>
            <w:tcW w:w="84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5"/>
        </w:trPr>
        <w:tc>
          <w:tcPr>
            <w:tcW w:w="84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Retained Earnings</w:t>
            </w:r>
          </w:p>
        </w:tc>
        <w:tc>
          <w:tcPr>
            <w:tcW w:w="1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798.6</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754.6</w:t>
            </w:r>
          </w:p>
        </w:tc>
      </w:tr>
      <w:tr>
        <w:trPr>
          <w:trHeight w:val="237"/>
        </w:trPr>
        <w:tc>
          <w:tcPr>
            <w:tcW w:w="846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42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2,205.0</w:t>
            </w:r>
          </w:p>
        </w:tc>
        <w:tc>
          <w:tcPr>
            <w:tcW w:w="14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2,155.8</w:t>
            </w:r>
          </w:p>
        </w:tc>
      </w:tr>
      <w:tr>
        <w:trPr>
          <w:trHeight w:val="27"/>
        </w:trPr>
        <w:tc>
          <w:tcPr>
            <w:tcW w:w="8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$5,176.5</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$5,165.0</w:t>
            </w:r>
          </w:p>
        </w:tc>
      </w:tr>
      <w:tr>
        <w:trPr>
          <w:trHeight w:val="264"/>
        </w:trPr>
        <w:tc>
          <w:tcPr>
            <w:tcW w:w="8460" w:type="dxa"/>
            <w:vAlign w:val="bottom"/>
            <w:tcBorders>
              <w:top w:val="single" w:sz="8" w:color="auto"/>
            </w:tcBorders>
          </w:tcPr>
          <w:p>
            <w:pPr>
              <w:jc w:val="center"/>
              <w:ind w:left="2870"/>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tc>
        <w:tc>
          <w:tcPr>
            <w:tcW w:w="1420" w:type="dxa"/>
            <w:vAlign w:val="bottom"/>
            <w:tcBorders>
              <w:top w:val="single" w:sz="8" w:color="auto"/>
            </w:tcBorders>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r>
    </w:tbl>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Second Quarter 2019 Form 10-Q</w:t>
      </w:r>
    </w:p>
    <w:p>
      <w:pPr>
        <w:sectPr>
          <w:pgSz w:w="11900" w:h="16838" w:orient="portrait"/>
          <w:cols w:equalWidth="0" w:num="1">
            <w:col w:w="11420"/>
          </w:cols>
          <w:pgMar w:left="240" w:top="1036" w:right="239" w:bottom="1440" w:gutter="0" w:footer="0" w:header="0"/>
        </w:sectPr>
      </w:pPr>
    </w:p>
    <w:p>
      <w:pPr>
        <w:spacing w:after="0" w:line="17" w:lineRule="exact"/>
        <w:rPr>
          <w:sz w:val="20"/>
          <w:szCs w:val="20"/>
          <w:color w:val="auto"/>
        </w:rPr>
      </w:pPr>
    </w:p>
    <w:p>
      <w:pPr>
        <w:ind w:left="11340"/>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1420"/>
          </w:cols>
          <w:pgMar w:left="240" w:top="1036" w:right="23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ALLETE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80" w:type="dxa"/>
            <w:vAlign w:val="bottom"/>
          </w:tcPr>
          <w:p>
            <w:pPr>
              <w:spacing w:after="0"/>
              <w:rPr>
                <w:sz w:val="20"/>
                <w:szCs w:val="20"/>
                <w:color w:val="auto"/>
              </w:rPr>
            </w:pPr>
          </w:p>
        </w:tc>
        <w:tc>
          <w:tcPr>
            <w:tcW w:w="382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18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70"/>
        </w:trPr>
        <w:tc>
          <w:tcPr>
            <w:tcW w:w="5780" w:type="dxa"/>
            <w:vAlign w:val="bottom"/>
          </w:tcPr>
          <w:p>
            <w:pPr>
              <w:spacing w:after="0"/>
              <w:rPr>
                <w:sz w:val="23"/>
                <w:szCs w:val="23"/>
                <w:color w:val="auto"/>
              </w:rPr>
            </w:pPr>
          </w:p>
        </w:tc>
        <w:tc>
          <w:tcPr>
            <w:tcW w:w="382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82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70"/>
        </w:trPr>
        <w:tc>
          <w:tcPr>
            <w:tcW w:w="5780" w:type="dxa"/>
            <w:vAlign w:val="bottom"/>
          </w:tcPr>
          <w:p>
            <w:pPr>
              <w:spacing w:after="0"/>
              <w:rPr>
                <w:sz w:val="23"/>
                <w:szCs w:val="23"/>
                <w:color w:val="auto"/>
              </w:rPr>
            </w:pPr>
          </w:p>
        </w:tc>
        <w:tc>
          <w:tcPr>
            <w:tcW w:w="29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9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57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57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Millions Except Per Share Amounts</w:t>
            </w:r>
          </w:p>
        </w:tc>
        <w:tc>
          <w:tcPr>
            <w:tcW w:w="2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7"/>
        </w:trPr>
        <w:tc>
          <w:tcPr>
            <w:tcW w:w="57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Revenue</w:t>
            </w:r>
          </w:p>
        </w:tc>
        <w:tc>
          <w:tcPr>
            <w:tcW w:w="29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5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Contracts with Customers – Utility</w:t>
            </w:r>
          </w:p>
        </w:tc>
        <w:tc>
          <w:tcPr>
            <w:tcW w:w="2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$249.8</w:t>
            </w: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$257.8</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$532.0</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$528.0</w:t>
            </w:r>
          </w:p>
        </w:tc>
      </w:tr>
      <w:tr>
        <w:trPr>
          <w:trHeight w:val="27"/>
        </w:trPr>
        <w:tc>
          <w:tcPr>
            <w:tcW w:w="57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Contracts with Customers – Non-utility</w:t>
            </w:r>
          </w:p>
        </w:tc>
        <w:tc>
          <w:tcPr>
            <w:tcW w:w="29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37.7</w:t>
            </w:r>
          </w:p>
        </w:tc>
        <w:tc>
          <w:tcPr>
            <w:tcW w:w="9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80.4</w:t>
            </w:r>
          </w:p>
        </w:tc>
        <w:tc>
          <w:tcPr>
            <w:tcW w:w="10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109.8</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162.4</w:t>
            </w:r>
          </w:p>
        </w:tc>
      </w:tr>
      <w:tr>
        <w:trPr>
          <w:trHeight w:val="243"/>
        </w:trPr>
        <w:tc>
          <w:tcPr>
            <w:tcW w:w="5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 Non-utility</w:t>
            </w:r>
          </w:p>
        </w:tc>
        <w:tc>
          <w:tcPr>
            <w:tcW w:w="2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2.9</w:t>
            </w: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5.9</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5.8</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w:t>
            </w:r>
          </w:p>
        </w:tc>
      </w:tr>
      <w:tr>
        <w:trPr>
          <w:trHeight w:val="27"/>
        </w:trPr>
        <w:tc>
          <w:tcPr>
            <w:tcW w:w="57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9"/>
        </w:trPr>
        <w:tc>
          <w:tcPr>
            <w:tcW w:w="578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 Operating Revenue</w:t>
            </w:r>
          </w:p>
        </w:tc>
        <w:tc>
          <w:tcPr>
            <w:tcW w:w="29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290.4</w:t>
            </w:r>
          </w:p>
        </w:tc>
        <w:tc>
          <w:tcPr>
            <w:tcW w:w="9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344.1</w:t>
            </w:r>
          </w:p>
        </w:tc>
        <w:tc>
          <w:tcPr>
            <w:tcW w:w="10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647.6</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702.3</w:t>
            </w:r>
          </w:p>
        </w:tc>
      </w:tr>
      <w:tr>
        <w:trPr>
          <w:trHeight w:val="237"/>
        </w:trPr>
        <w:tc>
          <w:tcPr>
            <w:tcW w:w="57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9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r>
      <w:tr>
        <w:trPr>
          <w:trHeight w:val="27"/>
        </w:trPr>
        <w:tc>
          <w:tcPr>
            <w:tcW w:w="57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Fuel, Purchased Power and Gas – Utility</w:t>
            </w:r>
          </w:p>
        </w:tc>
        <w:tc>
          <w:tcPr>
            <w:tcW w:w="29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87.9</w:t>
            </w:r>
          </w:p>
        </w:tc>
        <w:tc>
          <w:tcPr>
            <w:tcW w:w="9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96.5</w:t>
            </w:r>
          </w:p>
        </w:tc>
        <w:tc>
          <w:tcPr>
            <w:tcW w:w="10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197.7</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197.4</w:t>
            </w:r>
          </w:p>
        </w:tc>
      </w:tr>
      <w:tr>
        <w:trPr>
          <w:trHeight w:val="243"/>
        </w:trPr>
        <w:tc>
          <w:tcPr>
            <w:tcW w:w="5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Transmission Services – Utility</w:t>
            </w:r>
          </w:p>
        </w:tc>
        <w:tc>
          <w:tcPr>
            <w:tcW w:w="2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19.2</w:t>
            </w: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16.8</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37.5</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35.2</w:t>
            </w:r>
          </w:p>
        </w:tc>
      </w:tr>
      <w:tr>
        <w:trPr>
          <w:trHeight w:val="27"/>
        </w:trPr>
        <w:tc>
          <w:tcPr>
            <w:tcW w:w="57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Cost of Sales – Non-utility</w:t>
            </w:r>
          </w:p>
        </w:tc>
        <w:tc>
          <w:tcPr>
            <w:tcW w:w="29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16.5</w:t>
            </w:r>
          </w:p>
        </w:tc>
        <w:tc>
          <w:tcPr>
            <w:tcW w:w="9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37.0</w:t>
            </w:r>
          </w:p>
        </w:tc>
        <w:tc>
          <w:tcPr>
            <w:tcW w:w="10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47.1</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69.9</w:t>
            </w:r>
          </w:p>
        </w:tc>
      </w:tr>
      <w:tr>
        <w:trPr>
          <w:trHeight w:val="243"/>
        </w:trPr>
        <w:tc>
          <w:tcPr>
            <w:tcW w:w="5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Operating and Maintenance</w:t>
            </w:r>
          </w:p>
        </w:tc>
        <w:tc>
          <w:tcPr>
            <w:tcW w:w="2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66.7</w:t>
            </w: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86.8</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142.9</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173.3</w:t>
            </w:r>
          </w:p>
        </w:tc>
      </w:tr>
      <w:tr>
        <w:trPr>
          <w:trHeight w:val="27"/>
        </w:trPr>
        <w:tc>
          <w:tcPr>
            <w:tcW w:w="57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9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50.2</w:t>
            </w:r>
          </w:p>
        </w:tc>
        <w:tc>
          <w:tcPr>
            <w:tcW w:w="9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56.1</w:t>
            </w:r>
          </w:p>
        </w:tc>
        <w:tc>
          <w:tcPr>
            <w:tcW w:w="10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102.1</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101.9</w:t>
            </w:r>
          </w:p>
        </w:tc>
      </w:tr>
      <w:tr>
        <w:trPr>
          <w:trHeight w:val="243"/>
        </w:trPr>
        <w:tc>
          <w:tcPr>
            <w:tcW w:w="5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Taxes Other than Income Taxes</w:t>
            </w:r>
          </w:p>
        </w:tc>
        <w:tc>
          <w:tcPr>
            <w:tcW w:w="2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13.7</w:t>
            </w: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14.4</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27.3</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30.7</w:t>
            </w:r>
          </w:p>
        </w:tc>
      </w:tr>
      <w:tr>
        <w:trPr>
          <w:trHeight w:val="27"/>
        </w:trPr>
        <w:tc>
          <w:tcPr>
            <w:tcW w:w="57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9"/>
        </w:trPr>
        <w:tc>
          <w:tcPr>
            <w:tcW w:w="578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9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254.2</w:t>
            </w:r>
          </w:p>
        </w:tc>
        <w:tc>
          <w:tcPr>
            <w:tcW w:w="9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307.6</w:t>
            </w:r>
          </w:p>
        </w:tc>
        <w:tc>
          <w:tcPr>
            <w:tcW w:w="10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554.6</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608.4</w:t>
            </w:r>
          </w:p>
        </w:tc>
      </w:tr>
      <w:tr>
        <w:trPr>
          <w:trHeight w:val="237"/>
        </w:trPr>
        <w:tc>
          <w:tcPr>
            <w:tcW w:w="57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9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36.2</w:t>
            </w:r>
          </w:p>
        </w:tc>
        <w:tc>
          <w:tcPr>
            <w:tcW w:w="9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36.5</w:t>
            </w:r>
          </w:p>
        </w:tc>
        <w:tc>
          <w:tcPr>
            <w:tcW w:w="10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93.0</w:t>
            </w:r>
          </w:p>
        </w:tc>
        <w:tc>
          <w:tcPr>
            <w:tcW w:w="7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93.9</w:t>
            </w:r>
          </w:p>
        </w:tc>
      </w:tr>
      <w:tr>
        <w:trPr>
          <w:trHeight w:val="27"/>
        </w:trPr>
        <w:tc>
          <w:tcPr>
            <w:tcW w:w="57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5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9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5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Expense</w:t>
            </w:r>
          </w:p>
        </w:tc>
        <w:tc>
          <w:tcPr>
            <w:tcW w:w="2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(16.3)</w:t>
            </w:r>
          </w:p>
        </w:tc>
        <w:tc>
          <w:tcPr>
            <w:tcW w:w="9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(17.1)</w:t>
            </w: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(32.8)</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r>
      <w:tr>
        <w:trPr>
          <w:trHeight w:val="27"/>
        </w:trPr>
        <w:tc>
          <w:tcPr>
            <w:tcW w:w="57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Equity Earnings</w:t>
            </w:r>
          </w:p>
        </w:tc>
        <w:tc>
          <w:tcPr>
            <w:tcW w:w="29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4.8</w:t>
            </w:r>
          </w:p>
        </w:tc>
        <w:tc>
          <w:tcPr>
            <w:tcW w:w="9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4.3</w:t>
            </w:r>
          </w:p>
        </w:tc>
        <w:tc>
          <w:tcPr>
            <w:tcW w:w="10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10.4</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w:t>
            </w:r>
          </w:p>
        </w:tc>
      </w:tr>
      <w:tr>
        <w:trPr>
          <w:trHeight w:val="243"/>
        </w:trPr>
        <w:tc>
          <w:tcPr>
            <w:tcW w:w="5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Gain on Sale of U.S. Water Services</w:t>
            </w:r>
          </w:p>
        </w:tc>
        <w:tc>
          <w:tcPr>
            <w:tcW w:w="2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0.5</w:t>
            </w: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20.6</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7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5"/>
        </w:trPr>
        <w:tc>
          <w:tcPr>
            <w:tcW w:w="5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29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4.2</w:t>
            </w:r>
          </w:p>
        </w:tc>
        <w:tc>
          <w:tcPr>
            <w:tcW w:w="9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2.2</w:t>
            </w:r>
          </w:p>
        </w:tc>
        <w:tc>
          <w:tcPr>
            <w:tcW w:w="10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11.6</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r>
      <w:tr>
        <w:trPr>
          <w:trHeight w:val="237"/>
        </w:trPr>
        <w:tc>
          <w:tcPr>
            <w:tcW w:w="5780" w:type="dxa"/>
            <w:vAlign w:val="bottom"/>
            <w:tcBorders>
              <w:top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90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(6.8)</w:t>
            </w:r>
          </w:p>
        </w:tc>
        <w:tc>
          <w:tcPr>
            <w:tcW w:w="92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(10.6)</w:t>
            </w:r>
          </w:p>
        </w:tc>
        <w:tc>
          <w:tcPr>
            <w:tcW w:w="10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9.8</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7"/>
        </w:trPr>
        <w:tc>
          <w:tcPr>
            <w:tcW w:w="57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5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9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29.4</w:t>
            </w:r>
          </w:p>
        </w:tc>
        <w:tc>
          <w:tcPr>
            <w:tcW w:w="9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25.9</w:t>
            </w:r>
          </w:p>
        </w:tc>
        <w:tc>
          <w:tcPr>
            <w:tcW w:w="10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102.8</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73.2</w:t>
            </w:r>
          </w:p>
        </w:tc>
      </w:tr>
      <w:tr>
        <w:trPr>
          <w:trHeight w:val="243"/>
        </w:trPr>
        <w:tc>
          <w:tcPr>
            <w:tcW w:w="57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Income Tax Benefit</w:t>
            </w:r>
          </w:p>
        </w:tc>
        <w:tc>
          <w:tcPr>
            <w:tcW w:w="2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(4.8)</w:t>
            </w:r>
          </w:p>
        </w:tc>
        <w:tc>
          <w:tcPr>
            <w:tcW w:w="9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(5.4)</w:t>
            </w: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(1.9)</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7"/>
        </w:trPr>
        <w:tc>
          <w:tcPr>
            <w:tcW w:w="57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9"/>
        </w:trPr>
        <w:tc>
          <w:tcPr>
            <w:tcW w:w="5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9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$34.2</w:t>
            </w:r>
          </w:p>
        </w:tc>
        <w:tc>
          <w:tcPr>
            <w:tcW w:w="9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$31.3</w:t>
            </w:r>
          </w:p>
        </w:tc>
        <w:tc>
          <w:tcPr>
            <w:tcW w:w="10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$104.7</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$82.3</w:t>
            </w:r>
          </w:p>
        </w:tc>
      </w:tr>
      <w:tr>
        <w:trPr>
          <w:trHeight w:val="237"/>
        </w:trPr>
        <w:tc>
          <w:tcPr>
            <w:tcW w:w="57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Average Shares of Common Stock</w:t>
            </w:r>
          </w:p>
        </w:tc>
        <w:tc>
          <w:tcPr>
            <w:tcW w:w="29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r>
      <w:tr>
        <w:trPr>
          <w:trHeight w:val="27"/>
        </w:trPr>
        <w:tc>
          <w:tcPr>
            <w:tcW w:w="57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29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51.6</w:t>
            </w:r>
          </w:p>
        </w:tc>
        <w:tc>
          <w:tcPr>
            <w:tcW w:w="9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51.3</w:t>
            </w:r>
          </w:p>
        </w:tc>
        <w:tc>
          <w:tcPr>
            <w:tcW w:w="10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51.6</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51.2</w:t>
            </w:r>
          </w:p>
        </w:tc>
      </w:tr>
      <w:tr>
        <w:trPr>
          <w:trHeight w:val="243"/>
        </w:trPr>
        <w:tc>
          <w:tcPr>
            <w:tcW w:w="5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2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51.7</w:t>
            </w: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51.5</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51.7</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51.4</w:t>
            </w:r>
          </w:p>
        </w:tc>
      </w:tr>
      <w:tr>
        <w:trPr>
          <w:trHeight w:val="27"/>
        </w:trPr>
        <w:tc>
          <w:tcPr>
            <w:tcW w:w="57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5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Basic Earnings Per Share of Common Stock</w:t>
            </w:r>
          </w:p>
        </w:tc>
        <w:tc>
          <w:tcPr>
            <w:tcW w:w="29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$0.66</w:t>
            </w:r>
          </w:p>
        </w:tc>
        <w:tc>
          <w:tcPr>
            <w:tcW w:w="9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$0.61</w:t>
            </w:r>
          </w:p>
        </w:tc>
        <w:tc>
          <w:tcPr>
            <w:tcW w:w="10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$2.03</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w:t>
            </w:r>
          </w:p>
        </w:tc>
      </w:tr>
      <w:tr>
        <w:trPr>
          <w:trHeight w:val="243"/>
        </w:trPr>
        <w:tc>
          <w:tcPr>
            <w:tcW w:w="57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Diluted Earnings Per Share of Common Stock</w:t>
            </w:r>
          </w:p>
        </w:tc>
        <w:tc>
          <w:tcPr>
            <w:tcW w:w="2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$0.66</w:t>
            </w: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$0.61</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$2.02</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7"/>
        </w:trPr>
        <w:tc>
          <w:tcPr>
            <w:tcW w:w="868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4"/>
        </w:trPr>
        <w:tc>
          <w:tcPr>
            <w:tcW w:w="8680" w:type="dxa"/>
            <w:vAlign w:val="bottom"/>
            <w:gridSpan w:val="2"/>
          </w:tcPr>
          <w:p>
            <w:pPr>
              <w:ind w:left="3380"/>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tc>
        <w:tc>
          <w:tcPr>
            <w:tcW w:w="9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80" w:type="dxa"/>
            <w:vAlign w:val="bottom"/>
          </w:tcPr>
          <w:p>
            <w:pPr>
              <w:spacing w:after="0"/>
              <w:rPr>
                <w:sz w:val="22"/>
                <w:szCs w:val="22"/>
                <w:color w:val="auto"/>
              </w:rPr>
            </w:pPr>
          </w:p>
        </w:tc>
      </w:tr>
    </w:tbl>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Second Quarter 2019 Form 10-Q</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1420"/>
          </w:cols>
          <w:pgMar w:left="240" w:top="1036" w:right="2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ALLETE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60" w:type="dxa"/>
            <w:vAlign w:val="bottom"/>
          </w:tcPr>
          <w:p>
            <w:pPr>
              <w:spacing w:after="0"/>
              <w:rPr>
                <w:sz w:val="20"/>
                <w:szCs w:val="20"/>
                <w:color w:val="auto"/>
              </w:rPr>
            </w:pPr>
          </w:p>
        </w:tc>
        <w:tc>
          <w:tcPr>
            <w:tcW w:w="328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208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70"/>
        </w:trPr>
        <w:tc>
          <w:tcPr>
            <w:tcW w:w="6060" w:type="dxa"/>
            <w:vAlign w:val="bottom"/>
          </w:tcPr>
          <w:p>
            <w:pPr>
              <w:spacing w:after="0"/>
              <w:rPr>
                <w:sz w:val="23"/>
                <w:szCs w:val="23"/>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00" w:type="dxa"/>
            <w:vAlign w:val="bottom"/>
          </w:tcPr>
          <w:p>
            <w:pPr>
              <w:spacing w:after="0"/>
              <w:rPr>
                <w:sz w:val="23"/>
                <w:szCs w:val="23"/>
                <w:color w:val="auto"/>
              </w:rPr>
            </w:pPr>
          </w:p>
        </w:tc>
      </w:tr>
      <w:tr>
        <w:trPr>
          <w:trHeight w:val="270"/>
        </w:trPr>
        <w:tc>
          <w:tcPr>
            <w:tcW w:w="6060" w:type="dxa"/>
            <w:vAlign w:val="bottom"/>
          </w:tcPr>
          <w:p>
            <w:pPr>
              <w:spacing w:after="0"/>
              <w:rPr>
                <w:sz w:val="23"/>
                <w:szCs w:val="23"/>
                <w:color w:val="auto"/>
              </w:rPr>
            </w:pPr>
          </w:p>
        </w:tc>
        <w:tc>
          <w:tcPr>
            <w:tcW w:w="238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9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38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7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9"/>
              </w:rPr>
              <w:t>2018</w:t>
            </w:r>
          </w:p>
        </w:tc>
      </w:tr>
      <w:tr>
        <w:trPr>
          <w:trHeight w:val="27"/>
        </w:trPr>
        <w:tc>
          <w:tcPr>
            <w:tcW w:w="606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2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5"/>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38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$34.2</w:t>
            </w:r>
          </w:p>
        </w:tc>
        <w:tc>
          <w:tcPr>
            <w:tcW w:w="90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$31.3</w:t>
            </w:r>
          </w:p>
        </w:tc>
        <w:tc>
          <w:tcPr>
            <w:tcW w:w="138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$104.7</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$82.3</w:t>
            </w:r>
          </w:p>
        </w:tc>
      </w:tr>
      <w:tr>
        <w:trPr>
          <w:trHeight w:val="237"/>
        </w:trPr>
        <w:tc>
          <w:tcPr>
            <w:tcW w:w="60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23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 (Loss) on Securities</w:t>
            </w:r>
          </w:p>
        </w:tc>
        <w:tc>
          <w:tcPr>
            <w:tcW w:w="2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of Income Tax Expense of $0.1, $–, $0.1 and $–</w:t>
            </w:r>
          </w:p>
        </w:tc>
        <w:tc>
          <w:tcPr>
            <w:tcW w:w="23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0.1</w:t>
            </w: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0.2</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60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Defined Benefit Pension and Other Postretirement Benefit Plans</w:t>
            </w:r>
          </w:p>
        </w:tc>
        <w:tc>
          <w:tcPr>
            <w:tcW w:w="2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of Income Tax Expense of $–, $0.1, $0.1 and $0.2</w:t>
            </w:r>
          </w:p>
        </w:tc>
        <w:tc>
          <w:tcPr>
            <w:tcW w:w="23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0.2</w:t>
            </w: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0.3</w:t>
            </w:r>
          </w:p>
        </w:tc>
        <w:tc>
          <w:tcPr>
            <w:tcW w:w="13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0.2</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0.7</w:t>
            </w:r>
          </w:p>
        </w:tc>
      </w:tr>
      <w:tr>
        <w:trPr>
          <w:trHeight w:val="27"/>
        </w:trPr>
        <w:tc>
          <w:tcPr>
            <w:tcW w:w="606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Other Comprehensive Income</w:t>
            </w:r>
          </w:p>
        </w:tc>
        <w:tc>
          <w:tcPr>
            <w:tcW w:w="238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0.3</w:t>
            </w:r>
          </w:p>
        </w:tc>
        <w:tc>
          <w:tcPr>
            <w:tcW w:w="90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0.3</w:t>
            </w:r>
          </w:p>
        </w:tc>
        <w:tc>
          <w:tcPr>
            <w:tcW w:w="138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0.4</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0.6</w:t>
            </w:r>
          </w:p>
        </w:tc>
      </w:tr>
      <w:tr>
        <w:trPr>
          <w:trHeight w:val="237"/>
        </w:trPr>
        <w:tc>
          <w:tcPr>
            <w:tcW w:w="60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238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$34.5</w:t>
            </w:r>
          </w:p>
        </w:tc>
        <w:tc>
          <w:tcPr>
            <w:tcW w:w="90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$31.6</w:t>
            </w:r>
          </w:p>
        </w:tc>
        <w:tc>
          <w:tcPr>
            <w:tcW w:w="138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$105.1</w:t>
            </w:r>
          </w:p>
        </w:tc>
        <w:tc>
          <w:tcPr>
            <w:tcW w:w="7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Second Quarter 2019 Form 10-Q</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1420"/>
          </w:cols>
          <w:pgMar w:left="240" w:top="1036" w:right="2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ALLETE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820" w:type="dxa"/>
            <w:vAlign w:val="bottom"/>
          </w:tcPr>
          <w:p>
            <w:pPr>
              <w:spacing w:after="0"/>
              <w:rPr>
                <w:sz w:val="19"/>
                <w:szCs w:val="19"/>
                <w:color w:val="auto"/>
              </w:rPr>
            </w:pPr>
          </w:p>
        </w:tc>
        <w:tc>
          <w:tcPr>
            <w:tcW w:w="2600" w:type="dxa"/>
            <w:vAlign w:val="bottom"/>
            <w:gridSpan w:val="2"/>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Six Months Ended</w:t>
            </w:r>
          </w:p>
        </w:tc>
      </w:tr>
      <w:tr>
        <w:trPr>
          <w:trHeight w:val="270"/>
        </w:trPr>
        <w:tc>
          <w:tcPr>
            <w:tcW w:w="882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720" w:type="dxa"/>
            <w:vAlign w:val="bottom"/>
          </w:tcPr>
          <w:p>
            <w:pPr>
              <w:spacing w:after="0"/>
              <w:rPr>
                <w:sz w:val="23"/>
                <w:szCs w:val="23"/>
                <w:color w:val="auto"/>
              </w:rPr>
            </w:pPr>
          </w:p>
        </w:tc>
      </w:tr>
      <w:tr>
        <w:trPr>
          <w:trHeight w:val="270"/>
        </w:trPr>
        <w:tc>
          <w:tcPr>
            <w:tcW w:w="8820" w:type="dxa"/>
            <w:vAlign w:val="bottom"/>
          </w:tcPr>
          <w:p>
            <w:pPr>
              <w:spacing w:after="0"/>
              <w:rPr>
                <w:sz w:val="23"/>
                <w:szCs w:val="23"/>
                <w:color w:val="auto"/>
              </w:rPr>
            </w:pPr>
          </w:p>
        </w:tc>
        <w:tc>
          <w:tcPr>
            <w:tcW w:w="1880" w:type="dxa"/>
            <w:vAlign w:val="bottom"/>
          </w:tcPr>
          <w:p>
            <w:pPr>
              <w:jc w:val="right"/>
              <w:ind w:right="655"/>
              <w:spacing w:after="0"/>
              <w:rPr>
                <w:sz w:val="20"/>
                <w:szCs w:val="20"/>
                <w:color w:val="auto"/>
              </w:rPr>
            </w:pPr>
            <w:r>
              <w:rPr>
                <w:rFonts w:ascii="Times New Roman" w:cs="Times New Roman" w:eastAsia="Times New Roman" w:hAnsi="Times New Roman"/>
                <w:sz w:val="17"/>
                <w:szCs w:val="17"/>
                <w:b w:val="1"/>
                <w:bCs w:val="1"/>
                <w:color w:val="auto"/>
              </w:rPr>
              <w:t>2019</w:t>
            </w:r>
          </w:p>
        </w:tc>
        <w:tc>
          <w:tcPr>
            <w:tcW w:w="720" w:type="dxa"/>
            <w:vAlign w:val="bottom"/>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2018</w:t>
            </w:r>
          </w:p>
        </w:tc>
      </w:tr>
      <w:tr>
        <w:trPr>
          <w:trHeight w:val="29"/>
        </w:trPr>
        <w:tc>
          <w:tcPr>
            <w:tcW w:w="88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5"/>
        </w:trPr>
        <w:tc>
          <w:tcPr>
            <w:tcW w:w="882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Millions</w:t>
            </w:r>
          </w:p>
        </w:tc>
        <w:tc>
          <w:tcPr>
            <w:tcW w:w="18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9"/>
        </w:trPr>
        <w:tc>
          <w:tcPr>
            <w:tcW w:w="8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Operating Activities</w:t>
            </w:r>
          </w:p>
        </w:tc>
        <w:tc>
          <w:tcPr>
            <w:tcW w:w="18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1"/>
        </w:trPr>
        <w:tc>
          <w:tcPr>
            <w:tcW w:w="88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Net Income</w:t>
            </w:r>
          </w:p>
        </w:tc>
        <w:tc>
          <w:tcPr>
            <w:tcW w:w="1880" w:type="dxa"/>
            <w:vAlign w:val="bottom"/>
          </w:tcPr>
          <w:p>
            <w:pPr>
              <w:jc w:val="right"/>
              <w:ind w:right="415"/>
              <w:spacing w:after="0"/>
              <w:rPr>
                <w:sz w:val="20"/>
                <w:szCs w:val="20"/>
                <w:color w:val="auto"/>
              </w:rPr>
            </w:pPr>
            <w:r>
              <w:rPr>
                <w:rFonts w:ascii="Times New Roman" w:cs="Times New Roman" w:eastAsia="Times New Roman" w:hAnsi="Times New Roman"/>
                <w:sz w:val="17"/>
                <w:szCs w:val="17"/>
                <w:color w:val="auto"/>
              </w:rPr>
              <w:t>$104.7</w:t>
            </w:r>
          </w:p>
        </w:tc>
        <w:tc>
          <w:tcPr>
            <w:tcW w:w="7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$82.3</w:t>
            </w:r>
          </w:p>
        </w:tc>
      </w:tr>
      <w:tr>
        <w:trPr>
          <w:trHeight w:val="29"/>
        </w:trPr>
        <w:tc>
          <w:tcPr>
            <w:tcW w:w="8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AFUDC – Equity</w:t>
            </w:r>
          </w:p>
        </w:tc>
        <w:tc>
          <w:tcPr>
            <w:tcW w:w="1880" w:type="dxa"/>
            <w:vAlign w:val="bottom"/>
            <w:tcBorders>
              <w:bottom w:val="single" w:sz="8" w:color="CCEEFF"/>
            </w:tcBorders>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color w:val="auto"/>
              </w:rPr>
              <w:t>(1.3)</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r>
      <w:tr>
        <w:trPr>
          <w:trHeight w:val="241"/>
        </w:trPr>
        <w:tc>
          <w:tcPr>
            <w:tcW w:w="88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Income from Equity Investments – Net of Dividends</w:t>
            </w:r>
          </w:p>
        </w:tc>
        <w:tc>
          <w:tcPr>
            <w:tcW w:w="1880" w:type="dxa"/>
            <w:vAlign w:val="bottom"/>
          </w:tcPr>
          <w:p>
            <w:pPr>
              <w:jc w:val="right"/>
              <w:ind w:right="375"/>
              <w:spacing w:after="0"/>
              <w:rPr>
                <w:sz w:val="20"/>
                <w:szCs w:val="20"/>
                <w:color w:val="auto"/>
              </w:rPr>
            </w:pPr>
            <w:r>
              <w:rPr>
                <w:rFonts w:ascii="Times New Roman" w:cs="Times New Roman" w:eastAsia="Times New Roman" w:hAnsi="Times New Roman"/>
                <w:sz w:val="17"/>
                <w:szCs w:val="17"/>
                <w:color w:val="auto"/>
              </w:rPr>
              <w:t>(2.2)</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w:t>
            </w:r>
          </w:p>
        </w:tc>
      </w:tr>
      <w:tr>
        <w:trPr>
          <w:trHeight w:val="29"/>
        </w:trPr>
        <w:tc>
          <w:tcPr>
            <w:tcW w:w="8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Depreciation Expense</w:t>
            </w:r>
          </w:p>
        </w:tc>
        <w:tc>
          <w:tcPr>
            <w:tcW w:w="1880" w:type="dxa"/>
            <w:vAlign w:val="bottom"/>
            <w:tcBorders>
              <w:bottom w:val="single" w:sz="8" w:color="CCEEFF"/>
            </w:tcBorders>
            <w:shd w:val="clear" w:color="auto" w:fill="CCEEFF"/>
          </w:tcPr>
          <w:p>
            <w:pPr>
              <w:jc w:val="right"/>
              <w:ind w:right="415"/>
              <w:spacing w:after="0"/>
              <w:rPr>
                <w:sz w:val="20"/>
                <w:szCs w:val="20"/>
                <w:color w:val="auto"/>
              </w:rPr>
            </w:pPr>
            <w:r>
              <w:rPr>
                <w:rFonts w:ascii="Times New Roman" w:cs="Times New Roman" w:eastAsia="Times New Roman" w:hAnsi="Times New Roman"/>
                <w:sz w:val="17"/>
                <w:szCs w:val="17"/>
                <w:color w:val="auto"/>
              </w:rPr>
              <w:t>100.8</w:t>
            </w:r>
          </w:p>
        </w:tc>
        <w:tc>
          <w:tcPr>
            <w:tcW w:w="7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99.2</w:t>
            </w:r>
          </w:p>
        </w:tc>
      </w:tr>
      <w:tr>
        <w:trPr>
          <w:trHeight w:val="241"/>
        </w:trPr>
        <w:tc>
          <w:tcPr>
            <w:tcW w:w="88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Amortization of PSAs</w:t>
            </w:r>
          </w:p>
        </w:tc>
        <w:tc>
          <w:tcPr>
            <w:tcW w:w="1880" w:type="dxa"/>
            <w:vAlign w:val="bottom"/>
          </w:tcPr>
          <w:p>
            <w:pPr>
              <w:jc w:val="right"/>
              <w:ind w:right="375"/>
              <w:spacing w:after="0"/>
              <w:rPr>
                <w:sz w:val="20"/>
                <w:szCs w:val="20"/>
                <w:color w:val="auto"/>
              </w:rPr>
            </w:pPr>
            <w:r>
              <w:rPr>
                <w:rFonts w:ascii="Times New Roman" w:cs="Times New Roman" w:eastAsia="Times New Roman" w:hAnsi="Times New Roman"/>
                <w:sz w:val="17"/>
                <w:szCs w:val="17"/>
                <w:color w:val="auto"/>
              </w:rPr>
              <w:t>(5.8)</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w:t>
            </w:r>
          </w:p>
        </w:tc>
      </w:tr>
      <w:tr>
        <w:trPr>
          <w:trHeight w:val="29"/>
        </w:trPr>
        <w:tc>
          <w:tcPr>
            <w:tcW w:w="8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Amortization of Other Intangible Assets and Other Assets</w:t>
            </w:r>
          </w:p>
        </w:tc>
        <w:tc>
          <w:tcPr>
            <w:tcW w:w="1880" w:type="dxa"/>
            <w:vAlign w:val="bottom"/>
            <w:tcBorders>
              <w:bottom w:val="single" w:sz="8" w:color="CCEEFF"/>
            </w:tcBorders>
            <w:shd w:val="clear" w:color="auto" w:fill="CCEEFF"/>
          </w:tcPr>
          <w:p>
            <w:pPr>
              <w:jc w:val="right"/>
              <w:ind w:right="415"/>
              <w:spacing w:after="0"/>
              <w:rPr>
                <w:sz w:val="20"/>
                <w:szCs w:val="20"/>
                <w:color w:val="auto"/>
              </w:rPr>
            </w:pPr>
            <w:r>
              <w:rPr>
                <w:rFonts w:ascii="Times New Roman" w:cs="Times New Roman" w:eastAsia="Times New Roman" w:hAnsi="Times New Roman"/>
                <w:sz w:val="17"/>
                <w:szCs w:val="17"/>
                <w:color w:val="auto"/>
              </w:rPr>
              <w:t>3.2</w:t>
            </w:r>
          </w:p>
        </w:tc>
        <w:tc>
          <w:tcPr>
            <w:tcW w:w="7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5.0</w:t>
            </w:r>
          </w:p>
        </w:tc>
      </w:tr>
      <w:tr>
        <w:trPr>
          <w:trHeight w:val="241"/>
        </w:trPr>
        <w:tc>
          <w:tcPr>
            <w:tcW w:w="88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Deferred Income Tax Benefit</w:t>
            </w:r>
          </w:p>
        </w:tc>
        <w:tc>
          <w:tcPr>
            <w:tcW w:w="1880" w:type="dxa"/>
            <w:vAlign w:val="bottom"/>
          </w:tcPr>
          <w:p>
            <w:pPr>
              <w:jc w:val="right"/>
              <w:ind w:right="375"/>
              <w:spacing w:after="0"/>
              <w:rPr>
                <w:sz w:val="20"/>
                <w:szCs w:val="20"/>
                <w:color w:val="auto"/>
              </w:rPr>
            </w:pPr>
            <w:r>
              <w:rPr>
                <w:rFonts w:ascii="Times New Roman" w:cs="Times New Roman" w:eastAsia="Times New Roman" w:hAnsi="Times New Roman"/>
                <w:sz w:val="17"/>
                <w:szCs w:val="17"/>
                <w:color w:val="auto"/>
              </w:rPr>
              <w:t>(2.1)</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w:t>
            </w:r>
          </w:p>
        </w:tc>
      </w:tr>
      <w:tr>
        <w:trPr>
          <w:trHeight w:val="29"/>
        </w:trPr>
        <w:tc>
          <w:tcPr>
            <w:tcW w:w="8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Share-Based and ESOP Compensation Expense</w:t>
            </w:r>
          </w:p>
        </w:tc>
        <w:tc>
          <w:tcPr>
            <w:tcW w:w="1880" w:type="dxa"/>
            <w:vAlign w:val="bottom"/>
            <w:tcBorders>
              <w:bottom w:val="single" w:sz="8" w:color="CCEEFF"/>
            </w:tcBorders>
            <w:shd w:val="clear" w:color="auto" w:fill="CCEEFF"/>
          </w:tcPr>
          <w:p>
            <w:pPr>
              <w:jc w:val="right"/>
              <w:ind w:right="415"/>
              <w:spacing w:after="0"/>
              <w:rPr>
                <w:sz w:val="20"/>
                <w:szCs w:val="20"/>
                <w:color w:val="auto"/>
              </w:rPr>
            </w:pPr>
            <w:r>
              <w:rPr>
                <w:rFonts w:ascii="Times New Roman" w:cs="Times New Roman" w:eastAsia="Times New Roman" w:hAnsi="Times New Roman"/>
                <w:sz w:val="17"/>
                <w:szCs w:val="17"/>
                <w:color w:val="auto"/>
              </w:rPr>
              <w:t>3.3</w:t>
            </w:r>
          </w:p>
        </w:tc>
        <w:tc>
          <w:tcPr>
            <w:tcW w:w="7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3.3</w:t>
            </w:r>
          </w:p>
        </w:tc>
      </w:tr>
      <w:tr>
        <w:trPr>
          <w:trHeight w:val="241"/>
        </w:trPr>
        <w:tc>
          <w:tcPr>
            <w:tcW w:w="88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Defined Benefit Pension and Postretirement Benefit Expense</w:t>
            </w:r>
          </w:p>
        </w:tc>
        <w:tc>
          <w:tcPr>
            <w:tcW w:w="1880" w:type="dxa"/>
            <w:vAlign w:val="bottom"/>
          </w:tcPr>
          <w:p>
            <w:pPr>
              <w:jc w:val="right"/>
              <w:ind w:right="415"/>
              <w:spacing w:after="0"/>
              <w:rPr>
                <w:sz w:val="20"/>
                <w:szCs w:val="20"/>
                <w:color w:val="auto"/>
              </w:rPr>
            </w:pPr>
            <w:r>
              <w:rPr>
                <w:rFonts w:ascii="Times New Roman" w:cs="Times New Roman" w:eastAsia="Times New Roman" w:hAnsi="Times New Roman"/>
                <w:sz w:val="17"/>
                <w:szCs w:val="17"/>
                <w:color w:val="auto"/>
              </w:rPr>
              <w:t>2.1</w:t>
            </w:r>
          </w:p>
        </w:tc>
        <w:tc>
          <w:tcPr>
            <w:tcW w:w="7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4.3</w:t>
            </w:r>
          </w:p>
        </w:tc>
      </w:tr>
      <w:tr>
        <w:trPr>
          <w:trHeight w:val="29"/>
        </w:trPr>
        <w:tc>
          <w:tcPr>
            <w:tcW w:w="8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Payments / Provision for Interim Rate Refund</w:t>
            </w:r>
          </w:p>
        </w:tc>
        <w:tc>
          <w:tcPr>
            <w:tcW w:w="1880" w:type="dxa"/>
            <w:vAlign w:val="bottom"/>
            <w:tcBorders>
              <w:bottom w:val="single" w:sz="8" w:color="CCEEFF"/>
            </w:tcBorders>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color w:val="auto"/>
              </w:rPr>
              <w:t>(40.0)</w:t>
            </w:r>
          </w:p>
        </w:tc>
        <w:tc>
          <w:tcPr>
            <w:tcW w:w="7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8.8</w:t>
            </w:r>
          </w:p>
        </w:tc>
      </w:tr>
      <w:tr>
        <w:trPr>
          <w:trHeight w:val="241"/>
        </w:trPr>
        <w:tc>
          <w:tcPr>
            <w:tcW w:w="88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Payments / Provision for Tax Reform Refund</w:t>
            </w:r>
          </w:p>
        </w:tc>
        <w:tc>
          <w:tcPr>
            <w:tcW w:w="1880" w:type="dxa"/>
            <w:vAlign w:val="bottom"/>
          </w:tcPr>
          <w:p>
            <w:pPr>
              <w:jc w:val="right"/>
              <w:ind w:right="375"/>
              <w:spacing w:after="0"/>
              <w:rPr>
                <w:sz w:val="20"/>
                <w:szCs w:val="20"/>
                <w:color w:val="auto"/>
              </w:rPr>
            </w:pPr>
            <w:r>
              <w:rPr>
                <w:rFonts w:ascii="Times New Roman" w:cs="Times New Roman" w:eastAsia="Times New Roman" w:hAnsi="Times New Roman"/>
                <w:sz w:val="17"/>
                <w:szCs w:val="17"/>
                <w:color w:val="auto"/>
              </w:rPr>
              <w:t>(10.3)</w:t>
            </w:r>
          </w:p>
        </w:tc>
        <w:tc>
          <w:tcPr>
            <w:tcW w:w="7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6.7</w:t>
            </w:r>
          </w:p>
        </w:tc>
      </w:tr>
      <w:tr>
        <w:trPr>
          <w:trHeight w:val="29"/>
        </w:trPr>
        <w:tc>
          <w:tcPr>
            <w:tcW w:w="8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Bad Debt Expense</w:t>
            </w:r>
          </w:p>
        </w:tc>
        <w:tc>
          <w:tcPr>
            <w:tcW w:w="1880" w:type="dxa"/>
            <w:vAlign w:val="bottom"/>
            <w:tcBorders>
              <w:bottom w:val="single" w:sz="8" w:color="CCEEFF"/>
            </w:tcBorders>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color w:val="auto"/>
              </w:rPr>
              <w:t>(0.6)</w:t>
            </w:r>
          </w:p>
        </w:tc>
        <w:tc>
          <w:tcPr>
            <w:tcW w:w="7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0.7</w:t>
            </w:r>
          </w:p>
        </w:tc>
      </w:tr>
      <w:tr>
        <w:trPr>
          <w:trHeight w:val="241"/>
        </w:trPr>
        <w:tc>
          <w:tcPr>
            <w:tcW w:w="88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Gain on Sale of U.S. Water Services</w:t>
            </w:r>
          </w:p>
        </w:tc>
        <w:tc>
          <w:tcPr>
            <w:tcW w:w="1880" w:type="dxa"/>
            <w:vAlign w:val="bottom"/>
          </w:tcPr>
          <w:p>
            <w:pPr>
              <w:jc w:val="right"/>
              <w:ind w:right="375"/>
              <w:spacing w:after="0"/>
              <w:rPr>
                <w:sz w:val="20"/>
                <w:szCs w:val="20"/>
                <w:color w:val="auto"/>
              </w:rPr>
            </w:pPr>
            <w:r>
              <w:rPr>
                <w:rFonts w:ascii="Times New Roman" w:cs="Times New Roman" w:eastAsia="Times New Roman" w:hAnsi="Times New Roman"/>
                <w:sz w:val="17"/>
                <w:szCs w:val="17"/>
                <w:color w:val="auto"/>
              </w:rPr>
              <w:t>(20.6)</w:t>
            </w:r>
          </w:p>
        </w:tc>
        <w:tc>
          <w:tcPr>
            <w:tcW w:w="7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9"/>
        </w:trPr>
        <w:tc>
          <w:tcPr>
            <w:tcW w:w="8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18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1"/>
        </w:trPr>
        <w:tc>
          <w:tcPr>
            <w:tcW w:w="88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Accounts Receivable</w:t>
            </w:r>
          </w:p>
        </w:tc>
        <w:tc>
          <w:tcPr>
            <w:tcW w:w="1880" w:type="dxa"/>
            <w:vAlign w:val="bottom"/>
          </w:tcPr>
          <w:p>
            <w:pPr>
              <w:jc w:val="right"/>
              <w:ind w:right="415"/>
              <w:spacing w:after="0"/>
              <w:rPr>
                <w:sz w:val="20"/>
                <w:szCs w:val="20"/>
                <w:color w:val="auto"/>
              </w:rPr>
            </w:pPr>
            <w:r>
              <w:rPr>
                <w:rFonts w:ascii="Times New Roman" w:cs="Times New Roman" w:eastAsia="Times New Roman" w:hAnsi="Times New Roman"/>
                <w:sz w:val="17"/>
                <w:szCs w:val="17"/>
                <w:color w:val="auto"/>
              </w:rPr>
              <w:t>34.0</w:t>
            </w:r>
          </w:p>
        </w:tc>
        <w:tc>
          <w:tcPr>
            <w:tcW w:w="7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1.7</w:t>
            </w:r>
          </w:p>
        </w:tc>
      </w:tr>
      <w:tr>
        <w:trPr>
          <w:trHeight w:val="29"/>
        </w:trPr>
        <w:tc>
          <w:tcPr>
            <w:tcW w:w="8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Inventories</w:t>
            </w:r>
          </w:p>
        </w:tc>
        <w:tc>
          <w:tcPr>
            <w:tcW w:w="1880" w:type="dxa"/>
            <w:vAlign w:val="bottom"/>
            <w:tcBorders>
              <w:bottom w:val="single" w:sz="8" w:color="CCEEFF"/>
            </w:tcBorders>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color w:val="auto"/>
              </w:rPr>
              <w:t>(9.5)</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41"/>
        </w:trPr>
        <w:tc>
          <w:tcPr>
            <w:tcW w:w="88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Prepayments and Other</w:t>
            </w:r>
          </w:p>
        </w:tc>
        <w:tc>
          <w:tcPr>
            <w:tcW w:w="1880" w:type="dxa"/>
            <w:vAlign w:val="bottom"/>
          </w:tcPr>
          <w:p>
            <w:pPr>
              <w:jc w:val="right"/>
              <w:ind w:right="415"/>
              <w:spacing w:after="0"/>
              <w:rPr>
                <w:sz w:val="20"/>
                <w:szCs w:val="20"/>
                <w:color w:val="auto"/>
              </w:rPr>
            </w:pPr>
            <w:r>
              <w:rPr>
                <w:rFonts w:ascii="Times New Roman" w:cs="Times New Roman" w:eastAsia="Times New Roman" w:hAnsi="Times New Roman"/>
                <w:sz w:val="17"/>
                <w:szCs w:val="17"/>
                <w:color w:val="auto"/>
              </w:rPr>
              <w:t>3.3</w:t>
            </w:r>
          </w:p>
        </w:tc>
        <w:tc>
          <w:tcPr>
            <w:tcW w:w="7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2.8</w:t>
            </w:r>
          </w:p>
        </w:tc>
      </w:tr>
      <w:tr>
        <w:trPr>
          <w:trHeight w:val="29"/>
        </w:trPr>
        <w:tc>
          <w:tcPr>
            <w:tcW w:w="8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Accounts Payable</w:t>
            </w:r>
          </w:p>
        </w:tc>
        <w:tc>
          <w:tcPr>
            <w:tcW w:w="1880" w:type="dxa"/>
            <w:vAlign w:val="bottom"/>
            <w:tcBorders>
              <w:bottom w:val="single" w:sz="8" w:color="CCEEFF"/>
            </w:tcBorders>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color w:val="auto"/>
              </w:rPr>
              <w:t>(11.2)</w:t>
            </w:r>
          </w:p>
        </w:tc>
        <w:tc>
          <w:tcPr>
            <w:tcW w:w="7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8.1</w:t>
            </w:r>
          </w:p>
        </w:tc>
      </w:tr>
      <w:tr>
        <w:trPr>
          <w:trHeight w:val="241"/>
        </w:trPr>
        <w:tc>
          <w:tcPr>
            <w:tcW w:w="88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1880" w:type="dxa"/>
            <w:vAlign w:val="bottom"/>
          </w:tcPr>
          <w:p>
            <w:pPr>
              <w:jc w:val="right"/>
              <w:ind w:right="375"/>
              <w:spacing w:after="0"/>
              <w:rPr>
                <w:sz w:val="20"/>
                <w:szCs w:val="20"/>
                <w:color w:val="auto"/>
              </w:rPr>
            </w:pPr>
            <w:r>
              <w:rPr>
                <w:rFonts w:ascii="Times New Roman" w:cs="Times New Roman" w:eastAsia="Times New Roman" w:hAnsi="Times New Roman"/>
                <w:sz w:val="17"/>
                <w:szCs w:val="17"/>
                <w:color w:val="auto"/>
              </w:rPr>
              <w:t>(23.9)</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9"/>
        </w:trPr>
        <w:tc>
          <w:tcPr>
            <w:tcW w:w="8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Cash Contributions to Defined Benefit Pension Plans</w:t>
            </w:r>
          </w:p>
        </w:tc>
        <w:tc>
          <w:tcPr>
            <w:tcW w:w="1880" w:type="dxa"/>
            <w:vAlign w:val="bottom"/>
            <w:tcBorders>
              <w:bottom w:val="single" w:sz="8" w:color="CCEEFF"/>
            </w:tcBorders>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color w:val="auto"/>
              </w:rPr>
              <w:t>(10.4)</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w:t>
            </w:r>
          </w:p>
        </w:tc>
      </w:tr>
      <w:tr>
        <w:trPr>
          <w:trHeight w:val="241"/>
        </w:trPr>
        <w:tc>
          <w:tcPr>
            <w:tcW w:w="88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Changes in Regulatory and Other Non-Current Assets</w:t>
            </w:r>
          </w:p>
        </w:tc>
        <w:tc>
          <w:tcPr>
            <w:tcW w:w="1880" w:type="dxa"/>
            <w:vAlign w:val="bottom"/>
          </w:tcPr>
          <w:p>
            <w:pPr>
              <w:jc w:val="right"/>
              <w:ind w:right="375"/>
              <w:spacing w:after="0"/>
              <w:rPr>
                <w:sz w:val="20"/>
                <w:szCs w:val="20"/>
                <w:color w:val="auto"/>
              </w:rPr>
            </w:pPr>
            <w:r>
              <w:rPr>
                <w:rFonts w:ascii="Times New Roman" w:cs="Times New Roman" w:eastAsia="Times New Roman" w:hAnsi="Times New Roman"/>
                <w:sz w:val="17"/>
                <w:szCs w:val="17"/>
                <w:color w:val="auto"/>
              </w:rPr>
              <w:t>(11.9)</w:t>
            </w:r>
          </w:p>
        </w:tc>
        <w:tc>
          <w:tcPr>
            <w:tcW w:w="7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5.8</w:t>
            </w:r>
          </w:p>
        </w:tc>
      </w:tr>
      <w:tr>
        <w:trPr>
          <w:trHeight w:val="29"/>
        </w:trPr>
        <w:tc>
          <w:tcPr>
            <w:tcW w:w="8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5"/>
        </w:trPr>
        <w:tc>
          <w:tcPr>
            <w:tcW w:w="88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Changes in Regulatory and Other Non-Current Liabilities</w:t>
            </w:r>
          </w:p>
        </w:tc>
        <w:tc>
          <w:tcPr>
            <w:tcW w:w="1880" w:type="dxa"/>
            <w:vAlign w:val="bottom"/>
            <w:tcBorders>
              <w:bottom w:val="single" w:sz="8" w:color="CCEEFF"/>
            </w:tcBorders>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color w:val="auto"/>
              </w:rPr>
              <w:t>(6.4)</w:t>
            </w:r>
          </w:p>
        </w:tc>
        <w:tc>
          <w:tcPr>
            <w:tcW w:w="7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7.5</w:t>
            </w:r>
          </w:p>
        </w:tc>
      </w:tr>
      <w:tr>
        <w:trPr>
          <w:trHeight w:val="235"/>
        </w:trPr>
        <w:tc>
          <w:tcPr>
            <w:tcW w:w="882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7"/>
                <w:szCs w:val="17"/>
                <w:color w:val="auto"/>
              </w:rPr>
              <w:t>Cash from Operating Activities</w:t>
            </w:r>
          </w:p>
        </w:tc>
        <w:tc>
          <w:tcPr>
            <w:tcW w:w="1880" w:type="dxa"/>
            <w:vAlign w:val="bottom"/>
            <w:tcBorders>
              <w:top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color w:val="auto"/>
              </w:rPr>
              <w:t>95.2</w:t>
            </w:r>
          </w:p>
        </w:tc>
        <w:tc>
          <w:tcPr>
            <w:tcW w:w="72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194.4</w:t>
            </w:r>
          </w:p>
        </w:tc>
      </w:tr>
      <w:tr>
        <w:trPr>
          <w:trHeight w:val="29"/>
        </w:trPr>
        <w:tc>
          <w:tcPr>
            <w:tcW w:w="88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8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Investing Activities</w:t>
            </w:r>
          </w:p>
        </w:tc>
        <w:tc>
          <w:tcPr>
            <w:tcW w:w="18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1"/>
        </w:trPr>
        <w:tc>
          <w:tcPr>
            <w:tcW w:w="88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Proceeds from Sale of Available-for-sale Securities</w:t>
            </w:r>
          </w:p>
        </w:tc>
        <w:tc>
          <w:tcPr>
            <w:tcW w:w="1880" w:type="dxa"/>
            <w:vAlign w:val="bottom"/>
          </w:tcPr>
          <w:p>
            <w:pPr>
              <w:jc w:val="right"/>
              <w:ind w:right="415"/>
              <w:spacing w:after="0"/>
              <w:rPr>
                <w:sz w:val="20"/>
                <w:szCs w:val="20"/>
                <w:color w:val="auto"/>
              </w:rPr>
            </w:pPr>
            <w:r>
              <w:rPr>
                <w:rFonts w:ascii="Times New Roman" w:cs="Times New Roman" w:eastAsia="Times New Roman" w:hAnsi="Times New Roman"/>
                <w:sz w:val="17"/>
                <w:szCs w:val="17"/>
                <w:color w:val="auto"/>
              </w:rPr>
              <w:t>6.0</w:t>
            </w:r>
          </w:p>
        </w:tc>
        <w:tc>
          <w:tcPr>
            <w:tcW w:w="7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7.2</w:t>
            </w:r>
          </w:p>
        </w:tc>
      </w:tr>
      <w:tr>
        <w:trPr>
          <w:trHeight w:val="29"/>
        </w:trPr>
        <w:tc>
          <w:tcPr>
            <w:tcW w:w="8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Payments for Purchase of Available-for-sale Securities</w:t>
            </w:r>
          </w:p>
        </w:tc>
        <w:tc>
          <w:tcPr>
            <w:tcW w:w="1880" w:type="dxa"/>
            <w:vAlign w:val="bottom"/>
            <w:tcBorders>
              <w:bottom w:val="single" w:sz="8" w:color="CCEEFF"/>
            </w:tcBorders>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color w:val="auto"/>
              </w:rPr>
              <w:t>(5.9)</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w:t>
            </w:r>
          </w:p>
        </w:tc>
      </w:tr>
      <w:tr>
        <w:trPr>
          <w:trHeight w:val="241"/>
        </w:trPr>
        <w:tc>
          <w:tcPr>
            <w:tcW w:w="88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Payments for Equity Investments</w:t>
            </w:r>
          </w:p>
        </w:tc>
        <w:tc>
          <w:tcPr>
            <w:tcW w:w="1880" w:type="dxa"/>
            <w:vAlign w:val="bottom"/>
          </w:tcPr>
          <w:p>
            <w:pPr>
              <w:jc w:val="right"/>
              <w:ind w:right="375"/>
              <w:spacing w:after="0"/>
              <w:rPr>
                <w:sz w:val="20"/>
                <w:szCs w:val="20"/>
                <w:color w:val="auto"/>
              </w:rPr>
            </w:pPr>
            <w:r>
              <w:rPr>
                <w:rFonts w:ascii="Times New Roman" w:cs="Times New Roman" w:eastAsia="Times New Roman" w:hAnsi="Times New Roman"/>
                <w:sz w:val="17"/>
                <w:szCs w:val="17"/>
                <w:color w:val="auto"/>
              </w:rPr>
              <w:t>(4.6)</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r>
      <w:tr>
        <w:trPr>
          <w:trHeight w:val="29"/>
        </w:trPr>
        <w:tc>
          <w:tcPr>
            <w:tcW w:w="8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Return of Capital from Equity Investments</w:t>
            </w:r>
          </w:p>
        </w:tc>
        <w:tc>
          <w:tcPr>
            <w:tcW w:w="1880" w:type="dxa"/>
            <w:vAlign w:val="bottom"/>
            <w:tcBorders>
              <w:bottom w:val="single" w:sz="8" w:color="CCEEFF"/>
            </w:tcBorders>
            <w:shd w:val="clear" w:color="auto" w:fill="CCEEFF"/>
          </w:tcPr>
          <w:p>
            <w:pPr>
              <w:jc w:val="right"/>
              <w:ind w:right="415"/>
              <w:spacing w:after="0"/>
              <w:rPr>
                <w:sz w:val="20"/>
                <w:szCs w:val="20"/>
                <w:color w:val="auto"/>
              </w:rPr>
            </w:pPr>
            <w:r>
              <w:rPr>
                <w:rFonts w:ascii="Times New Roman" w:cs="Times New Roman" w:eastAsia="Times New Roman" w:hAnsi="Times New Roman"/>
                <w:sz w:val="17"/>
                <w:szCs w:val="17"/>
                <w:color w:val="auto"/>
              </w:rPr>
              <w:t>8.3</w:t>
            </w:r>
          </w:p>
        </w:tc>
        <w:tc>
          <w:tcPr>
            <w:tcW w:w="7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41"/>
        </w:trPr>
        <w:tc>
          <w:tcPr>
            <w:tcW w:w="88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Proceeds from Sale of U.S. Water Services – Net of Transaction Costs and Cash Retained</w:t>
            </w:r>
          </w:p>
        </w:tc>
        <w:tc>
          <w:tcPr>
            <w:tcW w:w="1880" w:type="dxa"/>
            <w:vAlign w:val="bottom"/>
          </w:tcPr>
          <w:p>
            <w:pPr>
              <w:jc w:val="right"/>
              <w:ind w:right="415"/>
              <w:spacing w:after="0"/>
              <w:rPr>
                <w:sz w:val="20"/>
                <w:szCs w:val="20"/>
                <w:color w:val="auto"/>
              </w:rPr>
            </w:pPr>
            <w:r>
              <w:rPr>
                <w:rFonts w:ascii="Times New Roman" w:cs="Times New Roman" w:eastAsia="Times New Roman" w:hAnsi="Times New Roman"/>
                <w:sz w:val="17"/>
                <w:szCs w:val="17"/>
                <w:color w:val="auto"/>
              </w:rPr>
              <w:t>264.2</w:t>
            </w:r>
          </w:p>
        </w:tc>
        <w:tc>
          <w:tcPr>
            <w:tcW w:w="7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9"/>
        </w:trPr>
        <w:tc>
          <w:tcPr>
            <w:tcW w:w="8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Additions to Property, Plant and Equipment</w:t>
            </w:r>
          </w:p>
        </w:tc>
        <w:tc>
          <w:tcPr>
            <w:tcW w:w="1880" w:type="dxa"/>
            <w:vAlign w:val="bottom"/>
            <w:tcBorders>
              <w:bottom w:val="single" w:sz="8" w:color="CCEEFF"/>
            </w:tcBorders>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color w:val="auto"/>
              </w:rPr>
              <w:t>(236.0)</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(133.4)</w:t>
            </w:r>
          </w:p>
        </w:tc>
      </w:tr>
      <w:tr>
        <w:trPr>
          <w:trHeight w:val="241"/>
        </w:trPr>
        <w:tc>
          <w:tcPr>
            <w:tcW w:w="88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Other Investing Activities</w:t>
            </w:r>
          </w:p>
        </w:tc>
        <w:tc>
          <w:tcPr>
            <w:tcW w:w="1880" w:type="dxa"/>
            <w:vAlign w:val="bottom"/>
          </w:tcPr>
          <w:p>
            <w:pPr>
              <w:jc w:val="right"/>
              <w:ind w:right="415"/>
              <w:spacing w:after="0"/>
              <w:rPr>
                <w:sz w:val="20"/>
                <w:szCs w:val="20"/>
                <w:color w:val="auto"/>
              </w:rPr>
            </w:pPr>
            <w:r>
              <w:rPr>
                <w:rFonts w:ascii="Times New Roman" w:cs="Times New Roman" w:eastAsia="Times New Roman" w:hAnsi="Times New Roman"/>
                <w:sz w:val="17"/>
                <w:szCs w:val="17"/>
                <w:color w:val="auto"/>
              </w:rPr>
              <w:t>14.0</w:t>
            </w:r>
          </w:p>
        </w:tc>
        <w:tc>
          <w:tcPr>
            <w:tcW w:w="7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1.4</w:t>
            </w:r>
          </w:p>
        </w:tc>
      </w:tr>
      <w:tr>
        <w:trPr>
          <w:trHeight w:val="29"/>
        </w:trPr>
        <w:tc>
          <w:tcPr>
            <w:tcW w:w="88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9"/>
        </w:trPr>
        <w:tc>
          <w:tcPr>
            <w:tcW w:w="88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Cash from (for) Investing Activities</w:t>
            </w:r>
          </w:p>
        </w:tc>
        <w:tc>
          <w:tcPr>
            <w:tcW w:w="1880" w:type="dxa"/>
            <w:vAlign w:val="bottom"/>
            <w:tcBorders>
              <w:bottom w:val="single" w:sz="8" w:color="CCEEFF"/>
            </w:tcBorders>
            <w:shd w:val="clear" w:color="auto" w:fill="CCEEFF"/>
          </w:tcPr>
          <w:p>
            <w:pPr>
              <w:jc w:val="right"/>
              <w:ind w:right="415"/>
              <w:spacing w:after="0"/>
              <w:rPr>
                <w:sz w:val="20"/>
                <w:szCs w:val="20"/>
                <w:color w:val="auto"/>
              </w:rPr>
            </w:pPr>
            <w:r>
              <w:rPr>
                <w:rFonts w:ascii="Times New Roman" w:cs="Times New Roman" w:eastAsia="Times New Roman" w:hAnsi="Times New Roman"/>
                <w:sz w:val="17"/>
                <w:szCs w:val="17"/>
                <w:color w:val="auto"/>
              </w:rPr>
              <w:t>46.0</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(138.5)</w:t>
            </w:r>
          </w:p>
        </w:tc>
      </w:tr>
      <w:tr>
        <w:trPr>
          <w:trHeight w:val="235"/>
        </w:trPr>
        <w:tc>
          <w:tcPr>
            <w:tcW w:w="88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rPr>
              <w:t>Financing Activities</w:t>
            </w:r>
          </w:p>
        </w:tc>
        <w:tc>
          <w:tcPr>
            <w:tcW w:w="18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r>
      <w:tr>
        <w:trPr>
          <w:trHeight w:val="29"/>
        </w:trPr>
        <w:tc>
          <w:tcPr>
            <w:tcW w:w="8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Proceeds from Issuance of Common Stock</w:t>
            </w:r>
          </w:p>
        </w:tc>
        <w:tc>
          <w:tcPr>
            <w:tcW w:w="1880" w:type="dxa"/>
            <w:vAlign w:val="bottom"/>
            <w:tcBorders>
              <w:bottom w:val="single" w:sz="8" w:color="CCEEFF"/>
            </w:tcBorders>
            <w:shd w:val="clear" w:color="auto" w:fill="CCEEFF"/>
          </w:tcPr>
          <w:p>
            <w:pPr>
              <w:jc w:val="right"/>
              <w:ind w:right="415"/>
              <w:spacing w:after="0"/>
              <w:rPr>
                <w:sz w:val="20"/>
                <w:szCs w:val="20"/>
                <w:color w:val="auto"/>
              </w:rPr>
            </w:pPr>
            <w:r>
              <w:rPr>
                <w:rFonts w:ascii="Times New Roman" w:cs="Times New Roman" w:eastAsia="Times New Roman" w:hAnsi="Times New Roman"/>
                <w:sz w:val="17"/>
                <w:szCs w:val="17"/>
                <w:color w:val="auto"/>
              </w:rPr>
              <w:t>1.5</w:t>
            </w:r>
          </w:p>
        </w:tc>
        <w:tc>
          <w:tcPr>
            <w:tcW w:w="7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10.7</w:t>
            </w:r>
          </w:p>
        </w:tc>
      </w:tr>
      <w:tr>
        <w:trPr>
          <w:trHeight w:val="241"/>
        </w:trPr>
        <w:tc>
          <w:tcPr>
            <w:tcW w:w="88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Proceeds from Issuance of Long-Term Debt</w:t>
            </w:r>
          </w:p>
        </w:tc>
        <w:tc>
          <w:tcPr>
            <w:tcW w:w="1880" w:type="dxa"/>
            <w:vAlign w:val="bottom"/>
          </w:tcPr>
          <w:p>
            <w:pPr>
              <w:jc w:val="right"/>
              <w:ind w:right="415"/>
              <w:spacing w:after="0"/>
              <w:rPr>
                <w:sz w:val="20"/>
                <w:szCs w:val="20"/>
                <w:color w:val="auto"/>
              </w:rPr>
            </w:pPr>
            <w:r>
              <w:rPr>
                <w:rFonts w:ascii="Times New Roman" w:cs="Times New Roman" w:eastAsia="Times New Roman" w:hAnsi="Times New Roman"/>
                <w:sz w:val="17"/>
                <w:szCs w:val="17"/>
                <w:color w:val="auto"/>
              </w:rPr>
              <w:t>100.0</w:t>
            </w:r>
          </w:p>
        </w:tc>
        <w:tc>
          <w:tcPr>
            <w:tcW w:w="7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72.0</w:t>
            </w:r>
          </w:p>
        </w:tc>
      </w:tr>
      <w:tr>
        <w:trPr>
          <w:trHeight w:val="29"/>
        </w:trPr>
        <w:tc>
          <w:tcPr>
            <w:tcW w:w="8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Repayments of Long-Term Debt</w:t>
            </w:r>
          </w:p>
        </w:tc>
        <w:tc>
          <w:tcPr>
            <w:tcW w:w="1880" w:type="dxa"/>
            <w:vAlign w:val="bottom"/>
            <w:tcBorders>
              <w:bottom w:val="single" w:sz="8" w:color="CCEEFF"/>
            </w:tcBorders>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color w:val="auto"/>
              </w:rPr>
              <w:t>(49.8)</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(57.9)</w:t>
            </w:r>
          </w:p>
        </w:tc>
      </w:tr>
      <w:tr>
        <w:trPr>
          <w:trHeight w:val="241"/>
        </w:trPr>
        <w:tc>
          <w:tcPr>
            <w:tcW w:w="88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Acquisition-Related Contingent Consideration Payments</w:t>
            </w:r>
          </w:p>
        </w:tc>
        <w:tc>
          <w:tcPr>
            <w:tcW w:w="1880" w:type="dxa"/>
            <w:vAlign w:val="bottom"/>
          </w:tcPr>
          <w:p>
            <w:pPr>
              <w:jc w:val="right"/>
              <w:ind w:right="375"/>
              <w:spacing w:after="0"/>
              <w:rPr>
                <w:sz w:val="20"/>
                <w:szCs w:val="20"/>
                <w:color w:val="auto"/>
              </w:rPr>
            </w:pPr>
            <w:r>
              <w:rPr>
                <w:rFonts w:ascii="Times New Roman" w:cs="Times New Roman" w:eastAsia="Times New Roman" w:hAnsi="Times New Roman"/>
                <w:sz w:val="17"/>
                <w:szCs w:val="17"/>
                <w:color w:val="auto"/>
              </w:rPr>
              <w:t>(3.8)</w:t>
            </w:r>
          </w:p>
        </w:tc>
        <w:tc>
          <w:tcPr>
            <w:tcW w:w="7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9"/>
        </w:trPr>
        <w:tc>
          <w:tcPr>
            <w:tcW w:w="8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Dividends on Common Stock</w:t>
            </w:r>
          </w:p>
        </w:tc>
        <w:tc>
          <w:tcPr>
            <w:tcW w:w="1880" w:type="dxa"/>
            <w:vAlign w:val="bottom"/>
            <w:tcBorders>
              <w:bottom w:val="single" w:sz="8" w:color="CCEEFF"/>
            </w:tcBorders>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color w:val="auto"/>
              </w:rPr>
              <w:t>(60.7)</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(57.4)</w:t>
            </w:r>
          </w:p>
        </w:tc>
      </w:tr>
      <w:tr>
        <w:trPr>
          <w:trHeight w:val="241"/>
        </w:trPr>
        <w:tc>
          <w:tcPr>
            <w:tcW w:w="88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Other Financing Activities</w:t>
            </w:r>
          </w:p>
        </w:tc>
        <w:tc>
          <w:tcPr>
            <w:tcW w:w="1880" w:type="dxa"/>
            <w:vAlign w:val="bottom"/>
          </w:tcPr>
          <w:p>
            <w:pPr>
              <w:jc w:val="right"/>
              <w:ind w:right="375"/>
              <w:spacing w:after="0"/>
              <w:rPr>
                <w:sz w:val="20"/>
                <w:szCs w:val="20"/>
                <w:color w:val="auto"/>
              </w:rPr>
            </w:pPr>
            <w:r>
              <w:rPr>
                <w:rFonts w:ascii="Times New Roman" w:cs="Times New Roman" w:eastAsia="Times New Roman" w:hAnsi="Times New Roman"/>
                <w:sz w:val="17"/>
                <w:szCs w:val="17"/>
                <w:color w:val="auto"/>
              </w:rPr>
              <w:t>(0.8)</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w:t>
            </w:r>
          </w:p>
        </w:tc>
      </w:tr>
      <w:tr>
        <w:trPr>
          <w:trHeight w:val="29"/>
        </w:trPr>
        <w:tc>
          <w:tcPr>
            <w:tcW w:w="88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9"/>
        </w:trPr>
        <w:tc>
          <w:tcPr>
            <w:tcW w:w="88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Cash for Financing Activities</w:t>
            </w:r>
          </w:p>
        </w:tc>
        <w:tc>
          <w:tcPr>
            <w:tcW w:w="1880" w:type="dxa"/>
            <w:vAlign w:val="bottom"/>
            <w:tcBorders>
              <w:bottom w:val="single" w:sz="8" w:color="CCEEFF"/>
            </w:tcBorders>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color w:val="auto"/>
              </w:rPr>
              <w:t>(13.6)</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w:t>
            </w:r>
          </w:p>
        </w:tc>
      </w:tr>
      <w:tr>
        <w:trPr>
          <w:trHeight w:val="235"/>
        </w:trPr>
        <w:tc>
          <w:tcPr>
            <w:tcW w:w="88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rPr>
              <w:t>Change in Cash, Cash Equivalents and Restricted Cash</w:t>
            </w:r>
          </w:p>
        </w:tc>
        <w:tc>
          <w:tcPr>
            <w:tcW w:w="1880" w:type="dxa"/>
            <w:vAlign w:val="bottom"/>
            <w:tcBorders>
              <w:top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color w:val="auto"/>
              </w:rPr>
              <w:t>127.6</w:t>
            </w:r>
          </w:p>
        </w:tc>
        <w:tc>
          <w:tcPr>
            <w:tcW w:w="72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22.7</w:t>
            </w:r>
          </w:p>
        </w:tc>
      </w:tr>
      <w:tr>
        <w:trPr>
          <w:trHeight w:val="29"/>
        </w:trPr>
        <w:tc>
          <w:tcPr>
            <w:tcW w:w="8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5"/>
        </w:trPr>
        <w:tc>
          <w:tcPr>
            <w:tcW w:w="8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Cash, Cash Equivalents and Restricted Cash at Beginning of Period</w:t>
            </w:r>
          </w:p>
        </w:tc>
        <w:tc>
          <w:tcPr>
            <w:tcW w:w="1880" w:type="dxa"/>
            <w:vAlign w:val="bottom"/>
            <w:tcBorders>
              <w:bottom w:val="single" w:sz="8" w:color="CCEEFF"/>
            </w:tcBorders>
            <w:shd w:val="clear" w:color="auto" w:fill="CCEEFF"/>
          </w:tcPr>
          <w:p>
            <w:pPr>
              <w:jc w:val="right"/>
              <w:ind w:right="415"/>
              <w:spacing w:after="0"/>
              <w:rPr>
                <w:sz w:val="20"/>
                <w:szCs w:val="20"/>
                <w:color w:val="auto"/>
              </w:rPr>
            </w:pPr>
            <w:r>
              <w:rPr>
                <w:rFonts w:ascii="Times New Roman" w:cs="Times New Roman" w:eastAsia="Times New Roman" w:hAnsi="Times New Roman"/>
                <w:sz w:val="17"/>
                <w:szCs w:val="17"/>
                <w:color w:val="auto"/>
              </w:rPr>
              <w:t>79.0</w:t>
            </w:r>
          </w:p>
        </w:tc>
        <w:tc>
          <w:tcPr>
            <w:tcW w:w="7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110.1</w:t>
            </w:r>
          </w:p>
        </w:tc>
      </w:tr>
      <w:tr>
        <w:trPr>
          <w:trHeight w:val="235"/>
        </w:trPr>
        <w:tc>
          <w:tcPr>
            <w:tcW w:w="88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rPr>
              <w:t>Cash, Cash Equivalents and Restricted Cash at End of Period</w:t>
            </w:r>
          </w:p>
        </w:tc>
        <w:tc>
          <w:tcPr>
            <w:tcW w:w="1880" w:type="dxa"/>
            <w:vAlign w:val="bottom"/>
            <w:tcBorders>
              <w:top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color w:val="auto"/>
              </w:rPr>
              <w:t>$206.6</w:t>
            </w:r>
          </w:p>
        </w:tc>
        <w:tc>
          <w:tcPr>
            <w:tcW w:w="72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$132.8</w:t>
            </w:r>
          </w:p>
        </w:tc>
      </w:tr>
      <w:tr>
        <w:trPr>
          <w:trHeight w:val="29"/>
        </w:trPr>
        <w:tc>
          <w:tcPr>
            <w:tcW w:w="88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28"/>
        </w:trPr>
        <w:tc>
          <w:tcPr>
            <w:tcW w:w="8820" w:type="dxa"/>
            <w:vAlign w:val="bottom"/>
          </w:tcPr>
          <w:p>
            <w:pPr>
              <w:ind w:left="3380"/>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tc>
        <w:tc>
          <w:tcPr>
            <w:tcW w:w="1880" w:type="dxa"/>
            <w:vAlign w:val="bottom"/>
          </w:tcPr>
          <w:p>
            <w:pPr>
              <w:spacing w:after="0"/>
              <w:rPr>
                <w:sz w:val="19"/>
                <w:szCs w:val="19"/>
                <w:color w:val="auto"/>
              </w:rPr>
            </w:pPr>
          </w:p>
        </w:tc>
        <w:tc>
          <w:tcPr>
            <w:tcW w:w="720" w:type="dxa"/>
            <w:vAlign w:val="bottom"/>
          </w:tcPr>
          <w:p>
            <w:pPr>
              <w:spacing w:after="0"/>
              <w:rPr>
                <w:sz w:val="19"/>
                <w:szCs w:val="19"/>
                <w:color w:val="auto"/>
              </w:rPr>
            </w:pPr>
          </w:p>
        </w:tc>
      </w:tr>
    </w:tbl>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Second Quarter 2019 Form 10-Q</w:t>
      </w:r>
    </w:p>
    <w:p>
      <w:pPr>
        <w:sectPr>
          <w:pgSz w:w="11900" w:h="16838" w:orient="portrait"/>
          <w:cols w:equalWidth="0" w:num="1">
            <w:col w:w="11420"/>
          </w:cols>
          <w:pgMar w:left="240" w:top="1036" w:right="239" w:bottom="489" w:gutter="0" w:footer="0" w:header="0"/>
        </w:sectPr>
      </w:pPr>
    </w:p>
    <w:p>
      <w:pPr>
        <w:spacing w:after="0" w:line="17" w:lineRule="exact"/>
        <w:rPr>
          <w:sz w:val="20"/>
          <w:szCs w:val="20"/>
          <w:color w:val="auto"/>
        </w:rPr>
      </w:pPr>
    </w:p>
    <w:p>
      <w:pPr>
        <w:ind w:left="11280"/>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1420"/>
          </w:cols>
          <w:pgMar w:left="240" w:top="1036" w:right="239" w:bottom="489"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ALLETE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60" w:type="dxa"/>
            <w:vAlign w:val="bottom"/>
          </w:tcPr>
          <w:p>
            <w:pPr>
              <w:spacing w:after="0"/>
              <w:rPr>
                <w:sz w:val="20"/>
                <w:szCs w:val="20"/>
                <w:color w:val="auto"/>
              </w:rPr>
            </w:pPr>
          </w:p>
        </w:tc>
        <w:tc>
          <w:tcPr>
            <w:tcW w:w="348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208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70"/>
        </w:trPr>
        <w:tc>
          <w:tcPr>
            <w:tcW w:w="5860" w:type="dxa"/>
            <w:vAlign w:val="bottom"/>
          </w:tcPr>
          <w:p>
            <w:pPr>
              <w:spacing w:after="0"/>
              <w:rPr>
                <w:sz w:val="23"/>
                <w:szCs w:val="23"/>
                <w:color w:val="auto"/>
              </w:rPr>
            </w:pPr>
          </w:p>
        </w:tc>
        <w:tc>
          <w:tcPr>
            <w:tcW w:w="348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080" w:type="dxa"/>
            <w:vAlign w:val="bottom"/>
            <w:gridSpan w:val="2"/>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70"/>
        </w:trPr>
        <w:tc>
          <w:tcPr>
            <w:tcW w:w="5860" w:type="dxa"/>
            <w:vAlign w:val="bottom"/>
          </w:tcPr>
          <w:p>
            <w:pPr>
              <w:spacing w:after="0"/>
              <w:rPr>
                <w:sz w:val="23"/>
                <w:szCs w:val="23"/>
                <w:color w:val="auto"/>
              </w:rPr>
            </w:pPr>
          </w:p>
        </w:tc>
        <w:tc>
          <w:tcPr>
            <w:tcW w:w="24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1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58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8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Millions Except Per Share Amounts</w:t>
            </w:r>
          </w:p>
        </w:tc>
        <w:tc>
          <w:tcPr>
            <w:tcW w:w="2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58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$1,431.1</w:t>
            </w:r>
          </w:p>
        </w:tc>
        <w:tc>
          <w:tcPr>
            <w:tcW w:w="10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$1,407.4</w:t>
            </w: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$1,428.5</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$1,401.4</w:t>
            </w:r>
          </w:p>
        </w:tc>
      </w:tr>
      <w:tr>
        <w:trPr>
          <w:trHeight w:val="27"/>
        </w:trPr>
        <w:tc>
          <w:tcPr>
            <w:tcW w:w="58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5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Common Stock Issued</w:t>
            </w:r>
          </w:p>
        </w:tc>
        <w:tc>
          <w:tcPr>
            <w:tcW w:w="24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2.2</w:t>
            </w:r>
          </w:p>
        </w:tc>
        <w:tc>
          <w:tcPr>
            <w:tcW w:w="10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8.0</w:t>
            </w: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4.8</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w:t>
            </w:r>
          </w:p>
        </w:tc>
      </w:tr>
      <w:tr>
        <w:trPr>
          <w:trHeight w:val="237"/>
        </w:trPr>
        <w:tc>
          <w:tcPr>
            <w:tcW w:w="586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Balance, End of Period</w:t>
            </w:r>
          </w:p>
        </w:tc>
        <w:tc>
          <w:tcPr>
            <w:tcW w:w="240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1,433.3</w:t>
            </w:r>
          </w:p>
        </w:tc>
        <w:tc>
          <w:tcPr>
            <w:tcW w:w="10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1,415.4</w:t>
            </w:r>
          </w:p>
        </w:tc>
        <w:tc>
          <w:tcPr>
            <w:tcW w:w="112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1,433.3</w:t>
            </w: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1,415.4</w:t>
            </w:r>
          </w:p>
        </w:tc>
      </w:tr>
      <w:tr>
        <w:trPr>
          <w:trHeight w:val="27"/>
        </w:trPr>
        <w:tc>
          <w:tcPr>
            <w:tcW w:w="58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318"/>
        </w:trPr>
        <w:tc>
          <w:tcPr>
            <w:tcW w:w="5860" w:type="dxa"/>
            <w:vAlign w:val="bottom"/>
            <w:shd w:val="clear" w:color="auto" w:fill="CCEEFF"/>
          </w:tcPr>
          <w:p>
            <w:pPr>
              <w:spacing w:after="0"/>
              <w:rPr>
                <w:sz w:val="24"/>
                <w:szCs w:val="24"/>
                <w:color w:val="auto"/>
              </w:rPr>
            </w:pPr>
          </w:p>
        </w:tc>
        <w:tc>
          <w:tcPr>
            <w:tcW w:w="24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58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2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58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4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(27.2)</w:t>
            </w:r>
          </w:p>
        </w:tc>
        <w:tc>
          <w:tcPr>
            <w:tcW w:w="10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(27.9)</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(27.3)</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r>
      <w:tr>
        <w:trPr>
          <w:trHeight w:val="243"/>
        </w:trPr>
        <w:tc>
          <w:tcPr>
            <w:tcW w:w="5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 Net of Income Taxes</w:t>
            </w:r>
          </w:p>
        </w:tc>
        <w:tc>
          <w:tcPr>
            <w:tcW w:w="2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58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Unrealized Gain (Loss) on Debt Securities</w:t>
            </w:r>
          </w:p>
        </w:tc>
        <w:tc>
          <w:tcPr>
            <w:tcW w:w="24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0.1</w:t>
            </w:r>
          </w:p>
        </w:tc>
        <w:tc>
          <w:tcPr>
            <w:tcW w:w="10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0.2</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43"/>
        </w:trPr>
        <w:tc>
          <w:tcPr>
            <w:tcW w:w="5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Defined Benefit Pension and Other Postretirement Plans</w:t>
            </w:r>
          </w:p>
        </w:tc>
        <w:tc>
          <w:tcPr>
            <w:tcW w:w="2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0.2</w:t>
            </w:r>
          </w:p>
        </w:tc>
        <w:tc>
          <w:tcPr>
            <w:tcW w:w="10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0.3</w:t>
            </w: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0.2</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0.7</w:t>
            </w:r>
          </w:p>
        </w:tc>
      </w:tr>
      <w:tr>
        <w:trPr>
          <w:trHeight w:val="27"/>
        </w:trPr>
        <w:tc>
          <w:tcPr>
            <w:tcW w:w="58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5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Balance, End of Period</w:t>
            </w:r>
          </w:p>
        </w:tc>
        <w:tc>
          <w:tcPr>
            <w:tcW w:w="24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(26.9)</w:t>
            </w:r>
          </w:p>
        </w:tc>
        <w:tc>
          <w:tcPr>
            <w:tcW w:w="10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(27.6)</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(26.9)</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r>
      <w:tr>
        <w:trPr>
          <w:trHeight w:val="318"/>
        </w:trPr>
        <w:tc>
          <w:tcPr>
            <w:tcW w:w="5860" w:type="dxa"/>
            <w:vAlign w:val="bottom"/>
            <w:tcBorders>
              <w:top w:val="single" w:sz="8" w:color="auto"/>
            </w:tcBorders>
          </w:tcPr>
          <w:p>
            <w:pPr>
              <w:spacing w:after="0"/>
              <w:rPr>
                <w:sz w:val="24"/>
                <w:szCs w:val="24"/>
                <w:color w:val="auto"/>
              </w:rPr>
            </w:pPr>
          </w:p>
        </w:tc>
        <w:tc>
          <w:tcPr>
            <w:tcW w:w="24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2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794.8</w:t>
            </w:r>
          </w:p>
        </w:tc>
        <w:tc>
          <w:tcPr>
            <w:tcW w:w="10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717.8</w:t>
            </w: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754.6</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695.5</w:t>
            </w:r>
          </w:p>
        </w:tc>
      </w:tr>
      <w:tr>
        <w:trPr>
          <w:trHeight w:val="27"/>
        </w:trPr>
        <w:tc>
          <w:tcPr>
            <w:tcW w:w="58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4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34.2</w:t>
            </w:r>
          </w:p>
        </w:tc>
        <w:tc>
          <w:tcPr>
            <w:tcW w:w="10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31.3</w:t>
            </w: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104.7</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82.3</w:t>
            </w:r>
          </w:p>
        </w:tc>
      </w:tr>
      <w:tr>
        <w:trPr>
          <w:trHeight w:val="243"/>
        </w:trPr>
        <w:tc>
          <w:tcPr>
            <w:tcW w:w="5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Stock Dividends</w:t>
            </w:r>
          </w:p>
        </w:tc>
        <w:tc>
          <w:tcPr>
            <w:tcW w:w="2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(30.4)</w:t>
            </w: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(28.7)</w:t>
            </w: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(60.7)</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r>
      <w:tr>
        <w:trPr>
          <w:trHeight w:val="27"/>
        </w:trPr>
        <w:tc>
          <w:tcPr>
            <w:tcW w:w="58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5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Balance, End of Period</w:t>
            </w:r>
          </w:p>
        </w:tc>
        <w:tc>
          <w:tcPr>
            <w:tcW w:w="24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798.6</w:t>
            </w:r>
          </w:p>
        </w:tc>
        <w:tc>
          <w:tcPr>
            <w:tcW w:w="10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720.4</w:t>
            </w: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798.6</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720.4</w:t>
            </w:r>
          </w:p>
        </w:tc>
      </w:tr>
      <w:tr>
        <w:trPr>
          <w:trHeight w:val="318"/>
        </w:trPr>
        <w:tc>
          <w:tcPr>
            <w:tcW w:w="5860" w:type="dxa"/>
            <w:vAlign w:val="bottom"/>
            <w:tcBorders>
              <w:top w:val="single" w:sz="8" w:color="auto"/>
              <w:bottom w:val="single" w:sz="8" w:color="auto"/>
            </w:tcBorders>
          </w:tcPr>
          <w:p>
            <w:pPr>
              <w:spacing w:after="0"/>
              <w:rPr>
                <w:sz w:val="24"/>
                <w:szCs w:val="24"/>
                <w:color w:val="auto"/>
              </w:rPr>
            </w:pPr>
          </w:p>
        </w:tc>
        <w:tc>
          <w:tcPr>
            <w:tcW w:w="240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r>
      <w:tr>
        <w:trPr>
          <w:trHeight w:val="269"/>
        </w:trPr>
        <w:tc>
          <w:tcPr>
            <w:tcW w:w="5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4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$2,205.0</w:t>
            </w:r>
          </w:p>
        </w:tc>
        <w:tc>
          <w:tcPr>
            <w:tcW w:w="10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$2,108.2</w:t>
            </w: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$2,205.0</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$2,108.2</w:t>
            </w:r>
          </w:p>
        </w:tc>
      </w:tr>
      <w:tr>
        <w:trPr>
          <w:trHeight w:val="318"/>
        </w:trPr>
        <w:tc>
          <w:tcPr>
            <w:tcW w:w="5860" w:type="dxa"/>
            <w:vAlign w:val="bottom"/>
            <w:tcBorders>
              <w:top w:val="single" w:sz="8" w:color="auto"/>
            </w:tcBorders>
          </w:tcPr>
          <w:p>
            <w:pPr>
              <w:spacing w:after="0"/>
              <w:rPr>
                <w:sz w:val="24"/>
                <w:szCs w:val="24"/>
                <w:color w:val="auto"/>
              </w:rPr>
            </w:pPr>
          </w:p>
        </w:tc>
        <w:tc>
          <w:tcPr>
            <w:tcW w:w="24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Dividends Per Share of Common Stock</w:t>
            </w:r>
          </w:p>
        </w:tc>
        <w:tc>
          <w:tcPr>
            <w:tcW w:w="24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$0.5875</w:t>
            </w:r>
          </w:p>
        </w:tc>
        <w:tc>
          <w:tcPr>
            <w:tcW w:w="10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$0.56</w:t>
            </w: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$1.175</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w:t>
            </w:r>
          </w:p>
        </w:tc>
      </w:tr>
      <w:tr>
        <w:trPr>
          <w:trHeight w:val="20"/>
        </w:trPr>
        <w:tc>
          <w:tcPr>
            <w:tcW w:w="5860" w:type="dxa"/>
            <w:vAlign w:val="bottom"/>
            <w:shd w:val="clear" w:color="auto" w:fill="000000"/>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Second Quarter 2019 Form 10-Q</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1420"/>
          </w:cols>
          <w:pgMar w:left="240" w:top="1036" w:right="2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UNAUDITED</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the instructions to Form 10-Q and Rule 10-01 of Regulation S-X, and do not include all of the information and notes required by GAAP for complete financial statements. Similarly, the December 31, 2018, Consolidated Balance Sheet was derived from audited financial statements, but does not include all disclosures required by GAAP. In management’s opinion, these unaudited financial statements include all adjustments necessary for a fair statement of financial results. All adjustments are of a normal, recurring nature, except as otherwise disclosed. Operating results for the six months ended June 30, 2019, are not necessarily indicative of results that may be expected for any other interim period or for the year ending December 31, 2019. For further information, refer to the Consolidated Financial Statements and notes included in our 2018 Form 10-K.</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OPERATIONS AND SIGNIFICANT ACCOUNTING POLICIES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Cash, Cash Equivalents and Restricted Cash. </w:t>
      </w:r>
      <w:r>
        <w:rPr>
          <w:rFonts w:ascii="Times New Roman" w:cs="Times New Roman" w:eastAsia="Times New Roman" w:hAnsi="Times New Roman"/>
          <w:sz w:val="18"/>
          <w:szCs w:val="18"/>
          <w:color w:val="auto"/>
        </w:rPr>
        <w:t>We consider all investments purchased with original maturities of three months or less to be cash equivalents.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of June 30, 2019, restricted cash amounts included in Prepayments and Other on the Consolidated Balance Sheet include collateral deposits required under an ALLETE Clean Energy loan agreement. In prior periods presented, the amounts also include U.S. Water Services' standby letters of credit. The restricted cash amounts included in Other Non-Current Assets represent collateral deposits required under an ALLETE Clean Energy loan agreement and PSAs. In prior periods presented, the amounts also include deposits from a SWL&amp;P customer in aid of future capital expenditures. The following table provides a reconciliation of cash, cash equivalents and restricted cash reported within the Consolidated Balance Sheet that aggregate to the amounts presented in the Consolidated Statement of Cash Flows.</w:t>
      </w: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15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8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15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8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2017</w:t>
            </w:r>
          </w:p>
        </w:tc>
      </w:tr>
      <w:tr>
        <w:trPr>
          <w:trHeight w:val="27"/>
        </w:trPr>
        <w:tc>
          <w:tcPr>
            <w:tcW w:w="5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15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7"/>
        </w:trPr>
        <w:tc>
          <w:tcPr>
            <w:tcW w:w="5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52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$203.1</w:t>
            </w:r>
          </w:p>
        </w:tc>
        <w:tc>
          <w:tcPr>
            <w:tcW w:w="180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$69.1</w:t>
            </w:r>
          </w:p>
        </w:tc>
        <w:tc>
          <w:tcPr>
            <w:tcW w:w="13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$121.9</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$98.9</w:t>
            </w:r>
          </w:p>
        </w:tc>
      </w:tr>
      <w:tr>
        <w:trPr>
          <w:trHeight w:val="243"/>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included in Prepayments and Other</w:t>
            </w:r>
          </w:p>
        </w:tc>
        <w:tc>
          <w:tcPr>
            <w:tcW w:w="15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0.9</w:t>
            </w:r>
          </w:p>
        </w:tc>
        <w:tc>
          <w:tcPr>
            <w:tcW w:w="18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1.3</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r>
      <w:tr>
        <w:trPr>
          <w:trHeight w:val="27"/>
        </w:trPr>
        <w:tc>
          <w:tcPr>
            <w:tcW w:w="5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5"/>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Non-Current Assets</w:t>
            </w:r>
          </w:p>
        </w:tc>
        <w:tc>
          <w:tcPr>
            <w:tcW w:w="152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2.6</w:t>
            </w:r>
          </w:p>
        </w:tc>
        <w:tc>
          <w:tcPr>
            <w:tcW w:w="180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8.6</w:t>
            </w:r>
          </w:p>
        </w:tc>
        <w:tc>
          <w:tcPr>
            <w:tcW w:w="13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8.6</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w:t>
            </w:r>
          </w:p>
        </w:tc>
      </w:tr>
      <w:tr>
        <w:trPr>
          <w:trHeight w:val="218"/>
        </w:trPr>
        <w:tc>
          <w:tcPr>
            <w:tcW w:w="5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on the Consolidated</w:t>
            </w:r>
          </w:p>
        </w:tc>
        <w:tc>
          <w:tcPr>
            <w:tcW w:w="152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r>
      <w:tr>
        <w:trPr>
          <w:trHeight w:val="234"/>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Statement of Cash Flows</w:t>
            </w:r>
          </w:p>
        </w:tc>
        <w:tc>
          <w:tcPr>
            <w:tcW w:w="15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$206.6</w:t>
            </w:r>
          </w:p>
        </w:tc>
        <w:tc>
          <w:tcPr>
            <w:tcW w:w="18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$79.0</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$132.8</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$110.1</w:t>
            </w:r>
          </w:p>
        </w:tc>
      </w:tr>
      <w:tr>
        <w:trPr>
          <w:trHeight w:val="27"/>
        </w:trPr>
        <w:tc>
          <w:tcPr>
            <w:tcW w:w="5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Inventories – Net. </w:t>
      </w:r>
      <w:r>
        <w:rPr>
          <w:rFonts w:ascii="Times New Roman" w:cs="Times New Roman" w:eastAsia="Times New Roman" w:hAnsi="Times New Roman"/>
          <w:sz w:val="18"/>
          <w:szCs w:val="18"/>
          <w:color w:val="auto"/>
        </w:rPr>
        <w:t>Inventories are stated at the lower of cost or net realizable value. Inventories in our Regulated Operations segment are carried at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average cost or first-in, first-out basis. Inventories in our ALLETE Clean Energy segment and Corporate and Other businesses are carried at an average cost, first-in, first-out or specific identification basis.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0" w:type="dxa"/>
            <w:vAlign w:val="bottom"/>
          </w:tcPr>
          <w:p>
            <w:pPr>
              <w:spacing w:after="0"/>
              <w:rPr>
                <w:sz w:val="18"/>
                <w:szCs w:val="18"/>
                <w:color w:val="auto"/>
              </w:rPr>
            </w:pPr>
          </w:p>
        </w:tc>
        <w:tc>
          <w:tcPr>
            <w:tcW w:w="43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6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Inventories – Net</w:t>
            </w:r>
          </w:p>
        </w:tc>
        <w:tc>
          <w:tcPr>
            <w:tcW w:w="43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560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56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438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7"/>
        </w:trPr>
        <w:tc>
          <w:tcPr>
            <w:tcW w:w="56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Fuel </w:t>
            </w:r>
            <w:r>
              <w:rPr>
                <w:rFonts w:ascii="Times New Roman" w:cs="Times New Roman" w:eastAsia="Times New Roman" w:hAnsi="Times New Roman"/>
                <w:sz w:val="16"/>
                <w:szCs w:val="16"/>
                <w:i w:val="1"/>
                <w:iCs w:val="1"/>
                <w:color w:val="auto"/>
              </w:rPr>
              <w:t>(a)</w:t>
            </w:r>
          </w:p>
        </w:tc>
        <w:tc>
          <w:tcPr>
            <w:tcW w:w="43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$33.4</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$26.0</w:t>
            </w:r>
          </w:p>
        </w:tc>
      </w:tr>
      <w:tr>
        <w:trPr>
          <w:trHeight w:val="243"/>
        </w:trPr>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Materials and Supplies</w:t>
            </w:r>
          </w:p>
        </w:tc>
        <w:tc>
          <w:tcPr>
            <w:tcW w:w="4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44.8</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44.2</w:t>
            </w:r>
          </w:p>
        </w:tc>
      </w:tr>
      <w:tr>
        <w:trPr>
          <w:trHeight w:val="27"/>
        </w:trPr>
        <w:tc>
          <w:tcPr>
            <w:tcW w:w="56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Raw Materials </w:t>
            </w:r>
            <w:r>
              <w:rPr>
                <w:rFonts w:ascii="Times New Roman" w:cs="Times New Roman" w:eastAsia="Times New Roman" w:hAnsi="Times New Roman"/>
                <w:sz w:val="16"/>
                <w:szCs w:val="16"/>
                <w:i w:val="1"/>
                <w:iCs w:val="1"/>
                <w:color w:val="auto"/>
              </w:rPr>
              <w:t>(b)</w:t>
            </w:r>
          </w:p>
        </w:tc>
        <w:tc>
          <w:tcPr>
            <w:tcW w:w="43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r>
      <w:tr>
        <w:trPr>
          <w:trHeight w:val="243"/>
        </w:trPr>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Work in Progress </w:t>
            </w:r>
            <w:r>
              <w:rPr>
                <w:rFonts w:ascii="Times New Roman" w:cs="Times New Roman" w:eastAsia="Times New Roman" w:hAnsi="Times New Roman"/>
                <w:sz w:val="16"/>
                <w:szCs w:val="16"/>
                <w:i w:val="1"/>
                <w:iCs w:val="1"/>
                <w:color w:val="auto"/>
              </w:rPr>
              <w:t>(b)</w:t>
            </w:r>
          </w:p>
        </w:tc>
        <w:tc>
          <w:tcPr>
            <w:tcW w:w="4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w:t>
            </w:r>
          </w:p>
        </w:tc>
      </w:tr>
      <w:tr>
        <w:trPr>
          <w:trHeight w:val="27"/>
        </w:trPr>
        <w:tc>
          <w:tcPr>
            <w:tcW w:w="56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Finished Goods </w:t>
            </w:r>
            <w:r>
              <w:rPr>
                <w:rFonts w:ascii="Times New Roman" w:cs="Times New Roman" w:eastAsia="Times New Roman" w:hAnsi="Times New Roman"/>
                <w:sz w:val="16"/>
                <w:szCs w:val="16"/>
                <w:i w:val="1"/>
                <w:iCs w:val="1"/>
                <w:color w:val="auto"/>
              </w:rPr>
              <w:t>(b)</w:t>
            </w:r>
          </w:p>
        </w:tc>
        <w:tc>
          <w:tcPr>
            <w:tcW w:w="43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w:t>
            </w:r>
          </w:p>
        </w:tc>
      </w:tr>
      <w:tr>
        <w:trPr>
          <w:trHeight w:val="243"/>
        </w:trPr>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Reserve for Obsolescence </w:t>
            </w:r>
            <w:r>
              <w:rPr>
                <w:rFonts w:ascii="Times New Roman" w:cs="Times New Roman" w:eastAsia="Times New Roman" w:hAnsi="Times New Roman"/>
                <w:sz w:val="16"/>
                <w:szCs w:val="16"/>
                <w:i w:val="1"/>
                <w:iCs w:val="1"/>
                <w:color w:val="auto"/>
              </w:rPr>
              <w:t>(b)</w:t>
            </w:r>
          </w:p>
        </w:tc>
        <w:tc>
          <w:tcPr>
            <w:tcW w:w="4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7"/>
        </w:trPr>
        <w:tc>
          <w:tcPr>
            <w:tcW w:w="560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5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Inventories – Net</w:t>
            </w:r>
          </w:p>
        </w:tc>
        <w:tc>
          <w:tcPr>
            <w:tcW w:w="43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$78.2</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$86.7</w:t>
            </w:r>
          </w:p>
        </w:tc>
      </w:tr>
      <w:tr>
        <w:trPr>
          <w:trHeight w:val="20"/>
        </w:trPr>
        <w:tc>
          <w:tcPr>
            <w:tcW w:w="5600" w:type="dxa"/>
            <w:vAlign w:val="bottom"/>
            <w:shd w:val="clear" w:color="auto" w:fill="000000"/>
          </w:tcPr>
          <w:p>
            <w:pPr>
              <w:spacing w:after="0" w:line="20" w:lineRule="exact"/>
              <w:rPr>
                <w:sz w:val="1"/>
                <w:szCs w:val="1"/>
                <w:color w:val="auto"/>
              </w:rPr>
            </w:pPr>
          </w:p>
        </w:tc>
        <w:tc>
          <w:tcPr>
            <w:tcW w:w="43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Fuel consists primarily of coal inventory at Minnesota Power.</w:t>
      </w:r>
    </w:p>
    <w:p>
      <w:pPr>
        <w:spacing w:after="0" w:line="25" w:lineRule="exact"/>
        <w:rPr>
          <w:rFonts w:ascii="Times New Roman" w:cs="Times New Roman" w:eastAsia="Times New Roman" w:hAnsi="Times New Roman"/>
          <w:sz w:val="16"/>
          <w:szCs w:val="16"/>
          <w:i w:val="1"/>
          <w:iCs w:val="1"/>
          <w:color w:val="auto"/>
        </w:rPr>
      </w:pPr>
    </w:p>
    <w:p>
      <w:pPr>
        <w:ind w:left="340" w:hanging="332"/>
        <w:spacing w:after="0"/>
        <w:tabs>
          <w:tab w:leader="none" w:pos="340" w:val="left"/>
        </w:tabs>
        <w:numPr>
          <w:ilvl w:val="0"/>
          <w:numId w:val="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On March 26, 2019, ALLETE completed the sale of U.S. Water Services which resulted in the removal of the related inventory items from the Consolidated Balance Sheet.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Second Quarter 2019 Form 10-Q</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1420"/>
          </w:cols>
          <w:pgMar w:left="240" w:top="1036"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8"/>
        </w:trPr>
        <w:tc>
          <w:tcPr>
            <w:tcW w:w="7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 OPERATIONS AND SIGNIFICANT ACCOUNTING POLICIES (Continued)</w:t>
            </w:r>
          </w:p>
        </w:tc>
        <w:tc>
          <w:tcPr>
            <w:tcW w:w="20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37"/>
        </w:trPr>
        <w:tc>
          <w:tcPr>
            <w:tcW w:w="7920" w:type="dxa"/>
            <w:vAlign w:val="bottom"/>
          </w:tcPr>
          <w:p>
            <w:pPr>
              <w:spacing w:after="0"/>
              <w:rPr>
                <w:sz w:val="24"/>
                <w:szCs w:val="24"/>
                <w:color w:val="auto"/>
              </w:rPr>
            </w:pPr>
          </w:p>
        </w:tc>
        <w:tc>
          <w:tcPr>
            <w:tcW w:w="20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9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Other Non-Current Assets</w:t>
            </w:r>
          </w:p>
        </w:tc>
        <w:tc>
          <w:tcPr>
            <w:tcW w:w="20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79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79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20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7"/>
        </w:trPr>
        <w:tc>
          <w:tcPr>
            <w:tcW w:w="79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Contract Assets </w:t>
            </w:r>
            <w:r>
              <w:rPr>
                <w:rFonts w:ascii="Times New Roman" w:cs="Times New Roman" w:eastAsia="Times New Roman" w:hAnsi="Times New Roman"/>
                <w:sz w:val="16"/>
                <w:szCs w:val="16"/>
                <w:i w:val="1"/>
                <w:iCs w:val="1"/>
                <w:color w:val="auto"/>
              </w:rPr>
              <w:t>(a)</w:t>
            </w:r>
          </w:p>
        </w:tc>
        <w:tc>
          <w:tcPr>
            <w:tcW w:w="20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$29.2</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$30.7</w:t>
            </w:r>
          </w:p>
        </w:tc>
      </w:tr>
      <w:tr>
        <w:trPr>
          <w:trHeight w:val="243"/>
        </w:trPr>
        <w:tc>
          <w:tcPr>
            <w:tcW w:w="7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Finance Receivable </w:t>
            </w:r>
            <w:r>
              <w:rPr>
                <w:rFonts w:ascii="Times New Roman" w:cs="Times New Roman" w:eastAsia="Times New Roman" w:hAnsi="Times New Roman"/>
                <w:sz w:val="16"/>
                <w:szCs w:val="16"/>
                <w:i w:val="1"/>
                <w:iCs w:val="1"/>
                <w:color w:val="auto"/>
              </w:rPr>
              <w:t>(b)</w:t>
            </w:r>
          </w:p>
        </w:tc>
        <w:tc>
          <w:tcPr>
            <w:tcW w:w="2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w:t>
            </w:r>
          </w:p>
        </w:tc>
      </w:tr>
      <w:tr>
        <w:trPr>
          <w:trHeight w:val="27"/>
        </w:trPr>
        <w:tc>
          <w:tcPr>
            <w:tcW w:w="79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Operating Lease Right-of-use Assets </w:t>
            </w:r>
            <w:r>
              <w:rPr>
                <w:rFonts w:ascii="Times New Roman" w:cs="Times New Roman" w:eastAsia="Times New Roman" w:hAnsi="Times New Roman"/>
                <w:sz w:val="16"/>
                <w:szCs w:val="16"/>
                <w:i w:val="1"/>
                <w:iCs w:val="1"/>
                <w:color w:val="auto"/>
              </w:rPr>
              <w:t>(c)</w:t>
            </w:r>
          </w:p>
        </w:tc>
        <w:tc>
          <w:tcPr>
            <w:tcW w:w="20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31.2</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ALLETE Properties</w:t>
            </w:r>
          </w:p>
        </w:tc>
        <w:tc>
          <w:tcPr>
            <w:tcW w:w="2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22.6</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24.4</w:t>
            </w:r>
          </w:p>
        </w:tc>
      </w:tr>
      <w:tr>
        <w:trPr>
          <w:trHeight w:val="27"/>
        </w:trPr>
        <w:tc>
          <w:tcPr>
            <w:tcW w:w="79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5"/>
        </w:trPr>
        <w:tc>
          <w:tcPr>
            <w:tcW w:w="7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0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80.8</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86.9</w:t>
            </w:r>
          </w:p>
        </w:tc>
      </w:tr>
      <w:tr>
        <w:trPr>
          <w:trHeight w:val="237"/>
        </w:trPr>
        <w:tc>
          <w:tcPr>
            <w:tcW w:w="79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Other Non-Current Assets</w:t>
            </w:r>
          </w:p>
        </w:tc>
        <w:tc>
          <w:tcPr>
            <w:tcW w:w="20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$163.8</w:t>
            </w:r>
          </w:p>
        </w:tc>
        <w:tc>
          <w:tcPr>
            <w:tcW w:w="14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$152.4</w:t>
            </w:r>
          </w:p>
        </w:tc>
      </w:tr>
      <w:tr>
        <w:trPr>
          <w:trHeight w:val="27"/>
        </w:trPr>
        <w:tc>
          <w:tcPr>
            <w:tcW w:w="79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ind w:left="340" w:hanging="332"/>
        <w:spacing w:after="0" w:line="259" w:lineRule="auto"/>
        <w:tabs>
          <w:tab w:leader="none" w:pos="340" w:val="left"/>
        </w:tabs>
        <w:numPr>
          <w:ilvl w:val="0"/>
          <w:numId w:val="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Contract Assets consist of payments made to customers as an incentive to execute or extend service agreements. The contract payments are being amortized over the term of the respective agreements as a reduction to revenue.</w:t>
      </w:r>
    </w:p>
    <w:p>
      <w:pPr>
        <w:spacing w:after="0" w:line="1" w:lineRule="exact"/>
        <w:rPr>
          <w:rFonts w:ascii="Times New Roman" w:cs="Times New Roman" w:eastAsia="Times New Roman" w:hAnsi="Times New Roman"/>
          <w:sz w:val="16"/>
          <w:szCs w:val="16"/>
          <w:i w:val="1"/>
          <w:iCs w:val="1"/>
          <w:color w:val="auto"/>
        </w:rPr>
      </w:pPr>
    </w:p>
    <w:p>
      <w:pPr>
        <w:ind w:left="340" w:hanging="332"/>
        <w:spacing w:after="0"/>
        <w:tabs>
          <w:tab w:leader="none" w:pos="340" w:val="left"/>
        </w:tabs>
        <w:numPr>
          <w:ilvl w:val="0"/>
          <w:numId w:val="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Finance Receivable related to the 2016 sale of Ormond Crossings and Lake Swamp, which was collected in the second quarter of 2019.</w:t>
      </w:r>
    </w:p>
    <w:p>
      <w:pPr>
        <w:spacing w:after="0" w:line="5" w:lineRule="exact"/>
        <w:rPr>
          <w:rFonts w:ascii="Times New Roman" w:cs="Times New Roman" w:eastAsia="Times New Roman" w:hAnsi="Times New Roman"/>
          <w:sz w:val="16"/>
          <w:szCs w:val="16"/>
          <w:i w:val="1"/>
          <w:iCs w:val="1"/>
          <w:color w:val="auto"/>
        </w:rPr>
      </w:pPr>
    </w:p>
    <w:p>
      <w:pPr>
        <w:ind w:left="340" w:hanging="332"/>
        <w:spacing w:after="0"/>
        <w:tabs>
          <w:tab w:leader="none" w:pos="340" w:val="left"/>
        </w:tabs>
        <w:numPr>
          <w:ilvl w:val="0"/>
          <w:numId w:val="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See Leases.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80" w:type="dxa"/>
            <w:vAlign w:val="bottom"/>
          </w:tcPr>
          <w:p>
            <w:pPr>
              <w:spacing w:after="0"/>
              <w:rPr>
                <w:sz w:val="18"/>
                <w:szCs w:val="18"/>
                <w:color w:val="auto"/>
              </w:rPr>
            </w:pPr>
          </w:p>
        </w:tc>
        <w:tc>
          <w:tcPr>
            <w:tcW w:w="40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8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40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588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58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408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
        </w:trPr>
        <w:tc>
          <w:tcPr>
            <w:tcW w:w="58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Provision for Interim Rate Refund </w:t>
            </w:r>
            <w:r>
              <w:rPr>
                <w:rFonts w:ascii="Times New Roman" w:cs="Times New Roman" w:eastAsia="Times New Roman" w:hAnsi="Times New Roman"/>
                <w:sz w:val="16"/>
                <w:szCs w:val="16"/>
                <w:i w:val="1"/>
                <w:iCs w:val="1"/>
                <w:color w:val="auto"/>
              </w:rPr>
              <w:t>(a)</w:t>
            </w:r>
          </w:p>
        </w:tc>
        <w:tc>
          <w:tcPr>
            <w:tcW w:w="40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w:t>
            </w:r>
          </w:p>
        </w:tc>
      </w:tr>
      <w:tr>
        <w:trPr>
          <w:trHeight w:val="243"/>
        </w:trPr>
        <w:tc>
          <w:tcPr>
            <w:tcW w:w="5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PSAs</w:t>
            </w:r>
          </w:p>
        </w:tc>
        <w:tc>
          <w:tcPr>
            <w:tcW w:w="40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$12.4</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w:t>
            </w:r>
          </w:p>
        </w:tc>
      </w:tr>
      <w:tr>
        <w:trPr>
          <w:trHeight w:val="27"/>
        </w:trPr>
        <w:tc>
          <w:tcPr>
            <w:tcW w:w="58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Contract Liabilities </w:t>
            </w:r>
            <w:r>
              <w:rPr>
                <w:rFonts w:ascii="Times New Roman" w:cs="Times New Roman" w:eastAsia="Times New Roman" w:hAnsi="Times New Roman"/>
                <w:sz w:val="16"/>
                <w:szCs w:val="16"/>
                <w:i w:val="1"/>
                <w:iCs w:val="1"/>
                <w:color w:val="auto"/>
              </w:rPr>
              <w:t>(b)</w:t>
            </w:r>
          </w:p>
        </w:tc>
        <w:tc>
          <w:tcPr>
            <w:tcW w:w="40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w:t>
            </w:r>
          </w:p>
        </w:tc>
      </w:tr>
      <w:tr>
        <w:trPr>
          <w:trHeight w:val="243"/>
        </w:trPr>
        <w:tc>
          <w:tcPr>
            <w:tcW w:w="5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Provision for Tax Reform Refund </w:t>
            </w:r>
            <w:r>
              <w:rPr>
                <w:rFonts w:ascii="Times New Roman" w:cs="Times New Roman" w:eastAsia="Times New Roman" w:hAnsi="Times New Roman"/>
                <w:sz w:val="16"/>
                <w:szCs w:val="16"/>
                <w:i w:val="1"/>
                <w:iCs w:val="1"/>
                <w:color w:val="auto"/>
              </w:rPr>
              <w:t>(c)</w:t>
            </w:r>
          </w:p>
        </w:tc>
        <w:tc>
          <w:tcPr>
            <w:tcW w:w="40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0.4</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w:t>
            </w:r>
          </w:p>
        </w:tc>
      </w:tr>
      <w:tr>
        <w:trPr>
          <w:trHeight w:val="27"/>
        </w:trPr>
        <w:tc>
          <w:tcPr>
            <w:tcW w:w="58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Contingent Consideration </w:t>
            </w:r>
            <w:r>
              <w:rPr>
                <w:rFonts w:ascii="Times New Roman" w:cs="Times New Roman" w:eastAsia="Times New Roman" w:hAnsi="Times New Roman"/>
                <w:sz w:val="16"/>
                <w:szCs w:val="16"/>
                <w:i w:val="1"/>
                <w:iCs w:val="1"/>
                <w:color w:val="auto"/>
              </w:rPr>
              <w:t>(d)</w:t>
            </w:r>
          </w:p>
        </w:tc>
        <w:tc>
          <w:tcPr>
            <w:tcW w:w="40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r>
      <w:tr>
        <w:trPr>
          <w:trHeight w:val="243"/>
        </w:trPr>
        <w:tc>
          <w:tcPr>
            <w:tcW w:w="5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Operating Lease Liabilities </w:t>
            </w:r>
            <w:r>
              <w:rPr>
                <w:rFonts w:ascii="Times New Roman" w:cs="Times New Roman" w:eastAsia="Times New Roman" w:hAnsi="Times New Roman"/>
                <w:sz w:val="16"/>
                <w:szCs w:val="16"/>
                <w:i w:val="1"/>
                <w:iCs w:val="1"/>
                <w:color w:val="auto"/>
              </w:rPr>
              <w:t>(e)</w:t>
            </w:r>
          </w:p>
        </w:tc>
        <w:tc>
          <w:tcPr>
            <w:tcW w:w="40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7.2</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8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5"/>
        </w:trPr>
        <w:tc>
          <w:tcPr>
            <w:tcW w:w="5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40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39.5</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53.8</w:t>
            </w:r>
          </w:p>
        </w:tc>
      </w:tr>
      <w:tr>
        <w:trPr>
          <w:trHeight w:val="237"/>
        </w:trPr>
        <w:tc>
          <w:tcPr>
            <w:tcW w:w="58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Other Current Liabilities</w:t>
            </w:r>
          </w:p>
        </w:tc>
        <w:tc>
          <w:tcPr>
            <w:tcW w:w="408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$59.5</w:t>
            </w:r>
          </w:p>
        </w:tc>
        <w:tc>
          <w:tcPr>
            <w:tcW w:w="14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$128.5</w:t>
            </w:r>
          </w:p>
        </w:tc>
      </w:tr>
      <w:tr>
        <w:trPr>
          <w:trHeight w:val="27"/>
        </w:trPr>
        <w:tc>
          <w:tcPr>
            <w:tcW w:w="588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Provision for Interim Rate Refund was refunded to Minnesota Power’s retail customers in the second quarter of 2019.</w:t>
      </w:r>
    </w:p>
    <w:p>
      <w:pPr>
        <w:spacing w:after="0" w:line="25" w:lineRule="exact"/>
        <w:rPr>
          <w:rFonts w:ascii="Times New Roman" w:cs="Times New Roman" w:eastAsia="Times New Roman" w:hAnsi="Times New Roman"/>
          <w:sz w:val="16"/>
          <w:szCs w:val="16"/>
          <w:i w:val="1"/>
          <w:iCs w:val="1"/>
          <w:color w:val="auto"/>
        </w:rPr>
      </w:pPr>
    </w:p>
    <w:p>
      <w:pPr>
        <w:ind w:left="340" w:hanging="332"/>
        <w:spacing w:after="0"/>
        <w:tabs>
          <w:tab w:leader="none" w:pos="340" w:val="left"/>
        </w:tabs>
        <w:numPr>
          <w:ilvl w:val="0"/>
          <w:numId w:val="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Contract Liabilities consist of deposits received as a result of entering into contracts with our customers prior to completing our performance obligations.</w:t>
      </w:r>
    </w:p>
    <w:p>
      <w:pPr>
        <w:spacing w:after="0" w:line="5" w:lineRule="exact"/>
        <w:rPr>
          <w:rFonts w:ascii="Times New Roman" w:cs="Times New Roman" w:eastAsia="Times New Roman" w:hAnsi="Times New Roman"/>
          <w:sz w:val="16"/>
          <w:szCs w:val="16"/>
          <w:i w:val="1"/>
          <w:iCs w:val="1"/>
          <w:color w:val="auto"/>
        </w:rPr>
      </w:pPr>
    </w:p>
    <w:p>
      <w:pPr>
        <w:ind w:left="340" w:hanging="332"/>
        <w:spacing w:after="0" w:line="246" w:lineRule="auto"/>
        <w:tabs>
          <w:tab w:leader="none" w:pos="340" w:val="left"/>
        </w:tabs>
        <w:numPr>
          <w:ilvl w:val="0"/>
          <w:numId w:val="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Provision for Tax Reform Refund related to the income tax benefits of the TCJA in 2018 was refunded to Minnesota Power customers in the first quarter of 2019 and will be refunded to SWL&amp;P customers in 2019 and 2020.</w:t>
      </w:r>
    </w:p>
    <w:p>
      <w:pPr>
        <w:ind w:left="340" w:hanging="332"/>
        <w:spacing w:after="0"/>
        <w:tabs>
          <w:tab w:leader="none" w:pos="340" w:val="left"/>
        </w:tabs>
        <w:numPr>
          <w:ilvl w:val="0"/>
          <w:numId w:val="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Contingent Consideration related to the earnings-based payment resulting from the U.S. Water Services acquisition was paid in the first quarter of 2019.</w:t>
      </w:r>
    </w:p>
    <w:p>
      <w:pPr>
        <w:spacing w:after="0" w:line="5" w:lineRule="exact"/>
        <w:rPr>
          <w:rFonts w:ascii="Times New Roman" w:cs="Times New Roman" w:eastAsia="Times New Roman" w:hAnsi="Times New Roman"/>
          <w:sz w:val="16"/>
          <w:szCs w:val="16"/>
          <w:i w:val="1"/>
          <w:iCs w:val="1"/>
          <w:color w:val="auto"/>
        </w:rPr>
      </w:pPr>
    </w:p>
    <w:p>
      <w:pPr>
        <w:ind w:left="340" w:hanging="332"/>
        <w:spacing w:after="0"/>
        <w:tabs>
          <w:tab w:leader="none" w:pos="340" w:val="left"/>
        </w:tabs>
        <w:numPr>
          <w:ilvl w:val="0"/>
          <w:numId w:val="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See Leases.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41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8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Other Non-Current Liabilities</w:t>
            </w:r>
          </w:p>
        </w:tc>
        <w:tc>
          <w:tcPr>
            <w:tcW w:w="41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582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58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414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
        </w:trPr>
        <w:tc>
          <w:tcPr>
            <w:tcW w:w="58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 Retirement Obligation</w:t>
            </w:r>
          </w:p>
        </w:tc>
        <w:tc>
          <w:tcPr>
            <w:tcW w:w="41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$142.7</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$138.6</w:t>
            </w:r>
          </w:p>
        </w:tc>
      </w:tr>
      <w:tr>
        <w:trPr>
          <w:trHeight w:val="243"/>
        </w:trPr>
        <w:tc>
          <w:tcPr>
            <w:tcW w:w="5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PSAs</w:t>
            </w:r>
          </w:p>
        </w:tc>
        <w:tc>
          <w:tcPr>
            <w:tcW w:w="41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70.7</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76.9</w:t>
            </w:r>
          </w:p>
        </w:tc>
      </w:tr>
      <w:tr>
        <w:trPr>
          <w:trHeight w:val="27"/>
        </w:trPr>
        <w:tc>
          <w:tcPr>
            <w:tcW w:w="58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Operating Lease Liabilities </w:t>
            </w:r>
            <w:r>
              <w:rPr>
                <w:rFonts w:ascii="Times New Roman" w:cs="Times New Roman" w:eastAsia="Times New Roman" w:hAnsi="Times New Roman"/>
                <w:sz w:val="18"/>
                <w:szCs w:val="18"/>
                <w:i w:val="1"/>
                <w:iCs w:val="1"/>
                <w:color w:val="auto"/>
              </w:rPr>
              <w:t>(a)</w:t>
            </w:r>
          </w:p>
        </w:tc>
        <w:tc>
          <w:tcPr>
            <w:tcW w:w="41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24.0</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41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45.4</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47.1</w:t>
            </w:r>
          </w:p>
        </w:tc>
      </w:tr>
      <w:tr>
        <w:trPr>
          <w:trHeight w:val="27"/>
        </w:trPr>
        <w:tc>
          <w:tcPr>
            <w:tcW w:w="582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Other Non-Current Liabilities</w:t>
            </w:r>
          </w:p>
        </w:tc>
        <w:tc>
          <w:tcPr>
            <w:tcW w:w="41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$282.8</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$262.6</w:t>
            </w:r>
          </w:p>
        </w:tc>
      </w:tr>
      <w:tr>
        <w:trPr>
          <w:trHeight w:val="20"/>
        </w:trPr>
        <w:tc>
          <w:tcPr>
            <w:tcW w:w="5820" w:type="dxa"/>
            <w:vAlign w:val="bottom"/>
            <w:shd w:val="clear" w:color="auto" w:fill="000000"/>
          </w:tcPr>
          <w:p>
            <w:pPr>
              <w:spacing w:after="0" w:line="20" w:lineRule="exact"/>
              <w:rPr>
                <w:sz w:val="1"/>
                <w:szCs w:val="1"/>
                <w:color w:val="auto"/>
              </w:rPr>
            </w:pPr>
          </w:p>
        </w:tc>
        <w:tc>
          <w:tcPr>
            <w:tcW w:w="41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i w:val="1"/>
          <w:iCs w:val="1"/>
          <w:color w:val="auto"/>
        </w:rPr>
        <w:t>(a)</w:t>
        <w:tab/>
        <w:t>See Leases.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Second Quarter 2019 Form 10-Q</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1420"/>
          </w:cols>
          <w:pgMar w:left="240" w:top="1036"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8"/>
        </w:trPr>
        <w:tc>
          <w:tcPr>
            <w:tcW w:w="8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 OPERATIONS AND SIGNIFICANT ACCOUNTING POLICIES (Continued)</w:t>
            </w:r>
          </w:p>
        </w:tc>
        <w:tc>
          <w:tcPr>
            <w:tcW w:w="20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32"/>
        </w:trPr>
        <w:tc>
          <w:tcPr>
            <w:tcW w:w="8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Statement of Cash Flows Information.</w:t>
            </w:r>
          </w:p>
        </w:tc>
        <w:tc>
          <w:tcPr>
            <w:tcW w:w="20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78"/>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20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84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20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84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Paid for Interest – Net of Amounts Capitalized</w:t>
            </w:r>
          </w:p>
        </w:tc>
        <w:tc>
          <w:tcPr>
            <w:tcW w:w="206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$33.8</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$33.0</w:t>
            </w:r>
          </w:p>
        </w:tc>
      </w:tr>
      <w:tr>
        <w:trPr>
          <w:trHeight w:val="243"/>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20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4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Increase (Decrease) in Accounts Payable for Capital Additions to Property, Plant and Equipment</w:t>
            </w:r>
          </w:p>
        </w:tc>
        <w:tc>
          <w:tcPr>
            <w:tcW w:w="20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$21.1</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r>
      <w:tr>
        <w:trPr>
          <w:trHeight w:val="243"/>
        </w:trPr>
        <w:tc>
          <w:tcPr>
            <w:tcW w:w="8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xml:space="preserve">Reclassification of Property, Plant and Equipment to Inventory </w:t>
            </w:r>
            <w:r>
              <w:rPr>
                <w:rFonts w:ascii="Times New Roman" w:cs="Times New Roman" w:eastAsia="Times New Roman" w:hAnsi="Times New Roman"/>
                <w:sz w:val="16"/>
                <w:szCs w:val="16"/>
                <w:i w:val="1"/>
                <w:iCs w:val="1"/>
                <w:color w:val="auto"/>
              </w:rPr>
              <w:t>(a)</w:t>
            </w:r>
          </w:p>
        </w:tc>
        <w:tc>
          <w:tcPr>
            <w:tcW w:w="20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$46.3</w:t>
            </w:r>
          </w:p>
        </w:tc>
      </w:tr>
      <w:tr>
        <w:trPr>
          <w:trHeight w:val="27"/>
        </w:trPr>
        <w:tc>
          <w:tcPr>
            <w:tcW w:w="84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xml:space="preserve">Recognition of Right-of-use Assets and Lease Liabilities </w:t>
            </w:r>
            <w:r>
              <w:rPr>
                <w:rFonts w:ascii="Times New Roman" w:cs="Times New Roman" w:eastAsia="Times New Roman" w:hAnsi="Times New Roman"/>
                <w:sz w:val="16"/>
                <w:szCs w:val="16"/>
                <w:i w:val="1"/>
                <w:iCs w:val="1"/>
                <w:color w:val="auto"/>
              </w:rPr>
              <w:t>(b)</w:t>
            </w:r>
          </w:p>
        </w:tc>
        <w:tc>
          <w:tcPr>
            <w:tcW w:w="20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$31.2</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Capitalized Asset Retirement Costs</w:t>
            </w:r>
          </w:p>
        </w:tc>
        <w:tc>
          <w:tcPr>
            <w:tcW w:w="20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$1.4</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$20.8</w:t>
            </w:r>
          </w:p>
        </w:tc>
      </w:tr>
      <w:tr>
        <w:trPr>
          <w:trHeight w:val="27"/>
        </w:trPr>
        <w:tc>
          <w:tcPr>
            <w:tcW w:w="84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AFUDC–Equity</w:t>
            </w:r>
          </w:p>
        </w:tc>
        <w:tc>
          <w:tcPr>
            <w:tcW w:w="206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$1.3</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w:t>
            </w:r>
          </w:p>
        </w:tc>
      </w:tr>
      <w:tr>
        <w:trPr>
          <w:trHeight w:val="20"/>
        </w:trPr>
        <w:tc>
          <w:tcPr>
            <w:tcW w:w="8460" w:type="dxa"/>
            <w:vAlign w:val="bottom"/>
            <w:shd w:val="clear" w:color="auto" w:fill="000000"/>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ind w:left="340" w:hanging="332"/>
        <w:spacing w:after="0" w:line="259" w:lineRule="auto"/>
        <w:tabs>
          <w:tab w:leader="none" w:pos="340" w:val="left"/>
        </w:tabs>
        <w:numPr>
          <w:ilvl w:val="0"/>
          <w:numId w:val="7"/>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In February 2018, Montana-Dakota Utilities exercised its option to purchase the Thunder Spirit II wind energy facility upon completion, resulting in a reclassification from Property, Plant and Equipment – Net to Inventories – Net for project costs incurred in the prior year.</w:t>
      </w:r>
    </w:p>
    <w:p>
      <w:pPr>
        <w:spacing w:after="0" w:line="1" w:lineRule="exact"/>
        <w:rPr>
          <w:rFonts w:ascii="Times New Roman" w:cs="Times New Roman" w:eastAsia="Times New Roman" w:hAnsi="Times New Roman"/>
          <w:sz w:val="16"/>
          <w:szCs w:val="16"/>
          <w:i w:val="1"/>
          <w:iCs w:val="1"/>
          <w:color w:val="auto"/>
        </w:rPr>
      </w:pPr>
    </w:p>
    <w:p>
      <w:pPr>
        <w:ind w:left="340" w:hanging="332"/>
        <w:spacing w:after="0"/>
        <w:tabs>
          <w:tab w:leader="none" w:pos="340" w:val="left"/>
        </w:tabs>
        <w:numPr>
          <w:ilvl w:val="0"/>
          <w:numId w:val="7"/>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See Leases.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Pronouncements</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Disclosure Update and Simplification</w:t>
      </w:r>
      <w:r>
        <w:rPr>
          <w:rFonts w:ascii="Times New Roman" w:cs="Times New Roman" w:eastAsia="Times New Roman" w:hAnsi="Times New Roman"/>
          <w:sz w:val="18"/>
          <w:szCs w:val="18"/>
          <w:color w:val="auto"/>
        </w:rPr>
        <w:t>. In November 2018, the SEC adopted amendments to certain disclosure requirements. The amendments adopted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 requirements that interim financial statements should include comparative statements for the same period in the prior financial year, except that the requirement for comparative balance sheet information may be satisfied by presenting the year-end balance sheet. It further includes a requirement analyzing the changes in each caption of shareholders’ equity either separately in a note or on the face of the financial statement. These amendments were effective for ALLETE in the first quarter of 2019. We have included the presentation of our Statement of Shareholders’ Equity to meet these requirements.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Leases. </w:t>
      </w:r>
      <w:r>
        <w:rPr>
          <w:rFonts w:ascii="Times New Roman" w:cs="Times New Roman" w:eastAsia="Times New Roman" w:hAnsi="Times New Roman"/>
          <w:sz w:val="18"/>
          <w:szCs w:val="18"/>
          <w:color w:val="auto"/>
        </w:rPr>
        <w:t>In 2016, the FASB issued an accounting standard update which revised the existing guidance for leases. Under the revised guidance, lessees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required to recognize right-of-use assets and lease liabilities on the Consolidated Balance Sheet for leases with terms greater than 12 months. The new standard also requires additional qualitative and quantitative disclosures by lessees and lessors to enable users of the financial statements to assess the amount, timing and uncertainty of cash flows arising from leases. The accounting for leases by lessors and the recognition, measurement and presentation of expenses and cash flows from leases is not expected to significantly change as a result of the new guidance. The Company adopted this guidance in the first quarter of 2019 using the optional transition method and the package of practical expedients, which allowed for the adoption of the standard as of January 1, 2019, without restating previously disclosed information. Management elected the optional transition method of adoption due to the overall immateriality of the balance sheet gross up in the period of adoption. The package of practical expedients allowed management to not reassess the lease classification for leases, including those that had expired during the periods presented or that still existed at the time of adoption. We have included additional disclosures in the notes to the consolidated financial statements. (See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Leases. </w:t>
      </w:r>
      <w:r>
        <w:rPr>
          <w:rFonts w:ascii="Times New Roman" w:cs="Times New Roman" w:eastAsia="Times New Roman" w:hAnsi="Times New Roman"/>
          <w:sz w:val="18"/>
          <w:szCs w:val="18"/>
          <w:color w:val="auto"/>
        </w:rPr>
        <w:t>We determine if a contract is, or contains, a lease at inception and recognize a right-of-use asset and lease liability for all leases with a term greater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than 12 months. Our right-of-use assets and lease liabilities for operating leases are included in Other Non-Current Assets, Other Current Liabilities and Other Non-Current Liabilities, respectively, in our Consolidated Balance Sheet. We currently do not have any finance leases.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Right-of-use assets represent our right to use an underlying asset for the lease term and lease liabilities represent the obligation to make lease payments arising from the lease. Operating lease right-of-use assets and lease liabilities are recognized at the commencement date based on the estimated present value of lease payments over the lease term. As our leases do not provide an explicit rate, we determine the present value of future lease payments based on our estimated incremental borrowing rate using information available at the lease commencement date. The operating lease right-of-use asset includes lease payments to be made during the lease term and any lease incentives, as applicable.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Second Quarter 2019 Form 10-Q</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1420"/>
          </w:cols>
          <w:pgMar w:left="240" w:top="1036"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NOTE 1. OPERATIONS AND SIGNIFICANT ACCOUNTING POLICIES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 (Continued)</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leases may include options to extend or buy out the lease at certain points throughout the term, and if it is reasonably certain that we will exercise that option at lease commencement, we include those rental payments in our calculation of the right-of-use asset and lease liability. Lease and rent expense is recognized on a straight-line basis over the lease term. Leases with a term of 12 months or less are not recognized on the Consolidated Balance Sheet.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majority of our operating leases are for heavy equipment, vehicles and land with fixed monthly payments which we group into two categories: Vehicles and Equipment; and Land and Other. Our largest operating lease is for the dragline at BNI Energy which includes a termination payment at the end of the lease term if we do not exercise our purchase option. The amount of this payment is $3 million and is included in our calculation of the right-of-use asset and lease liability recorded. None of our other leases contain residual value guarantees.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on the components of lease cost and presentation of cash flows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20" w:type="dxa"/>
            <w:vAlign w:val="bottom"/>
          </w:tcPr>
          <w:p>
            <w:pPr>
              <w:spacing w:after="0"/>
              <w:rPr>
                <w:sz w:val="20"/>
                <w:szCs w:val="20"/>
                <w:color w:val="auto"/>
              </w:rPr>
            </w:pPr>
          </w:p>
        </w:tc>
        <w:tc>
          <w:tcPr>
            <w:tcW w:w="3600" w:type="dxa"/>
            <w:vAlign w:val="bottom"/>
          </w:tcPr>
          <w:p>
            <w:pPr>
              <w:jc w:val="center"/>
              <w:ind w:left="129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70"/>
        </w:trPr>
        <w:tc>
          <w:tcPr>
            <w:tcW w:w="5920" w:type="dxa"/>
            <w:vAlign w:val="bottom"/>
          </w:tcPr>
          <w:p>
            <w:pPr>
              <w:spacing w:after="0"/>
              <w:rPr>
                <w:sz w:val="23"/>
                <w:szCs w:val="23"/>
                <w:color w:val="auto"/>
              </w:rPr>
            </w:pPr>
          </w:p>
        </w:tc>
        <w:tc>
          <w:tcPr>
            <w:tcW w:w="3600" w:type="dxa"/>
            <w:vAlign w:val="bottom"/>
          </w:tcPr>
          <w:p>
            <w:pPr>
              <w:jc w:val="center"/>
              <w:ind w:left="13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70"/>
        </w:trPr>
        <w:tc>
          <w:tcPr>
            <w:tcW w:w="5920" w:type="dxa"/>
            <w:vAlign w:val="bottom"/>
          </w:tcPr>
          <w:p>
            <w:pPr>
              <w:spacing w:after="0"/>
              <w:rPr>
                <w:sz w:val="23"/>
                <w:szCs w:val="23"/>
                <w:color w:val="auto"/>
              </w:rPr>
            </w:pPr>
          </w:p>
        </w:tc>
        <w:tc>
          <w:tcPr>
            <w:tcW w:w="3600" w:type="dxa"/>
            <w:vAlign w:val="bottom"/>
          </w:tcPr>
          <w:p>
            <w:pPr>
              <w:jc w:val="center"/>
              <w:ind w:left="131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2019</w:t>
            </w:r>
          </w:p>
        </w:tc>
      </w:tr>
      <w:tr>
        <w:trPr>
          <w:trHeight w:val="27"/>
        </w:trPr>
        <w:tc>
          <w:tcPr>
            <w:tcW w:w="592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37"/>
        </w:trPr>
        <w:tc>
          <w:tcPr>
            <w:tcW w:w="59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360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27"/>
        </w:trPr>
        <w:tc>
          <w:tcPr>
            <w:tcW w:w="59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5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Cost</w:t>
            </w:r>
          </w:p>
        </w:tc>
        <w:tc>
          <w:tcPr>
            <w:tcW w:w="36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$2.8</w:t>
            </w: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w:t>
            </w:r>
          </w:p>
        </w:tc>
      </w:tr>
      <w:tr>
        <w:trPr>
          <w:trHeight w:val="324"/>
        </w:trPr>
        <w:tc>
          <w:tcPr>
            <w:tcW w:w="59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50"/>
        </w:trPr>
        <w:tc>
          <w:tcPr>
            <w:tcW w:w="5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Information:</w:t>
            </w:r>
          </w:p>
        </w:tc>
        <w:tc>
          <w:tcPr>
            <w:tcW w:w="36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r>
      <w:tr>
        <w:trPr>
          <w:trHeight w:val="243"/>
        </w:trPr>
        <w:tc>
          <w:tcPr>
            <w:tcW w:w="5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36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$2.8</w:t>
            </w:r>
          </w:p>
        </w:tc>
        <w:tc>
          <w:tcPr>
            <w:tcW w:w="1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w:t>
            </w:r>
          </w:p>
        </w:tc>
      </w:tr>
      <w:tr>
        <w:trPr>
          <w:trHeight w:val="27"/>
        </w:trPr>
        <w:tc>
          <w:tcPr>
            <w:tcW w:w="592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507"/>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Additional information related to leases was as follows:</w:t>
            </w:r>
          </w:p>
        </w:tc>
        <w:tc>
          <w:tcPr>
            <w:tcW w:w="36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378"/>
        </w:trPr>
        <w:tc>
          <w:tcPr>
            <w:tcW w:w="59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9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70"/>
        </w:trPr>
        <w:tc>
          <w:tcPr>
            <w:tcW w:w="5920" w:type="dxa"/>
            <w:vAlign w:val="bottom"/>
          </w:tcPr>
          <w:p>
            <w:pPr>
              <w:spacing w:after="0"/>
              <w:rPr>
                <w:sz w:val="23"/>
                <w:szCs w:val="23"/>
                <w:color w:val="auto"/>
              </w:rPr>
            </w:pPr>
          </w:p>
        </w:tc>
        <w:tc>
          <w:tcPr>
            <w:tcW w:w="3600" w:type="dxa"/>
            <w:vAlign w:val="bottom"/>
          </w:tcPr>
          <w:p>
            <w:pPr>
              <w:spacing w:after="0"/>
              <w:rPr>
                <w:sz w:val="23"/>
                <w:szCs w:val="23"/>
                <w:color w:val="auto"/>
              </w:rPr>
            </w:pPr>
          </w:p>
        </w:tc>
        <w:tc>
          <w:tcPr>
            <w:tcW w:w="19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7"/>
        </w:trPr>
        <w:tc>
          <w:tcPr>
            <w:tcW w:w="592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5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36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r>
      <w:tr>
        <w:trPr>
          <w:trHeight w:val="243"/>
        </w:trPr>
        <w:tc>
          <w:tcPr>
            <w:tcW w:w="5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Sheet Information Related to Leases:</w:t>
            </w:r>
          </w:p>
        </w:tc>
        <w:tc>
          <w:tcPr>
            <w:tcW w:w="360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7"/>
        </w:trPr>
        <w:tc>
          <w:tcPr>
            <w:tcW w:w="59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5"/>
        </w:trPr>
        <w:tc>
          <w:tcPr>
            <w:tcW w:w="5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360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$31.2</w:t>
            </w:r>
          </w:p>
        </w:tc>
      </w:tr>
      <w:tr>
        <w:trPr>
          <w:trHeight w:val="237"/>
        </w:trPr>
        <w:tc>
          <w:tcPr>
            <w:tcW w:w="592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Total Operating Lease Right-of-use Assets</w:t>
            </w:r>
          </w:p>
        </w:tc>
        <w:tc>
          <w:tcPr>
            <w:tcW w:w="360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$31.2</w:t>
            </w:r>
          </w:p>
        </w:tc>
      </w:tr>
      <w:tr>
        <w:trPr>
          <w:trHeight w:val="27"/>
        </w:trPr>
        <w:tc>
          <w:tcPr>
            <w:tcW w:w="59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324"/>
        </w:trPr>
        <w:tc>
          <w:tcPr>
            <w:tcW w:w="5920" w:type="dxa"/>
            <w:vAlign w:val="bottom"/>
            <w:shd w:val="clear" w:color="auto" w:fill="CCEEFF"/>
          </w:tcPr>
          <w:p>
            <w:pPr>
              <w:spacing w:after="0"/>
              <w:rPr>
                <w:sz w:val="24"/>
                <w:szCs w:val="24"/>
                <w:color w:val="auto"/>
              </w:rPr>
            </w:pPr>
          </w:p>
        </w:tc>
        <w:tc>
          <w:tcPr>
            <w:tcW w:w="360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r>
      <w:tr>
        <w:trPr>
          <w:trHeight w:val="243"/>
        </w:trPr>
        <w:tc>
          <w:tcPr>
            <w:tcW w:w="5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600" w:type="dxa"/>
            <w:vAlign w:val="bottom"/>
          </w:tcPr>
          <w:p>
            <w:pPr>
              <w:spacing w:after="0"/>
              <w:rPr>
                <w:sz w:val="21"/>
                <w:szCs w:val="21"/>
                <w:color w:val="auto"/>
              </w:rPr>
            </w:pPr>
          </w:p>
        </w:tc>
        <w:tc>
          <w:tcPr>
            <w:tcW w:w="1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$7.2</w:t>
            </w:r>
          </w:p>
        </w:tc>
      </w:tr>
      <w:tr>
        <w:trPr>
          <w:trHeight w:val="27"/>
        </w:trPr>
        <w:tc>
          <w:tcPr>
            <w:tcW w:w="59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5"/>
        </w:trPr>
        <w:tc>
          <w:tcPr>
            <w:tcW w:w="5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60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24.0</w:t>
            </w:r>
          </w:p>
        </w:tc>
      </w:tr>
      <w:tr>
        <w:trPr>
          <w:trHeight w:val="237"/>
        </w:trPr>
        <w:tc>
          <w:tcPr>
            <w:tcW w:w="592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60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$31.2</w:t>
            </w:r>
          </w:p>
        </w:tc>
      </w:tr>
      <w:tr>
        <w:trPr>
          <w:trHeight w:val="27"/>
        </w:trPr>
        <w:tc>
          <w:tcPr>
            <w:tcW w:w="59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324"/>
        </w:trPr>
        <w:tc>
          <w:tcPr>
            <w:tcW w:w="5920" w:type="dxa"/>
            <w:vAlign w:val="bottom"/>
            <w:shd w:val="clear" w:color="auto" w:fill="CCEEFF"/>
          </w:tcPr>
          <w:p>
            <w:pPr>
              <w:spacing w:after="0"/>
              <w:rPr>
                <w:sz w:val="24"/>
                <w:szCs w:val="24"/>
                <w:color w:val="auto"/>
              </w:rPr>
            </w:pPr>
          </w:p>
        </w:tc>
        <w:tc>
          <w:tcPr>
            <w:tcW w:w="360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r>
      <w:tr>
        <w:trPr>
          <w:trHeight w:val="243"/>
        </w:trPr>
        <w:tc>
          <w:tcPr>
            <w:tcW w:w="59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Weighted Average Remaining Lease Term (Years):</w:t>
            </w:r>
          </w:p>
        </w:tc>
        <w:tc>
          <w:tcPr>
            <w:tcW w:w="360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7"/>
        </w:trPr>
        <w:tc>
          <w:tcPr>
            <w:tcW w:w="59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5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Leases - Vehicles and Equipment</w:t>
            </w:r>
          </w:p>
        </w:tc>
        <w:tc>
          <w:tcPr>
            <w:tcW w:w="36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5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Leases - Land and Other</w:t>
            </w:r>
          </w:p>
        </w:tc>
        <w:tc>
          <w:tcPr>
            <w:tcW w:w="3600" w:type="dxa"/>
            <w:vAlign w:val="bottom"/>
          </w:tcPr>
          <w:p>
            <w:pPr>
              <w:spacing w:after="0"/>
              <w:rPr>
                <w:sz w:val="21"/>
                <w:szCs w:val="21"/>
                <w:color w:val="auto"/>
              </w:rPr>
            </w:pPr>
          </w:p>
        </w:tc>
        <w:tc>
          <w:tcPr>
            <w:tcW w:w="1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29</w:t>
            </w:r>
          </w:p>
        </w:tc>
      </w:tr>
      <w:tr>
        <w:trPr>
          <w:trHeight w:val="27"/>
        </w:trPr>
        <w:tc>
          <w:tcPr>
            <w:tcW w:w="59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324"/>
        </w:trPr>
        <w:tc>
          <w:tcPr>
            <w:tcW w:w="5920" w:type="dxa"/>
            <w:vAlign w:val="bottom"/>
            <w:shd w:val="clear" w:color="auto" w:fill="CCEEFF"/>
          </w:tcPr>
          <w:p>
            <w:pPr>
              <w:spacing w:after="0"/>
              <w:rPr>
                <w:sz w:val="24"/>
                <w:szCs w:val="24"/>
                <w:color w:val="auto"/>
              </w:rPr>
            </w:pPr>
          </w:p>
        </w:tc>
        <w:tc>
          <w:tcPr>
            <w:tcW w:w="360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r>
      <w:tr>
        <w:trPr>
          <w:trHeight w:val="243"/>
        </w:trPr>
        <w:tc>
          <w:tcPr>
            <w:tcW w:w="59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360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7"/>
        </w:trPr>
        <w:tc>
          <w:tcPr>
            <w:tcW w:w="59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5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Leases - Vehicles and Equipment</w:t>
            </w:r>
          </w:p>
        </w:tc>
        <w:tc>
          <w:tcPr>
            <w:tcW w:w="36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43"/>
        </w:trPr>
        <w:tc>
          <w:tcPr>
            <w:tcW w:w="5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Leases - Land and Other</w:t>
            </w:r>
          </w:p>
        </w:tc>
        <w:tc>
          <w:tcPr>
            <w:tcW w:w="36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7"/>
        </w:trPr>
        <w:tc>
          <w:tcPr>
            <w:tcW w:w="592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Second Quarter 2019 Form 10-Q</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1420"/>
          </w:cols>
          <w:pgMar w:left="240" w:top="1036"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NOTE 1. OPERATIONS AND SIGNIFICANT ACCOUNTING POLICIES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 (Continued)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lease liabilities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p>
        </w:tc>
        <w:tc>
          <w:tcPr>
            <w:tcW w:w="51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 2019</w:t>
            </w:r>
          </w:p>
        </w:tc>
      </w:tr>
      <w:tr>
        <w:trPr>
          <w:trHeight w:val="27"/>
        </w:trPr>
        <w:tc>
          <w:tcPr>
            <w:tcW w:w="6320" w:type="dxa"/>
            <w:vAlign w:val="bottom"/>
            <w:tcBorders>
              <w:bottom w:val="single" w:sz="8" w:color="auto"/>
            </w:tcBorders>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r>
      <w:tr>
        <w:trPr>
          <w:trHeight w:val="237"/>
        </w:trPr>
        <w:tc>
          <w:tcPr>
            <w:tcW w:w="63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5100" w:type="dxa"/>
            <w:vAlign w:val="bottom"/>
          </w:tcPr>
          <w:p>
            <w:pPr>
              <w:spacing w:after="0"/>
              <w:rPr>
                <w:sz w:val="20"/>
                <w:szCs w:val="20"/>
                <w:color w:val="auto"/>
              </w:rPr>
            </w:pPr>
          </w:p>
        </w:tc>
      </w:tr>
      <w:tr>
        <w:trPr>
          <w:trHeight w:val="27"/>
        </w:trPr>
        <w:tc>
          <w:tcPr>
            <w:tcW w:w="6320" w:type="dxa"/>
            <w:vAlign w:val="bottom"/>
          </w:tcPr>
          <w:p>
            <w:pPr>
              <w:spacing w:after="0"/>
              <w:rPr>
                <w:sz w:val="2"/>
                <w:szCs w:val="2"/>
                <w:color w:val="auto"/>
              </w:rPr>
            </w:pPr>
          </w:p>
        </w:tc>
        <w:tc>
          <w:tcPr>
            <w:tcW w:w="510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5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r>
      <w:tr>
        <w:trPr>
          <w:trHeight w:val="243"/>
        </w:trPr>
        <w:tc>
          <w:tcPr>
            <w:tcW w:w="6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5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w:t>
            </w:r>
          </w:p>
        </w:tc>
      </w:tr>
      <w:tr>
        <w:trPr>
          <w:trHeight w:val="27"/>
        </w:trPr>
        <w:tc>
          <w:tcPr>
            <w:tcW w:w="6320" w:type="dxa"/>
            <w:vAlign w:val="bottom"/>
          </w:tcPr>
          <w:p>
            <w:pPr>
              <w:spacing w:after="0"/>
              <w:rPr>
                <w:sz w:val="2"/>
                <w:szCs w:val="2"/>
                <w:color w:val="auto"/>
              </w:rPr>
            </w:pPr>
          </w:p>
        </w:tc>
        <w:tc>
          <w:tcPr>
            <w:tcW w:w="510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5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w:t>
            </w:r>
          </w:p>
        </w:tc>
      </w:tr>
      <w:tr>
        <w:trPr>
          <w:trHeight w:val="243"/>
        </w:trPr>
        <w:tc>
          <w:tcPr>
            <w:tcW w:w="6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5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w:t>
            </w:r>
          </w:p>
        </w:tc>
      </w:tr>
      <w:tr>
        <w:trPr>
          <w:trHeight w:val="27"/>
        </w:trPr>
        <w:tc>
          <w:tcPr>
            <w:tcW w:w="6320" w:type="dxa"/>
            <w:vAlign w:val="bottom"/>
          </w:tcPr>
          <w:p>
            <w:pPr>
              <w:spacing w:after="0"/>
              <w:rPr>
                <w:sz w:val="2"/>
                <w:szCs w:val="2"/>
                <w:color w:val="auto"/>
              </w:rPr>
            </w:pPr>
          </w:p>
        </w:tc>
        <w:tc>
          <w:tcPr>
            <w:tcW w:w="510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5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r>
      <w:tr>
        <w:trPr>
          <w:trHeight w:val="243"/>
        </w:trPr>
        <w:tc>
          <w:tcPr>
            <w:tcW w:w="6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5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w:t>
            </w:r>
          </w:p>
        </w:tc>
      </w:tr>
      <w:tr>
        <w:trPr>
          <w:trHeight w:val="27"/>
        </w:trPr>
        <w:tc>
          <w:tcPr>
            <w:tcW w:w="6320" w:type="dxa"/>
            <w:vAlign w:val="bottom"/>
            <w:tcBorders>
              <w:bottom w:val="single" w:sz="8" w:color="auto"/>
            </w:tcBorders>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r>
      <w:tr>
        <w:trPr>
          <w:trHeight w:val="244"/>
        </w:trPr>
        <w:tc>
          <w:tcPr>
            <w:tcW w:w="6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Lease Payments Due</w:t>
            </w:r>
          </w:p>
        </w:tc>
        <w:tc>
          <w:tcPr>
            <w:tcW w:w="5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35.6</w:t>
            </w:r>
          </w:p>
        </w:tc>
      </w:tr>
      <w:tr>
        <w:trPr>
          <w:trHeight w:val="243"/>
        </w:trPr>
        <w:tc>
          <w:tcPr>
            <w:tcW w:w="6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Imputed Interest</w:t>
            </w:r>
          </w:p>
        </w:tc>
        <w:tc>
          <w:tcPr>
            <w:tcW w:w="5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r>
      <w:tr>
        <w:trPr>
          <w:trHeight w:val="27"/>
        </w:trPr>
        <w:tc>
          <w:tcPr>
            <w:tcW w:w="6320" w:type="dxa"/>
            <w:vAlign w:val="bottom"/>
            <w:tcBorders>
              <w:bottom w:val="single" w:sz="8" w:color="auto"/>
            </w:tcBorders>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r>
      <w:tr>
        <w:trPr>
          <w:trHeight w:val="244"/>
        </w:trPr>
        <w:tc>
          <w:tcPr>
            <w:tcW w:w="6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Lease Obligations</w:t>
            </w:r>
          </w:p>
        </w:tc>
        <w:tc>
          <w:tcPr>
            <w:tcW w:w="5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31.2</w:t>
            </w:r>
          </w:p>
        </w:tc>
      </w:tr>
      <w:tr>
        <w:trPr>
          <w:trHeight w:val="243"/>
        </w:trPr>
        <w:tc>
          <w:tcPr>
            <w:tcW w:w="6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Current Lease Obligations</w:t>
            </w:r>
          </w:p>
        </w:tc>
        <w:tc>
          <w:tcPr>
            <w:tcW w:w="5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w:t>
            </w:r>
          </w:p>
        </w:tc>
      </w:tr>
      <w:tr>
        <w:trPr>
          <w:trHeight w:val="27"/>
        </w:trPr>
        <w:tc>
          <w:tcPr>
            <w:tcW w:w="6320" w:type="dxa"/>
            <w:vAlign w:val="bottom"/>
            <w:tcBorders>
              <w:bottom w:val="single" w:sz="8" w:color="auto"/>
            </w:tcBorders>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r>
      <w:tr>
        <w:trPr>
          <w:trHeight w:val="244"/>
        </w:trPr>
        <w:tc>
          <w:tcPr>
            <w:tcW w:w="6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Lease Obligations</w:t>
            </w:r>
          </w:p>
        </w:tc>
        <w:tc>
          <w:tcPr>
            <w:tcW w:w="5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$24.0</w:t>
            </w:r>
          </w:p>
        </w:tc>
      </w:tr>
      <w:tr>
        <w:trPr>
          <w:trHeight w:val="20"/>
        </w:trPr>
        <w:tc>
          <w:tcPr>
            <w:tcW w:w="6320" w:type="dxa"/>
            <w:vAlign w:val="bottom"/>
            <w:shd w:val="clear" w:color="auto" w:fill="000000"/>
          </w:tcPr>
          <w:p>
            <w:pPr>
              <w:spacing w:after="0" w:line="20" w:lineRule="exact"/>
              <w:rPr>
                <w:sz w:val="1"/>
                <w:szCs w:val="1"/>
                <w:color w:val="auto"/>
              </w:rPr>
            </w:pPr>
          </w:p>
        </w:tc>
        <w:tc>
          <w:tcPr>
            <w:tcW w:w="51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Sale of U.S. Water Services. </w:t>
      </w:r>
      <w:r>
        <w:rPr>
          <w:rFonts w:ascii="Times New Roman" w:cs="Times New Roman" w:eastAsia="Times New Roman" w:hAnsi="Times New Roman"/>
          <w:sz w:val="18"/>
          <w:szCs w:val="18"/>
          <w:color w:val="auto"/>
        </w:rPr>
        <w:t>On February 8, 2019, the Company entered into a stock purchase agreement providing for the sale of U.S. Water Services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subsidiary of Kurita Water Industries Ltd. for a cash purchase price of $270 million. On March 26, 2019, ALLETE completed the sale and received approximately $265 million in cash at closing, net of transaction costs and cash retained. The Company recognized a gain on the sale of U.S. Water Services of $11.1 million after-tax in 2019.</w:t>
      </w:r>
    </w:p>
    <w:p>
      <w:pPr>
        <w:spacing w:after="0" w:line="17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ALLETE Clean Energy Asset Acquisition. </w:t>
      </w:r>
      <w:r>
        <w:rPr>
          <w:rFonts w:ascii="Times New Roman" w:cs="Times New Roman" w:eastAsia="Times New Roman" w:hAnsi="Times New Roman"/>
          <w:sz w:val="18"/>
          <w:szCs w:val="18"/>
          <w:color w:val="auto"/>
        </w:rPr>
        <w:t>On May 3, 2019, ALLETE Clean Energy acquired the Diamond Spring wind project in Oklahoma from Apex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Clean Energy. ALLETE Clean Energy will build, own and operate the approximately 300 MW wind energy facility. The Diamond Spring wind project is fully contracted to sell wind power to Walmart Inc., Smithfield Foods, Inc. and Starbucks Corporation under long-term power sales agreements. Construction is expected to begin in late 2019 and be completed in the second half of 2020.</w:t>
      </w:r>
    </w:p>
    <w:p>
      <w:pPr>
        <w:spacing w:after="0" w:line="17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Subsequent Events. </w:t>
      </w:r>
      <w:r>
        <w:rPr>
          <w:rFonts w:ascii="Times New Roman" w:cs="Times New Roman" w:eastAsia="Times New Roman" w:hAnsi="Times New Roman"/>
          <w:sz w:val="18"/>
          <w:szCs w:val="18"/>
          <w:color w:val="auto"/>
        </w:rPr>
        <w:t>The Company performed an evaluation of subsequent events for potential recognition and disclosure through the date of the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statements issuance.</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REGULATORY MATTERS</w:t>
      </w:r>
    </w:p>
    <w:p>
      <w:pPr>
        <w:spacing w:after="0" w:line="201"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Regulatory matters are summarized in Note 4. Regulatory Matters to the Consolidated Financial Statements in our 2018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with additional disclosure provided in the following paragraphs.</w:t>
      </w:r>
    </w:p>
    <w:p>
      <w:pPr>
        <w:spacing w:after="0" w:line="19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Electric Rates. </w:t>
      </w:r>
      <w:r>
        <w:rPr>
          <w:rFonts w:ascii="Times New Roman" w:cs="Times New Roman" w:eastAsia="Times New Roman" w:hAnsi="Times New Roman"/>
          <w:sz w:val="18"/>
          <w:szCs w:val="18"/>
          <w:color w:val="auto"/>
        </w:rPr>
        <w:t>Entities within our Regulated Operations segment file for periodic rate revisions with the MPUC, PSCW or FERC. As authorized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MPUC, Minnesota Power also recognizes revenue under cost recovery riders for transmission, renewable, and environmental investments and expenditures. Revenue from cost recovery riders was $17.4 million for the six months ended June 30, 2019 ($52.1 million for six months ended June 30, 2018). With the implementation of final rates in Minnesota Power’s general rate case, certain revenue previously recognized under cost recovery riders was incorporated into base rates. (See </w:t>
      </w:r>
      <w:r>
        <w:rPr>
          <w:rFonts w:ascii="Times New Roman" w:cs="Times New Roman" w:eastAsia="Times New Roman" w:hAnsi="Times New Roman"/>
          <w:sz w:val="18"/>
          <w:szCs w:val="18"/>
          <w:i w:val="1"/>
          <w:iCs w:val="1"/>
          <w:color w:val="auto"/>
        </w:rPr>
        <w:t>2016 Minnesota General Rate Case</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2016 Minnesota General Rate Case. </w:t>
      </w:r>
      <w:r>
        <w:rPr>
          <w:rFonts w:ascii="Times New Roman" w:cs="Times New Roman" w:eastAsia="Times New Roman" w:hAnsi="Times New Roman"/>
          <w:sz w:val="18"/>
          <w:szCs w:val="18"/>
          <w:color w:val="auto"/>
        </w:rPr>
        <w:t>The MPUC issued an order dated March 12, 2018, in Minnesota Power’s general rate case approving a return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equity of 9.25 percent and a 53.81 percent equity ratio. Final rates went into effect on December 1, 2018, which is expected to result in additional revenue of approximately $13 million on an annualized basis. Interim rates were collected from January 1, 2017, through November 30, 2018, which were fully offset by the recognition of a corresponding reserve. Minnesota Power recorded a reserve for an interim rate refund, net of discounts provided to EITE customers, of $40.0 million as of December 31, 2018, which was refunded in the second quarter of 2019.</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Second Quarter 2019 Form 10-Q</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1420"/>
          </w:cols>
          <w:pgMar w:left="240" w:top="1036"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NOTE 2. REGULATORY MATTERS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Electric Rates (Continued)</w:t>
      </w:r>
    </w:p>
    <w:p>
      <w:pPr>
        <w:spacing w:after="0" w:line="2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2018 Wisconsin General Rate Case. </w:t>
      </w:r>
      <w:r>
        <w:rPr>
          <w:rFonts w:ascii="Times New Roman" w:cs="Times New Roman" w:eastAsia="Times New Roman" w:hAnsi="Times New Roman"/>
          <w:sz w:val="18"/>
          <w:szCs w:val="18"/>
          <w:color w:val="auto"/>
        </w:rPr>
        <w:t>In an order dated December 20, 2018, the PSCW approved a rate increase for SWL&amp;P including a return on equity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10.4 percent and a 55.0 percent equity ratio. Final rates went into effect January 1, 2019, which is expected to result in additional revenue of approximately $1.3 million on an annualized basis.</w:t>
      </w:r>
    </w:p>
    <w:p>
      <w:pPr>
        <w:spacing w:after="0" w:line="1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Transmission Cost Recovery Rider</w:t>
      </w:r>
      <w:r>
        <w:rPr>
          <w:rFonts w:ascii="Times New Roman" w:cs="Times New Roman" w:eastAsia="Times New Roman" w:hAnsi="Times New Roman"/>
          <w:sz w:val="18"/>
          <w:szCs w:val="18"/>
          <w:color w:val="auto"/>
        </w:rPr>
        <w:t>. Minnesota Power has an approved cost recovery rider in place for certain transmission investments and expenditures. 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2016 order, the MPUC approved Minnesota Power’s updated customer billing rates allowing Minnesota Power to charge retail customers on a current basis for the costs of constructing certain transmission facilities plus a return on the capital invested. On July 9, 2019, Minnesota Power filed a petition seeking MPUC approval to update the customer billing factor to include investments made for the GNTL.</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Fuel Adjustment Clause Reform</w:t>
      </w:r>
      <w:r>
        <w:rPr>
          <w:rFonts w:ascii="Times New Roman" w:cs="Times New Roman" w:eastAsia="Times New Roman" w:hAnsi="Times New Roman"/>
          <w:sz w:val="18"/>
          <w:szCs w:val="18"/>
          <w:color w:val="auto"/>
        </w:rPr>
        <w:t>. In a December 2017 order, the MPUC adopted a program to implement certain procedural reforms to Minnesota utilities’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automatic fuel adjustment clause (FAC) for fuel and purchased power. With this order, the method of accounting for all Minnesota electric utilities changed to a monthly budgeted, forward-looking FAC with annual prudence review and true-up to actual allowed costs. On May 1, 2019, Minnesota Power filed its fuel adjustment forecast for 2020 with the MPUC.</w:t>
      </w:r>
    </w:p>
    <w:p>
      <w:pPr>
        <w:spacing w:after="0" w:line="17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Integrated Resource Plan. </w:t>
      </w:r>
      <w:r>
        <w:rPr>
          <w:rFonts w:ascii="Times New Roman" w:cs="Times New Roman" w:eastAsia="Times New Roman" w:hAnsi="Times New Roman"/>
          <w:sz w:val="18"/>
          <w:szCs w:val="18"/>
          <w:color w:val="auto"/>
        </w:rPr>
        <w:t>In a 2016 order, the MPUC approved Minnesota Power’s 2015 IRP with modifications. The order accepted Minnesota Power’s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plans for the economic idling of Taconite Harbor Units 1 and 2 and the ceasing of coal-fired operations at Taconite Harbor in 2020, directed Minnesota Power to retire Boswell Units 1 and 2 no later than 2022, required an analysis of generation and demand response alternatives to be filed with a natural gas resource proposal, and required Minnesota Power to conduct requests for proposal for additional wind, solar and demand response resource additions. Minnesota Power retired Boswell Units 1 and 2 in the fourth quarter of 2018. Minnesota Power’s next IRP filing is due October 1, 2020.</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2017, Minnesota Power submitted a resource package to the MPUC requesting approval of PPAs for the output of a 250 MW wind energy facility and a 10 MW solar energy facility as well as approval of a 250 MW natural gas capacity dedication agreement. The natural gas capacity dedication agreement was subject to MPUC approval of the construction of NTEC, a 525 MW to 550 MW combined-cycle natural gas-fired generating facility which will be jointly owned by Dairyland Power Cooperative and a subsidiary of ALLETE. Minnesota Power would purchase approximately 50 percent of the facility's output starting in 2025. In an order dated January 24, 2019, the MPUC approved Minnesota Power’s request for approval of the NTEC natural gas capacity dedication agreement. Separately, the MPUC required a baseload retirement evaluation in Minnesota Power’s next IRP filing analyzing its existing fleet, including potential early retirement scenarios of Boswell Units 3 and 4, as well as a securitization plan. On January 8, 2019, an application for a certificate of public convenience and necessity for NTEC was submitted to the PSCW. A decision on the application is expected in 2020.</w:t>
      </w:r>
    </w:p>
    <w:p>
      <w:pPr>
        <w:spacing w:after="0" w:line="1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Conservation Improvement Program. </w:t>
      </w:r>
      <w:r>
        <w:rPr>
          <w:rFonts w:ascii="Times New Roman" w:cs="Times New Roman" w:eastAsia="Times New Roman" w:hAnsi="Times New Roman"/>
          <w:sz w:val="18"/>
          <w:szCs w:val="18"/>
          <w:color w:val="auto"/>
        </w:rPr>
        <w:t>On April 1, 2019, Minnesota Power submitted its 2018 consolidated filing, which detailed Minnesota Power’s CIP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program results and requested a CIP financial incentive of $2.8 million based upon MPUC procedures, which was approved by the MPUC in an order dated July 19, 2019. In 2018, the CIP financial incentive of $3.0 million was recognized in the third quarter upon approval by the MPUC of Minnesota Power’s 2017 CIP consolidated filing. CIP financial incentives are recognized in the period in which the MPUC approves the filing.</w:t>
      </w:r>
    </w:p>
    <w:p>
      <w:pPr>
        <w:spacing w:after="0" w:line="17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Regulatory Assets and Liabilities. </w:t>
      </w:r>
      <w:r>
        <w:rPr>
          <w:rFonts w:ascii="Times New Roman" w:cs="Times New Roman" w:eastAsia="Times New Roman" w:hAnsi="Times New Roman"/>
          <w:sz w:val="18"/>
          <w:szCs w:val="18"/>
          <w:color w:val="auto"/>
        </w:rPr>
        <w:t>Our regulated utility operations are subject to accounting guidance for the effect of certain types of regulation. Regulatory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assets represent incurred costs that have been deferred as they are probable for recovery in customer rates. Regulatory liabilities represent obligations to make refunds to customers and amounts collected in rates for which the related costs have not yet been incurred. The Company assesses quarterly whether regulatory assets and liabilities meet the criteria for probability of future recovery or deferral. With the exception of the regulatory asset for Boswell Units 1 and 2 net plant and equipment, no other regulatory assets are currently earning a return. The recovery, refund or credit to rates for these regulatory assets and liabilities will occur over the periods either specified by the applicable regulatory authority or over the corresponding period related to the asset or liability.</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Second Quarter 2019 Form 10-Q</w:t>
      </w:r>
    </w:p>
    <w:p>
      <w:pPr>
        <w:spacing w:after="0" w:line="17" w:lineRule="exact"/>
        <w:rPr>
          <w:sz w:val="20"/>
          <w:szCs w:val="20"/>
          <w:color w:val="auto"/>
        </w:rPr>
      </w:pPr>
    </w:p>
    <w:p>
      <w:pPr>
        <w:ind w:left="11280"/>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1420"/>
          </w:cols>
          <w:pgMar w:left="240" w:top="1036"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8"/>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2. REGULATORY MATTERS (Continued)</w:t>
            </w:r>
          </w:p>
        </w:tc>
        <w:tc>
          <w:tcPr>
            <w:tcW w:w="30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437"/>
        </w:trPr>
        <w:tc>
          <w:tcPr>
            <w:tcW w:w="6860" w:type="dxa"/>
            <w:vAlign w:val="bottom"/>
          </w:tcPr>
          <w:p>
            <w:pPr>
              <w:spacing w:after="0"/>
              <w:rPr>
                <w:sz w:val="24"/>
                <w:szCs w:val="24"/>
                <w:color w:val="auto"/>
              </w:rPr>
            </w:pPr>
          </w:p>
        </w:tc>
        <w:tc>
          <w:tcPr>
            <w:tcW w:w="30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5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8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Regulatory Assets and Liabilities</w:t>
            </w:r>
          </w:p>
        </w:tc>
        <w:tc>
          <w:tcPr>
            <w:tcW w:w="30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686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68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30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
        </w:trPr>
        <w:tc>
          <w:tcPr>
            <w:tcW w:w="68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Non-Current Regulatory Assets</w:t>
            </w:r>
          </w:p>
        </w:tc>
        <w:tc>
          <w:tcPr>
            <w:tcW w:w="30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Defined Benefit Pension and Other Postretirement Benefit Plans</w:t>
            </w:r>
          </w:p>
        </w:tc>
        <w:tc>
          <w:tcPr>
            <w:tcW w:w="30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$216.5</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$218.5</w:t>
            </w:r>
          </w:p>
        </w:tc>
      </w:tr>
      <w:tr>
        <w:trPr>
          <w:trHeight w:val="27"/>
        </w:trPr>
        <w:tc>
          <w:tcPr>
            <w:tcW w:w="68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Income Taxes</w:t>
            </w:r>
          </w:p>
        </w:tc>
        <w:tc>
          <w:tcPr>
            <w:tcW w:w="300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102.2</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105.5</w:t>
            </w:r>
          </w:p>
        </w:tc>
      </w:tr>
      <w:tr>
        <w:trPr>
          <w:trHeight w:val="243"/>
        </w:trPr>
        <w:tc>
          <w:tcPr>
            <w:tcW w:w="6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30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32.3</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32.6</w:t>
            </w:r>
          </w:p>
        </w:tc>
      </w:tr>
      <w:tr>
        <w:trPr>
          <w:trHeight w:val="27"/>
        </w:trPr>
        <w:tc>
          <w:tcPr>
            <w:tcW w:w="68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Boswell 1 and 2 Net Plant and Equipment</w:t>
            </w:r>
          </w:p>
        </w:tc>
        <w:tc>
          <w:tcPr>
            <w:tcW w:w="300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13.5</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w:t>
            </w:r>
          </w:p>
        </w:tc>
      </w:tr>
      <w:tr>
        <w:trPr>
          <w:trHeight w:val="243"/>
        </w:trPr>
        <w:tc>
          <w:tcPr>
            <w:tcW w:w="6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Cost Recovery Riders</w:t>
            </w:r>
          </w:p>
        </w:tc>
        <w:tc>
          <w:tcPr>
            <w:tcW w:w="30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10.0</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8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Manufactured Gas Plant</w:t>
            </w:r>
          </w:p>
        </w:tc>
        <w:tc>
          <w:tcPr>
            <w:tcW w:w="300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8.1</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w:t>
            </w:r>
          </w:p>
        </w:tc>
      </w:tr>
      <w:tr>
        <w:trPr>
          <w:trHeight w:val="243"/>
        </w:trPr>
        <w:tc>
          <w:tcPr>
            <w:tcW w:w="6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PPACA Income Tax Deferral</w:t>
            </w:r>
          </w:p>
        </w:tc>
        <w:tc>
          <w:tcPr>
            <w:tcW w:w="30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4.9</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r>
      <w:tr>
        <w:trPr>
          <w:trHeight w:val="27"/>
        </w:trPr>
        <w:tc>
          <w:tcPr>
            <w:tcW w:w="68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5"/>
        </w:trPr>
        <w:tc>
          <w:tcPr>
            <w:tcW w:w="68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300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3.7</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r>
      <w:tr>
        <w:trPr>
          <w:trHeight w:val="237"/>
        </w:trPr>
        <w:tc>
          <w:tcPr>
            <w:tcW w:w="68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Non-Current Regulatory Assets</w:t>
            </w:r>
          </w:p>
        </w:tc>
        <w:tc>
          <w:tcPr>
            <w:tcW w:w="300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$391.2</w:t>
            </w:r>
          </w:p>
        </w:tc>
        <w:tc>
          <w:tcPr>
            <w:tcW w:w="15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$389.5</w:t>
            </w:r>
          </w:p>
        </w:tc>
      </w:tr>
      <w:tr>
        <w:trPr>
          <w:trHeight w:val="27"/>
        </w:trPr>
        <w:tc>
          <w:tcPr>
            <w:tcW w:w="686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4"/>
        </w:trPr>
        <w:tc>
          <w:tcPr>
            <w:tcW w:w="6860" w:type="dxa"/>
            <w:vAlign w:val="bottom"/>
            <w:shd w:val="clear" w:color="auto" w:fill="CCEEFF"/>
          </w:tcPr>
          <w:p>
            <w:pPr>
              <w:spacing w:after="0"/>
              <w:rPr>
                <w:sz w:val="22"/>
                <w:szCs w:val="22"/>
                <w:color w:val="auto"/>
              </w:rPr>
            </w:pPr>
          </w:p>
        </w:tc>
        <w:tc>
          <w:tcPr>
            <w:tcW w:w="300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r>
      <w:tr>
        <w:trPr>
          <w:trHeight w:val="243"/>
        </w:trPr>
        <w:tc>
          <w:tcPr>
            <w:tcW w:w="68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Current Regulatory Liabilities </w:t>
            </w:r>
            <w:r>
              <w:rPr>
                <w:rFonts w:ascii="Times New Roman" w:cs="Times New Roman" w:eastAsia="Times New Roman" w:hAnsi="Times New Roman"/>
                <w:sz w:val="16"/>
                <w:szCs w:val="16"/>
                <w:i w:val="1"/>
                <w:iCs w:val="1"/>
                <w:color w:val="auto"/>
              </w:rPr>
              <w:t>(a)</w:t>
            </w:r>
          </w:p>
        </w:tc>
        <w:tc>
          <w:tcPr>
            <w:tcW w:w="30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68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xml:space="preserve">Provision for Interim Rate Refund </w:t>
            </w:r>
            <w:r>
              <w:rPr>
                <w:rFonts w:ascii="Times New Roman" w:cs="Times New Roman" w:eastAsia="Times New Roman" w:hAnsi="Times New Roman"/>
                <w:sz w:val="16"/>
                <w:szCs w:val="16"/>
                <w:i w:val="1"/>
                <w:iCs w:val="1"/>
                <w:color w:val="auto"/>
              </w:rPr>
              <w:t>(b)</w:t>
            </w:r>
          </w:p>
        </w:tc>
        <w:tc>
          <w:tcPr>
            <w:tcW w:w="300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w:t>
            </w:r>
          </w:p>
        </w:tc>
      </w:tr>
      <w:tr>
        <w:trPr>
          <w:trHeight w:val="243"/>
        </w:trPr>
        <w:tc>
          <w:tcPr>
            <w:tcW w:w="6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Transmission Formula Rates Refund</w:t>
            </w:r>
          </w:p>
        </w:tc>
        <w:tc>
          <w:tcPr>
            <w:tcW w:w="30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$3.1</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r>
      <w:tr>
        <w:trPr>
          <w:trHeight w:val="27"/>
        </w:trPr>
        <w:tc>
          <w:tcPr>
            <w:tcW w:w="68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5"/>
        </w:trPr>
        <w:tc>
          <w:tcPr>
            <w:tcW w:w="68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xml:space="preserve">Provision for Tax Reform Refund </w:t>
            </w:r>
            <w:r>
              <w:rPr>
                <w:rFonts w:ascii="Times New Roman" w:cs="Times New Roman" w:eastAsia="Times New Roman" w:hAnsi="Times New Roman"/>
                <w:sz w:val="16"/>
                <w:szCs w:val="16"/>
                <w:i w:val="1"/>
                <w:iCs w:val="1"/>
                <w:color w:val="auto"/>
              </w:rPr>
              <w:t>(c)</w:t>
            </w:r>
          </w:p>
        </w:tc>
        <w:tc>
          <w:tcPr>
            <w:tcW w:w="300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0.4</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w:t>
            </w:r>
          </w:p>
        </w:tc>
      </w:tr>
      <w:tr>
        <w:trPr>
          <w:trHeight w:val="237"/>
        </w:trPr>
        <w:tc>
          <w:tcPr>
            <w:tcW w:w="686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Total Current Regulatory Liabilities</w:t>
            </w:r>
          </w:p>
        </w:tc>
        <w:tc>
          <w:tcPr>
            <w:tcW w:w="300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3.5</w:t>
            </w:r>
          </w:p>
        </w:tc>
        <w:tc>
          <w:tcPr>
            <w:tcW w:w="15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55.1</w:t>
            </w:r>
          </w:p>
        </w:tc>
      </w:tr>
      <w:tr>
        <w:trPr>
          <w:trHeight w:val="27"/>
        </w:trPr>
        <w:tc>
          <w:tcPr>
            <w:tcW w:w="686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Non-Current Regulatory Liabilities</w:t>
            </w:r>
          </w:p>
        </w:tc>
        <w:tc>
          <w:tcPr>
            <w:tcW w:w="30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Income Taxes</w:t>
            </w:r>
          </w:p>
        </w:tc>
        <w:tc>
          <w:tcPr>
            <w:tcW w:w="30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386.2</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396.4</w:t>
            </w:r>
          </w:p>
        </w:tc>
      </w:tr>
      <w:tr>
        <w:trPr>
          <w:trHeight w:val="27"/>
        </w:trPr>
        <w:tc>
          <w:tcPr>
            <w:tcW w:w="68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Wholesale and Retail Contra AFUDC</w:t>
            </w:r>
          </w:p>
        </w:tc>
        <w:tc>
          <w:tcPr>
            <w:tcW w:w="300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70.6</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64.4</w:t>
            </w:r>
          </w:p>
        </w:tc>
      </w:tr>
      <w:tr>
        <w:trPr>
          <w:trHeight w:val="243"/>
        </w:trPr>
        <w:tc>
          <w:tcPr>
            <w:tcW w:w="6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Plant Removal Obligations</w:t>
            </w:r>
          </w:p>
        </w:tc>
        <w:tc>
          <w:tcPr>
            <w:tcW w:w="30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29.3</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25.1</w:t>
            </w:r>
          </w:p>
        </w:tc>
      </w:tr>
      <w:tr>
        <w:trPr>
          <w:trHeight w:val="27"/>
        </w:trPr>
        <w:tc>
          <w:tcPr>
            <w:tcW w:w="68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North Dakota Investment Tax Credits</w:t>
            </w:r>
          </w:p>
        </w:tc>
        <w:tc>
          <w:tcPr>
            <w:tcW w:w="300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12.3</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w:t>
            </w:r>
          </w:p>
        </w:tc>
      </w:tr>
      <w:tr>
        <w:trPr>
          <w:trHeight w:val="243"/>
        </w:trPr>
        <w:tc>
          <w:tcPr>
            <w:tcW w:w="6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Conservation Improvement Program</w:t>
            </w:r>
          </w:p>
        </w:tc>
        <w:tc>
          <w:tcPr>
            <w:tcW w:w="30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7.0</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68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Transmission Formula Rates Refund</w:t>
            </w:r>
          </w:p>
        </w:tc>
        <w:tc>
          <w:tcPr>
            <w:tcW w:w="300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0.8</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r>
      <w:tr>
        <w:trPr>
          <w:trHeight w:val="243"/>
        </w:trPr>
        <w:tc>
          <w:tcPr>
            <w:tcW w:w="6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Cost Recovery Riders</w:t>
            </w:r>
          </w:p>
        </w:tc>
        <w:tc>
          <w:tcPr>
            <w:tcW w:w="30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w:t>
            </w:r>
          </w:p>
        </w:tc>
      </w:tr>
      <w:tr>
        <w:trPr>
          <w:trHeight w:val="27"/>
        </w:trPr>
        <w:tc>
          <w:tcPr>
            <w:tcW w:w="68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5"/>
        </w:trPr>
        <w:tc>
          <w:tcPr>
            <w:tcW w:w="68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300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2.6</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r>
      <w:tr>
        <w:trPr>
          <w:trHeight w:val="237"/>
        </w:trPr>
        <w:tc>
          <w:tcPr>
            <w:tcW w:w="686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Total Non-Current Regulatory Liabilities</w:t>
            </w:r>
          </w:p>
        </w:tc>
        <w:tc>
          <w:tcPr>
            <w:tcW w:w="300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508.8</w:t>
            </w:r>
          </w:p>
        </w:tc>
        <w:tc>
          <w:tcPr>
            <w:tcW w:w="15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512.1</w:t>
            </w:r>
          </w:p>
        </w:tc>
      </w:tr>
      <w:tr>
        <w:trPr>
          <w:trHeight w:val="27"/>
        </w:trPr>
        <w:tc>
          <w:tcPr>
            <w:tcW w:w="686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Regulatory Liabilities</w:t>
            </w:r>
          </w:p>
        </w:tc>
        <w:tc>
          <w:tcPr>
            <w:tcW w:w="300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$512.3</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$567.2</w:t>
            </w:r>
          </w:p>
        </w:tc>
      </w:tr>
      <w:tr>
        <w:trPr>
          <w:trHeight w:val="20"/>
        </w:trPr>
        <w:tc>
          <w:tcPr>
            <w:tcW w:w="6860" w:type="dxa"/>
            <w:vAlign w:val="bottom"/>
            <w:shd w:val="clear" w:color="auto" w:fill="000000"/>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Current regulatory liabilities are presented within Other Current Liabilities on the Consolidated Balance Sheet.</w:t>
      </w:r>
    </w:p>
    <w:p>
      <w:pPr>
        <w:spacing w:after="0" w:line="25" w:lineRule="exact"/>
        <w:rPr>
          <w:rFonts w:ascii="Times New Roman" w:cs="Times New Roman" w:eastAsia="Times New Roman" w:hAnsi="Times New Roman"/>
          <w:sz w:val="16"/>
          <w:szCs w:val="16"/>
          <w:i w:val="1"/>
          <w:iCs w:val="1"/>
          <w:color w:val="auto"/>
        </w:rPr>
      </w:pPr>
    </w:p>
    <w:p>
      <w:pPr>
        <w:ind w:left="340" w:hanging="332"/>
        <w:spacing w:after="0"/>
        <w:tabs>
          <w:tab w:leader="none" w:pos="340" w:val="left"/>
        </w:tabs>
        <w:numPr>
          <w:ilvl w:val="0"/>
          <w:numId w:val="8"/>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This amount was refunded to Minnesota Power’s regulated retail customers in the second quarter of 2019.</w:t>
      </w:r>
    </w:p>
    <w:p>
      <w:pPr>
        <w:spacing w:after="0" w:line="5" w:lineRule="exact"/>
        <w:rPr>
          <w:rFonts w:ascii="Times New Roman" w:cs="Times New Roman" w:eastAsia="Times New Roman" w:hAnsi="Times New Roman"/>
          <w:sz w:val="16"/>
          <w:szCs w:val="16"/>
          <w:i w:val="1"/>
          <w:iCs w:val="1"/>
          <w:color w:val="auto"/>
        </w:rPr>
      </w:pPr>
    </w:p>
    <w:p>
      <w:pPr>
        <w:ind w:left="340" w:hanging="332"/>
        <w:spacing w:after="0" w:line="257" w:lineRule="auto"/>
        <w:tabs>
          <w:tab w:leader="none" w:pos="340" w:val="left"/>
        </w:tabs>
        <w:numPr>
          <w:ilvl w:val="0"/>
          <w:numId w:val="8"/>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Provision for Tax Reform Refund related to the income tax benefits of the TCJA in 2018 was refunded to Minnesota Power customers in the first quarter of 2019 and will be refunded to SWL&amp;P customers in 2019 and 2020.</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EQUITY INVESTMENTS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Investment in ATC</w:t>
      </w:r>
      <w:r>
        <w:rPr>
          <w:rFonts w:ascii="Times New Roman" w:cs="Times New Roman" w:eastAsia="Times New Roman" w:hAnsi="Times New Roman"/>
          <w:sz w:val="18"/>
          <w:szCs w:val="18"/>
          <w:color w:val="auto"/>
        </w:rPr>
        <w:t>. Our wholly-owned subsidiary, ALLETE Transmission Holdings, owns approximately 8 percent of ATC, a Wisconsin-based utility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owns and maintains electric transmission assets in portions of Wisconsin, Michigan, Minnesota and Illinois. We account for our investment in ATC under the equity method of accounting. In the six months ended June 30, 2019, we invested $2.7 million in ATC, and on July 31, 2019, we invested an additional $1.9 million. We expect to make approximately $4 million in additional investments in 2019.</w:t>
      </w:r>
    </w:p>
    <w:p>
      <w:pPr>
        <w:spacing w:after="0" w:line="2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ALLETE’s Investment in ATC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3720" w:type="dxa"/>
            <w:vAlign w:val="bottom"/>
          </w:tcPr>
          <w:p>
            <w:pPr>
              <w:spacing w:after="0"/>
              <w:rPr>
                <w:sz w:val="20"/>
                <w:szCs w:val="20"/>
                <w:color w:val="auto"/>
              </w:rPr>
            </w:pPr>
          </w:p>
        </w:tc>
      </w:tr>
      <w:tr>
        <w:trPr>
          <w:trHeight w:val="27"/>
        </w:trPr>
        <w:tc>
          <w:tcPr>
            <w:tcW w:w="7700" w:type="dxa"/>
            <w:vAlign w:val="bottom"/>
          </w:tcPr>
          <w:p>
            <w:pPr>
              <w:spacing w:after="0"/>
              <w:rPr>
                <w:sz w:val="2"/>
                <w:szCs w:val="2"/>
                <w:color w:val="auto"/>
              </w:rPr>
            </w:pPr>
          </w:p>
        </w:tc>
        <w:tc>
          <w:tcPr>
            <w:tcW w:w="3720" w:type="dxa"/>
            <w:vAlign w:val="bottom"/>
          </w:tcPr>
          <w:p>
            <w:pPr>
              <w:spacing w:after="0"/>
              <w:rPr>
                <w:sz w:val="2"/>
                <w:szCs w:val="2"/>
                <w:color w:val="auto"/>
              </w:rPr>
            </w:pPr>
          </w:p>
        </w:tc>
      </w:tr>
      <w:tr>
        <w:trPr>
          <w:trHeight w:val="250"/>
        </w:trPr>
        <w:tc>
          <w:tcPr>
            <w:tcW w:w="7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Investment Balance as of December 31, 2018</w:t>
            </w:r>
          </w:p>
        </w:tc>
        <w:tc>
          <w:tcPr>
            <w:tcW w:w="3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$128.1</w:t>
            </w:r>
          </w:p>
        </w:tc>
      </w:tr>
      <w:tr>
        <w:trPr>
          <w:trHeight w:val="243"/>
        </w:trPr>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Investments</w:t>
            </w:r>
          </w:p>
        </w:tc>
        <w:tc>
          <w:tcPr>
            <w:tcW w:w="3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r>
      <w:tr>
        <w:trPr>
          <w:trHeight w:val="27"/>
        </w:trPr>
        <w:tc>
          <w:tcPr>
            <w:tcW w:w="7700" w:type="dxa"/>
            <w:vAlign w:val="bottom"/>
          </w:tcPr>
          <w:p>
            <w:pPr>
              <w:spacing w:after="0"/>
              <w:rPr>
                <w:sz w:val="2"/>
                <w:szCs w:val="2"/>
                <w:color w:val="auto"/>
              </w:rPr>
            </w:pPr>
          </w:p>
        </w:tc>
        <w:tc>
          <w:tcPr>
            <w:tcW w:w="3720" w:type="dxa"/>
            <w:vAlign w:val="bottom"/>
          </w:tcPr>
          <w:p>
            <w:pPr>
              <w:spacing w:after="0"/>
              <w:rPr>
                <w:sz w:val="2"/>
                <w:szCs w:val="2"/>
                <w:color w:val="auto"/>
              </w:rPr>
            </w:pPr>
          </w:p>
        </w:tc>
      </w:tr>
      <w:tr>
        <w:trPr>
          <w:trHeight w:val="250"/>
        </w:trPr>
        <w:tc>
          <w:tcPr>
            <w:tcW w:w="7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in ATC Earnings</w:t>
            </w:r>
          </w:p>
        </w:tc>
        <w:tc>
          <w:tcPr>
            <w:tcW w:w="3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w:t>
            </w:r>
          </w:p>
        </w:tc>
      </w:tr>
      <w:tr>
        <w:trPr>
          <w:trHeight w:val="243"/>
        </w:trPr>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Distributed ATC Earnings</w:t>
            </w: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7"/>
        </w:trPr>
        <w:tc>
          <w:tcPr>
            <w:tcW w:w="7700" w:type="dxa"/>
            <w:vAlign w:val="bottom"/>
          </w:tcPr>
          <w:p>
            <w:pPr>
              <w:spacing w:after="0"/>
              <w:rPr>
                <w:sz w:val="2"/>
                <w:szCs w:val="2"/>
                <w:color w:val="auto"/>
              </w:rPr>
            </w:pPr>
          </w:p>
        </w:tc>
        <w:tc>
          <w:tcPr>
            <w:tcW w:w="3720" w:type="dxa"/>
            <w:vAlign w:val="bottom"/>
          </w:tcPr>
          <w:p>
            <w:pPr>
              <w:spacing w:after="0"/>
              <w:rPr>
                <w:sz w:val="2"/>
                <w:szCs w:val="2"/>
                <w:color w:val="auto"/>
              </w:rPr>
            </w:pPr>
          </w:p>
        </w:tc>
      </w:tr>
      <w:tr>
        <w:trPr>
          <w:trHeight w:val="275"/>
        </w:trPr>
        <w:tc>
          <w:tcPr>
            <w:tcW w:w="7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the Remeasurement of Deferred Income Taxes</w:t>
            </w:r>
          </w:p>
        </w:tc>
        <w:tc>
          <w:tcPr>
            <w:tcW w:w="3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0.6</w:t>
            </w:r>
          </w:p>
        </w:tc>
      </w:tr>
      <w:tr>
        <w:trPr>
          <w:trHeight w:val="237"/>
        </w:trPr>
        <w:tc>
          <w:tcPr>
            <w:tcW w:w="77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Equity Investment Balance as of June 30, 2019</w:t>
            </w:r>
          </w:p>
        </w:tc>
        <w:tc>
          <w:tcPr>
            <w:tcW w:w="37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$133.6</w:t>
            </w:r>
          </w:p>
        </w:tc>
      </w:tr>
      <w:tr>
        <w:trPr>
          <w:trHeight w:val="27"/>
        </w:trPr>
        <w:tc>
          <w:tcPr>
            <w:tcW w:w="770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ATC’s authorized return on equity is 10.32 percent, or 10.82 percent including an incentive adder for participation in a regional transmission organization.</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Second Quarter 2019 Form 10-Q</w:t>
      </w:r>
    </w:p>
    <w:p>
      <w:pPr>
        <w:sectPr>
          <w:pgSz w:w="11900" w:h="16838" w:orient="portrait"/>
          <w:cols w:equalWidth="0" w:num="1">
            <w:col w:w="11420"/>
          </w:cols>
          <w:pgMar w:left="240" w:top="1036" w:right="239" w:bottom="300" w:gutter="0" w:footer="0" w:header="0"/>
        </w:sectPr>
      </w:pPr>
    </w:p>
    <w:p>
      <w:pPr>
        <w:spacing w:after="0" w:line="17" w:lineRule="exact"/>
        <w:rPr>
          <w:sz w:val="20"/>
          <w:szCs w:val="20"/>
          <w:color w:val="auto"/>
        </w:rPr>
      </w:pPr>
    </w:p>
    <w:p>
      <w:pPr>
        <w:ind w:left="11280"/>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1420"/>
          </w:cols>
          <w:pgMar w:left="240" w:top="1036" w:right="239" w:bottom="30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NOTE 3. EQUITY INVESTMENTS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 ATC (Continued)</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2016, a federal administrative law judge ruled on a complaint proposing a reduction in the base return on equity to 9.70 percent, or 10.20 percent including an incentive adder for participation in a regional transmission organization, subject to approval or adjustment by the FERC. A final decision from the FERC on the administrative law judge’s recommendation is pending.</w:t>
      </w:r>
    </w:p>
    <w:p>
      <w:pPr>
        <w:spacing w:after="0" w:line="17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Investment in Nobles 2. </w:t>
      </w:r>
      <w:r>
        <w:rPr>
          <w:rFonts w:ascii="Times New Roman" w:cs="Times New Roman" w:eastAsia="Times New Roman" w:hAnsi="Times New Roman"/>
          <w:sz w:val="18"/>
          <w:szCs w:val="18"/>
          <w:color w:val="auto"/>
        </w:rPr>
        <w:t>Our wholly-owned subsidiary, ALLETE South Wind, owns 49 percent of Nobles 2, the entity that will own and operate a 250 MW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wind energy facility in southwestern Minnesota pursuant to a 20-year PPA with Minnesota Power. We account for our investment in Nobles 2 under the equity method of accounting. As of June 30, 2019, our equity investment in Nobles 2 was $26.6 million ($33.0 million at December 31, 2018). In the first quarter of 2019, Nobles 2 returned capital of $8.3 million based on its cash needs. We expect to make approximately $33 million in additional investments in 2019.</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GOODWILL AND INTANGIBLE ASSETS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completing the sale of U.S. Water Services on March 26, 2019, there was no goodwill recorded as of June 30, 2019 ($148.5 million at December 31, 2018).</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The balance of intangible assets, net, as of June 30, 2019, is as follows:</w:t>
            </w:r>
          </w:p>
        </w:tc>
        <w:tc>
          <w:tcPr>
            <w:tcW w:w="18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23"/>
        </w:trPr>
        <w:tc>
          <w:tcPr>
            <w:tcW w:w="5520" w:type="dxa"/>
            <w:vAlign w:val="bottom"/>
          </w:tcPr>
          <w:p>
            <w:pPr>
              <w:spacing w:after="0"/>
              <w:rPr>
                <w:sz w:val="24"/>
                <w:szCs w:val="24"/>
                <w:color w:val="auto"/>
              </w:rPr>
            </w:pPr>
          </w:p>
        </w:tc>
        <w:tc>
          <w:tcPr>
            <w:tcW w:w="18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5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38"/>
        </w:trPr>
        <w:tc>
          <w:tcPr>
            <w:tcW w:w="5520" w:type="dxa"/>
            <w:vAlign w:val="bottom"/>
          </w:tcPr>
          <w:p>
            <w:pPr>
              <w:spacing w:after="0"/>
              <w:rPr>
                <w:sz w:val="20"/>
                <w:szCs w:val="20"/>
                <w:color w:val="auto"/>
              </w:rPr>
            </w:pPr>
          </w:p>
        </w:tc>
        <w:tc>
          <w:tcPr>
            <w:tcW w:w="1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5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4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 xml:space="preserve">Other </w:t>
            </w:r>
            <w:r>
              <w:rPr>
                <w:rFonts w:ascii="Times New Roman" w:cs="Times New Roman" w:eastAsia="Times New Roman" w:hAnsi="Times New Roman"/>
                <w:sz w:val="16"/>
                <w:szCs w:val="16"/>
                <w:b w:val="1"/>
                <w:bCs w:val="1"/>
                <w:i w:val="1"/>
                <w:iCs w:val="1"/>
                <w:color w:val="auto"/>
              </w:rPr>
              <w:t>(b)</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7"/>
        </w:trPr>
        <w:tc>
          <w:tcPr>
            <w:tcW w:w="55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5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18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55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Assets</w:t>
            </w:r>
          </w:p>
        </w:tc>
        <w:tc>
          <w:tcPr>
            <w:tcW w:w="18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Definite-Lived Intangible Assets</w:t>
            </w:r>
          </w:p>
        </w:tc>
        <w:tc>
          <w:tcPr>
            <w:tcW w:w="18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5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Customer Relationships</w:t>
            </w:r>
          </w:p>
        </w:tc>
        <w:tc>
          <w:tcPr>
            <w:tcW w:w="180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$50.7</w:t>
            </w:r>
          </w:p>
        </w:tc>
        <w:tc>
          <w:tcPr>
            <w:tcW w:w="15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w:t>
            </w:r>
          </w:p>
        </w:tc>
        <w:tc>
          <w:tcPr>
            <w:tcW w:w="142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$(49.6)</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xml:space="preserve">Developed Technology and Other </w:t>
            </w:r>
            <w:r>
              <w:rPr>
                <w:rFonts w:ascii="Times New Roman" w:cs="Times New Roman" w:eastAsia="Times New Roman" w:hAnsi="Times New Roman"/>
                <w:sz w:val="16"/>
                <w:szCs w:val="16"/>
                <w:i w:val="1"/>
                <w:iCs w:val="1"/>
                <w:color w:val="auto"/>
              </w:rPr>
              <w:t>(a)</w:t>
            </w:r>
          </w:p>
        </w:tc>
        <w:tc>
          <w:tcPr>
            <w:tcW w:w="18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7.5</w:t>
            </w:r>
          </w:p>
        </w:tc>
        <w:tc>
          <w:tcPr>
            <w:tcW w:w="15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(0.3)</w:t>
            </w:r>
          </w:p>
        </w:tc>
        <w:tc>
          <w:tcPr>
            <w:tcW w:w="14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(6.1)</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55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Definite-Lived Intangible Assets</w:t>
            </w:r>
          </w:p>
        </w:tc>
        <w:tc>
          <w:tcPr>
            <w:tcW w:w="180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58.2</w:t>
            </w:r>
          </w:p>
        </w:tc>
        <w:tc>
          <w:tcPr>
            <w:tcW w:w="15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w:t>
            </w:r>
          </w:p>
        </w:tc>
        <w:tc>
          <w:tcPr>
            <w:tcW w:w="142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(55.7)</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18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5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5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180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16.6</w:t>
            </w:r>
          </w:p>
        </w:tc>
        <w:tc>
          <w:tcPr>
            <w:tcW w:w="15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n/a</w:t>
            </w:r>
          </w:p>
        </w:tc>
        <w:tc>
          <w:tcPr>
            <w:tcW w:w="142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(16.6)</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5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Intangible Assets</w:t>
            </w:r>
          </w:p>
        </w:tc>
        <w:tc>
          <w:tcPr>
            <w:tcW w:w="180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$74.8</w:t>
            </w:r>
          </w:p>
        </w:tc>
        <w:tc>
          <w:tcPr>
            <w:tcW w:w="154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$(1.4)</w:t>
            </w:r>
          </w:p>
        </w:tc>
        <w:tc>
          <w:tcPr>
            <w:tcW w:w="142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$(72.3)</w:t>
            </w: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55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Developed Technology and Other includes patents, non-compete agreements, land easements and trade names with finite lives.</w:t>
      </w:r>
    </w:p>
    <w:p>
      <w:pPr>
        <w:spacing w:after="0" w:line="25" w:lineRule="exact"/>
        <w:rPr>
          <w:rFonts w:ascii="Times New Roman" w:cs="Times New Roman" w:eastAsia="Times New Roman" w:hAnsi="Times New Roman"/>
          <w:sz w:val="16"/>
          <w:szCs w:val="16"/>
          <w:i w:val="1"/>
          <w:iCs w:val="1"/>
          <w:color w:val="auto"/>
        </w:rPr>
      </w:pPr>
    </w:p>
    <w:p>
      <w:pPr>
        <w:ind w:left="340" w:hanging="332"/>
        <w:spacing w:after="0" w:line="248" w:lineRule="auto"/>
        <w:tabs>
          <w:tab w:leader="none" w:pos="340" w:val="left"/>
        </w:tabs>
        <w:numPr>
          <w:ilvl w:val="0"/>
          <w:numId w:val="9"/>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On March 26, 2019, ALLETE completed the sale of U.S. Water Services which resulted in the removal of the related intangible assets from the Consolidated Balance Sheet.</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for intangible assets was $1.4 million for the six months ended June 30, 2019 ($2.7 million for the six months ended June 30, 2018).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remaining definite-lived intangible assets will continue to be amortized ratably through 2028.</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FAIR VALUE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in an orderly transaction between market participants at the measurement date (exit price). We utilize market data or assumptions that market participants would use in pricing the asset or liability, including assumptions about risk and the risks inherent in the inputs to the valuation technique. These inputs can be readily observable, market corroborated or generally unobservable. We primarily apply the market approach for recurring fair value measurements and endeavor to utilize the best available information. Accordingly, we utilize valuation techniques that maximize the use of observable inputs and minimize the use of unobservable inputs. These inputs, which are used to measure fair value, are prioritized through the fair value hierarchy. The hierarchy gives the highest priority to unadjusted quoted prices in active markets for identical assets or liabilities (Level 1 measurement) and the lowest priority to unobservable inputs (Level 3 measurement). Descriptions of the three levels of the fair value hierarchy are discussed in Note 9. Fair Value to the Consolidated Financial Statements in our 2018 Form 10-K.</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Second Quarter 2019 Form 10-Q</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11420"/>
          </w:cols>
          <w:pgMar w:left="240" w:top="1036"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NOTE 5. FAIR VALUE (Continued)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tables set forth, by level within the fair value hierarchy, our assets and liabilities that were accounted for at fair value on a recurring basis as of June 30, 2019, and December 31, 2018. Each asset and liability is classified based on the lowest level of input that is significant to the fair value measurement. Our assessment of the significance of a particular input to the fair value measurement requires judgment, which may affect the valuation of these assets and liabilities and their placement within the fair value hierarchy levels. The estimated fair value of Cash and Cash Equivalents listed on the Consolidated Balance Sheet approximates the carrying amount and therefore is excluded from the recurring fair value measures in the following tables.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5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Fair Value as of June 30, 2019</w:t>
            </w:r>
          </w:p>
        </w:tc>
        <w:tc>
          <w:tcPr>
            <w:tcW w:w="900" w:type="dxa"/>
            <w:vAlign w:val="bottom"/>
          </w:tcPr>
          <w:p>
            <w:pPr>
              <w:spacing w:after="0"/>
              <w:rPr>
                <w:sz w:val="20"/>
                <w:szCs w:val="20"/>
                <w:color w:val="auto"/>
              </w:rPr>
            </w:pPr>
          </w:p>
        </w:tc>
      </w:tr>
      <w:tr>
        <w:trPr>
          <w:trHeight w:val="270"/>
        </w:trPr>
        <w:tc>
          <w:tcPr>
            <w:tcW w:w="63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Recurring Fair Value Measures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1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63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63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16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63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6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Investments </w:t>
            </w:r>
            <w:r>
              <w:rPr>
                <w:rFonts w:ascii="Times New Roman" w:cs="Times New Roman" w:eastAsia="Times New Roman" w:hAnsi="Times New Roman"/>
                <w:sz w:val="16"/>
                <w:szCs w:val="16"/>
                <w:i w:val="1"/>
                <w:iCs w:val="1"/>
                <w:color w:val="auto"/>
              </w:rPr>
              <w:t>(a)</w:t>
            </w:r>
          </w:p>
        </w:tc>
        <w:tc>
          <w:tcPr>
            <w:tcW w:w="16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63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Available-for-sale – Equity Securities</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w:t>
            </w:r>
          </w:p>
        </w:tc>
      </w:tr>
      <w:tr>
        <w:trPr>
          <w:trHeight w:val="243"/>
        </w:trPr>
        <w:tc>
          <w:tcPr>
            <w:tcW w:w="6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xml:space="preserve">Available-for-sale – Corporate and Governmental Debt Securities </w:t>
            </w:r>
            <w:r>
              <w:rPr>
                <w:rFonts w:ascii="Times New Roman" w:cs="Times New Roman" w:eastAsia="Times New Roman" w:hAnsi="Times New Roman"/>
                <w:sz w:val="16"/>
                <w:szCs w:val="16"/>
                <w:i w:val="1"/>
                <w:iCs w:val="1"/>
                <w:color w:val="auto"/>
              </w:rPr>
              <w:t>(b)</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$9.5</w:t>
            </w:r>
          </w:p>
        </w:tc>
        <w:tc>
          <w:tcPr>
            <w:tcW w:w="11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w:t>
            </w:r>
          </w:p>
        </w:tc>
      </w:tr>
      <w:tr>
        <w:trPr>
          <w:trHeight w:val="27"/>
        </w:trPr>
        <w:tc>
          <w:tcPr>
            <w:tcW w:w="63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5"/>
        </w:trPr>
        <w:tc>
          <w:tcPr>
            <w:tcW w:w="63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Cash Equivalents</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r>
      <w:tr>
        <w:trPr>
          <w:trHeight w:val="237"/>
        </w:trPr>
        <w:tc>
          <w:tcPr>
            <w:tcW w:w="63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Fair Value of Assets</w:t>
            </w: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$9.5</w:t>
            </w:r>
          </w:p>
        </w:tc>
        <w:tc>
          <w:tcPr>
            <w:tcW w:w="116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$21.5</w:t>
            </w:r>
          </w:p>
        </w:tc>
      </w:tr>
      <w:tr>
        <w:trPr>
          <w:trHeight w:val="27"/>
        </w:trPr>
        <w:tc>
          <w:tcPr>
            <w:tcW w:w="63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77"/>
        </w:trPr>
        <w:tc>
          <w:tcPr>
            <w:tcW w:w="630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43"/>
        </w:trPr>
        <w:tc>
          <w:tcPr>
            <w:tcW w:w="63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63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5"/>
        </w:trPr>
        <w:tc>
          <w:tcPr>
            <w:tcW w:w="6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Deferred Compensation </w:t>
            </w:r>
            <w:r>
              <w:rPr>
                <w:rFonts w:ascii="Times New Roman" w:cs="Times New Roman" w:eastAsia="Times New Roman" w:hAnsi="Times New Roman"/>
                <w:sz w:val="16"/>
                <w:szCs w:val="16"/>
                <w:i w:val="1"/>
                <w:iCs w:val="1"/>
                <w:color w:val="auto"/>
              </w:rPr>
              <w:t>(c)</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$21.7</w:t>
            </w:r>
          </w:p>
        </w:tc>
        <w:tc>
          <w:tcPr>
            <w:tcW w:w="116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$21.7</w:t>
            </w:r>
          </w:p>
        </w:tc>
      </w:tr>
      <w:tr>
        <w:trPr>
          <w:trHeight w:val="237"/>
        </w:trPr>
        <w:tc>
          <w:tcPr>
            <w:tcW w:w="63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Fair Value of Liabilities</w:t>
            </w: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$21.7</w:t>
            </w:r>
          </w:p>
        </w:tc>
        <w:tc>
          <w:tcPr>
            <w:tcW w:w="116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$21.7</w:t>
            </w:r>
          </w:p>
        </w:tc>
      </w:tr>
      <w:tr>
        <w:trPr>
          <w:trHeight w:val="27"/>
        </w:trPr>
        <w:tc>
          <w:tcPr>
            <w:tcW w:w="63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Net Fair Value of Assets (Liabilities)</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3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$(12.2)</w:t>
            </w:r>
          </w:p>
        </w:tc>
        <w:tc>
          <w:tcPr>
            <w:tcW w:w="116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$(0.2)</w:t>
            </w:r>
          </w:p>
        </w:tc>
      </w:tr>
      <w:tr>
        <w:trPr>
          <w:trHeight w:val="20"/>
        </w:trPr>
        <w:tc>
          <w:tcPr>
            <w:tcW w:w="630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80" w:type="dxa"/>
            <w:vAlign w:val="bottom"/>
          </w:tcPr>
          <w:p>
            <w:pPr>
              <w:spacing w:after="0"/>
              <w:rPr>
                <w:sz w:val="20"/>
                <w:szCs w:val="20"/>
                <w:color w:val="auto"/>
              </w:rPr>
            </w:pPr>
          </w:p>
        </w:tc>
        <w:tc>
          <w:tcPr>
            <w:tcW w:w="44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 as of December 31, 2018</w:t>
            </w:r>
          </w:p>
        </w:tc>
        <w:tc>
          <w:tcPr>
            <w:tcW w:w="800" w:type="dxa"/>
            <w:vAlign w:val="bottom"/>
          </w:tcPr>
          <w:p>
            <w:pPr>
              <w:spacing w:after="0"/>
              <w:rPr>
                <w:sz w:val="20"/>
                <w:szCs w:val="20"/>
                <w:color w:val="auto"/>
              </w:rPr>
            </w:pPr>
          </w:p>
        </w:tc>
      </w:tr>
      <w:tr>
        <w:trPr>
          <w:trHeight w:val="270"/>
        </w:trPr>
        <w:tc>
          <w:tcPr>
            <w:tcW w:w="61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Recurring Fair Value Measures</w:t>
            </w:r>
          </w:p>
        </w:tc>
        <w:tc>
          <w:tcPr>
            <w:tcW w:w="20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61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61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20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61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Investments </w:t>
            </w:r>
            <w:r>
              <w:rPr>
                <w:rFonts w:ascii="Times New Roman" w:cs="Times New Roman" w:eastAsia="Times New Roman" w:hAnsi="Times New Roman"/>
                <w:sz w:val="16"/>
                <w:szCs w:val="16"/>
                <w:i w:val="1"/>
                <w:iCs w:val="1"/>
                <w:color w:val="auto"/>
              </w:rPr>
              <w:t>(a)</w:t>
            </w:r>
          </w:p>
        </w:tc>
        <w:tc>
          <w:tcPr>
            <w:tcW w:w="20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1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Available-for-sale – Equity Securities</w:t>
            </w:r>
          </w:p>
        </w:tc>
        <w:tc>
          <w:tcPr>
            <w:tcW w:w="20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$12.2</w:t>
            </w:r>
          </w:p>
        </w:tc>
        <w:tc>
          <w:tcPr>
            <w:tcW w:w="116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w:t>
            </w:r>
          </w:p>
        </w:tc>
      </w:tr>
      <w:tr>
        <w:trPr>
          <w:trHeight w:val="243"/>
        </w:trPr>
        <w:tc>
          <w:tcPr>
            <w:tcW w:w="6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Available-for-sale – Corporate and Governmental Debt Securities</w:t>
            </w:r>
          </w:p>
        </w:tc>
        <w:tc>
          <w:tcPr>
            <w:tcW w:w="20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$8.0</w:t>
            </w: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w:t>
            </w:r>
          </w:p>
        </w:tc>
      </w:tr>
      <w:tr>
        <w:trPr>
          <w:trHeight w:val="27"/>
        </w:trPr>
        <w:tc>
          <w:tcPr>
            <w:tcW w:w="61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5"/>
        </w:trPr>
        <w:tc>
          <w:tcPr>
            <w:tcW w:w="61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Cash Equivalents</w:t>
            </w:r>
          </w:p>
        </w:tc>
        <w:tc>
          <w:tcPr>
            <w:tcW w:w="20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1.0</w:t>
            </w:r>
          </w:p>
        </w:tc>
        <w:tc>
          <w:tcPr>
            <w:tcW w:w="116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r>
      <w:tr>
        <w:trPr>
          <w:trHeight w:val="237"/>
        </w:trPr>
        <w:tc>
          <w:tcPr>
            <w:tcW w:w="6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Fair Value of Assets</w:t>
            </w:r>
          </w:p>
        </w:tc>
        <w:tc>
          <w:tcPr>
            <w:tcW w:w="20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$13.2</w:t>
            </w:r>
          </w:p>
        </w:tc>
        <w:tc>
          <w:tcPr>
            <w:tcW w:w="116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$8.0</w:t>
            </w:r>
          </w:p>
        </w:tc>
        <w:tc>
          <w:tcPr>
            <w:tcW w:w="126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$21.2</w:t>
            </w:r>
          </w:p>
        </w:tc>
      </w:tr>
      <w:tr>
        <w:trPr>
          <w:trHeight w:val="27"/>
        </w:trPr>
        <w:tc>
          <w:tcPr>
            <w:tcW w:w="61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77"/>
        </w:trPr>
        <w:tc>
          <w:tcPr>
            <w:tcW w:w="6180" w:type="dxa"/>
            <w:vAlign w:val="bottom"/>
            <w:tcBorders>
              <w:bottom w:val="single" w:sz="8" w:color="auto"/>
            </w:tcBorders>
            <w:shd w:val="clear" w:color="auto" w:fill="CCEEFF"/>
          </w:tcPr>
          <w:p>
            <w:pPr>
              <w:spacing w:after="0"/>
              <w:rPr>
                <w:sz w:val="24"/>
                <w:szCs w:val="24"/>
                <w:color w:val="auto"/>
              </w:rPr>
            </w:pPr>
          </w:p>
        </w:tc>
        <w:tc>
          <w:tcPr>
            <w:tcW w:w="202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spacing w:after="0"/>
              <w:rPr>
                <w:sz w:val="24"/>
                <w:szCs w:val="24"/>
                <w:color w:val="auto"/>
              </w:rPr>
            </w:pPr>
          </w:p>
        </w:tc>
      </w:tr>
      <w:tr>
        <w:trPr>
          <w:trHeight w:val="237"/>
        </w:trPr>
        <w:tc>
          <w:tcPr>
            <w:tcW w:w="61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61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Deferred Compensation </w:t>
            </w:r>
            <w:r>
              <w:rPr>
                <w:rFonts w:ascii="Times New Roman" w:cs="Times New Roman" w:eastAsia="Times New Roman" w:hAnsi="Times New Roman"/>
                <w:sz w:val="16"/>
                <w:szCs w:val="16"/>
                <w:i w:val="1"/>
                <w:iCs w:val="1"/>
                <w:color w:val="auto"/>
              </w:rPr>
              <w:t>(c)</w:t>
            </w:r>
          </w:p>
        </w:tc>
        <w:tc>
          <w:tcPr>
            <w:tcW w:w="20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$19.8</w:t>
            </w:r>
          </w:p>
        </w:tc>
        <w:tc>
          <w:tcPr>
            <w:tcW w:w="126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$19.8</w:t>
            </w:r>
          </w:p>
        </w:tc>
      </w:tr>
      <w:tr>
        <w:trPr>
          <w:trHeight w:val="243"/>
        </w:trPr>
        <w:tc>
          <w:tcPr>
            <w:tcW w:w="6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U.S. Water Services Contingent Consideration </w:t>
            </w:r>
            <w:r>
              <w:rPr>
                <w:rFonts w:ascii="Times New Roman" w:cs="Times New Roman" w:eastAsia="Times New Roman" w:hAnsi="Times New Roman"/>
                <w:sz w:val="16"/>
                <w:szCs w:val="16"/>
                <w:i w:val="1"/>
                <w:iCs w:val="1"/>
                <w:color w:val="auto"/>
              </w:rPr>
              <w:t>(d)</w:t>
            </w:r>
          </w:p>
        </w:tc>
        <w:tc>
          <w:tcPr>
            <w:tcW w:w="20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$3.8</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r>
      <w:tr>
        <w:trPr>
          <w:trHeight w:val="27"/>
        </w:trPr>
        <w:tc>
          <w:tcPr>
            <w:tcW w:w="61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Fair Value of Liabilities</w:t>
            </w:r>
          </w:p>
        </w:tc>
        <w:tc>
          <w:tcPr>
            <w:tcW w:w="20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$19.8</w:t>
            </w:r>
          </w:p>
        </w:tc>
        <w:tc>
          <w:tcPr>
            <w:tcW w:w="126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$3.8</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$23.6</w:t>
            </w:r>
          </w:p>
        </w:tc>
      </w:tr>
      <w:tr>
        <w:trPr>
          <w:trHeight w:val="237"/>
        </w:trPr>
        <w:tc>
          <w:tcPr>
            <w:tcW w:w="6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Net Fair Value of Assets (Liabilities)</w:t>
            </w:r>
          </w:p>
        </w:tc>
        <w:tc>
          <w:tcPr>
            <w:tcW w:w="20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$13.2</w:t>
            </w:r>
          </w:p>
        </w:tc>
        <w:tc>
          <w:tcPr>
            <w:tcW w:w="11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$(11.8)</w:t>
            </w:r>
          </w:p>
        </w:tc>
        <w:tc>
          <w:tcPr>
            <w:tcW w:w="126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$(3.8)</w:t>
            </w:r>
          </w:p>
        </w:tc>
        <w:tc>
          <w:tcPr>
            <w:tcW w:w="8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$(2.4)</w:t>
            </w:r>
          </w:p>
        </w:tc>
      </w:tr>
    </w:tbl>
    <w:p>
      <w:pPr>
        <w:spacing w:after="0" w:line="25"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Included in Other Non-Current Assets on the Consolidated Balance Sheet.</w:t>
      </w:r>
    </w:p>
    <w:p>
      <w:pPr>
        <w:spacing w:after="0" w:line="25" w:lineRule="exact"/>
        <w:rPr>
          <w:rFonts w:ascii="Times New Roman" w:cs="Times New Roman" w:eastAsia="Times New Roman" w:hAnsi="Times New Roman"/>
          <w:sz w:val="16"/>
          <w:szCs w:val="16"/>
          <w:i w:val="1"/>
          <w:iCs w:val="1"/>
          <w:color w:val="auto"/>
        </w:rPr>
      </w:pPr>
    </w:p>
    <w:p>
      <w:pPr>
        <w:ind w:left="340" w:hanging="332"/>
        <w:spacing w:after="0" w:line="246" w:lineRule="auto"/>
        <w:tabs>
          <w:tab w:leader="none" w:pos="340" w:val="left"/>
        </w:tabs>
        <w:numPr>
          <w:ilvl w:val="0"/>
          <w:numId w:val="10"/>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As of June 30, 2019, the aggregate amount of available-for-sale corporate and governmental debt securities maturing in one year or less was $3.1 million, in one year to less than three years was $3.9 million, in three years to less than five years was $1.6 million and in five or more years was $0.9 million.</w:t>
      </w:r>
    </w:p>
    <w:p>
      <w:pPr>
        <w:ind w:left="340" w:hanging="332"/>
        <w:spacing w:after="0"/>
        <w:tabs>
          <w:tab w:leader="none" w:pos="340" w:val="left"/>
        </w:tabs>
        <w:numPr>
          <w:ilvl w:val="0"/>
          <w:numId w:val="10"/>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Included in Other Non-Current Liabilities on the Consolidated Balance Sheet.</w:t>
      </w:r>
    </w:p>
    <w:p>
      <w:pPr>
        <w:spacing w:after="0" w:line="5" w:lineRule="exact"/>
        <w:rPr>
          <w:rFonts w:ascii="Times New Roman" w:cs="Times New Roman" w:eastAsia="Times New Roman" w:hAnsi="Times New Roman"/>
          <w:sz w:val="16"/>
          <w:szCs w:val="16"/>
          <w:i w:val="1"/>
          <w:iCs w:val="1"/>
          <w:color w:val="auto"/>
        </w:rPr>
      </w:pPr>
    </w:p>
    <w:p>
      <w:pPr>
        <w:ind w:left="340" w:hanging="332"/>
        <w:spacing w:after="0"/>
        <w:tabs>
          <w:tab w:leader="none" w:pos="340" w:val="left"/>
        </w:tabs>
        <w:numPr>
          <w:ilvl w:val="0"/>
          <w:numId w:val="10"/>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Included in Other Current Liabilities on the Consolidated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-607695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Level 3 liability in the preceding table is related to the contingent consideration liability that resulted from the 2015 acquisition of U.S. Water Services. Based on the terms and conditions of the acquisition agreement, a final payout of $3.8 million was made in the first quarter of 2019 for the remaining outstanding shares.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Fair Value of Financial Instruments. </w:t>
      </w:r>
      <w:r>
        <w:rPr>
          <w:rFonts w:ascii="Times New Roman" w:cs="Times New Roman" w:eastAsia="Times New Roman" w:hAnsi="Times New Roman"/>
          <w:sz w:val="18"/>
          <w:szCs w:val="18"/>
          <w:color w:val="auto"/>
        </w:rPr>
        <w:t>With the exception of the item listed in the following table, the estimated fair value of all financial instruments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approximates the carrying amount. The fair value for the item listed in the following table was based on quoted market prices for the same or similar instruments (Level 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Second Quarter 2019 Form 10-Q</w:t>
      </w:r>
    </w:p>
    <w:p>
      <w:pPr>
        <w:sectPr>
          <w:pgSz w:w="11900" w:h="16838" w:orient="portrait"/>
          <w:cols w:equalWidth="0" w:num="1">
            <w:col w:w="11420"/>
          </w:cols>
          <w:pgMar w:left="240" w:top="1035" w:right="239" w:bottom="1440" w:gutter="0" w:footer="0" w:header="0"/>
        </w:sectPr>
      </w:pPr>
    </w:p>
    <w:p>
      <w:pPr>
        <w:spacing w:after="0" w:line="17" w:lineRule="exact"/>
        <w:rPr>
          <w:sz w:val="20"/>
          <w:szCs w:val="20"/>
          <w:color w:val="auto"/>
        </w:rPr>
      </w:pPr>
    </w:p>
    <w:p>
      <w:pPr>
        <w:ind w:left="11280"/>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1420"/>
          </w:cols>
          <w:pgMar w:left="240" w:top="1035" w:right="239" w:bottom="144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238"/>
        </w:trPr>
        <w:tc>
          <w:tcPr>
            <w:tcW w:w="6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FAIR VALUE (Continued)</w:t>
            </w:r>
          </w:p>
        </w:tc>
        <w:tc>
          <w:tcPr>
            <w:tcW w:w="326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459"/>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Financial Instruments</w:t>
            </w:r>
          </w:p>
        </w:tc>
        <w:tc>
          <w:tcPr>
            <w:tcW w:w="32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Carrying Amount</w:t>
            </w:r>
          </w:p>
        </w:tc>
        <w:tc>
          <w:tcPr>
            <w:tcW w:w="18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7"/>
        </w:trPr>
        <w:tc>
          <w:tcPr>
            <w:tcW w:w="628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37"/>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326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7"/>
        </w:trPr>
        <w:tc>
          <w:tcPr>
            <w:tcW w:w="62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 Including Long-Term Debt Due Within One Year</w:t>
            </w:r>
          </w:p>
        </w:tc>
        <w:tc>
          <w:tcPr>
            <w:tcW w:w="326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June 30, 2019</w:t>
            </w:r>
          </w:p>
        </w:tc>
        <w:tc>
          <w:tcPr>
            <w:tcW w:w="32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$1,543.0</w:t>
            </w:r>
          </w:p>
        </w:tc>
        <w:tc>
          <w:tcPr>
            <w:tcW w:w="18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$1,684.3</w:t>
            </w:r>
          </w:p>
        </w:tc>
      </w:tr>
      <w:tr>
        <w:trPr>
          <w:trHeight w:val="27"/>
        </w:trPr>
        <w:tc>
          <w:tcPr>
            <w:tcW w:w="62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December 31, 2018</w:t>
            </w:r>
          </w:p>
        </w:tc>
        <w:tc>
          <w:tcPr>
            <w:tcW w:w="3260" w:type="dxa"/>
            <w:vAlign w:val="bottom"/>
            <w:tcBorders>
              <w:bottom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$1,495.2</w:t>
            </w:r>
          </w:p>
        </w:tc>
        <w:tc>
          <w:tcPr>
            <w:tcW w:w="186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$1,534.6</w:t>
            </w:r>
          </w:p>
        </w:tc>
      </w:tr>
      <w:tr>
        <w:trPr>
          <w:trHeight w:val="20"/>
        </w:trPr>
        <w:tc>
          <w:tcPr>
            <w:tcW w:w="6280" w:type="dxa"/>
            <w:vAlign w:val="bottom"/>
            <w:shd w:val="clear" w:color="auto" w:fill="000000"/>
          </w:tcPr>
          <w:p>
            <w:pPr>
              <w:spacing w:after="0" w:line="20" w:lineRule="exact"/>
              <w:rPr>
                <w:sz w:val="1"/>
                <w:szCs w:val="1"/>
                <w:color w:val="auto"/>
              </w:rPr>
            </w:pPr>
          </w:p>
        </w:tc>
        <w:tc>
          <w:tcPr>
            <w:tcW w:w="326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Assets and Liabilities Measured at Fair Value on a Nonrecurring Basis. </w:t>
      </w:r>
      <w:r>
        <w:rPr>
          <w:rFonts w:ascii="Times New Roman" w:cs="Times New Roman" w:eastAsia="Times New Roman" w:hAnsi="Times New Roman"/>
          <w:sz w:val="18"/>
          <w:szCs w:val="18"/>
          <w:color w:val="auto"/>
        </w:rPr>
        <w:t>Non-financial assets such as equity method investments, land inventory,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property, plant and equipment are measured at fair value when there is an indicator of impairment and recorded at fair value only when an impairment is recognized. For the quarter and six months ended June 30, 2019, and the year ended December 31, 2018, there were no triggering events or indicators of impairment for these non-financial assets.</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SHORT-TERM AND LONG-TERM DEBT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Company’s short-term and long-term debt as of June 30, 2019, and December 31, 2018:</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44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Unamortized Debt</w:t>
            </w:r>
          </w:p>
        </w:tc>
        <w:tc>
          <w:tcPr>
            <w:tcW w:w="1400" w:type="dxa"/>
            <w:vAlign w:val="bottom"/>
          </w:tcPr>
          <w:p>
            <w:pPr>
              <w:spacing w:after="0"/>
              <w:rPr>
                <w:sz w:val="18"/>
                <w:szCs w:val="18"/>
                <w:color w:val="auto"/>
              </w:rPr>
            </w:pPr>
          </w:p>
        </w:tc>
      </w:tr>
      <w:tr>
        <w:trPr>
          <w:trHeight w:val="238"/>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June 30, 2019</w:t>
            </w:r>
          </w:p>
        </w:tc>
        <w:tc>
          <w:tcPr>
            <w:tcW w:w="37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244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Issuance Costs</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388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37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388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Short-Term Debt</w:t>
            </w:r>
          </w:p>
        </w:tc>
        <w:tc>
          <w:tcPr>
            <w:tcW w:w="370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$28.1</w:t>
            </w:r>
          </w:p>
        </w:tc>
        <w:tc>
          <w:tcPr>
            <w:tcW w:w="2440" w:type="dxa"/>
            <w:vAlign w:val="bottom"/>
            <w:tcBorders>
              <w:bottom w:val="single" w:sz="8" w:color="CCEEFF"/>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$(0.4)</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$27.7</w:t>
            </w:r>
          </w:p>
        </w:tc>
      </w:tr>
      <w:tr>
        <w:trPr>
          <w:trHeight w:val="243"/>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37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1,514.9</w:t>
            </w:r>
          </w:p>
        </w:tc>
        <w:tc>
          <w:tcPr>
            <w:tcW w:w="244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(9.0)</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1,505.9</w:t>
            </w:r>
          </w:p>
        </w:tc>
      </w:tr>
      <w:tr>
        <w:trPr>
          <w:trHeight w:val="27"/>
        </w:trPr>
        <w:tc>
          <w:tcPr>
            <w:tcW w:w="388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Debt</w:t>
            </w:r>
          </w:p>
        </w:tc>
        <w:tc>
          <w:tcPr>
            <w:tcW w:w="370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$1,543.0</w:t>
            </w:r>
          </w:p>
        </w:tc>
        <w:tc>
          <w:tcPr>
            <w:tcW w:w="2440" w:type="dxa"/>
            <w:vAlign w:val="bottom"/>
            <w:tcBorders>
              <w:bottom w:val="single" w:sz="8" w:color="CCEEFF"/>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$(9.4)</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$1,533.6</w:t>
            </w:r>
          </w:p>
        </w:tc>
      </w:tr>
      <w:tr>
        <w:trPr>
          <w:trHeight w:val="20"/>
        </w:trPr>
        <w:tc>
          <w:tcPr>
            <w:tcW w:w="3880" w:type="dxa"/>
            <w:vAlign w:val="bottom"/>
            <w:shd w:val="clear" w:color="auto" w:fill="000000"/>
          </w:tcPr>
          <w:p>
            <w:pPr>
              <w:spacing w:after="0" w:line="20" w:lineRule="exact"/>
              <w:rPr>
                <w:sz w:val="1"/>
                <w:szCs w:val="1"/>
                <w:color w:val="auto"/>
              </w:rPr>
            </w:pPr>
          </w:p>
        </w:tc>
        <w:tc>
          <w:tcPr>
            <w:tcW w:w="3700" w:type="dxa"/>
            <w:vAlign w:val="bottom"/>
            <w:shd w:val="clear" w:color="auto" w:fill="000000"/>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44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Unamortized Debt</w:t>
            </w:r>
          </w:p>
        </w:tc>
        <w:tc>
          <w:tcPr>
            <w:tcW w:w="1400" w:type="dxa"/>
            <w:vAlign w:val="bottom"/>
          </w:tcPr>
          <w:p>
            <w:pPr>
              <w:spacing w:after="0"/>
              <w:rPr>
                <w:sz w:val="18"/>
                <w:szCs w:val="18"/>
                <w:color w:val="auto"/>
              </w:rPr>
            </w:pPr>
          </w:p>
        </w:tc>
      </w:tr>
      <w:tr>
        <w:trPr>
          <w:trHeight w:val="238"/>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35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244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Issuance Costs</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400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35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Short-Term Debt</w:t>
            </w:r>
          </w:p>
        </w:tc>
        <w:tc>
          <w:tcPr>
            <w:tcW w:w="35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$57.9</w:t>
            </w:r>
          </w:p>
        </w:tc>
        <w:tc>
          <w:tcPr>
            <w:tcW w:w="2440" w:type="dxa"/>
            <w:vAlign w:val="bottom"/>
            <w:tcBorders>
              <w:bottom w:val="single" w:sz="8" w:color="CCEEFF"/>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$(0.4)</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$57.5</w:t>
            </w: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35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1,437.3</w:t>
            </w:r>
          </w:p>
        </w:tc>
        <w:tc>
          <w:tcPr>
            <w:tcW w:w="244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(8.8)</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1,428.5</w:t>
            </w:r>
          </w:p>
        </w:tc>
      </w:tr>
      <w:tr>
        <w:trPr>
          <w:trHeight w:val="27"/>
        </w:trPr>
        <w:tc>
          <w:tcPr>
            <w:tcW w:w="400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Debt</w:t>
            </w:r>
          </w:p>
        </w:tc>
        <w:tc>
          <w:tcPr>
            <w:tcW w:w="35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$1,495.2</w:t>
            </w:r>
          </w:p>
        </w:tc>
        <w:tc>
          <w:tcPr>
            <w:tcW w:w="2440" w:type="dxa"/>
            <w:vAlign w:val="bottom"/>
            <w:tcBorders>
              <w:bottom w:val="single" w:sz="8" w:color="CCEEFF"/>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$(9.2)</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$1,486.0</w:t>
            </w:r>
          </w:p>
        </w:tc>
      </w:tr>
      <w:tr>
        <w:trPr>
          <w:trHeight w:val="20"/>
        </w:trPr>
        <w:tc>
          <w:tcPr>
            <w:tcW w:w="4000" w:type="dxa"/>
            <w:vAlign w:val="bottom"/>
            <w:shd w:val="clear" w:color="auto" w:fill="000000"/>
          </w:tcPr>
          <w:p>
            <w:pPr>
              <w:spacing w:after="0" w:line="20" w:lineRule="exact"/>
              <w:rPr>
                <w:sz w:val="1"/>
                <w:szCs w:val="1"/>
                <w:color w:val="auto"/>
              </w:rPr>
            </w:pPr>
          </w:p>
        </w:tc>
        <w:tc>
          <w:tcPr>
            <w:tcW w:w="3580" w:type="dxa"/>
            <w:vAlign w:val="bottom"/>
            <w:shd w:val="clear" w:color="auto" w:fill="000000"/>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10, 2019, ALLETE entered into an amended and restated $400 million credit agreement, as amended (Credit Agreement). The Credit Agreement is unsecured, has a variable interest rate and will expire in January 2024. At ALLETE’s request and subject to certain conditions, the Credit Agreement may be increased by up to $150 million and ALLETE may make two requests to extend the maturity date, each for a one-year extension. Advances may be used by ALLETE for general corporate purposes, to provide liquidity in support of ALLETE’s commercial paper program and to issue up to $100 million in letters of credit.</w:t>
      </w:r>
    </w:p>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had $56.3 million outstanding in standby letters of credit and no outstanding draws under our lines of credit as of June 30, 2019 ($18.4 million in standby letters of credit and no outstanding draws as of December 31, 2018).</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1, 2019, ALLETE issued and sold the following First Mortgage Bonds (the Bonds):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154940</wp:posOffset>
            </wp:positionV>
            <wp:extent cx="7203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Maturity Date</w:t>
            </w:r>
          </w:p>
        </w:tc>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Amount</w:t>
            </w:r>
          </w:p>
        </w:tc>
        <w:tc>
          <w:tcPr>
            <w:tcW w:w="37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r>
      <w:tr>
        <w:trPr>
          <w:trHeight w:val="27"/>
        </w:trPr>
        <w:tc>
          <w:tcPr>
            <w:tcW w:w="368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244"/>
        </w:trPr>
        <w:tc>
          <w:tcPr>
            <w:tcW w:w="3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March 1, 2029</w:t>
            </w:r>
          </w:p>
        </w:tc>
        <w:tc>
          <w:tcPr>
            <w:tcW w:w="39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$70 Million</w:t>
            </w:r>
          </w:p>
        </w:tc>
        <w:tc>
          <w:tcPr>
            <w:tcW w:w="3740" w:type="dxa"/>
            <w:vAlign w:val="bottom"/>
            <w:tcBorders>
              <w:bottom w:val="single" w:sz="8" w:color="CCEEFF"/>
            </w:tcBorders>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4.08%</w:t>
            </w:r>
          </w:p>
        </w:tc>
      </w:tr>
      <w:tr>
        <w:trPr>
          <w:trHeight w:val="243"/>
        </w:trPr>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1, 2049</w:t>
            </w:r>
          </w:p>
        </w:tc>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 Million</w:t>
            </w:r>
          </w:p>
        </w:tc>
        <w:tc>
          <w:tcPr>
            <w:tcW w:w="37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4.47%</w:t>
            </w:r>
          </w:p>
        </w:tc>
      </w:tr>
      <w:tr>
        <w:trPr>
          <w:trHeight w:val="27"/>
        </w:trPr>
        <w:tc>
          <w:tcPr>
            <w:tcW w:w="368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ALLETE has the option to prepay all or a portion of the Bonds at its discretion, subject to a make-whole provision. The Bonds are subject to additional terms and conditions which are customary for these types of transactions. ALLETE intends to use the proceeds from the sale of the Bonds to fund utility capital investment and for general corporate purposes. The Bonds were sold in reliance on an exemption from registration under Section 4(a)(2) of the Securities Act of 1933, as amended, to institutional accredited investors.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Second Quarter 2019 Form 10-Q</w:t>
      </w:r>
    </w:p>
    <w:p>
      <w:pPr>
        <w:sectPr>
          <w:pgSz w:w="11900" w:h="16838" w:orient="portrait"/>
          <w:cols w:equalWidth="0" w:num="1">
            <w:col w:w="11420"/>
          </w:cols>
          <w:pgMar w:left="240" w:top="1036" w:right="239" w:bottom="1440" w:gutter="0" w:footer="0" w:header="0"/>
        </w:sectPr>
      </w:pPr>
    </w:p>
    <w:p>
      <w:pPr>
        <w:spacing w:after="0" w:line="17" w:lineRule="exact"/>
        <w:rPr>
          <w:sz w:val="20"/>
          <w:szCs w:val="20"/>
          <w:color w:val="auto"/>
        </w:rPr>
      </w:pPr>
    </w:p>
    <w:p>
      <w:pPr>
        <w:ind w:left="11280"/>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11420"/>
          </w:cols>
          <w:pgMar w:left="240" w:top="1036" w:right="2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NOTE 6. SHORT-TERM AND LONG-TERM DEBT (Continued)</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Financial Covenants. </w:t>
      </w:r>
      <w:r>
        <w:rPr>
          <w:rFonts w:ascii="Times New Roman" w:cs="Times New Roman" w:eastAsia="Times New Roman" w:hAnsi="Times New Roman"/>
          <w:sz w:val="18"/>
          <w:szCs w:val="18"/>
          <w:color w:val="auto"/>
        </w:rPr>
        <w:t>Our long-term debt arrangements contain customary covenants. In addition, our lines of credit and letters of credit supporting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long-term debt arrangements contain financial covenants. Our compliance with financial covenants is not dependent on debt ratings. The most restrictive financial covenant requires ALLETE to maintain a ratio of indebtedness to total capitalization (as the amounts are calculated in accordance with the respective long-term debt arrangements) of less than or equal to 0.65 to 1.00, measured quarterly. As of June 30, 2019, our ratio was approximately 0.42 to 1.00. Failure to meet this covenant would give rise to an event of default if not cured after notice from the lender, in which event ALLETE may need to pursue alternative sources of funding. Some of ALLETE’s debt arrangements contain “cross-default” provisions that would result in an event of default if there is a failure under other financing arrangements to meet payment terms or to observe other covenants that would result in an acceleration of payments due. ALLETE has no significant restrictions on its ability to pay dividends from retained earnings or net income. As of June 30, 2019, ALLETE was in compliance with its financial covenants.</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COMMITMENTS, GUARANTEES AND CONTINGENCIES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Power Purchase Agreements. </w:t>
      </w:r>
      <w:r>
        <w:rPr>
          <w:rFonts w:ascii="Times New Roman" w:cs="Times New Roman" w:eastAsia="Times New Roman" w:hAnsi="Times New Roman"/>
          <w:sz w:val="18"/>
          <w:szCs w:val="18"/>
          <w:color w:val="auto"/>
        </w:rPr>
        <w:t>Our long-term PPAs have been evaluated under the accounting guidance for variable interest entities. We have determined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either we have no variable interest in the PPAs or, where we do have variable interests, we are not the primary beneficiary; therefore, consolidation is not required. These conclusions are based on the fact that we do not have both control over activities that are most significant to the entity and an obligation to absorb losses or receive benefits from the entity’s performance. Our financial exposure relating to these PPAs is limited to our capacity and energy payments.</w:t>
      </w:r>
    </w:p>
    <w:p>
      <w:pPr>
        <w:spacing w:after="0" w:line="1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PPAs are summarized in Note 11. Commitments, Guarantees and Contingencies to the Consolidated Financial Statements in our 2018 Form 10-K, with additional disclosure provided in the following paragraphs.</w:t>
      </w:r>
    </w:p>
    <w:p>
      <w:pPr>
        <w:spacing w:after="0" w:line="16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Square Butte PPA. </w:t>
      </w:r>
      <w:r>
        <w:rPr>
          <w:rFonts w:ascii="Times New Roman" w:cs="Times New Roman" w:eastAsia="Times New Roman" w:hAnsi="Times New Roman"/>
          <w:sz w:val="18"/>
          <w:szCs w:val="18"/>
          <w:color w:val="auto"/>
        </w:rPr>
        <w:t>As of June 30, 2019, Square Butte had total debt outstanding of $301.9 million. Fuel expenses are recoverable through Minnesota Power’s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fuel adjustment clause and include the cost of coal purchased from BNI Energy under a long-term contract. Minnesota Power’s cost of power purchased from Square Butte during the six months ended June 30, 2019, was $41.1 million ($37.7 million for the six months ended June 30, 2018). This reflects Minnesota Power’s pro rata share of total Square Butte costs based on the 50 percent output entitlement. Included in this amount was Minnesota Power’s pro rata share of interest expense of $4.2 million ($4.6 million for the same period in 2018). Minnesota Power’s payments to Square Butte are approved as a purchased power expense for ratemaking purposes by both the MPUC and the FERC.</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Minnkota Power PSA. </w:t>
      </w:r>
      <w:r>
        <w:rPr>
          <w:rFonts w:ascii="Times New Roman" w:cs="Times New Roman" w:eastAsia="Times New Roman" w:hAnsi="Times New Roman"/>
          <w:sz w:val="18"/>
          <w:szCs w:val="18"/>
          <w:color w:val="auto"/>
        </w:rPr>
        <w:t>Minnesota Power has a PSA with Minnkota Power, which commenced in 2014. Under the PSA, Minnesota Power is selling a portion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its entitlement from Square Butte to Minnkota Power, resulting in Minnkota Power’s net entitlement increasing and Minnesota Power’s net entitlement decreasing until Minnesota Power’s share is eliminated at the end of 2025. Of Minnesota Power’s 50 percent output entitlement, it sold to Minnkota Power approximately 28 percent in 2019 and in 2018.</w:t>
      </w:r>
    </w:p>
    <w:p>
      <w:pPr>
        <w:spacing w:after="0" w:line="17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Coal, Rail and Shipping Contracts. </w:t>
      </w:r>
      <w:r>
        <w:rPr>
          <w:rFonts w:ascii="Times New Roman" w:cs="Times New Roman" w:eastAsia="Times New Roman" w:hAnsi="Times New Roman"/>
          <w:sz w:val="18"/>
          <w:szCs w:val="18"/>
          <w:color w:val="auto"/>
        </w:rPr>
        <w:t>Minnesota Power has coal supply agreements providing for the purchase of a significant portion of its coal requirements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through December 2019 and a portion of its coal requirements through December 2021. Minnesota Power also has coal transportation agreements in place for the delivery of a significant portion of its coal requirements through December 2021. The costs of fuel and related transportation costs for Minnesota Power’s generation are recoverable from Minnesota Power’s utility customers through the fuel adjustment clause.</w:t>
      </w:r>
    </w:p>
    <w:p>
      <w:pPr>
        <w:spacing w:after="0" w:line="17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Transmission. </w:t>
      </w:r>
      <w:r>
        <w:rPr>
          <w:rFonts w:ascii="Times New Roman" w:cs="Times New Roman" w:eastAsia="Times New Roman" w:hAnsi="Times New Roman"/>
          <w:sz w:val="18"/>
          <w:szCs w:val="18"/>
          <w:color w:val="auto"/>
        </w:rPr>
        <w:t>We continue to make investments in transmission opportunities that strengthen or enhance the transmission grid or take advantage of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geographical location between sources of renewable energy and end users. These include the GNTL, investments to enhance our own transmission facilities, investments in other transmission assets (individually or in combination with others) and our investment in ATC.</w:t>
      </w:r>
    </w:p>
    <w:p>
      <w:pPr>
        <w:spacing w:after="0" w:line="173" w:lineRule="exact"/>
        <w:rPr>
          <w:sz w:val="20"/>
          <w:szCs w:val="20"/>
          <w:color w:val="auto"/>
        </w:rPr>
      </w:pPr>
    </w:p>
    <w:p>
      <w:pPr>
        <w:jc w:val="both"/>
        <w:spacing w:after="0" w:line="221" w:lineRule="exact"/>
        <w:rPr>
          <w:sz w:val="20"/>
          <w:szCs w:val="20"/>
          <w:color w:val="auto"/>
        </w:rPr>
      </w:pPr>
      <w:r>
        <w:rPr>
          <w:rFonts w:ascii="Times New Roman" w:cs="Times New Roman" w:eastAsia="Times New Roman" w:hAnsi="Times New Roman"/>
          <w:sz w:val="18"/>
          <w:szCs w:val="18"/>
          <w:i w:val="1"/>
          <w:iCs w:val="1"/>
          <w:color w:val="auto"/>
        </w:rPr>
        <w:t xml:space="preserve">Great Northern Transmission Line. </w:t>
      </w:r>
      <w:r>
        <w:rPr>
          <w:rFonts w:ascii="Times New Roman" w:cs="Times New Roman" w:eastAsia="Times New Roman" w:hAnsi="Times New Roman"/>
          <w:sz w:val="18"/>
          <w:szCs w:val="18"/>
          <w:color w:val="auto"/>
        </w:rPr>
        <w:t>As a condition of the 250-MW long-term PPA entered into with Manitoba Hydro, construction of additional transmission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capacity is required. As a result, Minnesota Power is constructing the GNTL, an approximately 220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mile 500-kV transmission line between Manitoba and Minnesota’s Iron Range that was proposed by Minnesota Power and Manitoba Hydro in order to strengthen the electric grid, enhance regional reliability and promote a greater exchange of sustainable energy.</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Second Quarter 2019 Form 10-Q</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11420"/>
          </w:cols>
          <w:pgMar w:left="240" w:top="1036" w:right="2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NOTE 7. COMMITMENTS, GUARANTEES AND CONTINGENCIES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Transmission (Continued)</w:t>
      </w:r>
    </w:p>
    <w:p>
      <w:pPr>
        <w:spacing w:after="0" w:line="207"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In a 2016 order, the MPUC approved the route permit for the GNTL, and in 2016, the U.S. Department of Energy issued a presidential permit to cross the U.S.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Canadian border, which was the final major regulatory approval needed before construction in the U.S. could begin. Construction activities commenced in the first quarter of 2017, and with construction on schedule, Minnesota Power expects the GNTL to be complete and in-service by mid-2020. The total project cost in the U.S., including substation work, is estimated to be approximately $750 million, of which Minnesota Power’s portion is expected to be approximately $345 million; the difference will be recovered from a subsidiary of Manitoba Hydro as non-shareholder contributions to capital. Total project costs of $510.8 million have been incurred through June 30, 2019, of which $272.7 million has been recovered from a subsidiary of Manitoba Hydro.</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2015, Manitoba Hydro submitted the final preferred route and EIS for the MMTP to the Manitoba Conservation and Water Stewardship for siting and environmental approval, which was received on April 4, 2019. In 2016, Manitoba Hydro filed an application with the Canadian National Energy Board (NEB) requesting authorization to construct and operate the MMTP, which was recommended for approval on November 15, 2018. On June 14, 2019, Manitoba Hydro announced Canada’s federal government approved the MMTP project, subject to certain compliance conditions.</w:t>
      </w:r>
    </w:p>
    <w:p>
      <w:pPr>
        <w:spacing w:after="0" w:line="180"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The MMTP is subject to legal and regulatory challenges which Minnesota Power is actively monitoring. Manitoba Hydro has informed Minnesota Power that it continues to work towards completing the MMTP on schedule. In order to meet the transmission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service requirements in PPAs with Minnesota Power, Manitoba Hydro has indicated that it would need to start construction of the MMTP by September 2019. We are unable to predict the outcome of the Canadian regulatory review process, including the timing thereof or whether any onerous conditions may be imposed, or the timing of the completion of the MMTP, including the impact of any delays that may result in construction schedule adjustments. In the event the MMTP is delayed and not in-service by June 1, 2020, Minnesota Power has construction and related agreements in place with Manitoba Hydro and a Manitoba Hydro subsidiary that will protect Minnesota Power and its customers.</w:t>
      </w:r>
    </w:p>
    <w:p>
      <w:pPr>
        <w:spacing w:after="0" w:line="20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Construction of Manitoba Hydro’s Keeyask hydroelectric generation facility, which will provide the power to be sold under PPAs with Minnesota Power and transmitted on the MMTP and the GNTL, commenced in 2014 and is anticipated to be in service by early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businesses are subject to regulation of environmental matters by various federal, state and local authorities. A number of regulatory changes to the Clean Air Act, the Clean Water Act and various waste management requirements have been promulgated by both the EPA and state authorities over the past several years. Minnesota Power’s facilities are subject to additional requirements under many of these regulations. Minnesota Power is reshaping its generation portfolio, over time, to reduce its reliance on coal, has installed cost-effective emission control technology, and advocates for sound science and policy during rulemaking implementation.</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consider our businesses to be in substantial compliance with currently applicable environmental regulations and believe all necessary permits have been obtained. We anticipate that with many state and federal environmental regulations and requirements finalized, or to be finalized in the near future, potential expenditures for future environmental matters may be material and require significant capital investments. Minnesota Power has evaluated various environmental compliance scenarios using possible outcomes of environmental regulations to project power supply trends and impacts on customers.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review environmental matters on a quarterly basis. Accruals for environmental matters are recorded when it is probable that a liability has been incurred and the amount of the liability can be reasonably estimated based on current law and existing technologies. Accruals are adjusted as assessment and remediation efforts progress, or as additional technical or legal information becomes available. Accruals for environmental liabilities are included in the Consolidated Balance Sheet at undiscounted amounts and exclude claims for recoveries from insurance or other third parties. Costs related to environmental contamination treatment and cleanup are expensed unless recoverable in rates from customers.</w:t>
      </w:r>
    </w:p>
    <w:p>
      <w:pPr>
        <w:spacing w:after="0" w:line="18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Air. </w:t>
      </w:r>
      <w:r>
        <w:rPr>
          <w:rFonts w:ascii="Times New Roman" w:cs="Times New Roman" w:eastAsia="Times New Roman" w:hAnsi="Times New Roman"/>
          <w:sz w:val="18"/>
          <w:szCs w:val="18"/>
          <w:color w:val="auto"/>
        </w:rPr>
        <w:t>The electric utility industry is regulated both at the federal and state level to address air emissions. Minnesota Power’s generating facilities mainly burn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low-sulfur western sub-bituminous coal. All of Minnesota Power’s coal-fired generating facilities are equipped with pollution control equipment such as scrubbers, baghouses and low NO</w:t>
      </w:r>
      <w:r>
        <w:rPr>
          <w:rFonts w:ascii="Times New Roman" w:cs="Times New Roman" w:eastAsia="Times New Roman" w:hAnsi="Times New Roman"/>
          <w:sz w:val="12"/>
          <w:szCs w:val="12"/>
          <w:color w:val="auto"/>
        </w:rPr>
        <w:t>X</w:t>
      </w:r>
      <w:r>
        <w:rPr>
          <w:rFonts w:ascii="Times New Roman" w:cs="Times New Roman" w:eastAsia="Times New Roman" w:hAnsi="Times New Roman"/>
          <w:sz w:val="18"/>
          <w:szCs w:val="18"/>
          <w:color w:val="auto"/>
        </w:rPr>
        <w:t xml:space="preserve"> technologies. Under currently applicable environmental regulations, these facilities are substantially compliant with emission requirements.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Second Quarter 2019 Form 10-Q</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11420"/>
          </w:cols>
          <w:pgMar w:left="240" w:top="1035"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NOTE 7. COMMITMENTS, GUARANTEES AND CONTINGENCIES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 (Continued)</w:t>
      </w:r>
    </w:p>
    <w:p>
      <w:pPr>
        <w:spacing w:after="0" w:line="20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Cross-State Air Pollution Rule (CSAPR). </w:t>
      </w:r>
      <w:r>
        <w:rPr>
          <w:rFonts w:ascii="Times New Roman" w:cs="Times New Roman" w:eastAsia="Times New Roman" w:hAnsi="Times New Roman"/>
          <w:sz w:val="18"/>
          <w:szCs w:val="18"/>
          <w:color w:val="auto"/>
        </w:rPr>
        <w:t>The CSAPR requires certain states in the eastern half of the U.S., including Minnesota, to reduce power plant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emissions that contribute to ozone or fine particulate pollution in other states. The CSAPR does not require installation of controls but does require facilities have sufficient allowances to cover their emissions on an annual basis. These allowances are allocated to facilities from each state’s annual budget, and can be bought and sold. Based on our review of the NO</w:t>
      </w:r>
      <w:r>
        <w:rPr>
          <w:rFonts w:ascii="Times New Roman" w:cs="Times New Roman" w:eastAsia="Times New Roman" w:hAnsi="Times New Roman"/>
          <w:sz w:val="12"/>
          <w:szCs w:val="12"/>
          <w:color w:val="auto"/>
        </w:rPr>
        <w:t>x</w:t>
      </w:r>
      <w:r>
        <w:rPr>
          <w:rFonts w:ascii="Times New Roman" w:cs="Times New Roman" w:eastAsia="Times New Roman" w:hAnsi="Times New Roman"/>
          <w:sz w:val="18"/>
          <w:szCs w:val="18"/>
          <w:color w:val="auto"/>
        </w:rPr>
        <w:t xml:space="preserve"> and SO</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 xml:space="preserve"> allowances issued and pending issuance, we currently expect generation levels and emission rates will result in continued compliance with the CSAPR.</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National Ambient Air Quality Standards (NAAQS). </w:t>
      </w:r>
      <w:r>
        <w:rPr>
          <w:rFonts w:ascii="Times New Roman" w:cs="Times New Roman" w:eastAsia="Times New Roman" w:hAnsi="Times New Roman"/>
          <w:sz w:val="18"/>
          <w:szCs w:val="18"/>
          <w:color w:val="auto"/>
        </w:rPr>
        <w:t>The EPA is required to review the NAAQS every five years. If the EPA determines that a state’s 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quality is not in compliance with the NAAQS, the state is required to adopt plans describing how it will reduce emissions to attain the NAAQS. None of the compliance costs for proposed or current NAAQS revisions are expected to be material.</w:t>
      </w:r>
    </w:p>
    <w:p>
      <w:pPr>
        <w:spacing w:after="0" w:line="17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Climate Change. </w:t>
      </w:r>
      <w:r>
        <w:rPr>
          <w:rFonts w:ascii="Times New Roman" w:cs="Times New Roman" w:eastAsia="Times New Roman" w:hAnsi="Times New Roman"/>
          <w:sz w:val="18"/>
          <w:szCs w:val="18"/>
          <w:color w:val="auto"/>
        </w:rPr>
        <w:t>The scientific community generally accepts that emissions of GHG are linked to global climate change which creates physical and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risks. Physical risks could include, but are not limited to: increased or decreased precipitation and water levels in lakes and rivers; increased temperatures; and changes in the intensity and frequency of extreme weather events. These all have the potential to affect the Company’s business and operations. We are addressing climate change by taking the following steps that also ensure reliable and environmentally compliant generation resources to meet our customers’ requirements:</w:t>
      </w:r>
    </w:p>
    <w:p>
      <w:pPr>
        <w:spacing w:after="0" w:line="184"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renewable power supply for both our operations and the operations of others;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energy conservation initiatives for our customers and engaging in other demand side management efforts;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efficiency of our generating facilities;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Supporting research of technologies to reduce carbon emissions from generating facilities and carbon sequestration efforts;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and developing less carbon intensive future generating assets such as efficient and flexible natural gas-fired generating facilities;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vegetation on right-of-way corridors to reduce potential wildfire or storm damage risks; and</w:t>
      </w:r>
    </w:p>
    <w:p>
      <w:pPr>
        <w:spacing w:after="0" w:line="9"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Practicing sound forestry management in our service territories to create landscapes more resilient to disruption from climate-related changes, including planting and managing long-lived conifer species.</w:t>
      </w:r>
    </w:p>
    <w:p>
      <w:pPr>
        <w:spacing w:after="0" w:line="17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EPA Regulation of GHG Emissions. </w:t>
      </w:r>
      <w:r>
        <w:rPr>
          <w:rFonts w:ascii="Times New Roman" w:cs="Times New Roman" w:eastAsia="Times New Roman" w:hAnsi="Times New Roman"/>
          <w:sz w:val="18"/>
          <w:szCs w:val="18"/>
          <w:color w:val="auto"/>
        </w:rPr>
        <w:t>On June 19, 2019, the EPA finalized several separate rulemakings regarding regulating carbon emissions from electric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utility generating units.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EPA repealed the Clean Power Plan (CPP), following a determination by the EPA that the CPP exceeded the EPA’s statutory authority under the Clean Air Act (CAA). The primary reason for this was that the CPP attempted to regulate electric generating unit’s carbon emissions through measures outside of the affected unit’s direct control. The CPP was first announced as a proposed rule under Section 111(d) of the Clean Air Act for existing power plants entitled “Carbon Pollution Emission Guidelines for Existing Stationary Sources: Electric Generating Units”.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the repeal of the CPP, the Affordable Clean Energy Rule was finalized. The rule establishes emissions guidelines for states to use when developing plans to limit carbon dioxide at coal-fired power plants. The rule identifies heat rate improvements made at individual units as the best system of emission reduction. Affected facilities for Minnesota Power include Boswell Units 3 and 4. Based on our initial review of the rule, many of the candidate heat rate improvements are already installed on Boswell Units 3 and 4.</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the EPA finalized new regulations for the state implementation of the Affordable Clean Energy Rule and any future emission guidelines issued under CAA Section 111(d). States will have three years to submit State Implementation Plans (SIP), and the EPA has 12 months to review and approve those plans. Since the Affordable Clean Energy Rule allows states considerable flexibility in how to best implement its requirements, Minnesota Power plans to work closely with the MPCA and the Minnesota Department of Commerce, who are currently co-reviewing the rule as the state develops its SIP. If a state does not submit a SIP or submits a SIP that is unacceptable to the EPA, the EPA will develop a Federal Implementation Plan.</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Minnesota had already initiated several measures consistent with those called for under the now repealed CPP and finalized Affordable Clean Energy Rule. Minnesota Power continues implementing its </w:t>
      </w:r>
      <w:r>
        <w:rPr>
          <w:rFonts w:ascii="Times New Roman" w:cs="Times New Roman" w:eastAsia="Times New Roman" w:hAnsi="Times New Roman"/>
          <w:sz w:val="18"/>
          <w:szCs w:val="18"/>
          <w:i w:val="1"/>
          <w:iCs w:val="1"/>
          <w:color w:val="auto"/>
        </w:rPr>
        <w:t>EnergyForward</w:t>
      </w:r>
      <w:r>
        <w:rPr>
          <w:rFonts w:ascii="Times New Roman" w:cs="Times New Roman" w:eastAsia="Times New Roman" w:hAnsi="Times New Roman"/>
          <w:sz w:val="18"/>
          <w:szCs w:val="18"/>
          <w:color w:val="auto"/>
        </w:rPr>
        <w:t xml:space="preserve"> strategic plan that provides for significant emission reductions and diversifying its electricity generation mix to include more renewable and natural gas energy. (See Note 2. Regulatory Matters.) We are unable to predict the GHG emission compliance costs we might incur as a result of the Affordable Clean Energy Rule and the resulting SIP; however, the costs could be material. Minnesota Power would seek recovery of additional costs through a rate proceeding.</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Second Quarter 2019 Form 10-Q</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11420"/>
          </w:cols>
          <w:pgMar w:left="240" w:top="1036" w:right="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NOTE 7. COMMITMENTS, GUARANTEES AND CONTINGENCIES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 (Continued)</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Water. </w:t>
      </w:r>
      <w:r>
        <w:rPr>
          <w:rFonts w:ascii="Times New Roman" w:cs="Times New Roman" w:eastAsia="Times New Roman" w:hAnsi="Times New Roman"/>
          <w:sz w:val="18"/>
          <w:szCs w:val="18"/>
          <w:color w:val="auto"/>
        </w:rPr>
        <w:t>The Clean Water Act requires NPDES permits be obtained from the EPA (or, when delegated, from individual state pollution control agencies) for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wastewater discharged into navigable waters. We have obtained all necessary NPDES permits, including NPDES storm water permits for applicable facilities, to conduct our operations.</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Steam Electric Power Generating Effluent Limitations Guidelines. </w:t>
      </w:r>
      <w:r>
        <w:rPr>
          <w:rFonts w:ascii="Times New Roman" w:cs="Times New Roman" w:eastAsia="Times New Roman" w:hAnsi="Times New Roman"/>
          <w:sz w:val="18"/>
          <w:szCs w:val="18"/>
          <w:color w:val="auto"/>
        </w:rPr>
        <w:t>In 2015, the EPA issued revised federal effluent limitation guidelines (ELG) for steam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electric power generating stations under the Clean Water Act. It set effluent limits and prescribed BACT for several wastewater streams, including flue gas desulphurization (FGD) water, bottom ash transport water and coal combustion landfill leachate. In 2017, the EPA announced a two-year postponement of the ELG compliance date of November 1, 2018, to November 1, 2020, while the agency reconsiders the bottom ash transport water and FGD wastewater provisions. On April 12, 2019, the U.S. Court of Appeals for the Fifth Circuit vacated and remanded back to the EPA portions of the ELG that allowed for continued discharge of legacy wastewater and leachate.</w:t>
      </w:r>
    </w:p>
    <w:p>
      <w:pPr>
        <w:spacing w:after="0" w:line="185"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The final ELG's potential impact on Minnesota Power operations is primarily at Boswell. Boswell currently discharges bottom ash contact water through its NPDES permit, and also has a closed-loop FGD system that does not discharge to surface waters, but may do so in the future. Under the existing ELG rule, bottom ash transport water discharge to surface waters must cease no later than December 31, 2023. Bottom ash contact water will either need to be re-used in a closed-loop process, routed to a FGD scrubber, or the bottom ash handling system will need to be converted to a dry process. If FGD wastewater is discharged in the future, it will require additional wastewater treatment. The ELG rule provision regarding these two waste-streams are being reconsidered and may change prior to November 1, 2020. Efforts have been underway at Boswell to reduce the amount of water discharged and evaluate potential 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 options in its plant processes. The EPA’s additional reconsideration of legacy wastewater discharge requirements have the potential to reduce time lines for dewatering Boswell’s existing bottom ash pond. The timing of a draft rule addressing legacy wastewater and leachate is currently unknown.</w:t>
      </w:r>
    </w:p>
    <w:p>
      <w:pPr>
        <w:spacing w:after="0" w:line="1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this time, we cannot estimate what compliance costs we might incur related to these or other potential future water discharge regulations; however, the costs could be material, including costs associated with retrofits for bottom ash handling, pond dewatering, pond closure, and wastewater treatment and re-use. Minnesota Power would seek recovery of additional costs through a rate proceeding.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Solid and Hazardous Waste. </w:t>
      </w:r>
      <w:r>
        <w:rPr>
          <w:rFonts w:ascii="Times New Roman" w:cs="Times New Roman" w:eastAsia="Times New Roman" w:hAnsi="Times New Roman"/>
          <w:sz w:val="18"/>
          <w:szCs w:val="18"/>
          <w:color w:val="auto"/>
        </w:rPr>
        <w:t>The Resource Conservation and Recovery Act of 1976 regulates the management and disposal of solid and hazardous wastes.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required to notify the EPA of hazardous waste activity and, consequently, routinely submit reports to the EPA.</w:t>
      </w:r>
    </w:p>
    <w:p>
      <w:pPr>
        <w:spacing w:after="0" w:line="2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Coal Ash Management Facilities. </w:t>
      </w:r>
      <w:r>
        <w:rPr>
          <w:rFonts w:ascii="Times New Roman" w:cs="Times New Roman" w:eastAsia="Times New Roman" w:hAnsi="Times New Roman"/>
          <w:sz w:val="18"/>
          <w:szCs w:val="18"/>
          <w:color w:val="auto"/>
        </w:rPr>
        <w:t>Minnesota Power stores or disposes coal ash at four of its electric generating facilities by the following methods: storing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ash in lined onsite impoundments (ash ponds), disposing of dry ash in a lined dry ash landfill, applying ash to land as an approved beneficial use and trucking ash to state permitted landfills.</w:t>
      </w:r>
    </w:p>
    <w:p>
      <w:pPr>
        <w:spacing w:after="0" w:line="1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Coal Combustion Residuals from Electric Utilities (CCR). </w:t>
      </w:r>
      <w:r>
        <w:rPr>
          <w:rFonts w:ascii="Times New Roman" w:cs="Times New Roman" w:eastAsia="Times New Roman" w:hAnsi="Times New Roman"/>
          <w:sz w:val="18"/>
          <w:szCs w:val="18"/>
          <w:color w:val="auto"/>
        </w:rPr>
        <w:t>In 2015, the EPA published the final rule regulating CCR as nonhazardous waste under Subtitle 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Resource Conservation and Recovery Act (RCRA) in the Federal Register. The rule includes additional requirements for new landfill and impoundment construction as well as closure activities related to certain existing impoundments. Costs of compliance for Boswell and Laskin are expected to occur primarily over the next 15 years and be between approximately $65 million and $120 million. The EPA has indicated to Minnesota Power that the landfill at Taconite Harbor, which has been idled and has a temporary landfill cover in place, is a CCR unit based on the EPA’s interpretation of the CCR rule language.</w:t>
      </w:r>
    </w:p>
    <w:p>
      <w:pPr>
        <w:spacing w:after="0" w:line="1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Minnesota Power has agreed to post the required CCR information for the Taconite Harbor landfill on Minnesota Power’s website while the CCR issue is resolved. Compliance costs for CCR at Taconite Harbor are not expected to be material. Minnesota Power would seek recovery of additional costs through a rate proceeding.</w:t>
      </w:r>
    </w:p>
    <w:p>
      <w:pPr>
        <w:spacing w:after="0" w:line="147" w:lineRule="exact"/>
        <w:rPr>
          <w:sz w:val="20"/>
          <w:szCs w:val="20"/>
          <w:color w:val="auto"/>
        </w:rPr>
      </w:pPr>
    </w:p>
    <w:p>
      <w:pPr>
        <w:jc w:val="both"/>
        <w:spacing w:after="0" w:line="223" w:lineRule="exact"/>
        <w:rPr>
          <w:sz w:val="20"/>
          <w:szCs w:val="20"/>
          <w:color w:val="auto"/>
        </w:rPr>
      </w:pPr>
      <w:r>
        <w:rPr>
          <w:rFonts w:ascii="Times New Roman" w:cs="Times New Roman" w:eastAsia="Times New Roman" w:hAnsi="Times New Roman"/>
          <w:sz w:val="18"/>
          <w:szCs w:val="18"/>
          <w:color w:val="auto"/>
        </w:rPr>
        <w:t>Minnesota Power continues to work on minimizing costs through evaluation of beneficial re-use and recycling of CCR and CCR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waters. In 2017, the EPA announced its intention to formally reconsider the CCR rule under Subtitle D of the RCRA and in March 2018, published the first phase of the proposed rule revisions in the Federal Register. In July 2018, the EPA finalized revisions to elements of the CCR rule, including extending certain deadlines by two years, the establishment of alternative groundwater protection standards for certain constituents and the potential for 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management options at facilities based on site characteristics. In August 2018, a U.S. District Court for the District of Columbia decision vacated specific provisions of the CCR rule. The court decision changes the status of three existing impoundments at Boswell that must now be considered unlined. Compliance costs at Boswell due to the court decision are unknown at this time. Minnesota Power would seek recovery of additional costs through a rate proceeding.</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Second Quarter 2019 Form 10-Q</w:t>
      </w:r>
    </w:p>
    <w:p>
      <w:pPr>
        <w:spacing w:after="0" w:line="17" w:lineRule="exact"/>
        <w:rPr>
          <w:sz w:val="20"/>
          <w:szCs w:val="20"/>
          <w:color w:val="auto"/>
        </w:rPr>
      </w:pPr>
    </w:p>
    <w:p>
      <w:pPr>
        <w:ind w:left="11280"/>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11420"/>
          </w:cols>
          <w:pgMar w:left="240" w:top="1036"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NOTE 7. COMMITMENTS, GUARANTEES AND CONTINGENCIES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Environmental Matters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Manufactured Gas Plant Site. </w:t>
      </w:r>
      <w:r>
        <w:rPr>
          <w:rFonts w:ascii="Times New Roman" w:cs="Times New Roman" w:eastAsia="Times New Roman" w:hAnsi="Times New Roman"/>
          <w:sz w:val="18"/>
          <w:szCs w:val="18"/>
          <w:color w:val="auto"/>
        </w:rPr>
        <w:t>We are reviewing and addressing environmental conditions at a former manufactured gas plant site located in Superior,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Wisconsin. SWL&amp;P has been working with the Wisconsin Department of Natural Resources (WDNR) in determining the extent of contamination at the site and surrounding properties. In December 2017, the WDNR authorized SWL&amp;P to transition from site investigation into the remedial design process. As of June 30, 2019, we have recorded a liability of approximately $7 million for remediation costs at this site (approximately $7 million as of December 31, 2018), and an associated regulatory asset as we expect recovery of these remediation costs to be allowed by the PSCW. Remediation costs are expected to be incurred through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ALLETE Clean Energy. </w:t>
      </w:r>
      <w:r>
        <w:rPr>
          <w:rFonts w:ascii="Times New Roman" w:cs="Times New Roman" w:eastAsia="Times New Roman" w:hAnsi="Times New Roman"/>
          <w:sz w:val="18"/>
          <w:szCs w:val="18"/>
          <w:color w:val="auto"/>
        </w:rPr>
        <w:t>ALLETE Clean Energy’s wind energy facilities have PSAs in place for their entire output and expire in various years between 2019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2032. As of June 30, 2019, ALLETE Clean Energy has $58.4 million outstanding in standby letters of credit.</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BNI Energy. </w:t>
      </w:r>
      <w:r>
        <w:rPr>
          <w:rFonts w:ascii="Times New Roman" w:cs="Times New Roman" w:eastAsia="Times New Roman" w:hAnsi="Times New Roman"/>
          <w:sz w:val="18"/>
          <w:szCs w:val="18"/>
          <w:color w:val="auto"/>
        </w:rPr>
        <w:t>As of June 30, 2019, BNI Energy had surety bonds outstanding of $66.5 million related to the reclamation liability for closing costs associated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its mine and mine facilities. Although its coal supply agreements obligate the customers to provide for the closing costs, additional assurance is required by federal and state regulations. BNI Energy’s total reclamation liability is currently estimated at $65.8 million. BNI Energy does not believe it is likely that any of these outstanding surety bonds will be drawn upon.</w:t>
      </w:r>
    </w:p>
    <w:p>
      <w:pPr>
        <w:spacing w:after="0" w:line="17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ALLETE Properties. </w:t>
      </w:r>
      <w:r>
        <w:rPr>
          <w:rFonts w:ascii="Times New Roman" w:cs="Times New Roman" w:eastAsia="Times New Roman" w:hAnsi="Times New Roman"/>
          <w:sz w:val="18"/>
          <w:szCs w:val="18"/>
          <w:color w:val="auto"/>
        </w:rPr>
        <w:t>As of June 30, 2019, ALLETE Properties had surety bonds outstanding and letters of credit to governmental entities totaling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$8.6 million primarily related to development and maintenance obligations for various projects. The estimated cost of the remaining development work is $6.1 million. ALLETE Properties does not believe it is likely that any of these outstanding surety bonds or letters of credit will be drawn upon.</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Community Development District Obligations. </w:t>
      </w:r>
      <w:r>
        <w:rPr>
          <w:rFonts w:ascii="Times New Roman" w:cs="Times New Roman" w:eastAsia="Times New Roman" w:hAnsi="Times New Roman"/>
          <w:sz w:val="18"/>
          <w:szCs w:val="18"/>
          <w:color w:val="auto"/>
        </w:rPr>
        <w:t>As of June 30, 2019, we owned 66 percent of the assessable land in the Town Center District (68 percent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December 31, 2018) and 12 percent of the assessable land in the Palm Coast Park District (19 percent as of December 31, 2018). As of June 30, 2019, ownership levels, our annual assessments related to capital improvement and special assessment bonds for the ALLETE Properties projects within these districts are approximately $1.4 million for Town Center at Palm Coast and $0.6 million for Palm Coast Park. As we sell property at these projects, the obligation to pay special assessments will pass to the new landowners. In accordance with accounting guidance, these bonds are not reflected as debt on our Consolidated Balance Sheet.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involved in litigation arising in the normal course of business. Also in the normal course of business, we are involved in tax, regulatory and other governmental audits, inspections, investigations and other proceedings that involve state and federal taxes, safety, and compliance with regulations, rate base and cost of service issues, among other things. We do not expect the outcome of these matters to have a material effect on our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Second Quarter 2019 Form 10-Q</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11420"/>
          </w:cols>
          <w:pgMar w:left="240" w:top="1036"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NOTE 8. EARNINGS PER SHARE AND COMMON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compute basic earnings per share using the weighted average number of shares of common stock outstanding during each period. The difference between basic and diluted earnings per share, if any, arises from non-vested restricted stock units and performance share awards granted under our Executive Long-Term Incentive Compensation Plan.</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Reconciliation of Basic and Diluted</w:t>
            </w:r>
          </w:p>
        </w:tc>
        <w:tc>
          <w:tcPr>
            <w:tcW w:w="1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vMerge w:val="continue"/>
          </w:tcPr>
          <w:p>
            <w:pPr>
              <w:spacing w:after="0"/>
              <w:rPr>
                <w:sz w:val="20"/>
                <w:szCs w:val="20"/>
                <w:color w:val="auto"/>
              </w:rPr>
            </w:pPr>
          </w:p>
        </w:tc>
        <w:tc>
          <w:tcPr>
            <w:tcW w:w="128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Dilutive</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Dilutive</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12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3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11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1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Millions Except Per Share Amounts</w:t>
            </w:r>
          </w:p>
        </w:tc>
        <w:tc>
          <w:tcPr>
            <w:tcW w:w="1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Quarter ended June 30,</w:t>
            </w:r>
          </w:p>
        </w:tc>
        <w:tc>
          <w:tcPr>
            <w:tcW w:w="1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$34.2</w:t>
            </w:r>
          </w:p>
        </w:tc>
        <w:tc>
          <w:tcPr>
            <w:tcW w:w="12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$31.3</w:t>
            </w:r>
          </w:p>
        </w:tc>
        <w:tc>
          <w:tcPr>
            <w:tcW w:w="13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Average Common Shares</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51.6</w:t>
            </w: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51.3</w:t>
            </w:r>
          </w:p>
        </w:tc>
        <w:tc>
          <w:tcPr>
            <w:tcW w:w="1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0.2</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51.5</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Earnings Per Share</w:t>
            </w: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$0.66</w:t>
            </w:r>
          </w:p>
        </w:tc>
        <w:tc>
          <w:tcPr>
            <w:tcW w:w="12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$0.61</w:t>
            </w:r>
          </w:p>
        </w:tc>
        <w:tc>
          <w:tcPr>
            <w:tcW w:w="13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$0.61</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$104.7</w:t>
            </w:r>
          </w:p>
        </w:tc>
        <w:tc>
          <w:tcPr>
            <w:tcW w:w="12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$104.7</w:t>
            </w:r>
          </w:p>
        </w:tc>
        <w:tc>
          <w:tcPr>
            <w:tcW w:w="10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$82.3</w:t>
            </w:r>
          </w:p>
        </w:tc>
        <w:tc>
          <w:tcPr>
            <w:tcW w:w="13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Average Common Shares</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51.6</w:t>
            </w: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51.2</w:t>
            </w:r>
          </w:p>
        </w:tc>
        <w:tc>
          <w:tcPr>
            <w:tcW w:w="1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0.2</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51.4</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Earnings Per Share</w:t>
            </w: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$2.03</w:t>
            </w:r>
          </w:p>
        </w:tc>
        <w:tc>
          <w:tcPr>
            <w:tcW w:w="12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$1.61</w:t>
            </w:r>
          </w:p>
        </w:tc>
        <w:tc>
          <w:tcPr>
            <w:tcW w:w="13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58"/>
        </w:trPr>
        <w:tc>
          <w:tcPr>
            <w:tcW w:w="4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9. INCOME TAX EXPENSE</w:t>
            </w:r>
          </w:p>
        </w:tc>
        <w:tc>
          <w:tcPr>
            <w:tcW w:w="1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0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80" w:type="dxa"/>
            <w:vAlign w:val="bottom"/>
            <w:gridSpan w:val="3"/>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244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70"/>
        </w:trPr>
        <w:tc>
          <w:tcPr>
            <w:tcW w:w="40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480" w:type="dxa"/>
            <w:vAlign w:val="bottom"/>
            <w:gridSpan w:val="3"/>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440" w:type="dxa"/>
            <w:vAlign w:val="bottom"/>
            <w:gridSpan w:val="2"/>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0" w:type="dxa"/>
            <w:vAlign w:val="bottom"/>
          </w:tcPr>
          <w:p>
            <w:pPr>
              <w:spacing w:after="0"/>
              <w:rPr>
                <w:sz w:val="1"/>
                <w:szCs w:val="1"/>
                <w:color w:val="auto"/>
              </w:rPr>
            </w:pPr>
          </w:p>
        </w:tc>
      </w:tr>
      <w:tr>
        <w:trPr>
          <w:trHeight w:val="270"/>
        </w:trPr>
        <w:tc>
          <w:tcPr>
            <w:tcW w:w="40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2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3"/>
                <w:szCs w:val="23"/>
                <w:color w:val="auto"/>
              </w:rPr>
            </w:pPr>
          </w:p>
        </w:tc>
        <w:tc>
          <w:tcPr>
            <w:tcW w:w="116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3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1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1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Current Income Tax Expense (Benefit) </w:t>
            </w:r>
            <w:r>
              <w:rPr>
                <w:rFonts w:ascii="Times New Roman" w:cs="Times New Roman" w:eastAsia="Times New Roman" w:hAnsi="Times New Roman"/>
                <w:sz w:val="16"/>
                <w:szCs w:val="16"/>
                <w:i w:val="1"/>
                <w:iCs w:val="1"/>
                <w:color w:val="auto"/>
              </w:rPr>
              <w:t>(a)</w:t>
            </w:r>
          </w:p>
        </w:tc>
        <w:tc>
          <w:tcPr>
            <w:tcW w:w="1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Federal</w:t>
            </w:r>
          </w:p>
        </w:tc>
        <w:tc>
          <w:tcPr>
            <w:tcW w:w="1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State</w:t>
            </w:r>
          </w:p>
        </w:tc>
        <w:tc>
          <w:tcPr>
            <w:tcW w:w="1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$(0.3)</w:t>
            </w:r>
          </w:p>
        </w:tc>
        <w:tc>
          <w:tcPr>
            <w:tcW w:w="130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$0.2</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37"/>
        </w:trPr>
        <w:tc>
          <w:tcPr>
            <w:tcW w:w="400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Total Current Income Tax Expense (Benefit)</w:t>
            </w:r>
          </w:p>
        </w:tc>
        <w:tc>
          <w:tcPr>
            <w:tcW w:w="1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$(0.3)</w:t>
            </w:r>
          </w:p>
        </w:tc>
        <w:tc>
          <w:tcPr>
            <w:tcW w:w="130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$0.2</w:t>
            </w:r>
          </w:p>
        </w:tc>
        <w:tc>
          <w:tcPr>
            <w:tcW w:w="11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Income Tax Expense (Benefit)</w:t>
            </w:r>
          </w:p>
        </w:tc>
        <w:tc>
          <w:tcPr>
            <w:tcW w:w="1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xml:space="preserve">Federal </w:t>
            </w:r>
            <w:r>
              <w:rPr>
                <w:rFonts w:ascii="Times New Roman" w:cs="Times New Roman" w:eastAsia="Times New Roman" w:hAnsi="Times New Roman"/>
                <w:sz w:val="16"/>
                <w:szCs w:val="16"/>
                <w:i w:val="1"/>
                <w:iCs w:val="1"/>
                <w:color w:val="auto"/>
              </w:rPr>
              <w:t>(b)</w:t>
            </w:r>
          </w:p>
        </w:tc>
        <w:tc>
          <w:tcPr>
            <w:tcW w:w="1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1"/>
                <w:szCs w:val="21"/>
                <w:color w:val="auto"/>
              </w:rPr>
            </w:pPr>
          </w:p>
        </w:tc>
        <w:tc>
          <w:tcPr>
            <w:tcW w:w="11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$(7.4)</w:t>
            </w:r>
          </w:p>
        </w:tc>
        <w:tc>
          <w:tcPr>
            <w:tcW w:w="13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$(16.8)</w:t>
            </w:r>
          </w:p>
        </w:tc>
        <w:tc>
          <w:tcPr>
            <w:tcW w:w="11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xml:space="preserve">State </w:t>
            </w:r>
            <w:r>
              <w:rPr>
                <w:rFonts w:ascii="Times New Roman" w:cs="Times New Roman" w:eastAsia="Times New Roman" w:hAnsi="Times New Roman"/>
                <w:sz w:val="16"/>
                <w:szCs w:val="16"/>
                <w:i w:val="1"/>
                <w:iCs w:val="1"/>
                <w:color w:val="auto"/>
              </w:rPr>
              <w:t>(c)</w:t>
            </w:r>
          </w:p>
        </w:tc>
        <w:tc>
          <w:tcPr>
            <w:tcW w:w="1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2.4</w:t>
            </w:r>
          </w:p>
        </w:tc>
        <w:tc>
          <w:tcPr>
            <w:tcW w:w="130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15.0</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Investment Tax Credit Amortization</w:t>
            </w:r>
          </w:p>
        </w:tc>
        <w:tc>
          <w:tcPr>
            <w:tcW w:w="1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11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(0.1)</w:t>
            </w:r>
          </w:p>
        </w:tc>
        <w:tc>
          <w:tcPr>
            <w:tcW w:w="13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(0.3)</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Deferred Income Tax Benefit</w:t>
            </w:r>
          </w:p>
        </w:tc>
        <w:tc>
          <w:tcPr>
            <w:tcW w:w="1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$(5.1)</w:t>
            </w:r>
          </w:p>
        </w:tc>
        <w:tc>
          <w:tcPr>
            <w:tcW w:w="130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$(2.1)</w:t>
            </w:r>
          </w:p>
        </w:tc>
        <w:tc>
          <w:tcPr>
            <w:tcW w:w="11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37"/>
        </w:trPr>
        <w:tc>
          <w:tcPr>
            <w:tcW w:w="40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Income Tax Benefit</w:t>
            </w:r>
          </w:p>
        </w:tc>
        <w:tc>
          <w:tcPr>
            <w:tcW w:w="1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$(5.4)</w:t>
            </w:r>
          </w:p>
        </w:tc>
        <w:tc>
          <w:tcPr>
            <w:tcW w:w="130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$(1.9)</w:t>
            </w:r>
          </w:p>
        </w:tc>
        <w:tc>
          <w:tcPr>
            <w:tcW w:w="114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jc w:val="both"/>
        <w:ind w:left="340" w:hanging="332"/>
        <w:spacing w:after="0" w:line="255" w:lineRule="auto"/>
        <w:tabs>
          <w:tab w:leader="none" w:pos="340" w:val="left"/>
        </w:tabs>
        <w:numPr>
          <w:ilvl w:val="0"/>
          <w:numId w:val="12"/>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For each of the six months ended June 30, 2019, and 2018, the federal and state current tax expense was minimal due to NOLs which resulted from the bonus depreciation provisions of the Protecting Americans from Tax Hikes Act of 2015, the Tax Increase Prevention Act of 2014 and the American Taxpayer Relief Act of 2012. Federal and state NOLs are being carried forward to offset current and future taxable income.</w:t>
      </w:r>
    </w:p>
    <w:p>
      <w:pPr>
        <w:ind w:left="340" w:hanging="332"/>
        <w:spacing w:after="0"/>
        <w:tabs>
          <w:tab w:leader="none" w:pos="340" w:val="left"/>
        </w:tabs>
        <w:numPr>
          <w:ilvl w:val="0"/>
          <w:numId w:val="12"/>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For each of the six months ended June 30, 2019, and 2018, the federal income tax benefit is primarily due to production tax credits.</w:t>
      </w:r>
    </w:p>
    <w:p>
      <w:pPr>
        <w:spacing w:after="0" w:line="5" w:lineRule="exact"/>
        <w:rPr>
          <w:rFonts w:ascii="Times New Roman" w:cs="Times New Roman" w:eastAsia="Times New Roman" w:hAnsi="Times New Roman"/>
          <w:sz w:val="16"/>
          <w:szCs w:val="16"/>
          <w:i w:val="1"/>
          <w:iCs w:val="1"/>
          <w:color w:val="auto"/>
        </w:rPr>
      </w:pPr>
    </w:p>
    <w:p>
      <w:pPr>
        <w:ind w:left="340" w:hanging="332"/>
        <w:spacing w:after="0"/>
        <w:tabs>
          <w:tab w:leader="none" w:pos="340" w:val="left"/>
        </w:tabs>
        <w:numPr>
          <w:ilvl w:val="0"/>
          <w:numId w:val="12"/>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For the six months ended June 30, 2019, the state income tax expense is primarily due to the sale of U.S. Water Services.</w:t>
      </w:r>
    </w:p>
    <w:p>
      <w:pPr>
        <w:spacing w:after="0" w:line="1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tax provision for interim periods is determined using an estimate of its annual effective tax rate, adjusted for discrete items arising in that quarter. In each quarter, the Company updates its estimate of the annual effective tax rate and if the estimated annual effective tax rate changes, the Company would make a cumulative adjustment in that quarter.</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Second Quarter 2019 Form 10-Q</w:t>
      </w:r>
    </w:p>
    <w:p>
      <w:pPr>
        <w:spacing w:after="0" w:line="17" w:lineRule="exact"/>
        <w:rPr>
          <w:sz w:val="20"/>
          <w:szCs w:val="20"/>
          <w:color w:val="auto"/>
        </w:rPr>
      </w:pPr>
    </w:p>
    <w:p>
      <w:pPr>
        <w:ind w:left="11280"/>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11420"/>
          </w:cols>
          <w:pgMar w:left="240" w:top="1036"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9. INCOME TAX EXPENSE (Continued)</w:t>
            </w:r>
          </w:p>
        </w:tc>
        <w:tc>
          <w:tcPr>
            <w:tcW w:w="2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59"/>
        </w:trPr>
        <w:tc>
          <w:tcPr>
            <w:tcW w:w="5680" w:type="dxa"/>
            <w:vAlign w:val="bottom"/>
          </w:tcPr>
          <w:p>
            <w:pPr>
              <w:spacing w:after="0"/>
              <w:rPr>
                <w:sz w:val="24"/>
                <w:szCs w:val="24"/>
                <w:color w:val="auto"/>
              </w:rPr>
            </w:pPr>
          </w:p>
        </w:tc>
        <w:tc>
          <w:tcPr>
            <w:tcW w:w="3420" w:type="dxa"/>
            <w:vAlign w:val="bottom"/>
            <w:gridSpan w:val="2"/>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232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70"/>
        </w:trPr>
        <w:tc>
          <w:tcPr>
            <w:tcW w:w="56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Reconciliation of Taxes from Federal Statutory</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Pr>
          <w:p>
            <w:pPr>
              <w:spacing w:after="0"/>
              <w:rPr>
                <w:sz w:val="23"/>
                <w:szCs w:val="23"/>
                <w:color w:val="auto"/>
              </w:rPr>
            </w:pPr>
          </w:p>
        </w:tc>
      </w:tr>
      <w:tr>
        <w:trPr>
          <w:trHeight w:val="270"/>
        </w:trPr>
        <w:tc>
          <w:tcPr>
            <w:tcW w:w="56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Rate to Total Income Tax Expense</w:t>
            </w:r>
          </w:p>
        </w:tc>
        <w:tc>
          <w:tcPr>
            <w:tcW w:w="246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9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46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8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56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56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2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56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60" w:type="dxa"/>
            <w:vAlign w:val="bottom"/>
            <w:tcBorders>
              <w:bottom w:val="single" w:sz="8" w:color="CCEEFF"/>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$29.4</w:t>
            </w: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$25.9</w:t>
            </w:r>
          </w:p>
        </w:tc>
        <w:tc>
          <w:tcPr>
            <w:tcW w:w="1460" w:type="dxa"/>
            <w:vAlign w:val="bottom"/>
            <w:tcBorders>
              <w:bottom w:val="single" w:sz="8" w:color="CCEEFF"/>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$102.8</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$73.2</w:t>
            </w:r>
          </w:p>
        </w:tc>
      </w:tr>
      <w:tr>
        <w:trPr>
          <w:trHeight w:val="243"/>
        </w:trPr>
        <w:tc>
          <w:tcPr>
            <w:tcW w:w="5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Statutory Federal Income Tax Rate</w:t>
            </w:r>
          </w:p>
        </w:tc>
        <w:tc>
          <w:tcPr>
            <w:tcW w:w="24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21%</w:t>
            </w: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21%</w:t>
            </w:r>
          </w:p>
        </w:tc>
        <w:tc>
          <w:tcPr>
            <w:tcW w:w="14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21%</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7"/>
        </w:trPr>
        <w:tc>
          <w:tcPr>
            <w:tcW w:w="56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5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Taxes Computed at Statutory Federal Rate</w:t>
            </w:r>
          </w:p>
        </w:tc>
        <w:tc>
          <w:tcPr>
            <w:tcW w:w="2460" w:type="dxa"/>
            <w:vAlign w:val="bottom"/>
            <w:tcBorders>
              <w:bottom w:val="single" w:sz="8" w:color="CCEEFF"/>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$6.2</w:t>
            </w: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$5.4</w:t>
            </w:r>
          </w:p>
        </w:tc>
        <w:tc>
          <w:tcPr>
            <w:tcW w:w="1460" w:type="dxa"/>
            <w:vAlign w:val="bottom"/>
            <w:tcBorders>
              <w:bottom w:val="single" w:sz="8" w:color="CCEEFF"/>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$21.6</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$15.4</w:t>
            </w:r>
          </w:p>
        </w:tc>
      </w:tr>
      <w:tr>
        <w:trPr>
          <w:trHeight w:val="243"/>
        </w:trPr>
        <w:tc>
          <w:tcPr>
            <w:tcW w:w="5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 (Decrease) in Income Tax Due to:</w:t>
            </w:r>
          </w:p>
        </w:tc>
        <w:tc>
          <w:tcPr>
            <w:tcW w:w="24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56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State Income Taxes – Net of Federal Income Tax Benefit</w:t>
            </w:r>
          </w:p>
        </w:tc>
        <w:tc>
          <w:tcPr>
            <w:tcW w:w="2460" w:type="dxa"/>
            <w:vAlign w:val="bottom"/>
            <w:tcBorders>
              <w:bottom w:val="single" w:sz="8" w:color="CCEEFF"/>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1.9</w:t>
            </w: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w:t>
            </w:r>
          </w:p>
        </w:tc>
        <w:tc>
          <w:tcPr>
            <w:tcW w:w="1460" w:type="dxa"/>
            <w:vAlign w:val="bottom"/>
            <w:tcBorders>
              <w:bottom w:val="single" w:sz="8" w:color="CCEEFF"/>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12.0</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4.2</w:t>
            </w:r>
          </w:p>
        </w:tc>
      </w:tr>
      <w:tr>
        <w:trPr>
          <w:trHeight w:val="243"/>
        </w:trPr>
        <w:tc>
          <w:tcPr>
            <w:tcW w:w="5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Production Tax Credits</w:t>
            </w:r>
          </w:p>
        </w:tc>
        <w:tc>
          <w:tcPr>
            <w:tcW w:w="24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(9.8)</w:t>
            </w:r>
          </w:p>
        </w:tc>
        <w:tc>
          <w:tcPr>
            <w:tcW w:w="9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(11.2)</w:t>
            </w:r>
          </w:p>
        </w:tc>
        <w:tc>
          <w:tcPr>
            <w:tcW w:w="14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(26.1)</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(25.6)</w:t>
            </w:r>
          </w:p>
        </w:tc>
      </w:tr>
      <w:tr>
        <w:trPr>
          <w:trHeight w:val="27"/>
        </w:trPr>
        <w:tc>
          <w:tcPr>
            <w:tcW w:w="56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Regulatory Differences – Excess Deferred Tax</w:t>
            </w:r>
          </w:p>
        </w:tc>
        <w:tc>
          <w:tcPr>
            <w:tcW w:w="2460" w:type="dxa"/>
            <w:vAlign w:val="bottom"/>
            <w:tcBorders>
              <w:bottom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(1.6)</w:t>
            </w:r>
          </w:p>
        </w:tc>
        <w:tc>
          <w:tcPr>
            <w:tcW w:w="96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(2.2)</w:t>
            </w:r>
          </w:p>
        </w:tc>
        <w:tc>
          <w:tcPr>
            <w:tcW w:w="1460" w:type="dxa"/>
            <w:vAlign w:val="bottom"/>
            <w:tcBorders>
              <w:bottom w:val="single" w:sz="8" w:color="CCEEFF"/>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(4.8)</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w:t>
            </w:r>
          </w:p>
        </w:tc>
      </w:tr>
      <w:tr>
        <w:trPr>
          <w:trHeight w:val="243"/>
        </w:trPr>
        <w:tc>
          <w:tcPr>
            <w:tcW w:w="5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U.S. Water Services Sale of Stock Basis Difference</w:t>
            </w:r>
          </w:p>
        </w:tc>
        <w:tc>
          <w:tcPr>
            <w:tcW w:w="24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(0.7)</w:t>
            </w: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1.7</w:t>
            </w: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6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Share-Based Compensation</w:t>
            </w:r>
          </w:p>
        </w:tc>
        <w:tc>
          <w:tcPr>
            <w:tcW w:w="2460" w:type="dxa"/>
            <w:vAlign w:val="bottom"/>
            <w:tcBorders>
              <w:bottom w:val="single" w:sz="8" w:color="CCEEFF"/>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(0.9)</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(0.5)</w:t>
            </w:r>
          </w:p>
        </w:tc>
      </w:tr>
      <w:tr>
        <w:trPr>
          <w:trHeight w:val="243"/>
        </w:trPr>
        <w:tc>
          <w:tcPr>
            <w:tcW w:w="5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24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(0.8)</w:t>
            </w: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1.0</w:t>
            </w:r>
          </w:p>
        </w:tc>
        <w:tc>
          <w:tcPr>
            <w:tcW w:w="14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(5.4)</w:t>
            </w: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1.8</w:t>
            </w:r>
          </w:p>
        </w:tc>
      </w:tr>
      <w:tr>
        <w:trPr>
          <w:trHeight w:val="27"/>
        </w:trPr>
        <w:tc>
          <w:tcPr>
            <w:tcW w:w="56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5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Income Tax Benefit</w:t>
            </w:r>
          </w:p>
        </w:tc>
        <w:tc>
          <w:tcPr>
            <w:tcW w:w="2460" w:type="dxa"/>
            <w:vAlign w:val="bottom"/>
            <w:tcBorders>
              <w:bottom w:val="single" w:sz="8" w:color="CCEEFF"/>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$(4.8)</w:t>
            </w:r>
          </w:p>
        </w:tc>
        <w:tc>
          <w:tcPr>
            <w:tcW w:w="96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$(5.4)</w:t>
            </w:r>
          </w:p>
        </w:tc>
        <w:tc>
          <w:tcPr>
            <w:tcW w:w="1460" w:type="dxa"/>
            <w:vAlign w:val="bottom"/>
            <w:tcBorders>
              <w:bottom w:val="single" w:sz="8" w:color="CCEEFF"/>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$(1.9)</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$(9.1)</w:t>
            </w:r>
          </w:p>
        </w:tc>
      </w:tr>
      <w:tr>
        <w:trPr>
          <w:trHeight w:val="20"/>
        </w:trPr>
        <w:tc>
          <w:tcPr>
            <w:tcW w:w="5680" w:type="dxa"/>
            <w:vAlign w:val="bottom"/>
            <w:shd w:val="clear" w:color="auto" w:fill="000000"/>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six months ended June 30, 2019, the effective tax rate was a benefit of 1.8 percent (benefit of 12.4 percent for the six months ended June 30, 2018).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effective tax rate for 2019 was a lower benefit primarily due to a higher tax rate on the gain on the sale of U.S. Water Services and higher pre-tax income.</w:t>
      </w:r>
    </w:p>
    <w:p>
      <w:pPr>
        <w:spacing w:after="0" w:line="20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Uncertain Tax Positions. </w:t>
      </w:r>
      <w:r>
        <w:rPr>
          <w:rFonts w:ascii="Times New Roman" w:cs="Times New Roman" w:eastAsia="Times New Roman" w:hAnsi="Times New Roman"/>
          <w:sz w:val="18"/>
          <w:szCs w:val="18"/>
          <w:color w:val="auto"/>
        </w:rPr>
        <w:t>As of June 30, 2019, we had gross unrecognized tax benefits of $1.3 million ($1.6 million as of December 31, 2018). Of the total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gross unrecognized tax benefits, $0.6 million represents the amount of unrecognized tax benefits included on the Consolidated Balance Sheet that, if recognized, would favorably impact the effective income tax rate. The unrecognized tax benefit amounts have been presented as reductions to the tax benefits associated with NOL and tax credit carryforwards on the Consolidated Balance Sheet.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ALLETE and its subsidiaries file a consolidated federal income tax return as well as combined and separate state income tax returns in various jurisdictions.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ALLETE has no open federal or state audits, and is no longer subject to federal examination for years before 2015, or state examination for years before 2014.</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Second Quarter 2019 Form 10-Q</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11420"/>
          </w:cols>
          <w:pgMar w:left="240" w:top="1036"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8"/>
        </w:trPr>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10. PENSION AND OTHER POSTRETIREMENT BENEFIT PLANS</w:t>
            </w:r>
          </w:p>
        </w:tc>
        <w:tc>
          <w:tcPr>
            <w:tcW w:w="16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37"/>
        </w:trPr>
        <w:tc>
          <w:tcPr>
            <w:tcW w:w="64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w w:val="95"/>
              </w:rPr>
              <w:t>Other</w:t>
            </w:r>
          </w:p>
        </w:tc>
      </w:tr>
      <w:tr>
        <w:trPr>
          <w:trHeight w:val="238"/>
        </w:trPr>
        <w:tc>
          <w:tcPr>
            <w:tcW w:w="64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Pension</w:t>
            </w:r>
          </w:p>
        </w:tc>
        <w:tc>
          <w:tcPr>
            <w:tcW w:w="920" w:type="dxa"/>
            <w:vAlign w:val="bottom"/>
          </w:tcPr>
          <w:p>
            <w:pPr>
              <w:spacing w:after="0"/>
              <w:rPr>
                <w:sz w:val="20"/>
                <w:szCs w:val="20"/>
                <w:color w:val="auto"/>
              </w:rPr>
            </w:pPr>
          </w:p>
        </w:tc>
        <w:tc>
          <w:tcPr>
            <w:tcW w:w="236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Postretirement</w:t>
            </w:r>
          </w:p>
        </w:tc>
      </w:tr>
      <w:tr>
        <w:trPr>
          <w:trHeight w:val="270"/>
        </w:trPr>
        <w:tc>
          <w:tcPr>
            <w:tcW w:w="64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Components of Net Periodic Benefit Cost</w:t>
            </w:r>
          </w:p>
        </w:tc>
        <w:tc>
          <w:tcPr>
            <w:tcW w:w="166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9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64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64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16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64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Quarter Ended June 30,</w:t>
            </w:r>
          </w:p>
        </w:tc>
        <w:tc>
          <w:tcPr>
            <w:tcW w:w="16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6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Service Cost</w:t>
            </w:r>
          </w:p>
        </w:tc>
        <w:tc>
          <w:tcPr>
            <w:tcW w:w="16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$2.4</w:t>
            </w:r>
          </w:p>
        </w:tc>
        <w:tc>
          <w:tcPr>
            <w:tcW w:w="9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$2.8</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64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Non-Service Cost Components </w:t>
            </w:r>
            <w:r>
              <w:rPr>
                <w:rFonts w:ascii="Times New Roman" w:cs="Times New Roman" w:eastAsia="Times New Roman" w:hAnsi="Times New Roman"/>
                <w:sz w:val="16"/>
                <w:szCs w:val="16"/>
                <w:i w:val="1"/>
                <w:iCs w:val="1"/>
                <w:color w:val="auto"/>
              </w:rPr>
              <w:t>(a)</w:t>
            </w:r>
          </w:p>
        </w:tc>
        <w:tc>
          <w:tcPr>
            <w:tcW w:w="16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Cost</w:t>
            </w:r>
          </w:p>
        </w:tc>
        <w:tc>
          <w:tcPr>
            <w:tcW w:w="16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8.0</w:t>
            </w:r>
          </w:p>
        </w:tc>
        <w:tc>
          <w:tcPr>
            <w:tcW w:w="9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7.4</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w:t>
            </w:r>
          </w:p>
        </w:tc>
      </w:tr>
      <w:tr>
        <w:trPr>
          <w:trHeight w:val="27"/>
        </w:trPr>
        <w:tc>
          <w:tcPr>
            <w:tcW w:w="64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660" w:type="dxa"/>
            <w:vAlign w:val="bottom"/>
            <w:tcBorders>
              <w:bottom w:val="single" w:sz="8" w:color="CCEEFF"/>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(11.1)</w:t>
            </w:r>
          </w:p>
        </w:tc>
        <w:tc>
          <w:tcPr>
            <w:tcW w:w="92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(11.1)</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(2.8)</w:t>
            </w:r>
          </w:p>
        </w:tc>
      </w:tr>
      <w:tr>
        <w:trPr>
          <w:trHeight w:val="243"/>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Prior Service Credits</w:t>
            </w:r>
          </w:p>
        </w:tc>
        <w:tc>
          <w:tcPr>
            <w:tcW w:w="166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(0.1)</w:t>
            </w:r>
          </w:p>
        </w:tc>
        <w:tc>
          <w:tcPr>
            <w:tcW w:w="9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(0.5)</w:t>
            </w:r>
          </w:p>
        </w:tc>
      </w:tr>
      <w:tr>
        <w:trPr>
          <w:trHeight w:val="27"/>
        </w:trPr>
        <w:tc>
          <w:tcPr>
            <w:tcW w:w="64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6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Net Loss</w:t>
            </w:r>
          </w:p>
        </w:tc>
        <w:tc>
          <w:tcPr>
            <w:tcW w:w="1660" w:type="dxa"/>
            <w:vAlign w:val="bottom"/>
            <w:tcBorders>
              <w:bottom w:val="single" w:sz="8" w:color="CCEEFF"/>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1.9</w:t>
            </w:r>
          </w:p>
        </w:tc>
        <w:tc>
          <w:tcPr>
            <w:tcW w:w="92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r>
      <w:tr>
        <w:trPr>
          <w:trHeight w:val="237"/>
        </w:trPr>
        <w:tc>
          <w:tcPr>
            <w:tcW w:w="64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166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$1.1</w:t>
            </w:r>
          </w:p>
        </w:tc>
        <w:tc>
          <w:tcPr>
            <w:tcW w:w="92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$2.1</w:t>
            </w:r>
          </w:p>
        </w:tc>
        <w:tc>
          <w:tcPr>
            <w:tcW w:w="9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$(0.1)</w:t>
            </w:r>
          </w:p>
        </w:tc>
        <w:tc>
          <w:tcPr>
            <w:tcW w:w="14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4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648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r>
        <w:trPr>
          <w:trHeight w:val="243"/>
        </w:trPr>
        <w:tc>
          <w:tcPr>
            <w:tcW w:w="64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6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64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Service Cost</w:t>
            </w:r>
          </w:p>
        </w:tc>
        <w:tc>
          <w:tcPr>
            <w:tcW w:w="1660" w:type="dxa"/>
            <w:vAlign w:val="bottom"/>
            <w:tcBorders>
              <w:bottom w:val="single" w:sz="8" w:color="CCEEFF"/>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$4.7</w:t>
            </w:r>
          </w:p>
        </w:tc>
        <w:tc>
          <w:tcPr>
            <w:tcW w:w="92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$5.5</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w:t>
            </w:r>
          </w:p>
        </w:tc>
      </w:tr>
      <w:tr>
        <w:trPr>
          <w:trHeight w:val="243"/>
        </w:trPr>
        <w:tc>
          <w:tcPr>
            <w:tcW w:w="6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Non-Service Cost Components </w:t>
            </w:r>
            <w:r>
              <w:rPr>
                <w:rFonts w:ascii="Times New Roman" w:cs="Times New Roman" w:eastAsia="Times New Roman" w:hAnsi="Times New Roman"/>
                <w:sz w:val="16"/>
                <w:szCs w:val="16"/>
                <w:i w:val="1"/>
                <w:iCs w:val="1"/>
                <w:color w:val="auto"/>
              </w:rPr>
              <w:t>(a)</w:t>
            </w:r>
          </w:p>
        </w:tc>
        <w:tc>
          <w:tcPr>
            <w:tcW w:w="16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64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Cost</w:t>
            </w:r>
          </w:p>
        </w:tc>
        <w:tc>
          <w:tcPr>
            <w:tcW w:w="1660" w:type="dxa"/>
            <w:vAlign w:val="bottom"/>
            <w:tcBorders>
              <w:bottom w:val="single" w:sz="8" w:color="CCEEFF"/>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16.0</w:t>
            </w:r>
          </w:p>
        </w:tc>
        <w:tc>
          <w:tcPr>
            <w:tcW w:w="92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14.8</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w:t>
            </w:r>
          </w:p>
        </w:tc>
      </w:tr>
      <w:tr>
        <w:trPr>
          <w:trHeight w:val="243"/>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66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(22.1)</w:t>
            </w:r>
          </w:p>
        </w:tc>
        <w:tc>
          <w:tcPr>
            <w:tcW w:w="9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(22.1)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(5.5)</w:t>
            </w:r>
          </w:p>
        </w:tc>
      </w:tr>
      <w:tr>
        <w:trPr>
          <w:trHeight w:val="27"/>
        </w:trPr>
        <w:tc>
          <w:tcPr>
            <w:tcW w:w="64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Prior Service Credits</w:t>
            </w:r>
          </w:p>
        </w:tc>
        <w:tc>
          <w:tcPr>
            <w:tcW w:w="1660" w:type="dxa"/>
            <w:vAlign w:val="bottom"/>
            <w:tcBorders>
              <w:bottom w:val="single" w:sz="8" w:color="CCEEFF"/>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(0.1)</w:t>
            </w:r>
          </w:p>
        </w:tc>
        <w:tc>
          <w:tcPr>
            <w:tcW w:w="92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(0.9)</w:t>
            </w:r>
          </w:p>
        </w:tc>
      </w:tr>
      <w:tr>
        <w:trPr>
          <w:trHeight w:val="243"/>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Net Loss</w:t>
            </w:r>
          </w:p>
        </w:tc>
        <w:tc>
          <w:tcPr>
            <w:tcW w:w="16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3.7</w:t>
            </w:r>
          </w:p>
        </w:tc>
        <w:tc>
          <w:tcPr>
            <w:tcW w:w="9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6.0</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0.4</w:t>
            </w:r>
          </w:p>
        </w:tc>
      </w:tr>
      <w:tr>
        <w:trPr>
          <w:trHeight w:val="27"/>
        </w:trPr>
        <w:tc>
          <w:tcPr>
            <w:tcW w:w="64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6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1660" w:type="dxa"/>
            <w:vAlign w:val="bottom"/>
            <w:tcBorders>
              <w:bottom w:val="single" w:sz="8" w:color="CCEEFF"/>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$2.2</w:t>
            </w:r>
          </w:p>
        </w:tc>
        <w:tc>
          <w:tcPr>
            <w:tcW w:w="92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$4.2</w:t>
            </w:r>
          </w:p>
        </w:tc>
        <w:tc>
          <w:tcPr>
            <w:tcW w:w="9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$(0.1)</w:t>
            </w:r>
          </w:p>
        </w:tc>
        <w:tc>
          <w:tcPr>
            <w:tcW w:w="14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r>
      <w:tr>
        <w:trPr>
          <w:trHeight w:val="20"/>
        </w:trPr>
        <w:tc>
          <w:tcPr>
            <w:tcW w:w="648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i w:val="1"/>
          <w:iCs w:val="1"/>
          <w:color w:val="auto"/>
        </w:rPr>
        <w:t>(a)</w:t>
        <w:tab/>
        <w:t>These components of net periodic benefit cost are included in the line item “Other” under Other Income (Expense) on the Consolidated Statement of Income.</w:t>
      </w:r>
    </w:p>
    <w:p>
      <w:pPr>
        <w:spacing w:after="0" w:line="18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Employer Contributions. </w:t>
      </w:r>
      <w:r>
        <w:rPr>
          <w:rFonts w:ascii="Times New Roman" w:cs="Times New Roman" w:eastAsia="Times New Roman" w:hAnsi="Times New Roman"/>
          <w:sz w:val="18"/>
          <w:szCs w:val="18"/>
          <w:color w:val="auto"/>
        </w:rPr>
        <w:t>For the six months ended June 30, 2019, we contributed $10.4 million in cash to the defined benefit pension plans ($15.0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six months ended June 30, 2018); we do not expect to make additional contributions to our defined benefit pension plans in 2019. For the six months ended June 30, 2019, and 2018, we made no contributions to our other postretirement benefit plans; we do not expect to make any contributions to our other postretirement benefit plans in 2019.</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BUSINESS SEGMENTS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present three reportable segments: Regulated Operations, ALLETE Clean Energy and U.S. Water Services. We measure performance of our operations through budgeting and monitoring of contributions to consolidated net income by each business segment.</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Regulated Operations includes three operating segments which consist of our regulated utilities, Minnesota Power and SWL&amp;P, as well as our investment in ATC. ALLETE Clean Energy is our business focused on developing, acquiring and operating clean and renewable energy projects. U.S. Water Services was our integrated water management company, which reflects operating results until the closing date of its sale on March 26, 2019. The ALLETE Clean Energy and U.S. Water Services reportable segments comprise our Energy Infrastructure and Related Services businesses. We also present Corporate and Other which includes two operating segments, BNI Energy, our coal mining operations in North Dakota, and ALLETE Properties, our legacy Florida real estate investment, along with our investment in Nobles 2, other business development and corporate expenditures, unallocated interest expense, a small amount of non-rate base generation, approximately 4,000 acres of land in Minnesota, and earnings on cash and investments.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Second Quarter 2019 Form 10-Q</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11420"/>
          </w:cols>
          <w:pgMar w:left="240" w:top="1036" w:right="239" w:bottom="1440" w:gutter="0" w:footer="0" w:header="0"/>
        </w:sectPr>
      </w:pPr>
    </w:p>
    <w:bookmarkStart w:id="29" w:name="page30"/>
    <w:bookmarkEnd w:id="29"/>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11. BUSINESS SEGMENTS (Continued)</w:t>
            </w:r>
          </w:p>
        </w:tc>
        <w:tc>
          <w:tcPr>
            <w:tcW w:w="2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32"/>
        </w:trPr>
        <w:tc>
          <w:tcPr>
            <w:tcW w:w="5540" w:type="dxa"/>
            <w:vAlign w:val="bottom"/>
          </w:tcPr>
          <w:p>
            <w:pPr>
              <w:spacing w:after="0"/>
              <w:rPr>
                <w:sz w:val="24"/>
                <w:szCs w:val="24"/>
                <w:color w:val="auto"/>
              </w:rPr>
            </w:pPr>
          </w:p>
        </w:tc>
        <w:tc>
          <w:tcPr>
            <w:tcW w:w="368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220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70"/>
        </w:trPr>
        <w:tc>
          <w:tcPr>
            <w:tcW w:w="5540" w:type="dxa"/>
            <w:vAlign w:val="bottom"/>
          </w:tcPr>
          <w:p>
            <w:pPr>
              <w:spacing w:after="0"/>
              <w:rPr>
                <w:sz w:val="23"/>
                <w:szCs w:val="23"/>
                <w:color w:val="auto"/>
              </w:rPr>
            </w:pPr>
          </w:p>
        </w:tc>
        <w:tc>
          <w:tcPr>
            <w:tcW w:w="368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60" w:type="dxa"/>
            <w:vAlign w:val="bottom"/>
          </w:tcPr>
          <w:p>
            <w:pPr>
              <w:spacing w:after="0"/>
              <w:rPr>
                <w:sz w:val="23"/>
                <w:szCs w:val="23"/>
                <w:color w:val="auto"/>
              </w:rPr>
            </w:pPr>
          </w:p>
        </w:tc>
      </w:tr>
      <w:tr>
        <w:trPr>
          <w:trHeight w:val="270"/>
        </w:trPr>
        <w:tc>
          <w:tcPr>
            <w:tcW w:w="5540" w:type="dxa"/>
            <w:vAlign w:val="bottom"/>
          </w:tcPr>
          <w:p>
            <w:pPr>
              <w:spacing w:after="0"/>
              <w:rPr>
                <w:sz w:val="23"/>
                <w:szCs w:val="23"/>
                <w:color w:val="auto"/>
              </w:rPr>
            </w:pPr>
          </w:p>
        </w:tc>
        <w:tc>
          <w:tcPr>
            <w:tcW w:w="25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1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44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7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2018</w:t>
            </w:r>
          </w:p>
        </w:tc>
      </w:tr>
      <w:tr>
        <w:trPr>
          <w:trHeight w:val="27"/>
        </w:trPr>
        <w:tc>
          <w:tcPr>
            <w:tcW w:w="55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55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2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7"/>
        </w:trPr>
        <w:tc>
          <w:tcPr>
            <w:tcW w:w="55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Revenue</w:t>
            </w:r>
          </w:p>
        </w:tc>
        <w:tc>
          <w:tcPr>
            <w:tcW w:w="25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Regulated Operations</w:t>
            </w:r>
          </w:p>
        </w:tc>
        <w:tc>
          <w:tcPr>
            <w:tcW w:w="25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55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Residential</w:t>
            </w:r>
          </w:p>
        </w:tc>
        <w:tc>
          <w:tcPr>
            <w:tcW w:w="25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$29.2</w:t>
            </w:r>
          </w:p>
        </w:tc>
        <w:tc>
          <w:tcPr>
            <w:tcW w:w="11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$30.7</w:t>
            </w:r>
          </w:p>
        </w:tc>
        <w:tc>
          <w:tcPr>
            <w:tcW w:w="144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$74.4</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$71.4</w:t>
            </w:r>
          </w:p>
        </w:tc>
      </w:tr>
      <w:tr>
        <w:trPr>
          <w:trHeight w:val="243"/>
        </w:trPr>
        <w:tc>
          <w:tcPr>
            <w:tcW w:w="5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Commercial</w:t>
            </w:r>
          </w:p>
        </w:tc>
        <w:tc>
          <w:tcPr>
            <w:tcW w:w="2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34.9</w:t>
            </w: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36.2</w:t>
            </w:r>
          </w:p>
        </w:tc>
        <w:tc>
          <w:tcPr>
            <w:tcW w:w="14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73.8</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72.8</w:t>
            </w:r>
          </w:p>
        </w:tc>
      </w:tr>
      <w:tr>
        <w:trPr>
          <w:trHeight w:val="27"/>
        </w:trPr>
        <w:tc>
          <w:tcPr>
            <w:tcW w:w="55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Municipal</w:t>
            </w:r>
          </w:p>
        </w:tc>
        <w:tc>
          <w:tcPr>
            <w:tcW w:w="25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12.2</w:t>
            </w:r>
          </w:p>
        </w:tc>
        <w:tc>
          <w:tcPr>
            <w:tcW w:w="11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13.7</w:t>
            </w:r>
          </w:p>
        </w:tc>
        <w:tc>
          <w:tcPr>
            <w:tcW w:w="144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27.6</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27.7</w:t>
            </w:r>
          </w:p>
        </w:tc>
      </w:tr>
      <w:tr>
        <w:trPr>
          <w:trHeight w:val="243"/>
        </w:trPr>
        <w:tc>
          <w:tcPr>
            <w:tcW w:w="5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Industrial</w:t>
            </w:r>
          </w:p>
        </w:tc>
        <w:tc>
          <w:tcPr>
            <w:tcW w:w="2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120.3</w:t>
            </w: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115.3</w:t>
            </w:r>
          </w:p>
        </w:tc>
        <w:tc>
          <w:tcPr>
            <w:tcW w:w="14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241.9</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230.2</w:t>
            </w:r>
          </w:p>
        </w:tc>
      </w:tr>
      <w:tr>
        <w:trPr>
          <w:trHeight w:val="27"/>
        </w:trPr>
        <w:tc>
          <w:tcPr>
            <w:tcW w:w="55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Power Suppliers</w:t>
            </w:r>
          </w:p>
        </w:tc>
        <w:tc>
          <w:tcPr>
            <w:tcW w:w="25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35.2</w:t>
            </w:r>
          </w:p>
        </w:tc>
        <w:tc>
          <w:tcPr>
            <w:tcW w:w="11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42.7</w:t>
            </w:r>
          </w:p>
        </w:tc>
        <w:tc>
          <w:tcPr>
            <w:tcW w:w="144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74.6</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86.4</w:t>
            </w:r>
          </w:p>
        </w:tc>
      </w:tr>
      <w:tr>
        <w:trPr>
          <w:trHeight w:val="243"/>
        </w:trPr>
        <w:tc>
          <w:tcPr>
            <w:tcW w:w="5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2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18.0</w:t>
            </w: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19.2</w:t>
            </w:r>
          </w:p>
        </w:tc>
        <w:tc>
          <w:tcPr>
            <w:tcW w:w="14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39.7</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39.5</w:t>
            </w:r>
          </w:p>
        </w:tc>
      </w:tr>
      <w:tr>
        <w:trPr>
          <w:trHeight w:val="27"/>
        </w:trPr>
        <w:tc>
          <w:tcPr>
            <w:tcW w:w="55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5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Regulated Operations</w:t>
            </w:r>
          </w:p>
        </w:tc>
        <w:tc>
          <w:tcPr>
            <w:tcW w:w="25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249.8</w:t>
            </w:r>
          </w:p>
        </w:tc>
        <w:tc>
          <w:tcPr>
            <w:tcW w:w="11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257.8</w:t>
            </w:r>
          </w:p>
        </w:tc>
        <w:tc>
          <w:tcPr>
            <w:tcW w:w="144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532.0</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528.0</w:t>
            </w:r>
          </w:p>
        </w:tc>
      </w:tr>
      <w:tr>
        <w:trPr>
          <w:trHeight w:val="264"/>
        </w:trPr>
        <w:tc>
          <w:tcPr>
            <w:tcW w:w="5540" w:type="dxa"/>
            <w:vAlign w:val="bottom"/>
            <w:tcBorders>
              <w:top w:val="single" w:sz="8" w:color="auto"/>
            </w:tcBorders>
          </w:tcPr>
          <w:p>
            <w:pPr>
              <w:spacing w:after="0"/>
              <w:rPr>
                <w:sz w:val="22"/>
                <w:szCs w:val="22"/>
                <w:color w:val="auto"/>
              </w:rPr>
            </w:pPr>
          </w:p>
        </w:tc>
        <w:tc>
          <w:tcPr>
            <w:tcW w:w="25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44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Energy Infrastructure and Related Services</w:t>
            </w:r>
          </w:p>
        </w:tc>
        <w:tc>
          <w:tcPr>
            <w:tcW w:w="25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70"/>
        </w:trPr>
        <w:tc>
          <w:tcPr>
            <w:tcW w:w="554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50"/>
        </w:trPr>
        <w:tc>
          <w:tcPr>
            <w:tcW w:w="5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ALLETE Clean Energy</w:t>
            </w:r>
          </w:p>
        </w:tc>
        <w:tc>
          <w:tcPr>
            <w:tcW w:w="25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5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Long-term PSA</w:t>
            </w:r>
          </w:p>
        </w:tc>
        <w:tc>
          <w:tcPr>
            <w:tcW w:w="2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12.5</w:t>
            </w: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12.4</w:t>
            </w:r>
          </w:p>
        </w:tc>
        <w:tc>
          <w:tcPr>
            <w:tcW w:w="14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27.1</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31.0</w:t>
            </w:r>
          </w:p>
        </w:tc>
      </w:tr>
      <w:tr>
        <w:trPr>
          <w:trHeight w:val="27"/>
        </w:trPr>
        <w:tc>
          <w:tcPr>
            <w:tcW w:w="55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5"/>
        </w:trPr>
        <w:tc>
          <w:tcPr>
            <w:tcW w:w="55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25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2.9</w:t>
            </w:r>
          </w:p>
        </w:tc>
        <w:tc>
          <w:tcPr>
            <w:tcW w:w="11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5.9</w:t>
            </w:r>
          </w:p>
        </w:tc>
        <w:tc>
          <w:tcPr>
            <w:tcW w:w="144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5.8</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w:t>
            </w:r>
          </w:p>
        </w:tc>
      </w:tr>
      <w:tr>
        <w:trPr>
          <w:trHeight w:val="237"/>
        </w:trPr>
        <w:tc>
          <w:tcPr>
            <w:tcW w:w="554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Total ALLETE Clean Energy</w:t>
            </w:r>
          </w:p>
        </w:tc>
        <w:tc>
          <w:tcPr>
            <w:tcW w:w="256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15.4</w:t>
            </w:r>
          </w:p>
        </w:tc>
        <w:tc>
          <w:tcPr>
            <w:tcW w:w="11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18.3</w:t>
            </w:r>
          </w:p>
        </w:tc>
        <w:tc>
          <w:tcPr>
            <w:tcW w:w="144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32.9</w:t>
            </w:r>
          </w:p>
        </w:tc>
        <w:tc>
          <w:tcPr>
            <w:tcW w:w="7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42.9</w:t>
            </w:r>
          </w:p>
        </w:tc>
      </w:tr>
      <w:tr>
        <w:trPr>
          <w:trHeight w:val="27"/>
        </w:trPr>
        <w:tc>
          <w:tcPr>
            <w:tcW w:w="55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4"/>
        </w:trPr>
        <w:tc>
          <w:tcPr>
            <w:tcW w:w="5540" w:type="dxa"/>
            <w:vAlign w:val="bottom"/>
            <w:shd w:val="clear" w:color="auto" w:fill="CCEEFF"/>
          </w:tcPr>
          <w:p>
            <w:pPr>
              <w:spacing w:after="0"/>
              <w:rPr>
                <w:sz w:val="22"/>
                <w:szCs w:val="22"/>
                <w:color w:val="auto"/>
              </w:rPr>
            </w:pPr>
          </w:p>
        </w:tc>
        <w:tc>
          <w:tcPr>
            <w:tcW w:w="25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r>
      <w:tr>
        <w:trPr>
          <w:trHeight w:val="243"/>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U.S. Water Services </w:t>
            </w:r>
            <w:r>
              <w:rPr>
                <w:rFonts w:ascii="Times New Roman" w:cs="Times New Roman" w:eastAsia="Times New Roman" w:hAnsi="Times New Roman"/>
                <w:sz w:val="16"/>
                <w:szCs w:val="16"/>
                <w:i w:val="1"/>
                <w:iCs w:val="1"/>
                <w:color w:val="auto"/>
              </w:rPr>
              <w:t>(a)</w:t>
            </w:r>
          </w:p>
        </w:tc>
        <w:tc>
          <w:tcPr>
            <w:tcW w:w="25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55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Point-in-Time</w:t>
            </w:r>
          </w:p>
        </w:tc>
        <w:tc>
          <w:tcPr>
            <w:tcW w:w="25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25.7</w:t>
            </w:r>
          </w:p>
        </w:tc>
        <w:tc>
          <w:tcPr>
            <w:tcW w:w="144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19.0</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48.0</w:t>
            </w:r>
          </w:p>
        </w:tc>
      </w:tr>
      <w:tr>
        <w:trPr>
          <w:trHeight w:val="243"/>
        </w:trPr>
        <w:tc>
          <w:tcPr>
            <w:tcW w:w="5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Contract</w:t>
            </w:r>
          </w:p>
        </w:tc>
        <w:tc>
          <w:tcPr>
            <w:tcW w:w="2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9.5</w:t>
            </w:r>
          </w:p>
        </w:tc>
        <w:tc>
          <w:tcPr>
            <w:tcW w:w="14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9.2</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19.0</w:t>
            </w:r>
          </w:p>
        </w:tc>
      </w:tr>
      <w:tr>
        <w:trPr>
          <w:trHeight w:val="27"/>
        </w:trPr>
        <w:tc>
          <w:tcPr>
            <w:tcW w:w="55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5"/>
        </w:trPr>
        <w:tc>
          <w:tcPr>
            <w:tcW w:w="55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Capital Project</w:t>
            </w:r>
          </w:p>
        </w:tc>
        <w:tc>
          <w:tcPr>
            <w:tcW w:w="25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6.3</w:t>
            </w:r>
          </w:p>
        </w:tc>
        <w:tc>
          <w:tcPr>
            <w:tcW w:w="144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5.2</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w:t>
            </w:r>
          </w:p>
        </w:tc>
      </w:tr>
      <w:tr>
        <w:trPr>
          <w:trHeight w:val="237"/>
        </w:trPr>
        <w:tc>
          <w:tcPr>
            <w:tcW w:w="554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Total U.S. Water Services</w:t>
            </w:r>
          </w:p>
        </w:tc>
        <w:tc>
          <w:tcPr>
            <w:tcW w:w="256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41.5</w:t>
            </w:r>
          </w:p>
        </w:tc>
        <w:tc>
          <w:tcPr>
            <w:tcW w:w="144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33.4</w:t>
            </w:r>
          </w:p>
        </w:tc>
        <w:tc>
          <w:tcPr>
            <w:tcW w:w="7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79.7</w:t>
            </w:r>
          </w:p>
        </w:tc>
      </w:tr>
      <w:tr>
        <w:trPr>
          <w:trHeight w:val="27"/>
        </w:trPr>
        <w:tc>
          <w:tcPr>
            <w:tcW w:w="55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4"/>
        </w:trPr>
        <w:tc>
          <w:tcPr>
            <w:tcW w:w="5540" w:type="dxa"/>
            <w:vAlign w:val="bottom"/>
            <w:shd w:val="clear" w:color="auto" w:fill="CCEEFF"/>
          </w:tcPr>
          <w:p>
            <w:pPr>
              <w:spacing w:after="0"/>
              <w:rPr>
                <w:sz w:val="22"/>
                <w:szCs w:val="22"/>
                <w:color w:val="auto"/>
              </w:rPr>
            </w:pPr>
          </w:p>
        </w:tc>
        <w:tc>
          <w:tcPr>
            <w:tcW w:w="25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r>
      <w:tr>
        <w:trPr>
          <w:trHeight w:val="243"/>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and Other</w:t>
            </w:r>
          </w:p>
        </w:tc>
        <w:tc>
          <w:tcPr>
            <w:tcW w:w="25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55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Long-term Contract</w:t>
            </w:r>
          </w:p>
        </w:tc>
        <w:tc>
          <w:tcPr>
            <w:tcW w:w="25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21.2</w:t>
            </w:r>
          </w:p>
        </w:tc>
        <w:tc>
          <w:tcPr>
            <w:tcW w:w="11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22.7</w:t>
            </w:r>
          </w:p>
        </w:tc>
        <w:tc>
          <w:tcPr>
            <w:tcW w:w="144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41.4</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42.7</w:t>
            </w:r>
          </w:p>
        </w:tc>
      </w:tr>
      <w:tr>
        <w:trPr>
          <w:trHeight w:val="243"/>
        </w:trPr>
        <w:tc>
          <w:tcPr>
            <w:tcW w:w="5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2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4.0</w:t>
            </w: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3.8</w:t>
            </w:r>
          </w:p>
        </w:tc>
        <w:tc>
          <w:tcPr>
            <w:tcW w:w="14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7.9</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w:t>
            </w:r>
          </w:p>
        </w:tc>
      </w:tr>
      <w:tr>
        <w:trPr>
          <w:trHeight w:val="27"/>
        </w:trPr>
        <w:tc>
          <w:tcPr>
            <w:tcW w:w="55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5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Corporate and Other</w:t>
            </w:r>
          </w:p>
        </w:tc>
        <w:tc>
          <w:tcPr>
            <w:tcW w:w="25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25.2</w:t>
            </w:r>
          </w:p>
        </w:tc>
        <w:tc>
          <w:tcPr>
            <w:tcW w:w="11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26.5</w:t>
            </w:r>
          </w:p>
        </w:tc>
        <w:tc>
          <w:tcPr>
            <w:tcW w:w="144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49.3</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51.7</w:t>
            </w:r>
          </w:p>
        </w:tc>
      </w:tr>
      <w:tr>
        <w:trPr>
          <w:trHeight w:val="237"/>
        </w:trPr>
        <w:tc>
          <w:tcPr>
            <w:tcW w:w="5540" w:type="dxa"/>
            <w:vAlign w:val="bottom"/>
            <w:tcBorders>
              <w:top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Total Operating Revenue</w:t>
            </w:r>
          </w:p>
        </w:tc>
        <w:tc>
          <w:tcPr>
            <w:tcW w:w="256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$290.4</w:t>
            </w:r>
          </w:p>
        </w:tc>
        <w:tc>
          <w:tcPr>
            <w:tcW w:w="11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$344.1</w:t>
            </w:r>
          </w:p>
        </w:tc>
        <w:tc>
          <w:tcPr>
            <w:tcW w:w="144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$647.6</w:t>
            </w:r>
          </w:p>
        </w:tc>
        <w:tc>
          <w:tcPr>
            <w:tcW w:w="7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$702.3</w:t>
            </w:r>
          </w:p>
        </w:tc>
      </w:tr>
      <w:tr>
        <w:trPr>
          <w:trHeight w:val="27"/>
        </w:trPr>
        <w:tc>
          <w:tcPr>
            <w:tcW w:w="55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5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5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5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Regulated Operations</w:t>
            </w:r>
          </w:p>
        </w:tc>
        <w:tc>
          <w:tcPr>
            <w:tcW w:w="2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$30.3</w:t>
            </w: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$26.0</w:t>
            </w:r>
          </w:p>
        </w:tc>
        <w:tc>
          <w:tcPr>
            <w:tcW w:w="14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$81.8</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$69.9</w:t>
            </w:r>
          </w:p>
        </w:tc>
      </w:tr>
      <w:tr>
        <w:trPr>
          <w:trHeight w:val="27"/>
        </w:trPr>
        <w:tc>
          <w:tcPr>
            <w:tcW w:w="55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5540" w:type="dxa"/>
            <w:vAlign w:val="bottom"/>
            <w:shd w:val="clear" w:color="auto" w:fill="CCEEFF"/>
          </w:tcPr>
          <w:p>
            <w:pPr>
              <w:spacing w:after="0"/>
              <w:rPr>
                <w:sz w:val="23"/>
                <w:szCs w:val="23"/>
                <w:color w:val="auto"/>
              </w:rPr>
            </w:pPr>
          </w:p>
        </w:tc>
        <w:tc>
          <w:tcPr>
            <w:tcW w:w="25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r>
      <w:tr>
        <w:trPr>
          <w:trHeight w:val="243"/>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Energy Infrastructure and Related Services</w:t>
            </w:r>
          </w:p>
        </w:tc>
        <w:tc>
          <w:tcPr>
            <w:tcW w:w="25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55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ALLETE Clean Energy</w:t>
            </w:r>
          </w:p>
        </w:tc>
        <w:tc>
          <w:tcPr>
            <w:tcW w:w="25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1.9</w:t>
            </w:r>
          </w:p>
        </w:tc>
        <w:tc>
          <w:tcPr>
            <w:tcW w:w="11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6.8</w:t>
            </w:r>
          </w:p>
        </w:tc>
        <w:tc>
          <w:tcPr>
            <w:tcW w:w="144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7.7</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w:t>
            </w:r>
          </w:p>
        </w:tc>
      </w:tr>
      <w:tr>
        <w:trPr>
          <w:trHeight w:val="243"/>
        </w:trPr>
        <w:tc>
          <w:tcPr>
            <w:tcW w:w="5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xml:space="preserve">U.S. Water Services </w:t>
            </w:r>
            <w:r>
              <w:rPr>
                <w:rFonts w:ascii="Times New Roman" w:cs="Times New Roman" w:eastAsia="Times New Roman" w:hAnsi="Times New Roman"/>
                <w:sz w:val="16"/>
                <w:szCs w:val="16"/>
                <w:i w:val="1"/>
                <w:iCs w:val="1"/>
                <w:color w:val="auto"/>
              </w:rPr>
              <w:t>(a)</w:t>
            </w:r>
          </w:p>
        </w:tc>
        <w:tc>
          <w:tcPr>
            <w:tcW w:w="2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0.2</w:t>
            </w:r>
          </w:p>
        </w:tc>
        <w:tc>
          <w:tcPr>
            <w:tcW w:w="14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(1.1)</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55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5540" w:type="dxa"/>
            <w:vAlign w:val="bottom"/>
            <w:shd w:val="clear" w:color="auto" w:fill="CCEEFF"/>
          </w:tcPr>
          <w:p>
            <w:pPr>
              <w:spacing w:after="0"/>
              <w:rPr>
                <w:sz w:val="23"/>
                <w:szCs w:val="23"/>
                <w:color w:val="auto"/>
              </w:rPr>
            </w:pPr>
          </w:p>
        </w:tc>
        <w:tc>
          <w:tcPr>
            <w:tcW w:w="25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r>
      <w:tr>
        <w:trPr>
          <w:trHeight w:val="243"/>
        </w:trPr>
        <w:tc>
          <w:tcPr>
            <w:tcW w:w="5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xml:space="preserve">Corporate and Other </w:t>
            </w:r>
            <w:r>
              <w:rPr>
                <w:rFonts w:ascii="Times New Roman" w:cs="Times New Roman" w:eastAsia="Times New Roman" w:hAnsi="Times New Roman"/>
                <w:sz w:val="16"/>
                <w:szCs w:val="16"/>
                <w:i w:val="1"/>
                <w:iCs w:val="1"/>
                <w:color w:val="auto"/>
              </w:rPr>
              <w:t>(a)</w:t>
            </w:r>
          </w:p>
        </w:tc>
        <w:tc>
          <w:tcPr>
            <w:tcW w:w="2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w:t>
            </w:r>
          </w:p>
        </w:tc>
        <w:tc>
          <w:tcPr>
            <w:tcW w:w="11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(1.7)</w:t>
            </w:r>
          </w:p>
        </w:tc>
        <w:tc>
          <w:tcPr>
            <w:tcW w:w="14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16.3</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55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5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Total Net Income</w:t>
            </w:r>
          </w:p>
        </w:tc>
        <w:tc>
          <w:tcPr>
            <w:tcW w:w="25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$34.2</w:t>
            </w:r>
          </w:p>
        </w:tc>
        <w:tc>
          <w:tcPr>
            <w:tcW w:w="11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$31.3</w:t>
            </w:r>
          </w:p>
        </w:tc>
        <w:tc>
          <w:tcPr>
            <w:tcW w:w="144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$104.7</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$82.3</w:t>
            </w:r>
          </w:p>
        </w:tc>
      </w:tr>
      <w:tr>
        <w:trPr>
          <w:trHeight w:val="20"/>
        </w:trPr>
        <w:tc>
          <w:tcPr>
            <w:tcW w:w="5540" w:type="dxa"/>
            <w:vAlign w:val="bottom"/>
            <w:shd w:val="clear" w:color="auto" w:fill="000000"/>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ind w:left="340" w:hanging="332"/>
        <w:spacing w:after="0" w:line="283" w:lineRule="auto"/>
        <w:tabs>
          <w:tab w:leader="none" w:pos="340" w:val="left"/>
        </w:tabs>
        <w:numPr>
          <w:ilvl w:val="0"/>
          <w:numId w:val="13"/>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On March 26, 2019, ALLETE completed the sale of U.S. Water Services. The Company recognized a gain on the sale of $11.1 million after-tax reflected in Corporate and Other in 2019. (See Note 1. Operations and Significant Accounting Policies.)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20" w:type="dxa"/>
            <w:vAlign w:val="bottom"/>
          </w:tcPr>
          <w:p>
            <w:pPr>
              <w:spacing w:after="0"/>
              <w:rPr>
                <w:sz w:val="18"/>
                <w:szCs w:val="18"/>
                <w:color w:val="auto"/>
              </w:rPr>
            </w:pPr>
          </w:p>
        </w:tc>
        <w:tc>
          <w:tcPr>
            <w:tcW w:w="38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3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220" w:type="dxa"/>
            <w:vAlign w:val="bottom"/>
          </w:tcPr>
          <w:p>
            <w:pPr>
              <w:spacing w:after="0"/>
              <w:rPr>
                <w:sz w:val="20"/>
                <w:szCs w:val="20"/>
                <w:color w:val="auto"/>
              </w:rPr>
            </w:pPr>
          </w:p>
        </w:tc>
        <w:tc>
          <w:tcPr>
            <w:tcW w:w="38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622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62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38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62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8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6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Regulated Operations</w:t>
            </w:r>
          </w:p>
        </w:tc>
        <w:tc>
          <w:tcPr>
            <w:tcW w:w="38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$4,004.4</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$3,952.5</w:t>
            </w:r>
          </w:p>
        </w:tc>
      </w:tr>
      <w:tr>
        <w:trPr>
          <w:trHeight w:val="27"/>
        </w:trPr>
        <w:tc>
          <w:tcPr>
            <w:tcW w:w="62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6220" w:type="dxa"/>
            <w:vAlign w:val="bottom"/>
            <w:shd w:val="clear" w:color="auto" w:fill="CCEEFF"/>
          </w:tcPr>
          <w:p>
            <w:pPr>
              <w:spacing w:after="0"/>
              <w:rPr>
                <w:sz w:val="23"/>
                <w:szCs w:val="23"/>
                <w:color w:val="auto"/>
              </w:rPr>
            </w:pPr>
          </w:p>
        </w:tc>
        <w:tc>
          <w:tcPr>
            <w:tcW w:w="38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43"/>
        </w:trPr>
        <w:tc>
          <w:tcPr>
            <w:tcW w:w="6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Energy Infrastructure and Related Services</w:t>
            </w:r>
          </w:p>
        </w:tc>
        <w:tc>
          <w:tcPr>
            <w:tcW w:w="38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62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ALLETE Clean Energy</w:t>
            </w:r>
          </w:p>
        </w:tc>
        <w:tc>
          <w:tcPr>
            <w:tcW w:w="38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755.0</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606.6</w:t>
            </w:r>
          </w:p>
        </w:tc>
      </w:tr>
      <w:tr>
        <w:trPr>
          <w:trHeight w:val="243"/>
        </w:trPr>
        <w:tc>
          <w:tcPr>
            <w:tcW w:w="6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xml:space="preserve">U.S. Water Services </w:t>
            </w:r>
            <w:r>
              <w:rPr>
                <w:rFonts w:ascii="Times New Roman" w:cs="Times New Roman" w:eastAsia="Times New Roman" w:hAnsi="Times New Roman"/>
                <w:sz w:val="16"/>
                <w:szCs w:val="16"/>
                <w:i w:val="1"/>
                <w:iCs w:val="1"/>
                <w:color w:val="auto"/>
              </w:rPr>
              <w:t>(a)</w:t>
            </w:r>
          </w:p>
        </w:tc>
        <w:tc>
          <w:tcPr>
            <w:tcW w:w="38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295.8</w:t>
            </w:r>
          </w:p>
        </w:tc>
      </w:tr>
      <w:tr>
        <w:trPr>
          <w:trHeight w:val="27"/>
        </w:trPr>
        <w:tc>
          <w:tcPr>
            <w:tcW w:w="62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6220" w:type="dxa"/>
            <w:vAlign w:val="bottom"/>
            <w:shd w:val="clear" w:color="auto" w:fill="CCEEFF"/>
          </w:tcPr>
          <w:p>
            <w:pPr>
              <w:spacing w:after="0"/>
              <w:rPr>
                <w:sz w:val="23"/>
                <w:szCs w:val="23"/>
                <w:color w:val="auto"/>
              </w:rPr>
            </w:pPr>
          </w:p>
        </w:tc>
        <w:tc>
          <w:tcPr>
            <w:tcW w:w="38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43"/>
        </w:trPr>
        <w:tc>
          <w:tcPr>
            <w:tcW w:w="6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Corporate and Other</w:t>
            </w:r>
          </w:p>
        </w:tc>
        <w:tc>
          <w:tcPr>
            <w:tcW w:w="38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417.1</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310.1</w:t>
            </w:r>
          </w:p>
        </w:tc>
      </w:tr>
      <w:tr>
        <w:trPr>
          <w:trHeight w:val="27"/>
        </w:trPr>
        <w:tc>
          <w:tcPr>
            <w:tcW w:w="622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62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8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$5,176.5</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$5,165.0</w:t>
            </w:r>
          </w:p>
        </w:tc>
      </w:tr>
      <w:tr>
        <w:trPr>
          <w:trHeight w:val="20"/>
        </w:trPr>
        <w:tc>
          <w:tcPr>
            <w:tcW w:w="6220" w:type="dxa"/>
            <w:vAlign w:val="bottom"/>
            <w:shd w:val="clear" w:color="auto" w:fill="000000"/>
          </w:tcPr>
          <w:p>
            <w:pPr>
              <w:spacing w:after="0" w:line="20" w:lineRule="exact"/>
              <w:rPr>
                <w:sz w:val="1"/>
                <w:szCs w:val="1"/>
                <w:color w:val="auto"/>
              </w:rPr>
            </w:pPr>
          </w:p>
        </w:tc>
        <w:tc>
          <w:tcPr>
            <w:tcW w:w="38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bl>
    <w:p>
      <w:pPr>
        <w:sectPr>
          <w:pgSz w:w="11900" w:h="16857" w:orient="portrait"/>
          <w:cols w:equalWidth="0" w:num="1">
            <w:col w:w="11420"/>
          </w:cols>
          <w:pgMar w:left="240" w:top="1036" w:right="239" w:bottom="0" w:gutter="0" w:footer="0" w:header="0"/>
        </w:sectPr>
      </w:pPr>
    </w:p>
    <w:bookmarkStart w:id="30" w:name="page31"/>
    <w:bookmarkEnd w:id="30"/>
    <w:p>
      <w:pPr>
        <w:ind w:left="340" w:hanging="332"/>
        <w:spacing w:after="0"/>
        <w:tabs>
          <w:tab w:leader="none" w:pos="340" w:val="left"/>
        </w:tabs>
        <w:numPr>
          <w:ilvl w:val="0"/>
          <w:numId w:val="1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On March 26, 2019, ALLETE completed the sale of U.S. Water Services. (See Note 1. Operations and Significant Accounting Policies.)</w:t>
      </w:r>
    </w:p>
    <w:p>
      <w:pPr>
        <w:spacing w:after="0" w:line="241" w:lineRule="exact"/>
        <w:rPr>
          <w:rFonts w:ascii="Times New Roman" w:cs="Times New Roman" w:eastAsia="Times New Roman" w:hAnsi="Times New Roman"/>
          <w:sz w:val="16"/>
          <w:szCs w:val="16"/>
          <w:i w:val="1"/>
          <w:iCs w:val="1"/>
          <w:color w:val="auto"/>
        </w:rPr>
      </w:pPr>
    </w:p>
    <w:p>
      <w:pPr>
        <w:ind w:left="4320"/>
        <w:spacing w:after="0"/>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4"/>
          <w:szCs w:val="14"/>
          <w:color w:val="auto"/>
        </w:rPr>
        <w:t>ALLETE, Inc. Second Quarter 2019 Form 10-Q</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11420"/>
          </w:cols>
          <w:pgMar w:left="240" w:top="340" w:right="2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w:t>
      </w:r>
    </w:p>
    <w:p>
      <w:pPr>
        <w:spacing w:after="0" w:line="3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CONDITION AND RESULTS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our Consolidated Financial Statements and notes to those statements, Management’s Discussion and Analysis of Financial Condition and Results of Operations from our 2018 Form 10-K, and the other financial information appearing elsewhere in this report. In addition to historical information, the following discussion and other parts of this Form 10-Q contain forward-looking information that involves risks and uncertainties. Readers are cautioned that forward-looking statements should be read in conjunction with our disclosures in this Form 10-Q and our 2018 Form 10-K under the headings: “Forward-Looking Statements” located on page 6 and “Risk Factors” located in Part I, Item 1A, beginning on page 23 of our 2018 Form 10-K. The risks and uncertainties described in this Form 10-Q and our 2018 Form 10-K are not the only risks facing our Company. Additional risks and uncertainties that we are not presently aware of, or that we currently consider immaterial, may also affect our business operations. Our business, financial condition or results of operations could suffer if the risks are realized.</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Regulated Operations </w:t>
      </w:r>
      <w:r>
        <w:rPr>
          <w:rFonts w:ascii="Times New Roman" w:cs="Times New Roman" w:eastAsia="Times New Roman" w:hAnsi="Times New Roman"/>
          <w:sz w:val="18"/>
          <w:szCs w:val="18"/>
          <w:color w:val="auto"/>
        </w:rPr>
        <w:t>includes our regulated utilities, Minnesota Power and SWL&amp;P, as well as our investment in ATC, a Wisconsin-based regulated utility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owns and maintains electric transmission assets in portions of Wisconsin, Michigan, Minnesota and Illinois. Minnesota Power provides regulated utility electric service in northeastern Minnesota to approximately 145,000 retail customers. Minnesota Power also has 16 non-affiliated municipal customers in Minnesota. SWL&amp;P is a Wisconsin utility and a wholesale customer of Minnesota Power. SWL&amp;P provides regulated utility electric, natural gas and water service in northwestern Wisconsin to approximately 15,000 electric customers, 13,000 natural gas customers and 10,000 water customers. Our regulated utility operations include retail and wholesale activities under the jurisdiction of state and federal regulatory authorities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(See Note 2. Regulatory Matters.)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ALLETE Clean Energy </w:t>
      </w:r>
      <w:r>
        <w:rPr>
          <w:rFonts w:ascii="Times New Roman" w:cs="Times New Roman" w:eastAsia="Times New Roman" w:hAnsi="Times New Roman"/>
          <w:sz w:val="18"/>
          <w:szCs w:val="18"/>
          <w:color w:val="auto"/>
        </w:rPr>
        <w:t>focuses on developing, acquiring, and operating clean and renewable energy projects. ALLETE Clean Energy currently owns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operates, in four states, approximately 555 MW of nameplate capacity wind energy generation that is contracted under PSAs of various durations. ALLETE Clean Energy also engages in the development of wind energy facilities to operate under long-term PSAs or for sale to others upon completion.</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U.S. Water Services </w:t>
      </w:r>
      <w:r>
        <w:rPr>
          <w:rFonts w:ascii="Times New Roman" w:cs="Times New Roman" w:eastAsia="Times New Roman" w:hAnsi="Times New Roman"/>
          <w:sz w:val="18"/>
          <w:szCs w:val="18"/>
          <w:color w:val="auto"/>
        </w:rPr>
        <w:t>provided integrated water management for industry by combining chemical, equipment, engineering and service for customized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solutions to reduce water and energy usage, and improve efficiency. On February 8, 2019, the Company entered into a stock purchase agreement providing for the sale of U.S. Water Services to a subsidiary of Kurita Water Industries Ltd. for a cash purchase price of $270 million. On March 26, 2019, ALLETE completed the sale and received approximately $265 million in cash at closing, net of transaction costs and cash retained.</w:t>
      </w:r>
    </w:p>
    <w:p>
      <w:pPr>
        <w:spacing w:after="0" w:line="19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Corporate and Other </w:t>
      </w:r>
      <w:r>
        <w:rPr>
          <w:rFonts w:ascii="Times New Roman" w:cs="Times New Roman" w:eastAsia="Times New Roman" w:hAnsi="Times New Roman"/>
          <w:sz w:val="18"/>
          <w:szCs w:val="18"/>
          <w:color w:val="auto"/>
        </w:rPr>
        <w:t>is comprised of BNI Energy, our coal mining operations in North Dakota, ALLETE Properties, our legacy Florida real estate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 our investment in Nobles 2, other business development and corporate expenditures, unallocated interest expense, a small amount of non-rate base generation, approximately 4,000 acres of land in Minnesota, and earnings on cash and investments.</w:t>
      </w:r>
    </w:p>
    <w:p>
      <w:pPr>
        <w:spacing w:after="0" w:line="16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ALLETE is incorporated under the laws of Minnesota. Our corporate headquarters are in Duluth, Minnesota. Statistical information is presented as of June 30, 2019, unless otherwise indicated. All subsidiaries are wholly-owned unless otherwise specifically indicated. References in this report to “we,” “us” and “our” are to ALLETE and its subsidiaries, collectively.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net income discussion summarizes a comparison of the six months ended June 30, 2019, to the six months ended June 30, 2018.</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income for the six months ended June 30, 2019, was $104.7 million, or $2.02 per diluted share, compared to $82.3 million, or $1.60 per diluted share, for the same period in 2018. Net income in 2019 included the gain on sale of U.S. Water Services of $11.1 million after-tax, or $0.21 per share. Earnings per share dilution was $0.02 due to additional shares of common stock outstanding as of June 30, 2019.</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Second Quarter 2019 Form 10-Q</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11420"/>
          </w:cols>
          <w:pgMar w:left="240" w:top="1036"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w:t>
      </w:r>
    </w:p>
    <w:p>
      <w:pPr>
        <w:spacing w:after="0" w:line="3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CONDITION AND RESULTS OF OPERATIONS (Continued)</w:t>
      </w:r>
    </w:p>
    <w:p>
      <w:pPr>
        <w:spacing w:after="0" w:line="20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Regulated Operations </w:t>
      </w:r>
      <w:r>
        <w:rPr>
          <w:rFonts w:ascii="Times New Roman" w:cs="Times New Roman" w:eastAsia="Times New Roman" w:hAnsi="Times New Roman"/>
          <w:sz w:val="18"/>
          <w:szCs w:val="18"/>
          <w:color w:val="auto"/>
        </w:rPr>
        <w:t>net income was $81.8 million for the six months ended June 30, 2019, compared to $69.9 million for the same period in 2018. 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income at Minnesota Power was higher than 2018 primarily due to lower operating and maintenance and property tax expenses, increased cost recovery rider revenue, the timing of fuel adjustment clause recoveries and higher revenue from wholesale customers under FERC formula-based rates. These increases were partially offset by lower kWh sales. Net income at Superior Water, Light and Power was higher than 2018 primarily due to higher rates and lower operating and maintenance expenses. Our after-tax equity earnings in ATC were higher than 2018 primarily due to additional investments.</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ALLETE Clean Energy </w:t>
      </w:r>
      <w:r>
        <w:rPr>
          <w:rFonts w:ascii="Times New Roman" w:cs="Times New Roman" w:eastAsia="Times New Roman" w:hAnsi="Times New Roman"/>
          <w:sz w:val="18"/>
          <w:szCs w:val="18"/>
          <w:color w:val="auto"/>
        </w:rPr>
        <w:t>net income was $7.7 million for the six months ended June 30, 2019, compared to $14.9 million for the same period in 2018. 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income in 2018 included $2.6 million of production tax credits that resulted from the retrospective qualification of additional wind turbine generators in 2016 and 2017. Net income in 2019 included lower revenue resulting from lower wind resources and availability due to weather as well as lower non-cash amortization related to the expiration of power sales agreements, and higher depreciation expense. These decreases were partially offset by $2.0 million of additional production tax credits generated in 2019 compared to production tax credits generated in 2018 as ALLETE Clean Energy continues to execute its refurbishment strategy.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U.S. Water Services </w:t>
      </w:r>
      <w:r>
        <w:rPr>
          <w:rFonts w:ascii="Times New Roman" w:cs="Times New Roman" w:eastAsia="Times New Roman" w:hAnsi="Times New Roman"/>
          <w:sz w:val="18"/>
          <w:szCs w:val="18"/>
          <w:color w:val="auto"/>
        </w:rPr>
        <w:t>net loss was $1.1 million for the six months ended June 30, 2019, compared to a net loss of $1.2 million for the same period in 2018.</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ALLETE completed the sale of U.S. Water Services in the first quarter of 2019.</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Corporate and Other </w:t>
      </w:r>
      <w:r>
        <w:rPr>
          <w:rFonts w:ascii="Times New Roman" w:cs="Times New Roman" w:eastAsia="Times New Roman" w:hAnsi="Times New Roman"/>
          <w:sz w:val="18"/>
          <w:szCs w:val="18"/>
          <w:color w:val="auto"/>
        </w:rPr>
        <w:t>net income was $16.3 million for the six months ended June 30, 2019, compared to a net loss of $1.3 million for the same period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2018. Net income in 2019 included the gain on sale of U.S. Water Services of $11.1 million after-tax. Net income in 2019 also included additional income tax benefit recorded in 2019 as GAAP requires the recognition of income tax expense at the estimated annual effective tax rate.</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COMPARISON OF THE QUARTERS ENDED JUNE 30, 2019 AND 2018</w:t>
            </w:r>
          </w:p>
        </w:tc>
        <w:tc>
          <w:tcPr>
            <w:tcW w:w="28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32"/>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(See Note 11. Business Segments for financial results by segment.)</w:t>
            </w:r>
          </w:p>
        </w:tc>
        <w:tc>
          <w:tcPr>
            <w:tcW w:w="28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78"/>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Regulated Operations</w:t>
            </w:r>
          </w:p>
        </w:tc>
        <w:tc>
          <w:tcPr>
            <w:tcW w:w="28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46"/>
        </w:trPr>
        <w:tc>
          <w:tcPr>
            <w:tcW w:w="440" w:type="dxa"/>
            <w:vAlign w:val="bottom"/>
          </w:tcPr>
          <w:p>
            <w:pPr>
              <w:spacing w:after="0"/>
              <w:rPr>
                <w:sz w:val="24"/>
                <w:szCs w:val="24"/>
                <w:color w:val="auto"/>
              </w:rPr>
            </w:pPr>
          </w:p>
        </w:tc>
        <w:tc>
          <w:tcPr>
            <w:tcW w:w="7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Quarter Ended June 30,</w:t>
            </w:r>
          </w:p>
        </w:tc>
        <w:tc>
          <w:tcPr>
            <w:tcW w:w="28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440" w:type="dxa"/>
            <w:vAlign w:val="bottom"/>
          </w:tcPr>
          <w:p>
            <w:pPr>
              <w:spacing w:after="0"/>
              <w:rPr>
                <w:sz w:val="2"/>
                <w:szCs w:val="2"/>
                <w:color w:val="auto"/>
              </w:rPr>
            </w:pPr>
          </w:p>
        </w:tc>
        <w:tc>
          <w:tcPr>
            <w:tcW w:w="728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440" w:type="dxa"/>
            <w:vAlign w:val="bottom"/>
          </w:tcPr>
          <w:p>
            <w:pPr>
              <w:spacing w:after="0"/>
              <w:rPr>
                <w:sz w:val="20"/>
                <w:szCs w:val="20"/>
                <w:color w:val="auto"/>
              </w:rPr>
            </w:pPr>
          </w:p>
        </w:tc>
        <w:tc>
          <w:tcPr>
            <w:tcW w:w="7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28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440" w:type="dxa"/>
            <w:vAlign w:val="bottom"/>
          </w:tcPr>
          <w:p>
            <w:pPr>
              <w:spacing w:after="0"/>
              <w:rPr>
                <w:sz w:val="2"/>
                <w:szCs w:val="2"/>
                <w:color w:val="auto"/>
              </w:rPr>
            </w:pPr>
          </w:p>
        </w:tc>
        <w:tc>
          <w:tcPr>
            <w:tcW w:w="7280" w:type="dxa"/>
            <w:vAlign w:val="bottom"/>
          </w:tcPr>
          <w:p>
            <w:pPr>
              <w:spacing w:after="0"/>
              <w:rPr>
                <w:sz w:val="2"/>
                <w:szCs w:val="2"/>
                <w:color w:val="auto"/>
              </w:rPr>
            </w:pPr>
          </w:p>
        </w:tc>
        <w:tc>
          <w:tcPr>
            <w:tcW w:w="28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40" w:type="dxa"/>
            <w:vAlign w:val="bottom"/>
          </w:tcPr>
          <w:p>
            <w:pPr>
              <w:spacing w:after="0"/>
              <w:rPr>
                <w:sz w:val="21"/>
                <w:szCs w:val="21"/>
                <w:color w:val="auto"/>
              </w:rPr>
            </w:pPr>
          </w:p>
        </w:tc>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 – Utility</w:t>
            </w:r>
          </w:p>
        </w:tc>
        <w:tc>
          <w:tcPr>
            <w:tcW w:w="28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$249.8</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$257.8</w:t>
            </w:r>
          </w:p>
        </w:tc>
      </w:tr>
      <w:tr>
        <w:trPr>
          <w:trHeight w:val="243"/>
        </w:trPr>
        <w:tc>
          <w:tcPr>
            <w:tcW w:w="440" w:type="dxa"/>
            <w:vAlign w:val="bottom"/>
          </w:tcPr>
          <w:p>
            <w:pPr>
              <w:spacing w:after="0"/>
              <w:rPr>
                <w:sz w:val="21"/>
                <w:szCs w:val="21"/>
                <w:color w:val="auto"/>
              </w:rPr>
            </w:pPr>
          </w:p>
        </w:tc>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Fuel, Purchased Power and Gas – Utility</w:t>
            </w:r>
          </w:p>
        </w:tc>
        <w:tc>
          <w:tcPr>
            <w:tcW w:w="28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87.9</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96.5</w:t>
            </w:r>
          </w:p>
        </w:tc>
      </w:tr>
      <w:tr>
        <w:trPr>
          <w:trHeight w:val="27"/>
        </w:trPr>
        <w:tc>
          <w:tcPr>
            <w:tcW w:w="440" w:type="dxa"/>
            <w:vAlign w:val="bottom"/>
          </w:tcPr>
          <w:p>
            <w:pPr>
              <w:spacing w:after="0"/>
              <w:rPr>
                <w:sz w:val="2"/>
                <w:szCs w:val="2"/>
                <w:color w:val="auto"/>
              </w:rPr>
            </w:pPr>
          </w:p>
        </w:tc>
        <w:tc>
          <w:tcPr>
            <w:tcW w:w="7280" w:type="dxa"/>
            <w:vAlign w:val="bottom"/>
          </w:tcPr>
          <w:p>
            <w:pPr>
              <w:spacing w:after="0"/>
              <w:rPr>
                <w:sz w:val="2"/>
                <w:szCs w:val="2"/>
                <w:color w:val="auto"/>
              </w:rPr>
            </w:pPr>
          </w:p>
        </w:tc>
        <w:tc>
          <w:tcPr>
            <w:tcW w:w="28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40" w:type="dxa"/>
            <w:vAlign w:val="bottom"/>
          </w:tcPr>
          <w:p>
            <w:pPr>
              <w:spacing w:after="0"/>
              <w:rPr>
                <w:sz w:val="21"/>
                <w:szCs w:val="21"/>
                <w:color w:val="auto"/>
              </w:rPr>
            </w:pPr>
          </w:p>
        </w:tc>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Transmission Services – Utility</w:t>
            </w:r>
          </w:p>
        </w:tc>
        <w:tc>
          <w:tcPr>
            <w:tcW w:w="28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19.2</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16.8</w:t>
            </w:r>
          </w:p>
        </w:tc>
      </w:tr>
      <w:tr>
        <w:trPr>
          <w:trHeight w:val="243"/>
        </w:trPr>
        <w:tc>
          <w:tcPr>
            <w:tcW w:w="440" w:type="dxa"/>
            <w:vAlign w:val="bottom"/>
          </w:tcPr>
          <w:p>
            <w:pPr>
              <w:spacing w:after="0"/>
              <w:rPr>
                <w:sz w:val="21"/>
                <w:szCs w:val="21"/>
                <w:color w:val="auto"/>
              </w:rPr>
            </w:pPr>
          </w:p>
        </w:tc>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and Maintenance</w:t>
            </w:r>
          </w:p>
        </w:tc>
        <w:tc>
          <w:tcPr>
            <w:tcW w:w="28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54.2</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54.9</w:t>
            </w:r>
          </w:p>
        </w:tc>
      </w:tr>
      <w:tr>
        <w:trPr>
          <w:trHeight w:val="27"/>
        </w:trPr>
        <w:tc>
          <w:tcPr>
            <w:tcW w:w="440" w:type="dxa"/>
            <w:vAlign w:val="bottom"/>
          </w:tcPr>
          <w:p>
            <w:pPr>
              <w:spacing w:after="0"/>
              <w:rPr>
                <w:sz w:val="2"/>
                <w:szCs w:val="2"/>
                <w:color w:val="auto"/>
              </w:rPr>
            </w:pPr>
          </w:p>
        </w:tc>
        <w:tc>
          <w:tcPr>
            <w:tcW w:w="7280" w:type="dxa"/>
            <w:vAlign w:val="bottom"/>
          </w:tcPr>
          <w:p>
            <w:pPr>
              <w:spacing w:after="0"/>
              <w:rPr>
                <w:sz w:val="2"/>
                <w:szCs w:val="2"/>
                <w:color w:val="auto"/>
              </w:rPr>
            </w:pPr>
          </w:p>
        </w:tc>
        <w:tc>
          <w:tcPr>
            <w:tcW w:w="28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40" w:type="dxa"/>
            <w:vAlign w:val="bottom"/>
          </w:tcPr>
          <w:p>
            <w:pPr>
              <w:spacing w:after="0"/>
              <w:rPr>
                <w:sz w:val="21"/>
                <w:szCs w:val="21"/>
                <w:color w:val="auto"/>
              </w:rPr>
            </w:pPr>
          </w:p>
        </w:tc>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40.2</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44.5</w:t>
            </w:r>
          </w:p>
        </w:tc>
      </w:tr>
      <w:tr>
        <w:trPr>
          <w:trHeight w:val="243"/>
        </w:trPr>
        <w:tc>
          <w:tcPr>
            <w:tcW w:w="440" w:type="dxa"/>
            <w:vAlign w:val="bottom"/>
          </w:tcPr>
          <w:p>
            <w:pPr>
              <w:spacing w:after="0"/>
              <w:rPr>
                <w:sz w:val="21"/>
                <w:szCs w:val="21"/>
                <w:color w:val="auto"/>
              </w:rPr>
            </w:pPr>
          </w:p>
        </w:tc>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 Other than Income Taxes</w:t>
            </w:r>
          </w:p>
        </w:tc>
        <w:tc>
          <w:tcPr>
            <w:tcW w:w="28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12.5</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w:t>
            </w:r>
          </w:p>
        </w:tc>
      </w:tr>
      <w:tr>
        <w:trPr>
          <w:trHeight w:val="27"/>
        </w:trPr>
        <w:tc>
          <w:tcPr>
            <w:tcW w:w="440" w:type="dxa"/>
            <w:vAlign w:val="bottom"/>
          </w:tcPr>
          <w:p>
            <w:pPr>
              <w:spacing w:after="0"/>
              <w:rPr>
                <w:sz w:val="2"/>
                <w:szCs w:val="2"/>
                <w:color w:val="auto"/>
              </w:rPr>
            </w:pPr>
          </w:p>
        </w:tc>
        <w:tc>
          <w:tcPr>
            <w:tcW w:w="728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40" w:type="dxa"/>
            <w:vAlign w:val="bottom"/>
          </w:tcPr>
          <w:p>
            <w:pPr>
              <w:spacing w:after="0"/>
              <w:rPr>
                <w:sz w:val="21"/>
                <w:szCs w:val="21"/>
                <w:color w:val="auto"/>
              </w:rPr>
            </w:pPr>
          </w:p>
        </w:tc>
        <w:tc>
          <w:tcPr>
            <w:tcW w:w="72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Operating Income</w:t>
            </w:r>
          </w:p>
        </w:tc>
        <w:tc>
          <w:tcPr>
            <w:tcW w:w="28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35.8</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32.1</w:t>
            </w:r>
          </w:p>
        </w:tc>
      </w:tr>
      <w:tr>
        <w:trPr>
          <w:trHeight w:val="243"/>
        </w:trPr>
        <w:tc>
          <w:tcPr>
            <w:tcW w:w="440" w:type="dxa"/>
            <w:vAlign w:val="bottom"/>
          </w:tcPr>
          <w:p>
            <w:pPr>
              <w:spacing w:after="0"/>
              <w:rPr>
                <w:sz w:val="21"/>
                <w:szCs w:val="21"/>
                <w:color w:val="auto"/>
              </w:rPr>
            </w:pPr>
          </w:p>
        </w:tc>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(14.4)</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7"/>
        </w:trPr>
        <w:tc>
          <w:tcPr>
            <w:tcW w:w="440" w:type="dxa"/>
            <w:vAlign w:val="bottom"/>
          </w:tcPr>
          <w:p>
            <w:pPr>
              <w:spacing w:after="0"/>
              <w:rPr>
                <w:sz w:val="2"/>
                <w:szCs w:val="2"/>
                <w:color w:val="auto"/>
              </w:rPr>
            </w:pPr>
          </w:p>
        </w:tc>
        <w:tc>
          <w:tcPr>
            <w:tcW w:w="7280" w:type="dxa"/>
            <w:vAlign w:val="bottom"/>
          </w:tcPr>
          <w:p>
            <w:pPr>
              <w:spacing w:after="0"/>
              <w:rPr>
                <w:sz w:val="2"/>
                <w:szCs w:val="2"/>
                <w:color w:val="auto"/>
              </w:rPr>
            </w:pPr>
          </w:p>
        </w:tc>
        <w:tc>
          <w:tcPr>
            <w:tcW w:w="28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40" w:type="dxa"/>
            <w:vAlign w:val="bottom"/>
          </w:tcPr>
          <w:p>
            <w:pPr>
              <w:spacing w:after="0"/>
              <w:rPr>
                <w:sz w:val="21"/>
                <w:szCs w:val="21"/>
                <w:color w:val="auto"/>
              </w:rPr>
            </w:pPr>
          </w:p>
        </w:tc>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Earnings</w:t>
            </w:r>
          </w:p>
        </w:tc>
        <w:tc>
          <w:tcPr>
            <w:tcW w:w="28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4.8</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r>
      <w:tr>
        <w:trPr>
          <w:trHeight w:val="243"/>
        </w:trPr>
        <w:tc>
          <w:tcPr>
            <w:tcW w:w="440" w:type="dxa"/>
            <w:vAlign w:val="bottom"/>
          </w:tcPr>
          <w:p>
            <w:pPr>
              <w:spacing w:after="0"/>
              <w:rPr>
                <w:sz w:val="21"/>
                <w:szCs w:val="21"/>
                <w:color w:val="auto"/>
              </w:rPr>
            </w:pPr>
          </w:p>
        </w:tc>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8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2.8</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440" w:type="dxa"/>
            <w:vAlign w:val="bottom"/>
          </w:tcPr>
          <w:p>
            <w:pPr>
              <w:spacing w:after="0"/>
              <w:rPr>
                <w:sz w:val="2"/>
                <w:szCs w:val="2"/>
                <w:color w:val="auto"/>
              </w:rPr>
            </w:pPr>
          </w:p>
        </w:tc>
        <w:tc>
          <w:tcPr>
            <w:tcW w:w="728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40" w:type="dxa"/>
            <w:vAlign w:val="bottom"/>
          </w:tcPr>
          <w:p>
            <w:pPr>
              <w:spacing w:after="0"/>
              <w:rPr>
                <w:sz w:val="21"/>
                <w:szCs w:val="21"/>
                <w:color w:val="auto"/>
              </w:rPr>
            </w:pPr>
          </w:p>
        </w:tc>
        <w:tc>
          <w:tcPr>
            <w:tcW w:w="72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8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29.0</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22.3</w:t>
            </w:r>
          </w:p>
        </w:tc>
      </w:tr>
      <w:tr>
        <w:trPr>
          <w:trHeight w:val="243"/>
        </w:trPr>
        <w:tc>
          <w:tcPr>
            <w:tcW w:w="440" w:type="dxa"/>
            <w:vAlign w:val="bottom"/>
          </w:tcPr>
          <w:p>
            <w:pPr>
              <w:spacing w:after="0"/>
              <w:rPr>
                <w:sz w:val="21"/>
                <w:szCs w:val="21"/>
                <w:color w:val="auto"/>
              </w:rPr>
            </w:pPr>
          </w:p>
        </w:tc>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28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7"/>
        </w:trPr>
        <w:tc>
          <w:tcPr>
            <w:tcW w:w="440" w:type="dxa"/>
            <w:vAlign w:val="bottom"/>
          </w:tcPr>
          <w:p>
            <w:pPr>
              <w:spacing w:after="0"/>
              <w:rPr>
                <w:sz w:val="2"/>
                <w:szCs w:val="2"/>
                <w:color w:val="auto"/>
              </w:rPr>
            </w:pPr>
          </w:p>
        </w:tc>
        <w:tc>
          <w:tcPr>
            <w:tcW w:w="728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40" w:type="dxa"/>
            <w:vAlign w:val="bottom"/>
          </w:tcPr>
          <w:p>
            <w:pPr>
              <w:spacing w:after="0"/>
              <w:rPr>
                <w:sz w:val="21"/>
                <w:szCs w:val="21"/>
                <w:color w:val="auto"/>
              </w:rPr>
            </w:pPr>
          </w:p>
        </w:tc>
        <w:tc>
          <w:tcPr>
            <w:tcW w:w="72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Income</w:t>
            </w:r>
          </w:p>
        </w:tc>
        <w:tc>
          <w:tcPr>
            <w:tcW w:w="28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$30.3</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$26.0</w:t>
            </w:r>
          </w:p>
        </w:tc>
      </w:tr>
      <w:tr>
        <w:trPr>
          <w:trHeight w:val="20"/>
        </w:trPr>
        <w:tc>
          <w:tcPr>
            <w:tcW w:w="440" w:type="dxa"/>
            <w:vAlign w:val="bottom"/>
          </w:tcPr>
          <w:p>
            <w:pPr>
              <w:spacing w:after="0" w:line="20" w:lineRule="exact"/>
              <w:rPr>
                <w:sz w:val="1"/>
                <w:szCs w:val="1"/>
                <w:color w:val="auto"/>
              </w:rPr>
            </w:pPr>
          </w:p>
        </w:tc>
        <w:tc>
          <w:tcPr>
            <w:tcW w:w="7280" w:type="dxa"/>
            <w:vAlign w:val="bottom"/>
            <w:shd w:val="clear" w:color="auto" w:fill="000000"/>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bl>
    <w:p>
      <w:pPr>
        <w:spacing w:after="0" w:line="194" w:lineRule="exact"/>
        <w:rPr>
          <w:sz w:val="20"/>
          <w:szCs w:val="20"/>
          <w:color w:val="auto"/>
        </w:rPr>
      </w:pPr>
    </w:p>
    <w:p>
      <w:pPr>
        <w:jc w:val="both"/>
        <w:ind w:lef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Revenue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Utility </w:t>
      </w:r>
      <w:r>
        <w:rPr>
          <w:rFonts w:ascii="Times New Roman" w:cs="Times New Roman" w:eastAsia="Times New Roman" w:hAnsi="Times New Roman"/>
          <w:sz w:val="18"/>
          <w:szCs w:val="18"/>
          <w:color w:val="auto"/>
        </w:rPr>
        <w:t>decreased $8.0 million, or 3 percent, from 2018 as a result of lower revenue from kWh sales and the timing of the provision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tax reform refund in 2018 related to income tax changes resulting from the TCJA, partially offset by higher fuel adjustment clause recoveries, increased cost recovery rider revenue and higher FERC formula-based rates.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Second Quarter 2019 Form 10-Q</w:t>
      </w:r>
    </w:p>
    <w:p>
      <w:pPr>
        <w:spacing w:after="0" w:line="17" w:lineRule="exact"/>
        <w:rPr>
          <w:sz w:val="20"/>
          <w:szCs w:val="20"/>
          <w:color w:val="auto"/>
        </w:rPr>
      </w:pPr>
    </w:p>
    <w:p>
      <w:pPr>
        <w:ind w:left="11280"/>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11420"/>
          </w:cols>
          <w:pgMar w:left="240" w:top="1036" w:right="2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COMPARISON OF THE QUARTERS ENDED JUNE 30, 2019 AND 2018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Regulated Operations (Continued)</w:t>
      </w:r>
    </w:p>
    <w:p>
      <w:pPr>
        <w:spacing w:after="0" w:line="207"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Revenue from kWh sales decreased $15.0 million from 2018 reflecting lower sales residential, commercial and municipal customers as well as lower sales to other power suppliers. Sales to residential and commercial customers decreased from 2018 primarily due to milder weather in 2019 compared to the same period in 2018. Sales to municipal customers decreased in 2019 as a result of additional customer self-generation in 2019. Sales to other power suppliers decreased in 2019 primarily due to fewer market sales and sales under PSAs as a result of less generation available for sale, partially offset by the commencement of Minnesota Power’s PSA with Oconto Electric Cooperative in January 2019. Sales to other power suppliers are sold at market-based prices into the MISO market on a daily basis or through PSAs of various durations.</w:t>
      </w:r>
    </w:p>
    <w:p>
      <w:pPr>
        <w:spacing w:after="0" w:line="130"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Kilowatt-hours Sold</w:t>
            </w:r>
          </w:p>
        </w:tc>
        <w:tc>
          <w:tcPr>
            <w:tcW w:w="2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Quantity</w:t>
            </w:r>
          </w:p>
        </w:tc>
        <w:tc>
          <w:tcPr>
            <w:tcW w:w="10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Quarter Ended June 30,</w:t>
            </w:r>
          </w:p>
        </w:tc>
        <w:tc>
          <w:tcPr>
            <w:tcW w:w="25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1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Variance</w:t>
            </w:r>
          </w:p>
        </w:tc>
      </w:tr>
      <w:tr>
        <w:trPr>
          <w:trHeight w:val="27"/>
        </w:trPr>
        <w:tc>
          <w:tcPr>
            <w:tcW w:w="50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2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50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Regulated Utility</w:t>
            </w:r>
          </w:p>
        </w:tc>
        <w:tc>
          <w:tcPr>
            <w:tcW w:w="2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Retail and Municipal</w:t>
            </w:r>
          </w:p>
        </w:tc>
        <w:tc>
          <w:tcPr>
            <w:tcW w:w="25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Residential</w:t>
            </w:r>
          </w:p>
        </w:tc>
        <w:tc>
          <w:tcPr>
            <w:tcW w:w="256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232</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243</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43"/>
        </w:trPr>
        <w:tc>
          <w:tcPr>
            <w:tcW w:w="5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Commercial</w:t>
            </w:r>
          </w:p>
        </w:tc>
        <w:tc>
          <w:tcPr>
            <w:tcW w:w="25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317</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339</w:t>
            </w: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(22)</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7"/>
        </w:trPr>
        <w:tc>
          <w:tcPr>
            <w:tcW w:w="50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Industrial</w:t>
            </w:r>
          </w:p>
        </w:tc>
        <w:tc>
          <w:tcPr>
            <w:tcW w:w="256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1,773</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1,781</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43"/>
        </w:trPr>
        <w:tc>
          <w:tcPr>
            <w:tcW w:w="5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Municipal</w:t>
            </w:r>
          </w:p>
        </w:tc>
        <w:tc>
          <w:tcPr>
            <w:tcW w:w="25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170</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188</w:t>
            </w: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(18)</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7"/>
        </w:trPr>
        <w:tc>
          <w:tcPr>
            <w:tcW w:w="50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02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Retail and Municipal</w:t>
            </w:r>
          </w:p>
        </w:tc>
        <w:tc>
          <w:tcPr>
            <w:tcW w:w="256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2,492</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2,551</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(59)</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43"/>
        </w:trPr>
        <w:tc>
          <w:tcPr>
            <w:tcW w:w="5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Power Suppliers</w:t>
            </w:r>
          </w:p>
        </w:tc>
        <w:tc>
          <w:tcPr>
            <w:tcW w:w="25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714</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1,005</w:t>
            </w: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(291)</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7"/>
        </w:trPr>
        <w:tc>
          <w:tcPr>
            <w:tcW w:w="50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Regulated Utility Kilowatt-hours Sold</w:t>
            </w:r>
          </w:p>
        </w:tc>
        <w:tc>
          <w:tcPr>
            <w:tcW w:w="256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3,206</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3,556</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(350)</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0"/>
        </w:trPr>
        <w:tc>
          <w:tcPr>
            <w:tcW w:w="5020" w:type="dxa"/>
            <w:vAlign w:val="bottom"/>
            <w:shd w:val="clear" w:color="auto" w:fill="000000"/>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Revenue from electric sales to taconite and iron concentrate customers accounted for 27 percent of consolidated operating revenue in 2019 (22 percent in 2018). Revenue from electric sales to paper, pulp and secondary wood product customers accounted for 6 percent of consolidated operating revenue in 2019 (5 percent in 2018). Revenue from electric sales to pipelines and other industrial customers accounted for 8 percent of consolidated operating revenue in 2019 (6 percent in 2018).</w:t>
      </w:r>
    </w:p>
    <w:p>
      <w:pPr>
        <w:spacing w:after="0" w:line="180"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 xml:space="preserve">Revenue was $3.4 million lower than 2018 reflecting the timing of Minnesota Power’s provision for tax reform refund in 2018. In the first quarter of 2018, Minnesota Power reserved for income tax benefits resulting from the reduction of the federal income tax rate enacted as part of the TCJA. In the second quarter of 2018, Minnesota Power reversed the reserve as the MPUC allowed Minnesota Power to retain these income tax benefits to mostly offset an increase in depreciation expense resulting from the reconsideration of its decision in Minnesota Power’s general rate case to reduce the depreciable lives of Boswell Unit 3, Unit 4 and common facilities to 2035. (See </w:t>
      </w:r>
      <w:r>
        <w:rPr>
          <w:rFonts w:ascii="Times New Roman" w:cs="Times New Roman" w:eastAsia="Times New Roman" w:hAnsi="Times New Roman"/>
          <w:sz w:val="18"/>
          <w:szCs w:val="18"/>
          <w:i w:val="1"/>
          <w:iCs w:val="1"/>
          <w:color w:val="auto"/>
        </w:rPr>
        <w:t>Operating Expenses - Depreciation and Amortization</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Fuel adjustment clause revenue increased $5.9 million due to period over period timing of recoveries for fuel and purchased power costs attributable to retail and municipal customers.</w:t>
      </w:r>
    </w:p>
    <w:p>
      <w:pPr>
        <w:spacing w:after="0" w:line="162"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Cost recovery rider revenue contributed an incremental $4.2 million over current base rates compared to 2018 (see Note 2. Regulatory Matters) primarily due to higher expenditures related to the construction of the GNTL and lower transmission margins related to our portion of CapX2020 transmission lines. Transmission margins for CapX2020 transmission lines recognized below those assumed in Minnesota Power base rates result in increased cost recovery rider revenue to offset the impact of the lower margins.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Revenue from wholesale customers under FERC formula-based rates increased $1.8 million from 2018 primarily due to higher rates.</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Operating Expenses </w:t>
      </w:r>
      <w:r>
        <w:rPr>
          <w:rFonts w:ascii="Times New Roman" w:cs="Times New Roman" w:eastAsia="Times New Roman" w:hAnsi="Times New Roman"/>
          <w:sz w:val="18"/>
          <w:szCs w:val="18"/>
          <w:color w:val="auto"/>
        </w:rPr>
        <w:t>decreased $11.7 million, or 5 percent, from 2018.</w:t>
      </w:r>
    </w:p>
    <w:p>
      <w:pPr>
        <w:spacing w:after="0" w:line="227" w:lineRule="exact"/>
        <w:rPr>
          <w:sz w:val="20"/>
          <w:szCs w:val="20"/>
          <w:color w:val="auto"/>
        </w:rPr>
      </w:pPr>
    </w:p>
    <w:p>
      <w:pPr>
        <w:jc w:val="both"/>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Fuel, Purchased Power and Gas – Utility </w:t>
      </w:r>
      <w:r>
        <w:rPr>
          <w:rFonts w:ascii="Times New Roman" w:cs="Times New Roman" w:eastAsia="Times New Roman" w:hAnsi="Times New Roman"/>
          <w:sz w:val="18"/>
          <w:szCs w:val="18"/>
          <w:color w:val="auto"/>
        </w:rPr>
        <w:t>expense decreased $8.6 million, or 9 percent, from 2018 primarily due to lower kWh sales. Fuel and purchased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power expense related to our retail and municipal customers is recovered through the fuel adjustment clause.</w:t>
      </w:r>
    </w:p>
    <w:p>
      <w:pPr>
        <w:spacing w:after="0" w:line="132" w:lineRule="exact"/>
        <w:rPr>
          <w:sz w:val="20"/>
          <w:szCs w:val="20"/>
          <w:color w:val="auto"/>
        </w:rPr>
      </w:pPr>
    </w:p>
    <w:p>
      <w:pPr>
        <w:ind w:left="340"/>
        <w:spacing w:after="0" w:line="207" w:lineRule="exact"/>
        <w:rPr>
          <w:sz w:val="20"/>
          <w:szCs w:val="20"/>
          <w:color w:val="auto"/>
        </w:rPr>
      </w:pPr>
      <w:r>
        <w:rPr>
          <w:rFonts w:ascii="Times New Roman" w:cs="Times New Roman" w:eastAsia="Times New Roman" w:hAnsi="Times New Roman"/>
          <w:sz w:val="18"/>
          <w:szCs w:val="18"/>
          <w:i w:val="1"/>
          <w:iCs w:val="1"/>
          <w:color w:val="auto"/>
        </w:rPr>
        <w:t xml:space="preserve">Transmission Services – Utility </w:t>
      </w:r>
      <w:r>
        <w:rPr>
          <w:rFonts w:ascii="Times New Roman" w:cs="Times New Roman" w:eastAsia="Times New Roman" w:hAnsi="Times New Roman"/>
          <w:sz w:val="18"/>
          <w:szCs w:val="18"/>
          <w:color w:val="auto"/>
        </w:rPr>
        <w:t>expense increased $2.4 million, or 14 percent, from 2018 primarily due to higher MISO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expense.</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Second Quarter 2019 Form 10-Q</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11420"/>
          </w:cols>
          <w:pgMar w:left="240" w:top="1036" w:right="2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COMPARISON OF THE QUARTERS ENDED JUNE 30, 2019 AND 2018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Regulated Operations (Continued)</w:t>
      </w:r>
    </w:p>
    <w:p>
      <w:pPr>
        <w:spacing w:after="0" w:line="205" w:lineRule="exact"/>
        <w:rPr>
          <w:sz w:val="20"/>
          <w:szCs w:val="20"/>
          <w:color w:val="auto"/>
        </w:rPr>
      </w:pPr>
    </w:p>
    <w:p>
      <w:pPr>
        <w:jc w:val="both"/>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Operating and Maintenance </w:t>
      </w:r>
      <w:r>
        <w:rPr>
          <w:rFonts w:ascii="Times New Roman" w:cs="Times New Roman" w:eastAsia="Times New Roman" w:hAnsi="Times New Roman"/>
          <w:sz w:val="18"/>
          <w:szCs w:val="18"/>
          <w:color w:val="auto"/>
        </w:rPr>
        <w:t>expense decreased $0.7 million, or 1 percent, from 2018 primarily due to lower salary and benefit expenses, and lower bad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 expense, partially offset by higher expenses for planned maintenance outages at our generation facilities.</w:t>
      </w:r>
    </w:p>
    <w:p>
      <w:pPr>
        <w:spacing w:after="0" w:line="158" w:lineRule="exact"/>
        <w:rPr>
          <w:sz w:val="20"/>
          <w:szCs w:val="20"/>
          <w:color w:val="auto"/>
        </w:rPr>
      </w:pPr>
    </w:p>
    <w:p>
      <w:pPr>
        <w:jc w:val="both"/>
        <w:ind w:left="3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expense decreased $4.3 million, or 10 percent, from 2018 primarily due to the timing of modifications of the depreciable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lives for Boswell as part of Minnesota Power’s general rate case. As part of its decision in Minnesota Power’s general rate case in 2018, the MPUC extended the depreciable lives of Boswell Unit 3, Unit 4 and common facilities to 2050, and shortened the depreciable lives of Boswell Unit 1 and Unit 2 to 2022, resulting in a net decrease to depreciation expense in the first quarter of 2018. In the second quarter of 2018, as part of the reconsideration of its decision in Minnesota Power’s general rate case, the MPUC reduced the depreciable lives of Boswell Unit 3, Unit 4 and common facilities to 2035, resulting in higher depreciation expense beginning in the second quarter of 2018. (See </w:t>
      </w:r>
      <w:r>
        <w:rPr>
          <w:rFonts w:ascii="Times New Roman" w:cs="Times New Roman" w:eastAsia="Times New Roman" w:hAnsi="Times New Roman"/>
          <w:sz w:val="18"/>
          <w:szCs w:val="18"/>
          <w:i w:val="1"/>
          <w:iCs w:val="1"/>
          <w:color w:val="auto"/>
        </w:rPr>
        <w:t>Operating Revenue</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both"/>
        <w:ind w:lef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decreased $0.7 million, or 5 percent, from 2018 primarily due to lower average long-term debt balances and lower interest rates.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record interest expense for Regulated Operations primarily based on rate base and authorized capital structure, and allocate the balance to Corporate and Other.</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Equity Earnings </w:t>
      </w:r>
      <w:r>
        <w:rPr>
          <w:rFonts w:ascii="Times New Roman" w:cs="Times New Roman" w:eastAsia="Times New Roman" w:hAnsi="Times New Roman"/>
          <w:sz w:val="18"/>
          <w:szCs w:val="18"/>
          <w:color w:val="auto"/>
        </w:rPr>
        <w:t>increased $0.5 million, or 12 percent, from 2018 primarily due to additional investments in ATC.</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Other Income </w:t>
      </w:r>
      <w:r>
        <w:rPr>
          <w:rFonts w:ascii="Times New Roman" w:cs="Times New Roman" w:eastAsia="Times New Roman" w:hAnsi="Times New Roman"/>
          <w:sz w:val="18"/>
          <w:szCs w:val="18"/>
          <w:color w:val="auto"/>
        </w:rPr>
        <w:t>increased $1.8 million from 2018 reflecting various individually immaterial items.</w:t>
      </w:r>
    </w:p>
    <w:p>
      <w:pPr>
        <w:spacing w:after="0" w:line="225" w:lineRule="exact"/>
        <w:rPr>
          <w:sz w:val="20"/>
          <w:szCs w:val="20"/>
          <w:color w:val="auto"/>
        </w:rPr>
      </w:pPr>
    </w:p>
    <w:p>
      <w:pPr>
        <w:jc w:val="both"/>
        <w:ind w:lef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Benefit </w:t>
      </w:r>
      <w:r>
        <w:rPr>
          <w:rFonts w:ascii="Times New Roman" w:cs="Times New Roman" w:eastAsia="Times New Roman" w:hAnsi="Times New Roman"/>
          <w:sz w:val="18"/>
          <w:szCs w:val="18"/>
          <w:color w:val="auto"/>
        </w:rPr>
        <w:t>decreased $2.4 million from 2018 primarily due to higher pre-tax income. We expect our annual effective tax rate in 2019 to be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lower income tax benefit than in 2018 primarily due to higher pre-tax income.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ALLETE Clean Energy</w:t>
            </w:r>
          </w:p>
        </w:tc>
        <w:tc>
          <w:tcPr>
            <w:tcW w:w="44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46"/>
        </w:trPr>
        <w:tc>
          <w:tcPr>
            <w:tcW w:w="440" w:type="dxa"/>
            <w:vAlign w:val="bottom"/>
          </w:tcPr>
          <w:p>
            <w:pPr>
              <w:spacing w:after="0"/>
              <w:rPr>
                <w:sz w:val="24"/>
                <w:szCs w:val="24"/>
                <w:color w:val="auto"/>
              </w:rPr>
            </w:pPr>
          </w:p>
        </w:tc>
        <w:tc>
          <w:tcPr>
            <w:tcW w:w="5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Quarter Ended June 30,</w:t>
            </w:r>
          </w:p>
        </w:tc>
        <w:tc>
          <w:tcPr>
            <w:tcW w:w="44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440" w:type="dxa"/>
            <w:vAlign w:val="bottom"/>
          </w:tcPr>
          <w:p>
            <w:pPr>
              <w:spacing w:after="0"/>
              <w:rPr>
                <w:sz w:val="2"/>
                <w:szCs w:val="2"/>
                <w:color w:val="auto"/>
              </w:rPr>
            </w:pPr>
          </w:p>
        </w:tc>
        <w:tc>
          <w:tcPr>
            <w:tcW w:w="564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40" w:type="dxa"/>
            <w:vAlign w:val="bottom"/>
          </w:tcPr>
          <w:p>
            <w:pPr>
              <w:spacing w:after="0"/>
              <w:rPr>
                <w:sz w:val="20"/>
                <w:szCs w:val="20"/>
                <w:color w:val="auto"/>
              </w:rPr>
            </w:pPr>
          </w:p>
        </w:tc>
        <w:tc>
          <w:tcPr>
            <w:tcW w:w="5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44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440" w:type="dxa"/>
            <w:vAlign w:val="bottom"/>
          </w:tcPr>
          <w:p>
            <w:pPr>
              <w:spacing w:after="0"/>
              <w:rPr>
                <w:sz w:val="2"/>
                <w:szCs w:val="2"/>
                <w:color w:val="auto"/>
              </w:rPr>
            </w:pPr>
          </w:p>
        </w:tc>
        <w:tc>
          <w:tcPr>
            <w:tcW w:w="5640" w:type="dxa"/>
            <w:vAlign w:val="bottom"/>
          </w:tcPr>
          <w:p>
            <w:pPr>
              <w:spacing w:after="0"/>
              <w:rPr>
                <w:sz w:val="2"/>
                <w:szCs w:val="2"/>
                <w:color w:val="auto"/>
              </w:rPr>
            </w:pPr>
          </w:p>
        </w:tc>
        <w:tc>
          <w:tcPr>
            <w:tcW w:w="4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40" w:type="dxa"/>
            <w:vAlign w:val="bottom"/>
          </w:tcPr>
          <w:p>
            <w:pPr>
              <w:spacing w:after="0"/>
              <w:rPr>
                <w:sz w:val="21"/>
                <w:szCs w:val="21"/>
                <w:color w:val="auto"/>
              </w:rPr>
            </w:pPr>
          </w:p>
        </w:tc>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w:t>
            </w:r>
          </w:p>
        </w:tc>
        <w:tc>
          <w:tcPr>
            <w:tcW w:w="448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$15.4</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$18.3</w:t>
            </w:r>
          </w:p>
        </w:tc>
      </w:tr>
      <w:tr>
        <w:trPr>
          <w:trHeight w:val="243"/>
        </w:trPr>
        <w:tc>
          <w:tcPr>
            <w:tcW w:w="440" w:type="dxa"/>
            <w:vAlign w:val="bottom"/>
          </w:tcPr>
          <w:p>
            <w:pPr>
              <w:spacing w:after="0"/>
              <w:rPr>
                <w:sz w:val="21"/>
                <w:szCs w:val="21"/>
                <w:color w:val="auto"/>
              </w:rPr>
            </w:pPr>
          </w:p>
        </w:tc>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4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$1.9</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w:t>
            </w:r>
          </w:p>
        </w:tc>
      </w:tr>
      <w:tr>
        <w:trPr>
          <w:trHeight w:val="27"/>
        </w:trPr>
        <w:tc>
          <w:tcPr>
            <w:tcW w:w="440" w:type="dxa"/>
            <w:vAlign w:val="bottom"/>
          </w:tcPr>
          <w:p>
            <w:pPr>
              <w:spacing w:after="0"/>
              <w:rPr>
                <w:sz w:val="2"/>
                <w:szCs w:val="2"/>
                <w:color w:val="auto"/>
              </w:rPr>
            </w:pPr>
          </w:p>
        </w:tc>
        <w:tc>
          <w:tcPr>
            <w:tcW w:w="564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194" w:lineRule="exact"/>
        <w:rPr>
          <w:sz w:val="20"/>
          <w:szCs w:val="20"/>
          <w:color w:val="auto"/>
        </w:rPr>
      </w:pPr>
    </w:p>
    <w:p>
      <w:pPr>
        <w:jc w:val="both"/>
        <w:ind w:lef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Revenue </w:t>
      </w:r>
      <w:r>
        <w:rPr>
          <w:rFonts w:ascii="Times New Roman" w:cs="Times New Roman" w:eastAsia="Times New Roman" w:hAnsi="Times New Roman"/>
          <w:sz w:val="18"/>
          <w:szCs w:val="18"/>
          <w:color w:val="auto"/>
        </w:rPr>
        <w:t>decreased $2.9 million, or 16 percent, from 2018 primarily due to lower non-cash amortization related to the expiration of power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sales agreements.</w:t>
      </w:r>
    </w:p>
    <w:p>
      <w:pPr>
        <w:spacing w:after="0" w:line="101"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55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56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Quarter Ended June 30,</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Production and Operating Revenue</w:t>
            </w:r>
          </w:p>
        </w:tc>
        <w:tc>
          <w:tcPr>
            <w:tcW w:w="15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40" w:type="dxa"/>
            <w:vAlign w:val="bottom"/>
            <w:vMerge w:val="continue"/>
          </w:tcPr>
          <w:p>
            <w:pPr>
              <w:spacing w:after="0"/>
              <w:rPr>
                <w:sz w:val="20"/>
                <w:szCs w:val="20"/>
                <w:color w:val="auto"/>
              </w:rPr>
            </w:pPr>
          </w:p>
        </w:tc>
        <w:tc>
          <w:tcPr>
            <w:tcW w:w="154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kWh</w:t>
            </w:r>
          </w:p>
        </w:tc>
        <w:tc>
          <w:tcPr>
            <w:tcW w:w="12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34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kWh</w:t>
            </w:r>
          </w:p>
        </w:tc>
        <w:tc>
          <w:tcPr>
            <w:tcW w:w="10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0" w:type="dxa"/>
            <w:vAlign w:val="bottom"/>
          </w:tcPr>
          <w:p>
            <w:pPr>
              <w:spacing w:after="0"/>
              <w:rPr>
                <w:sz w:val="1"/>
                <w:szCs w:val="1"/>
                <w:color w:val="auto"/>
              </w:rPr>
            </w:pPr>
          </w:p>
        </w:tc>
      </w:tr>
      <w:tr>
        <w:trPr>
          <w:trHeight w:val="27"/>
        </w:trPr>
        <w:tc>
          <w:tcPr>
            <w:tcW w:w="5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15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Wind Energy Facilities</w:t>
            </w:r>
          </w:p>
        </w:tc>
        <w:tc>
          <w:tcPr>
            <w:tcW w:w="15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Armenia Mountain</w:t>
            </w:r>
          </w:p>
        </w:tc>
        <w:tc>
          <w:tcPr>
            <w:tcW w:w="15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64.0</w:t>
            </w:r>
          </w:p>
        </w:tc>
        <w:tc>
          <w:tcPr>
            <w:tcW w:w="12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$5.8</w:t>
            </w:r>
          </w:p>
        </w:tc>
        <w:tc>
          <w:tcPr>
            <w:tcW w:w="13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55.5</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Chanarambie/Viking</w:t>
            </w:r>
          </w:p>
        </w:tc>
        <w:tc>
          <w:tcPr>
            <w:tcW w:w="154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56.8</w:t>
            </w:r>
          </w:p>
        </w:tc>
        <w:tc>
          <w:tcPr>
            <w:tcW w:w="122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2.9</w:t>
            </w:r>
          </w:p>
        </w:tc>
        <w:tc>
          <w:tcPr>
            <w:tcW w:w="13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59.4</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43"/>
        </w:trPr>
        <w:tc>
          <w:tcPr>
            <w:tcW w:w="5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Condon</w:t>
            </w:r>
          </w:p>
        </w:tc>
        <w:tc>
          <w:tcPr>
            <w:tcW w:w="15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22.7</w:t>
            </w:r>
          </w:p>
        </w:tc>
        <w:tc>
          <w:tcPr>
            <w:tcW w:w="12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1.8</w:t>
            </w:r>
          </w:p>
        </w:tc>
        <w:tc>
          <w:tcPr>
            <w:tcW w:w="13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24.0</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Lake Benton</w:t>
            </w:r>
          </w:p>
        </w:tc>
        <w:tc>
          <w:tcPr>
            <w:tcW w:w="154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48.9</w:t>
            </w:r>
          </w:p>
        </w:tc>
        <w:tc>
          <w:tcPr>
            <w:tcW w:w="122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2.9</w:t>
            </w:r>
          </w:p>
        </w:tc>
        <w:tc>
          <w:tcPr>
            <w:tcW w:w="13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49.0</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43"/>
        </w:trPr>
        <w:tc>
          <w:tcPr>
            <w:tcW w:w="5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Storm Lake I</w:t>
            </w:r>
          </w:p>
        </w:tc>
        <w:tc>
          <w:tcPr>
            <w:tcW w:w="15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44.6</w:t>
            </w:r>
          </w:p>
        </w:tc>
        <w:tc>
          <w:tcPr>
            <w:tcW w:w="12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0.9</w:t>
            </w:r>
          </w:p>
        </w:tc>
        <w:tc>
          <w:tcPr>
            <w:tcW w:w="13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41.3</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Storm Lake II</w:t>
            </w:r>
          </w:p>
        </w:tc>
        <w:tc>
          <w:tcPr>
            <w:tcW w:w="154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31.8</w:t>
            </w:r>
          </w:p>
        </w:tc>
        <w:tc>
          <w:tcPr>
            <w:tcW w:w="122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0.8</w:t>
            </w:r>
          </w:p>
        </w:tc>
        <w:tc>
          <w:tcPr>
            <w:tcW w:w="13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31.7</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43"/>
        </w:trPr>
        <w:tc>
          <w:tcPr>
            <w:tcW w:w="5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5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9.4</w:t>
            </w:r>
          </w:p>
        </w:tc>
        <w:tc>
          <w:tcPr>
            <w:tcW w:w="12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0.3</w:t>
            </w:r>
          </w:p>
        </w:tc>
        <w:tc>
          <w:tcPr>
            <w:tcW w:w="13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Production and Operating Revenue</w:t>
            </w:r>
          </w:p>
        </w:tc>
        <w:tc>
          <w:tcPr>
            <w:tcW w:w="154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278.2</w:t>
            </w:r>
          </w:p>
        </w:tc>
        <w:tc>
          <w:tcPr>
            <w:tcW w:w="122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$15.4</w:t>
            </w:r>
          </w:p>
        </w:tc>
        <w:tc>
          <w:tcPr>
            <w:tcW w:w="13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260.9</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0"/>
        </w:trPr>
        <w:tc>
          <w:tcPr>
            <w:tcW w:w="554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ind w:left="3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Income </w:t>
      </w:r>
      <w:r>
        <w:rPr>
          <w:rFonts w:ascii="Times New Roman" w:cs="Times New Roman" w:eastAsia="Times New Roman" w:hAnsi="Times New Roman"/>
          <w:sz w:val="18"/>
          <w:szCs w:val="18"/>
          <w:color w:val="auto"/>
        </w:rPr>
        <w:t>decreased $4.9 million from 2018. Net income in 2018 included $2.6 million of production tax credits that resulted from the retrospective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qualification of additional wind turbine generators in 2016 and 2017. Net income in 2019 included lower revenue resulting from lower non-cash amortization related to the expiration of power sales agreements and higher depreciation expense. These decreases were partially offset by $0.8 million of additional production tax credits generated in 2019 compared to production tax credits generated in 2018 as ALLETE Clean Energy continues to execute its refurbishment strategy.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Second Quarter 2019 Form 10-Q</w:t>
      </w:r>
    </w:p>
    <w:p>
      <w:pPr>
        <w:sectPr>
          <w:pgSz w:w="11900" w:h="16838" w:orient="portrait"/>
          <w:cols w:equalWidth="0" w:num="1">
            <w:col w:w="11420"/>
          </w:cols>
          <w:pgMar w:left="240" w:top="1036" w:right="239" w:bottom="1440" w:gutter="0" w:footer="0" w:header="0"/>
        </w:sectPr>
      </w:pPr>
    </w:p>
    <w:p>
      <w:pPr>
        <w:spacing w:after="0" w:line="17" w:lineRule="exact"/>
        <w:rPr>
          <w:sz w:val="20"/>
          <w:szCs w:val="20"/>
          <w:color w:val="auto"/>
        </w:rPr>
      </w:pPr>
    </w:p>
    <w:p>
      <w:pPr>
        <w:ind w:left="11280"/>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11420"/>
          </w:cols>
          <w:pgMar w:left="240" w:top="1036" w:right="239" w:bottom="1440" w:gutter="0" w:footer="0" w:header="0"/>
          <w:type w:val="continuous"/>
        </w:sectPr>
      </w:pPr>
    </w:p>
    <w:bookmarkStart w:id="35" w:name="page36"/>
    <w:bookmarkEnd w:id="35"/>
    <w:tbl>
      <w:tblPr>
        <w:tblLayout w:type="fixed"/>
        <w:tblInd w:w="0" w:type="dxa"/>
        <w:tblCellMar>
          <w:top w:w="0" w:type="dxa"/>
          <w:left w:w="0" w:type="dxa"/>
          <w:bottom w:w="0" w:type="dxa"/>
          <w:right w:w="0" w:type="dxa"/>
        </w:tblCellMar>
      </w:tblPr>
      <w:tr>
        <w:trPr>
          <w:trHeight w:val="238"/>
        </w:trPr>
        <w:tc>
          <w:tcPr>
            <w:tcW w:w="8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COMPARISON OF THE QUARTERS ENDED JUNE 30, 2019 AND 2018 (Continued)</w:t>
            </w:r>
          </w:p>
        </w:tc>
        <w:tc>
          <w:tcPr>
            <w:tcW w:w="22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32"/>
        </w:trPr>
        <w:tc>
          <w:tcPr>
            <w:tcW w:w="8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U.S. Water Services</w:t>
            </w:r>
          </w:p>
        </w:tc>
        <w:tc>
          <w:tcPr>
            <w:tcW w:w="2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46"/>
        </w:trPr>
        <w:tc>
          <w:tcPr>
            <w:tcW w:w="440" w:type="dxa"/>
            <w:vAlign w:val="bottom"/>
          </w:tcPr>
          <w:p>
            <w:pPr>
              <w:spacing w:after="0"/>
              <w:rPr>
                <w:sz w:val="24"/>
                <w:szCs w:val="24"/>
                <w:color w:val="auto"/>
              </w:rPr>
            </w:pPr>
          </w:p>
        </w:tc>
        <w:tc>
          <w:tcPr>
            <w:tcW w:w="7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Quarter Ended June 30,</w:t>
            </w:r>
          </w:p>
        </w:tc>
        <w:tc>
          <w:tcPr>
            <w:tcW w:w="22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440" w:type="dxa"/>
            <w:vAlign w:val="bottom"/>
          </w:tcPr>
          <w:p>
            <w:pPr>
              <w:spacing w:after="0"/>
              <w:rPr>
                <w:sz w:val="2"/>
                <w:szCs w:val="2"/>
                <w:color w:val="auto"/>
              </w:rPr>
            </w:pPr>
          </w:p>
        </w:tc>
        <w:tc>
          <w:tcPr>
            <w:tcW w:w="78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40" w:type="dxa"/>
            <w:vAlign w:val="bottom"/>
          </w:tcPr>
          <w:p>
            <w:pPr>
              <w:spacing w:after="0"/>
              <w:rPr>
                <w:sz w:val="20"/>
                <w:szCs w:val="20"/>
                <w:color w:val="auto"/>
              </w:rPr>
            </w:pPr>
          </w:p>
        </w:tc>
        <w:tc>
          <w:tcPr>
            <w:tcW w:w="7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22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440" w:type="dxa"/>
            <w:vAlign w:val="bottom"/>
          </w:tcPr>
          <w:p>
            <w:pPr>
              <w:spacing w:after="0"/>
              <w:rPr>
                <w:sz w:val="2"/>
                <w:szCs w:val="2"/>
                <w:color w:val="auto"/>
              </w:rPr>
            </w:pPr>
          </w:p>
        </w:tc>
        <w:tc>
          <w:tcPr>
            <w:tcW w:w="78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40" w:type="dxa"/>
            <w:vAlign w:val="bottom"/>
          </w:tcPr>
          <w:p>
            <w:pPr>
              <w:spacing w:after="0"/>
              <w:rPr>
                <w:sz w:val="21"/>
                <w:szCs w:val="21"/>
                <w:color w:val="auto"/>
              </w:rPr>
            </w:pPr>
          </w:p>
        </w:tc>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w:t>
            </w:r>
          </w:p>
        </w:tc>
        <w:tc>
          <w:tcPr>
            <w:tcW w:w="228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$41.5</w:t>
            </w:r>
          </w:p>
        </w:tc>
      </w:tr>
      <w:tr>
        <w:trPr>
          <w:trHeight w:val="243"/>
        </w:trPr>
        <w:tc>
          <w:tcPr>
            <w:tcW w:w="440" w:type="dxa"/>
            <w:vAlign w:val="bottom"/>
          </w:tcPr>
          <w:p>
            <w:pPr>
              <w:spacing w:after="0"/>
              <w:rPr>
                <w:sz w:val="21"/>
                <w:szCs w:val="21"/>
                <w:color w:val="auto"/>
              </w:rPr>
            </w:pPr>
          </w:p>
        </w:tc>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r>
      <w:tr>
        <w:trPr>
          <w:trHeight w:val="27"/>
        </w:trPr>
        <w:tc>
          <w:tcPr>
            <w:tcW w:w="440" w:type="dxa"/>
            <w:vAlign w:val="bottom"/>
          </w:tcPr>
          <w:p>
            <w:pPr>
              <w:spacing w:after="0"/>
              <w:rPr>
                <w:sz w:val="2"/>
                <w:szCs w:val="2"/>
                <w:color w:val="auto"/>
              </w:rPr>
            </w:pPr>
          </w:p>
        </w:tc>
        <w:tc>
          <w:tcPr>
            <w:tcW w:w="78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261" w:lineRule="exact"/>
        <w:rPr>
          <w:sz w:val="20"/>
          <w:szCs w:val="20"/>
          <w:color w:val="auto"/>
        </w:rPr>
      </w:pPr>
    </w:p>
    <w:p>
      <w:pPr>
        <w:jc w:val="both"/>
        <w:ind w:left="34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Revenue </w:t>
      </w:r>
      <w:r>
        <w:rPr>
          <w:rFonts w:ascii="Times New Roman" w:cs="Times New Roman" w:eastAsia="Times New Roman" w:hAnsi="Times New Roman"/>
          <w:sz w:val="18"/>
          <w:szCs w:val="18"/>
          <w:color w:val="auto"/>
        </w:rPr>
        <w:t>decreased $41.5 million from 2018. ALLETE completed the sale of U.S. Water Services in the first quarter of 2019. (See Note 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Operations and Significant Accounting Policies.)</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Net Income </w:t>
      </w:r>
      <w:r>
        <w:rPr>
          <w:rFonts w:ascii="Times New Roman" w:cs="Times New Roman" w:eastAsia="Times New Roman" w:hAnsi="Times New Roman"/>
          <w:sz w:val="18"/>
          <w:szCs w:val="18"/>
          <w:color w:val="auto"/>
        </w:rPr>
        <w:t>decreased $0.2 million from 2018. ALLETE completed the sale of U.S. Water Services in the first quarter of 2019.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Other</w:t>
      </w:r>
    </w:p>
    <w:p>
      <w:pPr>
        <w:spacing w:after="0" w:line="225" w:lineRule="exact"/>
        <w:rPr>
          <w:sz w:val="20"/>
          <w:szCs w:val="20"/>
          <w:color w:val="auto"/>
        </w:rPr>
      </w:pPr>
    </w:p>
    <w:p>
      <w:pPr>
        <w:jc w:val="both"/>
        <w:ind w:lef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Revenue </w:t>
      </w:r>
      <w:r>
        <w:rPr>
          <w:rFonts w:ascii="Times New Roman" w:cs="Times New Roman" w:eastAsia="Times New Roman" w:hAnsi="Times New Roman"/>
          <w:sz w:val="18"/>
          <w:szCs w:val="18"/>
          <w:color w:val="auto"/>
        </w:rPr>
        <w:t>decreased $1.3 million, or 5 percent, from 2018 primarily due to lower revenue at BNI Energy, which operates under cost-plus fixed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fee contracts, as a result of lower expenses and fewer tons sold in 2019 compared to 2018 and lower revenue from non-rate base generation, partially offset by an increase in land sales at ALLETE Properties.</w:t>
      </w:r>
    </w:p>
    <w:p>
      <w:pPr>
        <w:spacing w:after="0" w:line="171" w:lineRule="exact"/>
        <w:rPr>
          <w:sz w:val="20"/>
          <w:szCs w:val="20"/>
          <w:color w:val="auto"/>
        </w:rPr>
      </w:pPr>
    </w:p>
    <w:p>
      <w:pPr>
        <w:jc w:val="both"/>
        <w:ind w:left="3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Income </w:t>
      </w:r>
      <w:r>
        <w:rPr>
          <w:rFonts w:ascii="Times New Roman" w:cs="Times New Roman" w:eastAsia="Times New Roman" w:hAnsi="Times New Roman"/>
          <w:sz w:val="18"/>
          <w:szCs w:val="18"/>
          <w:color w:val="auto"/>
        </w:rPr>
        <w:t>was $2.0 million in 2019 compared to a net loss of $1.7 million in 2018. Net income in 2019 included additional income tax benefit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GAAP requires the recognition of income tax expense at the estimated annual effective tax rate, additional gain on the sale of U.S. Water Services resulting from the finalization of working capital, and higher earnings on cash and short-term investments. Net income at BNI Energy was $1.7 million in 2019 compared to net income of $1.8 million in 2018. The net loss at ALLETE Properties was $0.5 million in 2019 compared to a net loss of $0.7 million in 2018.</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 – Consolidated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quarter ended June 30, 2019, the effective tax rate was a benefit of 16.3 percent (benefit of 20.8 percent for the quarter ended June 30, 2018).</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COMPARISON OF THE SIX MONTHS ENDED JUNE 30, 2019 AND 2018</w:t>
            </w:r>
          </w:p>
        </w:tc>
        <w:tc>
          <w:tcPr>
            <w:tcW w:w="27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32"/>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(See Note 11. Business Segments for financial results by segment.)</w:t>
            </w:r>
          </w:p>
        </w:tc>
        <w:tc>
          <w:tcPr>
            <w:tcW w:w="27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32"/>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Regulated Operations</w:t>
            </w:r>
          </w:p>
        </w:tc>
        <w:tc>
          <w:tcPr>
            <w:tcW w:w="27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59"/>
        </w:trPr>
        <w:tc>
          <w:tcPr>
            <w:tcW w:w="420" w:type="dxa"/>
            <w:vAlign w:val="bottom"/>
          </w:tcPr>
          <w:p>
            <w:pPr>
              <w:spacing w:after="0"/>
              <w:rPr>
                <w:sz w:val="24"/>
                <w:szCs w:val="24"/>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27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420" w:type="dxa"/>
            <w:vAlign w:val="bottom"/>
          </w:tcPr>
          <w:p>
            <w:pPr>
              <w:spacing w:after="0"/>
              <w:rPr>
                <w:sz w:val="2"/>
                <w:szCs w:val="2"/>
                <w:color w:val="auto"/>
              </w:rPr>
            </w:pPr>
          </w:p>
        </w:tc>
        <w:tc>
          <w:tcPr>
            <w:tcW w:w="738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spacing w:after="0"/>
              <w:rPr>
                <w:sz w:val="20"/>
                <w:szCs w:val="20"/>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27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4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 – Utility</w:t>
            </w:r>
          </w:p>
        </w:tc>
        <w:tc>
          <w:tcPr>
            <w:tcW w:w="27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$532.0</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$528.0</w:t>
            </w:r>
          </w:p>
        </w:tc>
      </w:tr>
      <w:tr>
        <w:trPr>
          <w:trHeight w:val="243"/>
        </w:trPr>
        <w:tc>
          <w:tcPr>
            <w:tcW w:w="420" w:type="dxa"/>
            <w:vAlign w:val="bottom"/>
          </w:tcPr>
          <w:p>
            <w:pPr>
              <w:spacing w:after="0"/>
              <w:rPr>
                <w:sz w:val="21"/>
                <w:szCs w:val="21"/>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Fuel, Purchased Power and Gas – Utility</w:t>
            </w:r>
          </w:p>
        </w:tc>
        <w:tc>
          <w:tcPr>
            <w:tcW w:w="27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197.7</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197.4</w:t>
            </w:r>
          </w:p>
        </w:tc>
      </w:tr>
      <w:tr>
        <w:trPr>
          <w:trHeight w:val="27"/>
        </w:trPr>
        <w:tc>
          <w:tcPr>
            <w:tcW w:w="4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Transmission Services – Utility</w:t>
            </w:r>
          </w:p>
        </w:tc>
        <w:tc>
          <w:tcPr>
            <w:tcW w:w="27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37.5</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35.2</w:t>
            </w:r>
          </w:p>
        </w:tc>
      </w:tr>
      <w:tr>
        <w:trPr>
          <w:trHeight w:val="243"/>
        </w:trPr>
        <w:tc>
          <w:tcPr>
            <w:tcW w:w="420" w:type="dxa"/>
            <w:vAlign w:val="bottom"/>
          </w:tcPr>
          <w:p>
            <w:pPr>
              <w:spacing w:after="0"/>
              <w:rPr>
                <w:sz w:val="21"/>
                <w:szCs w:val="21"/>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and Maintenance</w:t>
            </w:r>
          </w:p>
        </w:tc>
        <w:tc>
          <w:tcPr>
            <w:tcW w:w="27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101.9</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110.4</w:t>
            </w:r>
          </w:p>
        </w:tc>
      </w:tr>
      <w:tr>
        <w:trPr>
          <w:trHeight w:val="27"/>
        </w:trPr>
        <w:tc>
          <w:tcPr>
            <w:tcW w:w="4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7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80.0</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78.8</w:t>
            </w:r>
          </w:p>
        </w:tc>
      </w:tr>
      <w:tr>
        <w:trPr>
          <w:trHeight w:val="243"/>
        </w:trPr>
        <w:tc>
          <w:tcPr>
            <w:tcW w:w="420" w:type="dxa"/>
            <w:vAlign w:val="bottom"/>
          </w:tcPr>
          <w:p>
            <w:pPr>
              <w:spacing w:after="0"/>
              <w:rPr>
                <w:sz w:val="21"/>
                <w:szCs w:val="21"/>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 Other than Income Taxes</w:t>
            </w:r>
          </w:p>
        </w:tc>
        <w:tc>
          <w:tcPr>
            <w:tcW w:w="27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24.8</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28.1</w:t>
            </w:r>
          </w:p>
        </w:tc>
      </w:tr>
      <w:tr>
        <w:trPr>
          <w:trHeight w:val="27"/>
        </w:trPr>
        <w:tc>
          <w:tcPr>
            <w:tcW w:w="420" w:type="dxa"/>
            <w:vAlign w:val="bottom"/>
          </w:tcPr>
          <w:p>
            <w:pPr>
              <w:spacing w:after="0"/>
              <w:rPr>
                <w:sz w:val="2"/>
                <w:szCs w:val="2"/>
                <w:color w:val="auto"/>
              </w:rPr>
            </w:pPr>
          </w:p>
        </w:tc>
        <w:tc>
          <w:tcPr>
            <w:tcW w:w="738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20" w:type="dxa"/>
            <w:vAlign w:val="bottom"/>
          </w:tcPr>
          <w:p>
            <w:pPr>
              <w:spacing w:after="0"/>
              <w:rPr>
                <w:sz w:val="21"/>
                <w:szCs w:val="21"/>
                <w:color w:val="auto"/>
              </w:rPr>
            </w:pPr>
          </w:p>
        </w:tc>
        <w:tc>
          <w:tcPr>
            <w:tcW w:w="73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Operating Income</w:t>
            </w:r>
          </w:p>
        </w:tc>
        <w:tc>
          <w:tcPr>
            <w:tcW w:w="27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90.1</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78.1</w:t>
            </w:r>
          </w:p>
        </w:tc>
      </w:tr>
      <w:tr>
        <w:trPr>
          <w:trHeight w:val="243"/>
        </w:trPr>
        <w:tc>
          <w:tcPr>
            <w:tcW w:w="420" w:type="dxa"/>
            <w:vAlign w:val="bottom"/>
          </w:tcPr>
          <w:p>
            <w:pPr>
              <w:spacing w:after="0"/>
              <w:rPr>
                <w:sz w:val="21"/>
                <w:szCs w:val="21"/>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7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(29.9)</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7"/>
        </w:trPr>
        <w:tc>
          <w:tcPr>
            <w:tcW w:w="4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Earnings</w:t>
            </w:r>
          </w:p>
        </w:tc>
        <w:tc>
          <w:tcPr>
            <w:tcW w:w="27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10.4</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w:t>
            </w:r>
          </w:p>
        </w:tc>
      </w:tr>
      <w:tr>
        <w:trPr>
          <w:trHeight w:val="243"/>
        </w:trPr>
        <w:tc>
          <w:tcPr>
            <w:tcW w:w="420" w:type="dxa"/>
            <w:vAlign w:val="bottom"/>
          </w:tcPr>
          <w:p>
            <w:pPr>
              <w:spacing w:after="0"/>
              <w:rPr>
                <w:sz w:val="21"/>
                <w:szCs w:val="21"/>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7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7.1</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r>
      <w:tr>
        <w:trPr>
          <w:trHeight w:val="27"/>
        </w:trPr>
        <w:tc>
          <w:tcPr>
            <w:tcW w:w="420" w:type="dxa"/>
            <w:vAlign w:val="bottom"/>
          </w:tcPr>
          <w:p>
            <w:pPr>
              <w:spacing w:after="0"/>
              <w:rPr>
                <w:sz w:val="2"/>
                <w:szCs w:val="2"/>
                <w:color w:val="auto"/>
              </w:rPr>
            </w:pPr>
          </w:p>
        </w:tc>
        <w:tc>
          <w:tcPr>
            <w:tcW w:w="738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20" w:type="dxa"/>
            <w:vAlign w:val="bottom"/>
          </w:tcPr>
          <w:p>
            <w:pPr>
              <w:spacing w:after="0"/>
              <w:rPr>
                <w:sz w:val="21"/>
                <w:szCs w:val="21"/>
                <w:color w:val="auto"/>
              </w:rPr>
            </w:pPr>
          </w:p>
        </w:tc>
        <w:tc>
          <w:tcPr>
            <w:tcW w:w="73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7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77.7</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59.7</w:t>
            </w:r>
          </w:p>
        </w:tc>
      </w:tr>
      <w:tr>
        <w:trPr>
          <w:trHeight w:val="243"/>
        </w:trPr>
        <w:tc>
          <w:tcPr>
            <w:tcW w:w="420" w:type="dxa"/>
            <w:vAlign w:val="bottom"/>
          </w:tcPr>
          <w:p>
            <w:pPr>
              <w:spacing w:after="0"/>
              <w:rPr>
                <w:sz w:val="21"/>
                <w:szCs w:val="21"/>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27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(4.1)</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7"/>
        </w:trPr>
        <w:tc>
          <w:tcPr>
            <w:tcW w:w="420" w:type="dxa"/>
            <w:vAlign w:val="bottom"/>
          </w:tcPr>
          <w:p>
            <w:pPr>
              <w:spacing w:after="0"/>
              <w:rPr>
                <w:sz w:val="2"/>
                <w:szCs w:val="2"/>
                <w:color w:val="auto"/>
              </w:rPr>
            </w:pPr>
          </w:p>
        </w:tc>
        <w:tc>
          <w:tcPr>
            <w:tcW w:w="738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20" w:type="dxa"/>
            <w:vAlign w:val="bottom"/>
          </w:tcPr>
          <w:p>
            <w:pPr>
              <w:spacing w:after="0"/>
              <w:rPr>
                <w:sz w:val="21"/>
                <w:szCs w:val="21"/>
                <w:color w:val="auto"/>
              </w:rPr>
            </w:pPr>
          </w:p>
        </w:tc>
        <w:tc>
          <w:tcPr>
            <w:tcW w:w="73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27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$81.8</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$69.9</w:t>
            </w:r>
          </w:p>
        </w:tc>
      </w:tr>
      <w:tr>
        <w:trPr>
          <w:trHeight w:val="20"/>
        </w:trPr>
        <w:tc>
          <w:tcPr>
            <w:tcW w:w="420" w:type="dxa"/>
            <w:vAlign w:val="bottom"/>
          </w:tcPr>
          <w:p>
            <w:pPr>
              <w:spacing w:after="0" w:line="20" w:lineRule="exact"/>
              <w:rPr>
                <w:sz w:val="1"/>
                <w:szCs w:val="1"/>
                <w:color w:val="auto"/>
              </w:rPr>
            </w:pPr>
          </w:p>
        </w:tc>
        <w:tc>
          <w:tcPr>
            <w:tcW w:w="7380" w:type="dxa"/>
            <w:vAlign w:val="bottom"/>
            <w:shd w:val="clear" w:color="auto" w:fill="000000"/>
          </w:tcPr>
          <w:p>
            <w:pPr>
              <w:spacing w:after="0" w:line="20" w:lineRule="exact"/>
              <w:rPr>
                <w:sz w:val="1"/>
                <w:szCs w:val="1"/>
                <w:color w:val="auto"/>
              </w:rPr>
            </w:pPr>
          </w:p>
        </w:tc>
        <w:tc>
          <w:tcPr>
            <w:tcW w:w="27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bl>
    <w:p>
      <w:pPr>
        <w:spacing w:after="0" w:line="194" w:lineRule="exact"/>
        <w:rPr>
          <w:sz w:val="20"/>
          <w:szCs w:val="20"/>
          <w:color w:val="auto"/>
        </w:rPr>
      </w:pPr>
    </w:p>
    <w:p>
      <w:pPr>
        <w:ind w:lef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Revenue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Utility </w:t>
      </w:r>
      <w:r>
        <w:rPr>
          <w:rFonts w:ascii="Times New Roman" w:cs="Times New Roman" w:eastAsia="Times New Roman" w:hAnsi="Times New Roman"/>
          <w:sz w:val="18"/>
          <w:szCs w:val="18"/>
          <w:color w:val="auto"/>
        </w:rPr>
        <w:t>increased $4.0 million, or 1 percent, from 2018 primarily due to higher fuel adjustment clause recoveries, increased cost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recovery rider revenue and higher FERC formula-based rates, partially offset by lower revenue from kWh sales.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Second Quarter 2019 Form 10-Q</w:t>
      </w:r>
    </w:p>
    <w:p>
      <w:pPr>
        <w:sectPr>
          <w:pgSz w:w="11900" w:h="16838" w:orient="portrait"/>
          <w:cols w:equalWidth="0" w:num="1">
            <w:col w:w="11420"/>
          </w:cols>
          <w:pgMar w:left="240" w:top="1036" w:right="239" w:bottom="1440" w:gutter="0" w:footer="0" w:header="0"/>
        </w:sectPr>
      </w:pPr>
    </w:p>
    <w:p>
      <w:pPr>
        <w:spacing w:after="0" w:line="17" w:lineRule="exact"/>
        <w:rPr>
          <w:sz w:val="20"/>
          <w:szCs w:val="20"/>
          <w:color w:val="auto"/>
        </w:rPr>
      </w:pPr>
    </w:p>
    <w:p>
      <w:pPr>
        <w:ind w:left="11280"/>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11420"/>
          </w:cols>
          <w:pgMar w:left="240" w:top="1036" w:right="2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COMPARISON OF THE SIX MONTHS ENDED JUNE 30, 2019 AND 2018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Regulated Operations (Continued)</w:t>
      </w:r>
    </w:p>
    <w:p>
      <w:pPr>
        <w:spacing w:after="0" w:line="207"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Fuel adjustment clause revenue increased $12.7 million due to period over period timing of recoveries for fuel and purchased power costs attributable to retail and municipal customers.</w:t>
      </w:r>
    </w:p>
    <w:p>
      <w:pPr>
        <w:spacing w:after="0" w:line="162"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Cost recovery rider revenue contributed an incremental $11.6 million over current base rates compared to 2018 (see Note 2. Regulatory Matters) primarily due to higher expenditures related to the construction of the GNTL and lower transmission margins related to our portion of CapX2020 transmission lines. Transmission margins for CapX2020 transmission lines recognized below those assumed in Minnesota Power base rates result in increased cost recovery rider revenue to offset the impact of the lower margins.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Revenue from wholesale customers under FERC formula-based rates increased $2.7 million from 2018 primarily due to higher rates.</w:t>
      </w:r>
    </w:p>
    <w:p>
      <w:pPr>
        <w:spacing w:after="0" w:line="225"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Revenue from kWh sales decreased $22.4 million from 2018 reflecting lower sales to residential, commercial, industrial and municipal customers as well as lower sales to other power suppliers. Sales to residential and commercial customers decreased from 2018 primarily due to milder weather in the second quarter of 2019. Sales to industrial customers decreased in 2019 reflecting in part lower sales to Husky Energy due to an April 2018 fire at its refinery in Superior, Wisconsin. Sales to municipal customers decreased from 2018 as a result of additional customer self-generation in 2019. Sales to other power suppliers decreased in 2019 primarily due to fewer market sales and sales under PSAs as a result of less generation available for sale, partially offset by the commencement of Minnesota Power’s PSA with Oconto Electric Cooperative in January 2019. Sales to other power suppliers are sold at market-based prices into the MISO market on a daily basis or through PSAs of various durations.</w:t>
      </w: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Kilowatt-hours Sold</w:t>
            </w:r>
          </w:p>
        </w:tc>
        <w:tc>
          <w:tcPr>
            <w:tcW w:w="2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Quantity</w:t>
            </w:r>
          </w:p>
        </w:tc>
        <w:tc>
          <w:tcPr>
            <w:tcW w:w="10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25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Variance</w:t>
            </w:r>
          </w:p>
        </w:tc>
      </w:tr>
      <w:tr>
        <w:trPr>
          <w:trHeight w:val="27"/>
        </w:trPr>
        <w:tc>
          <w:tcPr>
            <w:tcW w:w="50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2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Regulated Utility</w:t>
            </w:r>
          </w:p>
        </w:tc>
        <w:tc>
          <w:tcPr>
            <w:tcW w:w="2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Retail and Municipal</w:t>
            </w:r>
          </w:p>
        </w:tc>
        <w:tc>
          <w:tcPr>
            <w:tcW w:w="25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Residential</w:t>
            </w:r>
          </w:p>
        </w:tc>
        <w:tc>
          <w:tcPr>
            <w:tcW w:w="256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581</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585</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43"/>
        </w:trPr>
        <w:tc>
          <w:tcPr>
            <w:tcW w:w="50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Commercial</w:t>
            </w:r>
          </w:p>
        </w:tc>
        <w:tc>
          <w:tcPr>
            <w:tcW w:w="25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683</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706</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(23)</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7"/>
        </w:trPr>
        <w:tc>
          <w:tcPr>
            <w:tcW w:w="50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Industrial</w:t>
            </w:r>
          </w:p>
        </w:tc>
        <w:tc>
          <w:tcPr>
            <w:tcW w:w="256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3,587</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3,624</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(37)</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50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Municipal</w:t>
            </w:r>
          </w:p>
        </w:tc>
        <w:tc>
          <w:tcPr>
            <w:tcW w:w="25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373</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407</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(34)</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7"/>
        </w:trPr>
        <w:tc>
          <w:tcPr>
            <w:tcW w:w="50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Retail and Municipal</w:t>
            </w:r>
          </w:p>
        </w:tc>
        <w:tc>
          <w:tcPr>
            <w:tcW w:w="256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5,224</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5,322</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(98)</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43"/>
        </w:trPr>
        <w:tc>
          <w:tcPr>
            <w:tcW w:w="5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Power Suppliers</w:t>
            </w:r>
          </w:p>
        </w:tc>
        <w:tc>
          <w:tcPr>
            <w:tcW w:w="25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1,536</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2,008</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(472)</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7"/>
        </w:trPr>
        <w:tc>
          <w:tcPr>
            <w:tcW w:w="50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Regulated Utility Kilowatt-hours Sold</w:t>
            </w:r>
          </w:p>
        </w:tc>
        <w:tc>
          <w:tcPr>
            <w:tcW w:w="256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6,760</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7,330</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(570)</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0"/>
        </w:trPr>
        <w:tc>
          <w:tcPr>
            <w:tcW w:w="5040" w:type="dxa"/>
            <w:vAlign w:val="bottom"/>
            <w:shd w:val="clear" w:color="auto" w:fill="000000"/>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Revenue from electric sales to taconite and iron concentrate customers accounted for 24 percent of consolidated operating revenue in 2019 (21 percent in 2018). Revenue from electric sales to paper, pulp and secondary wood product customers accounted for 5 percent of consolidated operating revenue in 2019 (5 percent in 2018). Revenue from electric sales to pipelines and other industrial customers accounted for 8 percent of consolidated operating revenue in 2019 (7 percent in 2018).</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Operating Expenses </w:t>
      </w:r>
      <w:r>
        <w:rPr>
          <w:rFonts w:ascii="Times New Roman" w:cs="Times New Roman" w:eastAsia="Times New Roman" w:hAnsi="Times New Roman"/>
          <w:sz w:val="18"/>
          <w:szCs w:val="18"/>
          <w:color w:val="auto"/>
        </w:rPr>
        <w:t>decreased $8.0 million, or 2 percent, from 2018.</w:t>
      </w:r>
    </w:p>
    <w:p>
      <w:pPr>
        <w:spacing w:after="0" w:line="201" w:lineRule="exact"/>
        <w:rPr>
          <w:sz w:val="20"/>
          <w:szCs w:val="20"/>
          <w:color w:val="auto"/>
        </w:rPr>
      </w:pPr>
    </w:p>
    <w:p>
      <w:pPr>
        <w:ind w:left="340"/>
        <w:spacing w:after="0" w:line="207" w:lineRule="exact"/>
        <w:rPr>
          <w:sz w:val="20"/>
          <w:szCs w:val="20"/>
          <w:color w:val="auto"/>
        </w:rPr>
      </w:pPr>
      <w:r>
        <w:rPr>
          <w:rFonts w:ascii="Times New Roman" w:cs="Times New Roman" w:eastAsia="Times New Roman" w:hAnsi="Times New Roman"/>
          <w:sz w:val="18"/>
          <w:szCs w:val="18"/>
          <w:i w:val="1"/>
          <w:iCs w:val="1"/>
          <w:color w:val="auto"/>
        </w:rPr>
        <w:t xml:space="preserve">Transmission Services – Utility </w:t>
      </w:r>
      <w:r>
        <w:rPr>
          <w:rFonts w:ascii="Times New Roman" w:cs="Times New Roman" w:eastAsia="Times New Roman" w:hAnsi="Times New Roman"/>
          <w:sz w:val="18"/>
          <w:szCs w:val="18"/>
          <w:color w:val="auto"/>
        </w:rPr>
        <w:t>expense increased $2.3 million, or 7 percent, from 2018 primarily due to higher MISO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expense.</w:t>
      </w:r>
    </w:p>
    <w:p>
      <w:pPr>
        <w:spacing w:after="0" w:line="252" w:lineRule="exact"/>
        <w:rPr>
          <w:sz w:val="20"/>
          <w:szCs w:val="20"/>
          <w:color w:val="auto"/>
        </w:rPr>
      </w:pPr>
    </w:p>
    <w:p>
      <w:pPr>
        <w:jc w:val="both"/>
        <w:ind w:left="340"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Operating and Maintenance </w:t>
      </w:r>
      <w:r>
        <w:rPr>
          <w:rFonts w:ascii="Times New Roman" w:cs="Times New Roman" w:eastAsia="Times New Roman" w:hAnsi="Times New Roman"/>
          <w:sz w:val="18"/>
          <w:szCs w:val="18"/>
          <w:color w:val="auto"/>
        </w:rPr>
        <w:t>expense decreased $8.5 million, or 8 percent, from 2018 primarily due to lower salary and benefit expenses and lower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materials purchased for generation facilities.</w:t>
      </w:r>
    </w:p>
    <w:p>
      <w:pPr>
        <w:spacing w:after="0" w:line="158" w:lineRule="exact"/>
        <w:rPr>
          <w:sz w:val="20"/>
          <w:szCs w:val="20"/>
          <w:color w:val="auto"/>
        </w:rPr>
      </w:pPr>
    </w:p>
    <w:p>
      <w:pPr>
        <w:jc w:val="both"/>
        <w:ind w:left="340"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Taxes Other than Income Taxes </w:t>
      </w:r>
      <w:r>
        <w:rPr>
          <w:rFonts w:ascii="Times New Roman" w:cs="Times New Roman" w:eastAsia="Times New Roman" w:hAnsi="Times New Roman"/>
          <w:sz w:val="18"/>
          <w:szCs w:val="18"/>
          <w:color w:val="auto"/>
        </w:rPr>
        <w:t>decreased $3.3 million, or 12 percent, from 2018 primarily due to lower property tax expenses resulting from lower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estimated taxable market values.</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Equity Earnings </w:t>
      </w:r>
      <w:r>
        <w:rPr>
          <w:rFonts w:ascii="Times New Roman" w:cs="Times New Roman" w:eastAsia="Times New Roman" w:hAnsi="Times New Roman"/>
          <w:sz w:val="18"/>
          <w:szCs w:val="18"/>
          <w:color w:val="auto"/>
        </w:rPr>
        <w:t>increased $1.4 million, or 16 percent, from 2018 primarily due to additional investments in ATC.</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Other Income </w:t>
      </w:r>
      <w:r>
        <w:rPr>
          <w:rFonts w:ascii="Times New Roman" w:cs="Times New Roman" w:eastAsia="Times New Roman" w:hAnsi="Times New Roman"/>
          <w:sz w:val="18"/>
          <w:szCs w:val="18"/>
          <w:color w:val="auto"/>
        </w:rPr>
        <w:t>increased $4.5 million from 2018 reflecting various individually immaterial items.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Second Quarter 2019 Form 10-Q</w:t>
      </w:r>
    </w:p>
    <w:p>
      <w:pPr>
        <w:sectPr>
          <w:pgSz w:w="11900" w:h="16838" w:orient="portrait"/>
          <w:cols w:equalWidth="0" w:num="1">
            <w:col w:w="11420"/>
          </w:cols>
          <w:pgMar w:left="240" w:top="1036" w:right="239" w:bottom="1440" w:gutter="0" w:footer="0" w:header="0"/>
        </w:sectPr>
      </w:pPr>
    </w:p>
    <w:p>
      <w:pPr>
        <w:spacing w:after="0" w:line="17" w:lineRule="exact"/>
        <w:rPr>
          <w:sz w:val="20"/>
          <w:szCs w:val="20"/>
          <w:color w:val="auto"/>
        </w:rPr>
      </w:pPr>
    </w:p>
    <w:p>
      <w:pPr>
        <w:ind w:left="11280"/>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11420"/>
          </w:cols>
          <w:pgMar w:left="240" w:top="1036" w:right="2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COMPARISON OF THE SIX MONTHS ENDED JUNE 30, 2019 AND 2018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Regulated Operations (Continued)</w:t>
      </w:r>
    </w:p>
    <w:p>
      <w:pPr>
        <w:spacing w:after="0" w:line="203" w:lineRule="exact"/>
        <w:rPr>
          <w:sz w:val="20"/>
          <w:szCs w:val="20"/>
          <w:color w:val="auto"/>
        </w:rPr>
      </w:pPr>
    </w:p>
    <w:p>
      <w:pPr>
        <w:jc w:val="both"/>
        <w:ind w:lef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Benefit </w:t>
      </w:r>
      <w:r>
        <w:rPr>
          <w:rFonts w:ascii="Times New Roman" w:cs="Times New Roman" w:eastAsia="Times New Roman" w:hAnsi="Times New Roman"/>
          <w:sz w:val="18"/>
          <w:szCs w:val="18"/>
          <w:color w:val="auto"/>
        </w:rPr>
        <w:t>decreased $6.1 million from 2018 primarily due to higher pre-tax income. We expect our annual effective tax rate in 2019 to be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lower income tax benefit than in 2018 primarily due to higher pre-tax income.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ALLETE Clean Energy</w:t>
            </w:r>
          </w:p>
        </w:tc>
        <w:tc>
          <w:tcPr>
            <w:tcW w:w="43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59"/>
        </w:trPr>
        <w:tc>
          <w:tcPr>
            <w:tcW w:w="420" w:type="dxa"/>
            <w:vAlign w:val="bottom"/>
          </w:tcPr>
          <w:p>
            <w:pPr>
              <w:spacing w:after="0"/>
              <w:rPr>
                <w:sz w:val="24"/>
                <w:szCs w:val="24"/>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43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420" w:type="dxa"/>
            <w:vAlign w:val="bottom"/>
          </w:tcPr>
          <w:p>
            <w:pPr>
              <w:spacing w:after="0"/>
              <w:rPr>
                <w:sz w:val="2"/>
                <w:szCs w:val="2"/>
                <w:color w:val="auto"/>
              </w:rPr>
            </w:pPr>
          </w:p>
        </w:tc>
        <w:tc>
          <w:tcPr>
            <w:tcW w:w="576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spacing w:after="0"/>
              <w:rPr>
                <w:sz w:val="20"/>
                <w:szCs w:val="20"/>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43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420" w:type="dxa"/>
            <w:vAlign w:val="bottom"/>
          </w:tcPr>
          <w:p>
            <w:pPr>
              <w:spacing w:after="0"/>
              <w:rPr>
                <w:sz w:val="2"/>
                <w:szCs w:val="2"/>
                <w:color w:val="auto"/>
              </w:rPr>
            </w:pPr>
          </w:p>
        </w:tc>
        <w:tc>
          <w:tcPr>
            <w:tcW w:w="5760" w:type="dxa"/>
            <w:vAlign w:val="bottom"/>
          </w:tcPr>
          <w:p>
            <w:pPr>
              <w:spacing w:after="0"/>
              <w:rPr>
                <w:sz w:val="2"/>
                <w:szCs w:val="2"/>
                <w:color w:val="auto"/>
              </w:rPr>
            </w:pPr>
          </w:p>
        </w:tc>
        <w:tc>
          <w:tcPr>
            <w:tcW w:w="4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w:t>
            </w:r>
          </w:p>
        </w:tc>
        <w:tc>
          <w:tcPr>
            <w:tcW w:w="438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$32.9</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$42.9</w:t>
            </w:r>
          </w:p>
        </w:tc>
      </w:tr>
      <w:tr>
        <w:trPr>
          <w:trHeight w:val="243"/>
        </w:trPr>
        <w:tc>
          <w:tcPr>
            <w:tcW w:w="420" w:type="dxa"/>
            <w:vAlign w:val="bottom"/>
          </w:tcPr>
          <w:p>
            <w:pPr>
              <w:spacing w:after="0"/>
              <w:rPr>
                <w:sz w:val="21"/>
                <w:szCs w:val="21"/>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3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$7.7</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$14.9</w:t>
            </w:r>
          </w:p>
        </w:tc>
      </w:tr>
      <w:tr>
        <w:trPr>
          <w:trHeight w:val="27"/>
        </w:trPr>
        <w:tc>
          <w:tcPr>
            <w:tcW w:w="420" w:type="dxa"/>
            <w:vAlign w:val="bottom"/>
          </w:tcPr>
          <w:p>
            <w:pPr>
              <w:spacing w:after="0"/>
              <w:rPr>
                <w:sz w:val="2"/>
                <w:szCs w:val="2"/>
                <w:color w:val="auto"/>
              </w:rPr>
            </w:pPr>
          </w:p>
        </w:tc>
        <w:tc>
          <w:tcPr>
            <w:tcW w:w="576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194" w:lineRule="exact"/>
        <w:rPr>
          <w:sz w:val="20"/>
          <w:szCs w:val="20"/>
          <w:color w:val="auto"/>
        </w:rPr>
      </w:pPr>
    </w:p>
    <w:p>
      <w:pPr>
        <w:jc w:val="both"/>
        <w:ind w:left="34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Revenue </w:t>
      </w:r>
      <w:r>
        <w:rPr>
          <w:rFonts w:ascii="Times New Roman" w:cs="Times New Roman" w:eastAsia="Times New Roman" w:hAnsi="Times New Roman"/>
          <w:sz w:val="18"/>
          <w:szCs w:val="18"/>
          <w:color w:val="auto"/>
        </w:rPr>
        <w:t>decreased $10.0 million, or 23 percent, from 2018 primarily due to lower kWh sales resulting from lower wind resources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availability due to weather as well as lower non-cash amortization related to the expiration of power sales agreements.</w:t>
      </w:r>
    </w:p>
    <w:p>
      <w:pPr>
        <w:spacing w:after="0" w:line="182" w:lineRule="exact"/>
        <w:rPr>
          <w:sz w:val="20"/>
          <w:szCs w:val="20"/>
          <w:color w:val="auto"/>
        </w:rPr>
      </w:pPr>
    </w:p>
    <w:tbl>
      <w:tblPr>
        <w:tblLayout w:type="fixed"/>
        <w:tblInd w:w="420" w:type="dxa"/>
        <w:tblCellMar>
          <w:top w:w="0" w:type="dxa"/>
          <w:left w:w="0" w:type="dxa"/>
          <w:bottom w:w="0" w:type="dxa"/>
          <w:right w:w="0" w:type="dxa"/>
        </w:tblCellMar>
      </w:tblPr>
      <w:tr>
        <w:trPr>
          <w:trHeight w:val="238"/>
        </w:trPr>
        <w:tc>
          <w:tcPr>
            <w:tcW w:w="57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66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Production and Operating Revenue</w:t>
            </w:r>
          </w:p>
        </w:tc>
        <w:tc>
          <w:tcPr>
            <w:tcW w:w="15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vMerge w:val="continue"/>
          </w:tcPr>
          <w:p>
            <w:pPr>
              <w:spacing w:after="0"/>
              <w:rPr>
                <w:sz w:val="20"/>
                <w:szCs w:val="20"/>
                <w:color w:val="auto"/>
              </w:rPr>
            </w:pPr>
          </w:p>
        </w:tc>
        <w:tc>
          <w:tcPr>
            <w:tcW w:w="15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kWh</w:t>
            </w:r>
          </w:p>
        </w:tc>
        <w:tc>
          <w:tcPr>
            <w:tcW w:w="12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38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kWh</w:t>
            </w:r>
          </w:p>
        </w:tc>
        <w:tc>
          <w:tcPr>
            <w:tcW w:w="10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0" w:type="dxa"/>
            <w:vAlign w:val="bottom"/>
          </w:tcPr>
          <w:p>
            <w:pPr>
              <w:spacing w:after="0"/>
              <w:rPr>
                <w:sz w:val="1"/>
                <w:szCs w:val="1"/>
                <w:color w:val="auto"/>
              </w:rPr>
            </w:pPr>
          </w:p>
        </w:tc>
      </w:tr>
      <w:tr>
        <w:trPr>
          <w:trHeight w:val="27"/>
        </w:trPr>
        <w:tc>
          <w:tcPr>
            <w:tcW w:w="57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15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Wind Energy Facilities</w:t>
            </w:r>
          </w:p>
        </w:tc>
        <w:tc>
          <w:tcPr>
            <w:tcW w:w="15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Armenia Mountain</w:t>
            </w:r>
          </w:p>
        </w:tc>
        <w:tc>
          <w:tcPr>
            <w:tcW w:w="15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144.4</w:t>
            </w: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$13.2</w:t>
            </w:r>
          </w:p>
        </w:tc>
        <w:tc>
          <w:tcPr>
            <w:tcW w:w="13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147.0</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Chanarambie/Viking</w:t>
            </w:r>
          </w:p>
        </w:tc>
        <w:tc>
          <w:tcPr>
            <w:tcW w:w="15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122.0</w:t>
            </w:r>
          </w:p>
        </w:tc>
        <w:tc>
          <w:tcPr>
            <w:tcW w:w="12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6.1</w:t>
            </w:r>
          </w:p>
        </w:tc>
        <w:tc>
          <w:tcPr>
            <w:tcW w:w="13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138.1</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43"/>
        </w:trPr>
        <w:tc>
          <w:tcPr>
            <w:tcW w:w="5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Condon</w:t>
            </w:r>
          </w:p>
        </w:tc>
        <w:tc>
          <w:tcPr>
            <w:tcW w:w="15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36.1</w:t>
            </w: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2.9</w:t>
            </w:r>
          </w:p>
        </w:tc>
        <w:tc>
          <w:tcPr>
            <w:tcW w:w="13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58.3</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Lake Benton</w:t>
            </w:r>
          </w:p>
        </w:tc>
        <w:tc>
          <w:tcPr>
            <w:tcW w:w="15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101.5</w:t>
            </w:r>
          </w:p>
        </w:tc>
        <w:tc>
          <w:tcPr>
            <w:tcW w:w="12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5.8</w:t>
            </w:r>
          </w:p>
        </w:tc>
        <w:tc>
          <w:tcPr>
            <w:tcW w:w="13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119.4</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43"/>
        </w:trPr>
        <w:tc>
          <w:tcPr>
            <w:tcW w:w="5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Storm Lake I</w:t>
            </w:r>
          </w:p>
        </w:tc>
        <w:tc>
          <w:tcPr>
            <w:tcW w:w="15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98.0</w:t>
            </w: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w:t>
            </w:r>
          </w:p>
        </w:tc>
        <w:tc>
          <w:tcPr>
            <w:tcW w:w="13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103.8</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Storm Lake II</w:t>
            </w:r>
          </w:p>
        </w:tc>
        <w:tc>
          <w:tcPr>
            <w:tcW w:w="15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66.6</w:t>
            </w:r>
          </w:p>
        </w:tc>
        <w:tc>
          <w:tcPr>
            <w:tcW w:w="12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2.4</w:t>
            </w:r>
          </w:p>
        </w:tc>
        <w:tc>
          <w:tcPr>
            <w:tcW w:w="13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79.6</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43"/>
        </w:trPr>
        <w:tc>
          <w:tcPr>
            <w:tcW w:w="5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5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16.3</w:t>
            </w: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0.5</w:t>
            </w:r>
          </w:p>
        </w:tc>
        <w:tc>
          <w:tcPr>
            <w:tcW w:w="13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7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Production and Operating Revenue</w:t>
            </w:r>
          </w:p>
        </w:tc>
        <w:tc>
          <w:tcPr>
            <w:tcW w:w="15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584.9</w:t>
            </w:r>
          </w:p>
        </w:tc>
        <w:tc>
          <w:tcPr>
            <w:tcW w:w="12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$32.9</w:t>
            </w:r>
          </w:p>
        </w:tc>
        <w:tc>
          <w:tcPr>
            <w:tcW w:w="13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646.2</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$42.9</w:t>
            </w:r>
          </w:p>
        </w:tc>
        <w:tc>
          <w:tcPr>
            <w:tcW w:w="0" w:type="dxa"/>
            <w:vAlign w:val="bottom"/>
          </w:tcPr>
          <w:p>
            <w:pPr>
              <w:spacing w:after="0"/>
              <w:rPr>
                <w:sz w:val="1"/>
                <w:szCs w:val="1"/>
                <w:color w:val="auto"/>
              </w:rPr>
            </w:pPr>
          </w:p>
        </w:tc>
      </w:tr>
      <w:tr>
        <w:trPr>
          <w:trHeight w:val="20"/>
        </w:trPr>
        <w:tc>
          <w:tcPr>
            <w:tcW w:w="572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ind w:left="3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Income </w:t>
      </w:r>
      <w:r>
        <w:rPr>
          <w:rFonts w:ascii="Times New Roman" w:cs="Times New Roman" w:eastAsia="Times New Roman" w:hAnsi="Times New Roman"/>
          <w:sz w:val="18"/>
          <w:szCs w:val="18"/>
          <w:color w:val="auto"/>
        </w:rPr>
        <w:t>decreased $7.2 million, or 48 percent, from 2018. Net income in 2018 included $2.6 million of production tax credits that resulted from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retrospective qualification of additional wind turbine generators in 2016 and 2017. Net income in 2019 included lower revenue resulting from lower wind resources and availability due to weather as well as lower non-cash amortization related to the expiration of power sales agreements, and higher depreciation expense. These decreases were partially offset by $2.0 million of additional production tax credits generated in 2019 compared to production tax credits generated in 2018 as ALLETE Clean Energy continues to execute its refurbishment strategy.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U.S. Water Services</w:t>
            </w:r>
          </w:p>
        </w:tc>
        <w:tc>
          <w:tcPr>
            <w:tcW w:w="42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59"/>
        </w:trPr>
        <w:tc>
          <w:tcPr>
            <w:tcW w:w="720" w:type="dxa"/>
            <w:vAlign w:val="bottom"/>
          </w:tcPr>
          <w:p>
            <w:pPr>
              <w:spacing w:after="0"/>
              <w:rPr>
                <w:sz w:val="24"/>
                <w:szCs w:val="24"/>
                <w:color w:val="auto"/>
              </w:rPr>
            </w:pPr>
          </w:p>
        </w:tc>
        <w:tc>
          <w:tcPr>
            <w:tcW w:w="55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42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720" w:type="dxa"/>
            <w:vAlign w:val="bottom"/>
          </w:tcPr>
          <w:p>
            <w:pPr>
              <w:spacing w:after="0"/>
              <w:rPr>
                <w:sz w:val="2"/>
                <w:szCs w:val="2"/>
                <w:color w:val="auto"/>
              </w:rPr>
            </w:pPr>
          </w:p>
        </w:tc>
        <w:tc>
          <w:tcPr>
            <w:tcW w:w="554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720" w:type="dxa"/>
            <w:vAlign w:val="bottom"/>
          </w:tcPr>
          <w:p>
            <w:pPr>
              <w:spacing w:after="0"/>
              <w:rPr>
                <w:sz w:val="20"/>
                <w:szCs w:val="20"/>
                <w:color w:val="auto"/>
              </w:rPr>
            </w:pPr>
          </w:p>
        </w:tc>
        <w:tc>
          <w:tcPr>
            <w:tcW w:w="55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42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7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20" w:type="dxa"/>
            <w:vAlign w:val="bottom"/>
          </w:tcPr>
          <w:p>
            <w:pPr>
              <w:spacing w:after="0"/>
              <w:rPr>
                <w:sz w:val="21"/>
                <w:szCs w:val="21"/>
                <w:color w:val="auto"/>
              </w:rPr>
            </w:pPr>
          </w:p>
        </w:tc>
        <w:tc>
          <w:tcPr>
            <w:tcW w:w="5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Revenue</w:t>
            </w:r>
          </w:p>
        </w:tc>
        <w:tc>
          <w:tcPr>
            <w:tcW w:w="42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$33.4</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$79.7</w:t>
            </w:r>
          </w:p>
        </w:tc>
      </w:tr>
      <w:tr>
        <w:trPr>
          <w:trHeight w:val="243"/>
        </w:trPr>
        <w:tc>
          <w:tcPr>
            <w:tcW w:w="720" w:type="dxa"/>
            <w:vAlign w:val="bottom"/>
          </w:tcPr>
          <w:p>
            <w:pPr>
              <w:spacing w:after="0"/>
              <w:rPr>
                <w:sz w:val="21"/>
                <w:szCs w:val="21"/>
                <w:color w:val="auto"/>
              </w:rPr>
            </w:pPr>
          </w:p>
        </w:tc>
        <w:tc>
          <w:tcPr>
            <w:tcW w:w="5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4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$(1.1)</w:t>
            </w:r>
          </w:p>
        </w:tc>
        <w:tc>
          <w:tcPr>
            <w:tcW w:w="9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720" w:type="dxa"/>
            <w:vAlign w:val="bottom"/>
          </w:tcPr>
          <w:p>
            <w:pPr>
              <w:spacing w:after="0"/>
              <w:rPr>
                <w:sz w:val="2"/>
                <w:szCs w:val="2"/>
                <w:color w:val="auto"/>
              </w:rPr>
            </w:pPr>
          </w:p>
        </w:tc>
        <w:tc>
          <w:tcPr>
            <w:tcW w:w="554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194" w:lineRule="exact"/>
        <w:rPr>
          <w:sz w:val="20"/>
          <w:szCs w:val="20"/>
          <w:color w:val="auto"/>
        </w:rPr>
      </w:pPr>
    </w:p>
    <w:p>
      <w:pPr>
        <w:jc w:val="both"/>
        <w:ind w:lef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Revenue </w:t>
      </w:r>
      <w:r>
        <w:rPr>
          <w:rFonts w:ascii="Times New Roman" w:cs="Times New Roman" w:eastAsia="Times New Roman" w:hAnsi="Times New Roman"/>
          <w:sz w:val="18"/>
          <w:szCs w:val="18"/>
          <w:color w:val="auto"/>
        </w:rPr>
        <w:t>decreased $46.3 million, or 58 percent, from 2018. ALLETE completed the sale of U.S. Water Services in the first quarter of 2019.</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(See Note 1. Operations and Significant Accounting Policies.)</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Net Loss </w:t>
      </w:r>
      <w:r>
        <w:rPr>
          <w:rFonts w:ascii="Times New Roman" w:cs="Times New Roman" w:eastAsia="Times New Roman" w:hAnsi="Times New Roman"/>
          <w:sz w:val="18"/>
          <w:szCs w:val="18"/>
          <w:color w:val="auto"/>
        </w:rPr>
        <w:t>decreased $0.1 million from 2018. ALLETE completed the sale of U.S. Water Services in the first quarter of 2019.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Other</w:t>
      </w:r>
    </w:p>
    <w:p>
      <w:pPr>
        <w:spacing w:after="0" w:line="225" w:lineRule="exact"/>
        <w:rPr>
          <w:sz w:val="20"/>
          <w:szCs w:val="20"/>
          <w:color w:val="auto"/>
        </w:rPr>
      </w:pPr>
    </w:p>
    <w:p>
      <w:pPr>
        <w:jc w:val="both"/>
        <w:ind w:lef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Revenue </w:t>
      </w:r>
      <w:r>
        <w:rPr>
          <w:rFonts w:ascii="Times New Roman" w:cs="Times New Roman" w:eastAsia="Times New Roman" w:hAnsi="Times New Roman"/>
          <w:sz w:val="18"/>
          <w:szCs w:val="18"/>
          <w:color w:val="auto"/>
        </w:rPr>
        <w:t>decreased $2.4 million, or 5 percent, from 2018 primarily due to lower revenue at BNI Energy, which operates under cost-plus fixed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fee contracts, as a result of lower expenses and fewer tons sold in 2019 compared to 2018 and lower revenue from non-rate base generation, partially offset by an increase in land sales at ALLETE Properties.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Second Quarter 2019 Form 10-Q</w:t>
      </w:r>
    </w:p>
    <w:p>
      <w:pPr>
        <w:sectPr>
          <w:pgSz w:w="11900" w:h="16838" w:orient="portrait"/>
          <w:cols w:equalWidth="0" w:num="1">
            <w:col w:w="11420"/>
          </w:cols>
          <w:pgMar w:left="240" w:top="1036" w:right="239" w:bottom="1440" w:gutter="0" w:footer="0" w:header="0"/>
        </w:sectPr>
      </w:pPr>
    </w:p>
    <w:p>
      <w:pPr>
        <w:spacing w:after="0" w:line="17" w:lineRule="exact"/>
        <w:rPr>
          <w:sz w:val="20"/>
          <w:szCs w:val="20"/>
          <w:color w:val="auto"/>
        </w:rPr>
      </w:pPr>
    </w:p>
    <w:p>
      <w:pPr>
        <w:ind w:left="11280"/>
        <w:spacing w:after="0"/>
        <w:rPr>
          <w:sz w:val="20"/>
          <w:szCs w:val="20"/>
          <w:color w:val="auto"/>
        </w:rPr>
      </w:pPr>
      <w:r>
        <w:rPr>
          <w:rFonts w:ascii="Times New Roman" w:cs="Times New Roman" w:eastAsia="Times New Roman" w:hAnsi="Times New Roman"/>
          <w:sz w:val="14"/>
          <w:szCs w:val="14"/>
          <w:color w:val="auto"/>
        </w:rPr>
        <w:t>37</w:t>
      </w:r>
    </w:p>
    <w:p>
      <w:pPr>
        <w:sectPr>
          <w:pgSz w:w="11900" w:h="16838" w:orient="portrait"/>
          <w:cols w:equalWidth="0" w:num="1">
            <w:col w:w="11420"/>
          </w:cols>
          <w:pgMar w:left="240" w:top="1036" w:right="2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COMPARISON OF THE SIX MONTHS ENDED JUNE 30, 2019 AND 2018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Other (Continued)</w:t>
      </w:r>
    </w:p>
    <w:p>
      <w:pPr>
        <w:spacing w:after="0" w:line="203" w:lineRule="exact"/>
        <w:rPr>
          <w:sz w:val="20"/>
          <w:szCs w:val="20"/>
          <w:color w:val="auto"/>
        </w:rPr>
      </w:pPr>
    </w:p>
    <w:p>
      <w:pPr>
        <w:jc w:val="both"/>
        <w:ind w:left="3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Income </w:t>
      </w:r>
      <w:r>
        <w:rPr>
          <w:rFonts w:ascii="Times New Roman" w:cs="Times New Roman" w:eastAsia="Times New Roman" w:hAnsi="Times New Roman"/>
          <w:sz w:val="18"/>
          <w:szCs w:val="18"/>
          <w:color w:val="auto"/>
        </w:rPr>
        <w:t>was $16.3 million in 2019 compared to a net loss of $1.3 million in 2018. Net income in 2019 included the gain on sale of U.S. Water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Services of $11.1 million after-tax. Net income in 2019 also included additional income tax benefit recorded in 2019 as GAAP requires the recognition of income tax expense at the estimated annual effective tax rate. Net income at BNI Energy was $3.6 million in 2019 and in 2018. The net loss at ALLETE Properties was $1.1 million in 2019 and in 2018.</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 – Consolidated</w:t>
      </w:r>
    </w:p>
    <w:p>
      <w:pPr>
        <w:spacing w:after="0" w:line="2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2019, the effective tax rate was a benefit of 1.8 percent (benefit of 12.4 percent for the six months ended June 30, 2018). The effective tax rate for 2019 was a lower benefit primarily due to a higher tax rate on the gain on the sale of U.S. Water Services and higher pre-tax income.</w:t>
      </w:r>
    </w:p>
    <w:p>
      <w:pPr>
        <w:spacing w:after="0" w:line="176"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We expect our annual effective tax rate in 2019 to be similar to 2018 reflecting the sale of U.S. Water Services and higher production tax credits generated by ALLETE Clean Energy. The effective rate deviated from the combined statutory rate of approximately 28 percent primarily due to production tax credits. (See Note 9. Income Tax Expense.)</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accounting measurements under GAAP involve management’s judgment about subjective factors and estimates, the effects of which are inherently uncertain. Accounting measurements that we believe are most critical to our reported results of operations and financial condition include: regulatory accounting, pension and postretirement health and life actuarial assumptions, impairment of long-lived assets, and taxation. These policies are reviewed with the Audit Committee of our Board of Directors on a regular basis and summarized in Part II, Item 7. Management’s Discussion and Analysis of Financial Condition and Results of Operations of our 2018 Form 10-K.</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see our 2018 Form 10-K.</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ALLETE is an energy company committed to earning a financial return that rewards our shareholders, allows for reinvestment in our businesses and sustains growth. The Company has long-term objectives of achieving average annual earnings per share growth of 5 percent to 7 percent, and providing a dividend payout competitive with our industry. Regulated Operations is projected to have average annual earnings growth of 4 percent to 5 percent and our Energy Infrastructure and Related Services businesses are projected to have average annual earnings growth of at least 15 percent over the long-term.</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ALLETE is predominately a regulated utility through Minnesota Power, SWL&amp;P and an investment in ATC. ALLETE’s strategy is to remain predominately a regulated utility while investing in its Energy Infrastructure and Related Services and other businesses to complement its regulated businesses, balance exposure to the utility’s industrial customers and provide potential long-term earnings growth. ALLETE expects net income from Regulated Operations to be approximately 80 percent of total consolidated net income in 2019. Over the next several years, the contribution of the Energy Infrastructure and Related Services and other businesses to net income is expected to increase as ALLETE grows these operations. ALLETE expects its businesses to provide regulated, contracted or recurring revenues, and to support sustained growth in net income and cash flow.</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Regulated Operations. </w:t>
      </w:r>
      <w:r>
        <w:rPr>
          <w:rFonts w:ascii="Times New Roman" w:cs="Times New Roman" w:eastAsia="Times New Roman" w:hAnsi="Times New Roman"/>
          <w:sz w:val="18"/>
          <w:szCs w:val="18"/>
          <w:color w:val="auto"/>
        </w:rPr>
        <w:t>Minnesota Power’s long-term strategy is to be the leading electric energy provider in northeastern Minnesota by providing safe,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reliable and cost-competitive electric energy, while complying with environmental permit conditions and renewable energy requirements. Keeping the cost of energy production competitive enables Minnesota Power to effectively compete in the wholesale power markets and minimizes retail rate increases to help maintain customer viability. As part of maintaining cost competitiveness, Minnesota Power intends to reduce its exposure to possible future carbon and GHG legislation by reshaping its generation portfolio, over time, to reduce its reliance on coal. (See </w:t>
      </w:r>
      <w:r>
        <w:rPr>
          <w:rFonts w:ascii="Times New Roman" w:cs="Times New Roman" w:eastAsia="Times New Roman" w:hAnsi="Times New Roman"/>
          <w:sz w:val="18"/>
          <w:szCs w:val="18"/>
          <w:i w:val="1"/>
          <w:iCs w:val="1"/>
          <w:color w:val="auto"/>
        </w:rPr>
        <w:t>EnergyForward.</w:t>
      </w:r>
      <w:r>
        <w:rPr>
          <w:rFonts w:ascii="Times New Roman" w:cs="Times New Roman" w:eastAsia="Times New Roman" w:hAnsi="Times New Roman"/>
          <w:sz w:val="18"/>
          <w:szCs w:val="18"/>
          <w:color w:val="auto"/>
        </w:rPr>
        <w:t>) We will monitor and review proposed environmental regulations and may challenge those that add considerable cost with limited environmental benefit. Minnesota Power will continue to pursue customer growth opportunities and cost recovery rider approvals for transmission, renewable and environmental investments, as well as work with regulators to earn a fair rate of return. Minnesota Power anticipates filing a rate case in the fourth quarter of 2019 with a 2020 test year.</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Second Quarter 2019 Form 10-Q</w:t>
      </w:r>
    </w:p>
    <w:p>
      <w:pPr>
        <w:spacing w:after="0" w:line="17" w:lineRule="exact"/>
        <w:rPr>
          <w:sz w:val="20"/>
          <w:szCs w:val="20"/>
          <w:color w:val="auto"/>
        </w:rPr>
      </w:pPr>
    </w:p>
    <w:p>
      <w:pPr>
        <w:ind w:left="11280"/>
        <w:spacing w:after="0"/>
        <w:rPr>
          <w:sz w:val="20"/>
          <w:szCs w:val="20"/>
          <w:color w:val="auto"/>
        </w:rPr>
      </w:pPr>
      <w:r>
        <w:rPr>
          <w:rFonts w:ascii="Times New Roman" w:cs="Times New Roman" w:eastAsia="Times New Roman" w:hAnsi="Times New Roman"/>
          <w:sz w:val="14"/>
          <w:szCs w:val="14"/>
          <w:color w:val="auto"/>
        </w:rPr>
        <w:t>38</w:t>
      </w:r>
    </w:p>
    <w:p>
      <w:pPr>
        <w:sectPr>
          <w:pgSz w:w="11900" w:h="16838" w:orient="portrait"/>
          <w:cols w:equalWidth="0" w:num="1">
            <w:col w:w="11420"/>
          </w:cols>
          <w:pgMar w:left="240" w:top="1035" w:right="2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OUTLOOK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Regulatory Matters. </w:t>
      </w:r>
      <w:r>
        <w:rPr>
          <w:rFonts w:ascii="Times New Roman" w:cs="Times New Roman" w:eastAsia="Times New Roman" w:hAnsi="Times New Roman"/>
          <w:sz w:val="18"/>
          <w:szCs w:val="18"/>
          <w:color w:val="auto"/>
        </w:rPr>
        <w:t>Entities within our Regulated Operations segment are under the jurisdiction of the MPUC, FERC, PSCW and NDPSC. See Note 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Regulatory Matters for discussion of regulatory matters within these jurisdictions.</w:t>
      </w:r>
    </w:p>
    <w:p>
      <w:pPr>
        <w:spacing w:after="0" w:line="20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2016 Minnesota General Rate Case. </w:t>
      </w:r>
      <w:r>
        <w:rPr>
          <w:rFonts w:ascii="Times New Roman" w:cs="Times New Roman" w:eastAsia="Times New Roman" w:hAnsi="Times New Roman"/>
          <w:sz w:val="18"/>
          <w:szCs w:val="18"/>
          <w:color w:val="auto"/>
        </w:rPr>
        <w:t>The MPUC issued an order dated March 12, 2018, in Minnesota Power’s general rate case approving a return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equity of 9.25 percent and a 53.81 percent equity ratio. Final rates went into effect on December 1, 2018, which is expected to result in additional revenue of approximately $13 million on an annualized basis. Interim rates were collected from January 1, 2017, through November 30, 2018, which were fully offset by the recognition of a corresponding reserve. Minnesota Power recorded a reserve for an interim rate refund, net of discounts provided to EITE customers, of $40.0 million as of December 31, 2018, which was refunded in the second quarter of 2019.</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2018 Wisconsin General Rate Case. </w:t>
      </w:r>
      <w:r>
        <w:rPr>
          <w:rFonts w:ascii="Times New Roman" w:cs="Times New Roman" w:eastAsia="Times New Roman" w:hAnsi="Times New Roman"/>
          <w:sz w:val="18"/>
          <w:szCs w:val="18"/>
          <w:color w:val="auto"/>
        </w:rPr>
        <w:t>In an order dated December 20, 2018, the PSCW approved a rate increase for SWL&amp;P including a return on equity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10.4 percent and a 55.0 percent equity ratio. Final rates went into effect January 1, 2019, which is expected to result in additional revenue of approximately $1.3 million on an annualized basis.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Industrial Customers and Prospective Additional Load.</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Industrial Customers. </w:t>
      </w:r>
      <w:r>
        <w:rPr>
          <w:rFonts w:ascii="Times New Roman" w:cs="Times New Roman" w:eastAsia="Times New Roman" w:hAnsi="Times New Roman"/>
          <w:sz w:val="18"/>
          <w:szCs w:val="18"/>
          <w:color w:val="auto"/>
        </w:rPr>
        <w:t>Electric power is one of several key inputs in the taconite mining, paper, pulp and secondary wood products, pipeline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industries. Approximately 53 percent of our regulated utility kWh sales in the six months ended June 30, 2019, were made to our industrial customers (49 percent in the six months ended June 30, 2018).</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Taconite and Iron Concentrate</w:t>
      </w:r>
      <w:r>
        <w:rPr>
          <w:rFonts w:ascii="Times New Roman" w:cs="Times New Roman" w:eastAsia="Times New Roman" w:hAnsi="Times New Roman"/>
          <w:sz w:val="18"/>
          <w:szCs w:val="18"/>
          <w:color w:val="auto"/>
        </w:rPr>
        <w:t>. Minnesota Power’s taconite customers are capable of producing up to approximately 41 million tons of taconite pellets annually. Taconite pellets produced in Minnesota are primarily shipped to North American steel making facilities that are part of the integrated steel industry. Steel produced from these North American facilities is used primarily in the manufacture of automobiles, appliances, pipe and tube products for the gas and oil industry, and in the construction industry. Historically, less than 10 percent of Minnesota taconite production has been exported outside of North America.</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has been a general historical correlation between U.S. steel production and Minnesota taconite production. The American Iron and Steel Institute, an association of North American steel producers, reported that U.S. raw steel production operated at approximately 81 percent of capacity during the first six months of 2019 compared to 76 percent in the first six months of 2018. The World Steel Association, an association of steel producers, national and regional steel industry associations, and steel research institutes representing approximately 85 percent of world steel production, projected U.S. steel consumption in 2019 will increase by approximately one percent compared to 2018.</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Minnesota Power’s taconite customers may experience annual variations in production levels due to such factors as economic conditions, short-term demand changes or maintenance outages. We estimate that a one million ton change in Minnesota Power’s taconite customers’ production would impact our annual earnings per share by approximately $0.04, net of expected power marketing sales at current prices. Changes in wholesale electric prices or customer contractual demand nominations could impact this estimate. Minnesota Power proactively sells power in the wholesale power markets that is temporarily not required by industrial customers to optimize the value of its generating facilities. Long-term reductions in taconite production or a permanent shut down of a taconite customer may lead Minnesota Power to file a general rate case to recover lost revenue.</w:t>
      </w:r>
    </w:p>
    <w:p>
      <w:pPr>
        <w:spacing w:after="0" w:line="1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u w:val="single" w:color="auto"/>
          <w:color w:val="auto"/>
        </w:rPr>
        <w:t>Northshore Mining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Cliffs has announced that it has completed an investment in its Minnesota ore operations with an approximately $92 million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to expand capacity for producing direct reduced-grade pellets at Northshore Mining. Cliffs is currently constructing a hot briquetted iron production plant in Toledo, Ohio, and has begun shipping direct reduced-grade pellets to the Toledo plant in anticipation of the planned start of operations in mid-2020. Minnesota Power has a PSA through 2031 with Silver Bay Power, which provides the majority of the electric service requirements for Northshore Mining. (See </w:t>
      </w:r>
      <w:r>
        <w:rPr>
          <w:rFonts w:ascii="Times New Roman" w:cs="Times New Roman" w:eastAsia="Times New Roman" w:hAnsi="Times New Roman"/>
          <w:sz w:val="18"/>
          <w:szCs w:val="18"/>
          <w:i w:val="1"/>
          <w:iCs w:val="1"/>
          <w:color w:val="auto"/>
        </w:rPr>
        <w:t>Silver Bay Power</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u w:val="single" w:color="auto"/>
          <w:color w:val="auto"/>
        </w:rPr>
        <w:t>Silver Bay Power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2016, Minnesota Power and Silver Bay Power entered into a PSA through 2031. Silver Bay Power supplies approximately 90 MW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load to Northshore Mining, an affiliate of Silver Bay Power, which has been served predominately through self-generation by Silver Bay Power. Through 2019, Minnesota Power will supply Silver Bay Power with at least 50 MW of energy and Silver Bay Power has the option to purchase additional energy from Minnesota Power as it transitions away from self-generation. By December 31, 2019, Silver Bay Power is expected to cease self-generation and Minnesota Power is expected to supply the energy requirements for Silver Bay Power.</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Second Quarter 2019 Form 10-Q</w:t>
      </w:r>
    </w:p>
    <w:p>
      <w:pPr>
        <w:spacing w:after="0" w:line="17" w:lineRule="exact"/>
        <w:rPr>
          <w:sz w:val="20"/>
          <w:szCs w:val="20"/>
          <w:color w:val="auto"/>
        </w:rPr>
      </w:pPr>
    </w:p>
    <w:p>
      <w:pPr>
        <w:ind w:left="11280"/>
        <w:spacing w:after="0"/>
        <w:rPr>
          <w:sz w:val="20"/>
          <w:szCs w:val="20"/>
          <w:color w:val="auto"/>
        </w:rPr>
      </w:pPr>
      <w:r>
        <w:rPr>
          <w:rFonts w:ascii="Times New Roman" w:cs="Times New Roman" w:eastAsia="Times New Roman" w:hAnsi="Times New Roman"/>
          <w:sz w:val="14"/>
          <w:szCs w:val="14"/>
          <w:color w:val="auto"/>
        </w:rPr>
        <w:t>39</w:t>
      </w:r>
    </w:p>
    <w:p>
      <w:pPr>
        <w:sectPr>
          <w:pgSz w:w="11900" w:h="16838" w:orient="portrait"/>
          <w:cols w:equalWidth="0" w:num="1">
            <w:col w:w="11420"/>
          </w:cols>
          <w:pgMar w:left="240" w:top="1036" w:right="2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OUTLOOK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Industrial Customers and Prospective Additional Load (Continued)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Paper, Pulp and Secondary Wood Products</w:t>
      </w:r>
      <w:r>
        <w:rPr>
          <w:rFonts w:ascii="Times New Roman" w:cs="Times New Roman" w:eastAsia="Times New Roman" w:hAnsi="Times New Roman"/>
          <w:sz w:val="18"/>
          <w:szCs w:val="18"/>
          <w:color w:val="auto"/>
        </w:rPr>
        <w:t>. We expect operating levels in 2019 at the four major paper and pulp mills we serve to be similar to 2018.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Pipeline and Other Industries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Husky Energy</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April 2018, a fire at Husky Energy’s refinery in Superior, Wisconsin disrupted operations at the facility. Under normal operating conditions,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SWL&amp;P provides approximately 14 MW of average monthly demand to Husky Energy in addition to water service. The facility remains at minimal operations, and the refinery is not expected to resume normal operations until 2021.</w:t>
      </w:r>
    </w:p>
    <w:p>
      <w:pPr>
        <w:spacing w:after="0" w:line="174"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Prospective Additional Load. </w:t>
      </w:r>
      <w:r>
        <w:rPr>
          <w:rFonts w:ascii="Times New Roman" w:cs="Times New Roman" w:eastAsia="Times New Roman" w:hAnsi="Times New Roman"/>
          <w:sz w:val="18"/>
          <w:szCs w:val="18"/>
          <w:color w:val="auto"/>
        </w:rPr>
        <w:t>Minnesota Power is pursuing new wholesale and retail loads in and around its service territory. Currently, several companies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northeastern Minnesota continue to progress in the development of natural resource-based projects that represent long-term growth potential and load diversity for Minnesota Power. We cannot predict the outcome of these projects.</w:t>
      </w:r>
    </w:p>
    <w:p>
      <w:pPr>
        <w:spacing w:after="0" w:line="1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PolyMet</w:t>
      </w:r>
      <w:r>
        <w:rPr>
          <w:rFonts w:ascii="Times New Roman" w:cs="Times New Roman" w:eastAsia="Times New Roman" w:hAnsi="Times New Roman"/>
          <w:sz w:val="18"/>
          <w:szCs w:val="18"/>
          <w:color w:val="auto"/>
        </w:rPr>
        <w:t>. PolyMet is planning to start a new copper-nickel and precious metal (non-ferrous) mining operation in northeastern Minnesota. In 2015, PolyMet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announced the completion of the final EIS by state and federal agencies, which was subsequently published in the Federal Register and Minnesota Environmental Quality Board Monitor. The Minnesota Department of Natural Resources (DNR) and the U.S. Army Corps of Engineers have both issued final Records of Decision, finding the final EIS adequate.</w:t>
      </w:r>
    </w:p>
    <w:p>
      <w:pPr>
        <w:spacing w:after="0" w:line="182"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In 2016, PolyMet submitted applications for water-related permits with the DNR and MPCA, an air quality permit with the MPCA, and a state permit to mine application with the DNR detailing its operational plans for the mine. In November 2018, the DNR issued PolyMet’s permit to mine and certain water-related permits. In December 2018, the MPCA issued PolyMet’s final state water and air quality permits. On March 21, 2019, the U.S. Army Corps of Engineers issued PolyMet’s final federal permit. PolyMet now holds all necessary permits to construct and operate its mining operation. In June 2018, the U.S. Forest Service and PolyMet closed on a land exchange, which resulted in PolyMet obtaining surface rights to land needed to develop its mining operation. Minnesota Power could supply between 45 MW and 50 MW of load under a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power supply contract with PolyMet that would begin upon start-up of operations.</w:t>
      </w:r>
    </w:p>
    <w:p>
      <w:pPr>
        <w:spacing w:after="0" w:line="19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EnergyForward. </w:t>
      </w:r>
      <w:r>
        <w:rPr>
          <w:rFonts w:ascii="Times New Roman" w:cs="Times New Roman" w:eastAsia="Times New Roman" w:hAnsi="Times New Roman"/>
          <w:sz w:val="18"/>
          <w:szCs w:val="18"/>
          <w:color w:val="auto"/>
        </w:rPr>
        <w:t>Minnesota Power is executing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EnergyForward</w:t>
      </w:r>
      <w:r>
        <w:rPr>
          <w:rFonts w:ascii="Times New Roman" w:cs="Times New Roman" w:eastAsia="Times New Roman" w:hAnsi="Times New Roman"/>
          <w:sz w:val="18"/>
          <w:szCs w:val="18"/>
          <w:color w:val="auto"/>
        </w:rPr>
        <w:t>, a strategic plan for assuring reliability, protecting affordability and further improving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environmental performance. The plan includes completed and planned investments in wind, solar, natural gas and hydroelectric power, construction of additional transmission capacity, the installation of emissions control technology and the idling of certain coal-fired generating facilities.</w:t>
      </w:r>
    </w:p>
    <w:p>
      <w:pPr>
        <w:spacing w:after="0" w:line="175"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 xml:space="preserve">In 2017, Minnesota Power submitted a resource package to the MPUC requesting approval of PPAs for the output of a 250 MW wind energy facility (see </w:t>
      </w:r>
      <w:r>
        <w:rPr>
          <w:rFonts w:ascii="Times New Roman" w:cs="Times New Roman" w:eastAsia="Times New Roman" w:hAnsi="Times New Roman"/>
          <w:sz w:val="18"/>
          <w:szCs w:val="18"/>
          <w:i w:val="1"/>
          <w:iCs w:val="1"/>
          <w:color w:val="auto"/>
        </w:rPr>
        <w:t>Nobles 2 PPA</w:t>
      </w:r>
      <w:r>
        <w:rPr>
          <w:rFonts w:ascii="Times New Roman" w:cs="Times New Roman" w:eastAsia="Times New Roman" w:hAnsi="Times New Roman"/>
          <w:sz w:val="18"/>
          <w:szCs w:val="18"/>
          <w:color w:val="auto"/>
        </w:rPr>
        <w:t>) and a 10 MW solar energy facility as well as approval of a 250 MW natural gas capacity dedication agreement. The natural gas capacity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dedication agreement was subject to MPUC approval of the construction of NTEC, a 525 MW to 550 MW combined-cycle natural gas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fired generating facility which will be jointly owned by Dairyland Power Cooperative and a subsidiary of ALLETE. Minnesota Power would purchase approximately 50 percent of the facility's output starting in 2025. In an order dated January 24, 2019, the MPUC approved Minnesota Power’s request for approval of the NTEC natural gas capacity dedication agreement. Separately, the MPUC required a baseload retirement evaluation in Minnesota Power’s next IRP filing analyzing its existing fleet including potential early retirement scenarios of Boswell Units 3 and 4, as well as a securitization plan. On January 8, 2019, an application for a certificate of public convenience and necessity for NTEC was submitted to the PSCW. A decision on the application is expected in 2020.</w:t>
      </w:r>
    </w:p>
    <w:p>
      <w:pPr>
        <w:spacing w:after="0" w:line="19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Integrated Resource Plan. </w:t>
      </w:r>
      <w:r>
        <w:rPr>
          <w:rFonts w:ascii="Times New Roman" w:cs="Times New Roman" w:eastAsia="Times New Roman" w:hAnsi="Times New Roman"/>
          <w:sz w:val="18"/>
          <w:szCs w:val="18"/>
          <w:color w:val="auto"/>
        </w:rPr>
        <w:t>In a 2016 order, the MPUC approved Minnesota Power’s 2015 IRP with modifications. The order accepted Minnesota Power’s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plans for the economic idling of Taconite Harbor Units 1 and 2 and the ceasing of coal-fired operations at Taconite Harbor in 2020, directed Minnesota Power to retire Boswell Units 1 and 2 no later than 2022, required an analysis of generation and demand response alternatives to be filed with a natural gas resource proposal, and required Minnesota Power to conduct requests for proposal for additional wind, solar and demand response resource additions. Minnesota Power retired Boswell Units 1 and 2 in the fourth quarter of 2018. Minnesota Power’s next IRP filing is due October 1, 2020. (See Note 2. Regulatory Matters.)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Second Quarter 2019 Form 10-Q</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40</w:t>
      </w:r>
    </w:p>
    <w:p>
      <w:pPr>
        <w:sectPr>
          <w:pgSz w:w="11900" w:h="16838" w:orient="portrait"/>
          <w:cols w:equalWidth="0" w:num="1">
            <w:col w:w="11420"/>
          </w:cols>
          <w:pgMar w:left="240" w:top="1036" w:right="2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OUTLOOK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EnergyForward (Continued)</w:t>
      </w: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Renewable Energy. </w:t>
      </w:r>
      <w:r>
        <w:rPr>
          <w:rFonts w:ascii="Times New Roman" w:cs="Times New Roman" w:eastAsia="Times New Roman" w:hAnsi="Times New Roman"/>
          <w:sz w:val="18"/>
          <w:szCs w:val="18"/>
          <w:color w:val="auto"/>
        </w:rPr>
        <w:t>Minnesota Power’s 2015 IRP includes an update on its plans and progress in meeting the Minnesota renewable energy milestones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Minnesota Power continues to execute its renewable energy strategy through renewable projects that will ensure it meets the identified state mandate at the lowest cost for customers. Minnesota Power has exceeded the interim milestone requirements to date and expects between 25 percent and 30 percent of its applicable retail and municipal energy sales will be supplied by renewable energy sources in 2019.</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Solar Energy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Minnesota Power’s solar energy supply consists of Camp Ripley, a 10 MW solar energy facility at the Camp Ripley Minnesota Army National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Guard base and training facility near Little Falls, Minnesota, and a community solar garden project in northeastern Minnesota, which is comprised of a 1 MW solar array owned and operated by a third party with the output purchased by Minnesota Power and a 40 kW solar array that is owned and operated by Minnesota Power.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Minnesota Power has approval for current cost recovery of investments and expenditures related to compliance with the Minnesota Solar Energy Standard.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Currently, there is no approved customer billing rate for solar costs.</w:t>
      </w:r>
    </w:p>
    <w:p>
      <w:pPr>
        <w:spacing w:after="0" w:line="2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Wind Energy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Minnesota Power’s wind energy facilities consist of Bison (497 MW) located in North Dakota, and Taconite Ridge (25 MW) located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northeastern Minnesota. Minnesota Power also has two long-term wind energy PPAs with an affiliate of NextEra Energy, Inc. to purchase the output from Oliver Wind I (50 MW) and Oliver Wind II (48 MW) located in North Dakota.</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Minnesota Power uses the 465-mile, 250-kV DC transmission line that runs from Center, North Dakota, to Duluth, Minnesota, to transport increasing amounts of wind energy from North Dakota while gradually phasing out coal-based electricity delivered to its system over this transmission line from Square Butte’s lignite coal-fired generating unit. Minnesota Power is currently pursuing a modernization and capacity upgrade of its DC transmission system to continue providing reliable operations and additional system capabilities.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Minnesota Power has an approved cost recovery rider for certain renewable investments and expenditures. The cost recovery rider allows Minnesota Power to charge retail customers on a current basis for the costs of certain renewable investments plus a return on the capital invested. Updated customer billing rates for the renewable cost recovery rider were provisionally approved by the MPUC in a November 2018 order.</w:t>
      </w:r>
    </w:p>
    <w:p>
      <w:pPr>
        <w:spacing w:after="0" w:line="1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Nobles 2 PPA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third quarter of 2018, Minnesota Power and Nobles 2 signed an amended long-term PPA that provides for Minnesota Power to 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energy and associated capacity from a 250 MW wind energy facility in southwestern Minnesota for a 20-year period beginning in 2020. The agreement provides for the purchase of output from the facility at fixed energy prices. There are no fixed capacity charges, and Minnesota Power will only pay for energy as it is delivered. This agreement is subject to construction of the wind energy facility. (See Note 3. Equity Investments.)</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u w:val="single" w:color="auto"/>
          <w:color w:val="auto"/>
        </w:rPr>
        <w:t>Manitoba Hydro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Minnesota Power has five long-term PPAs with Manitoba Hydro. The first PPA expires in May 2020. Under this agreement, Minnesota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Power is purchasing 50 MW of capacity and the energy associated with that capacity. Both the capacity price and the energy price are adjusted annually by the change in a governmental inflationary index. Under the second PPA, Minnesota Power is purchasing surplus energy through April 2022. This energy-only agreement primarily consists of surplus hydro energy on Manitoba Hydro’s system that is delivered to Minnesota Power on a non-firm basis. The pricing is based on forward market prices. Under this agreement, Minnesota Power will purchase at least one million MWh of energy over the contract term.</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third PPA provides for Minnesota Power to purchase 250 MW of capacity and energy from Manitoba Hydro for 15 years beginning in 2020. The PPA is subject to the construction of the GNTL and MMTP. (See Note 7. Commitments, Guarantees and Contingencies.) The capacity price is adjusted annually until 2020 by the change in a governmental inflationary index. The energy price is based on a formula that includes an annual fixed price component adjusted for the change in a governmental inflationary index and a natural gas index, as well as market prices.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fourth PPA provides for Minnesota Power to purchase up to 133 MW of energy from Manitoba Hydro for 20 years beginning in 2020. The pricing under this PPA is based on forward market prices. The PPA is subject to the construction of the GNTL and MMTP. (See Note 7. Commitments, Guarantees and Contingencies.)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fifth PPA provides for Minnesota Power to purchase 50 MW of capacity from Manitoba Hydro at fixed prices. The PPA began in June 2017 and expires in May 2020.</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Second Quarter 2019 Form 10-Q</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41</w:t>
      </w:r>
    </w:p>
    <w:p>
      <w:pPr>
        <w:sectPr>
          <w:pgSz w:w="11900" w:h="16838" w:orient="portrait"/>
          <w:cols w:equalWidth="0" w:num="1">
            <w:col w:w="11420"/>
          </w:cols>
          <w:pgMar w:left="240" w:top="1036" w:right="2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OUTLOOK (Continued)</w:t>
      </w:r>
    </w:p>
    <w:p>
      <w:pPr>
        <w:spacing w:after="0" w:line="22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Transmission. </w:t>
      </w:r>
      <w:r>
        <w:rPr>
          <w:rFonts w:ascii="Times New Roman" w:cs="Times New Roman" w:eastAsia="Times New Roman" w:hAnsi="Times New Roman"/>
          <w:sz w:val="18"/>
          <w:szCs w:val="18"/>
          <w:color w:val="auto"/>
        </w:rPr>
        <w:t>We continue to make investments in transmission opportunities that strengthen or enhance the transmission grid or take advantage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geographical location between sources of renewable energy and end users. These include the GNTL, investments to enhance our own transmission facilities, investments in other transmission assets (individually or in combination with others) and our investment in ATC.</w:t>
      </w:r>
    </w:p>
    <w:p>
      <w:pPr>
        <w:spacing w:after="0" w:line="173" w:lineRule="exact"/>
        <w:rPr>
          <w:sz w:val="20"/>
          <w:szCs w:val="20"/>
          <w:color w:val="auto"/>
        </w:rPr>
      </w:pPr>
    </w:p>
    <w:p>
      <w:pPr>
        <w:jc w:val="both"/>
        <w:spacing w:after="0" w:line="221" w:lineRule="exact"/>
        <w:rPr>
          <w:sz w:val="20"/>
          <w:szCs w:val="20"/>
          <w:color w:val="auto"/>
        </w:rPr>
      </w:pPr>
      <w:r>
        <w:rPr>
          <w:rFonts w:ascii="Times New Roman" w:cs="Times New Roman" w:eastAsia="Times New Roman" w:hAnsi="Times New Roman"/>
          <w:sz w:val="18"/>
          <w:szCs w:val="18"/>
          <w:i w:val="1"/>
          <w:iCs w:val="1"/>
          <w:color w:val="auto"/>
        </w:rPr>
        <w:t xml:space="preserve">Great Northern Transmission Line. </w:t>
      </w:r>
      <w:r>
        <w:rPr>
          <w:rFonts w:ascii="Times New Roman" w:cs="Times New Roman" w:eastAsia="Times New Roman" w:hAnsi="Times New Roman"/>
          <w:sz w:val="18"/>
          <w:szCs w:val="18"/>
          <w:color w:val="auto"/>
        </w:rPr>
        <w:t>As a condition of the 250-MW long-term PPA entered into with Manitoba Hydro, construction of additional transmission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capacity is required. As a result, Minnesota Power is constructing the GNTL, an approximately 220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mile 500-kV transmission line between Manitoba and Minnesota’s Iron Range that was proposed by Minnesota Power and Manitoba Hydro in order to strengthen the electric grid, enhance regional reliability and promote a greater exchange of sustainable energy.</w:t>
      </w:r>
    </w:p>
    <w:p>
      <w:pPr>
        <w:spacing w:after="0" w:line="199"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In a 2016 order, the MPUC approved the route permit for the GNTL, and in 2016, the U.S. Department of Energy issued a presidential permit to cross the U.S.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Canadian border, which was the final major regulatory approval needed before construction in the U.S. could begin. Construction activities commenced in the first quarter of 2017, and with construction on schedule, Minnesota Power expects the GNTL to be complete and in-service by mid-2020. The total project cost in the U.S., including substation work, is estimated to be approximately $750 million, of which Minnesota Power’s portion is expected to be approximately $345 million; the difference will be recovered from a subsidiary of Manitoba Hydro as non-shareholder contributions to capital. Total project costs of $510.8 million have been incurred through June 30, 2019, of which $272.7 million has been recovered from a subsidiary of Manitoba Hydro. (See Note 7. Commitments, Guarantees and Contingencies.)</w:t>
      </w:r>
    </w:p>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Investment in ATC. </w:t>
      </w:r>
      <w:r>
        <w:rPr>
          <w:rFonts w:ascii="Times New Roman" w:cs="Times New Roman" w:eastAsia="Times New Roman" w:hAnsi="Times New Roman"/>
          <w:sz w:val="18"/>
          <w:szCs w:val="18"/>
          <w:color w:val="auto"/>
        </w:rPr>
        <w:t>Our wholly-owned subsidiary, ALLETE Transmission Holdings, owns approximately 8 percent of ATC, a Wisconsin-based utility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owns and maintains electric transmission assets in portions of Wisconsin, Michigan, Minnesota and Illinois. As of June 30, 2019, our equity investment in ATC was $133.6 million ($128.1 million as of December 31, 2018). In the first six months of 2019, we invested $2.7 million in ATC, and on July 31, 2019, we invested an additional $1.9 million. We expect to make approximately $4 million of additional investments in 2019. (See Note 3. Equity Investments.)</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ATC’s authorized return on equity is 10.32 percent, or 10.82 percent including an incentive adder for participation in a regional transmission organization. In 2016, a federal administrative law judge ruled on a complaint proposing a reduction in the base return on equity to 9.70 percent, or 10.20 percent including an incentive adder for participation in a regional transmission organization, subject to approval or adjustment by the FERC. A final decision from the FERC on the administrative law judge’s recommendation is pending.</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ATC’s 10-year transmission assessment, which covers the years 2018 through 2027, identifies a need for between $2.8 billion and $3.4 billion in transmission system investments. These investments by ATC, if undertaken, are expected to be funded through a combination of internally generated cash, debt and investor contributions. As opportunities arise, we plan to make additional investments in ATC through general capital calls based upon our pro rata ownership interest in ATC.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Energy Infrastructure and Related Services.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ALLETE Clean Energy.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ALLETE Clean Energy focuses on developing, acquiring, and operating clean and renewable energy projects. ALLETE Clean Energy currently owns and operates, in four states, approximately 555 MW of nameplate capacity wind energy generation that is contracted under PSAs of various durations. ALLETE Clean Energy also engages in the development of wind energy facilities to operate under long-term PSAs or for sale to others upon completion.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ALLETE Clean Energy believes the market for renewable energy in North America is robust, driven by several factors including environmental regulation, tax incentives, societal expectations and continual technology advances. State renewable portfolio standards and state or federal regulations to limit GHG emissions are examples of environmental regulation or public policy that we believe will drive renewable energy development.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ALLETE Clean Energy’s strategy includes the safe, reliable, optimal and profitable operation of its existing facilities. This includes a strong safety culture, the continuous pursuit of operational efficiencies at existing facilities and cost controls. ALLETE Clean Energy generally acquires facilities in liquid power markets and its strategy includes the exploration of PSA extensions upon expiration of existing contracts and production tax credit requalification of existing facilities.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Second Quarter 2019 Form 10-Q</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42</w:t>
      </w:r>
    </w:p>
    <w:p>
      <w:pPr>
        <w:sectPr>
          <w:pgSz w:w="11900" w:h="16838" w:orient="portrait"/>
          <w:cols w:equalWidth="0" w:num="1">
            <w:col w:w="11420"/>
          </w:cols>
          <w:pgMar w:left="240" w:top="1036" w:right="2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OUTLOOK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ALLETE Clean Energy (Continued)</w:t>
      </w:r>
    </w:p>
    <w:p>
      <w:pPr>
        <w:spacing w:after="0" w:line="207" w:lineRule="exact"/>
        <w:rPr>
          <w:sz w:val="20"/>
          <w:szCs w:val="20"/>
          <w:color w:val="auto"/>
        </w:rPr>
      </w:pPr>
    </w:p>
    <w:p>
      <w:pPr>
        <w:jc w:val="both"/>
        <w:spacing w:after="0" w:line="226" w:lineRule="exact"/>
        <w:rPr>
          <w:sz w:val="20"/>
          <w:szCs w:val="20"/>
          <w:color w:val="auto"/>
        </w:rPr>
      </w:pPr>
      <w:r>
        <w:rPr>
          <w:rFonts w:ascii="Times New Roman" w:cs="Times New Roman" w:eastAsia="Times New Roman" w:hAnsi="Times New Roman"/>
          <w:sz w:val="18"/>
          <w:szCs w:val="18"/>
          <w:color w:val="auto"/>
        </w:rPr>
        <w:t>ALLETE Clean Energy will pursue growth through acquisitions or project development. ALLETE Clean Energy is targeting acquisitions of existing facilities up to 200 MW each, which have long-term PSAs in place for the facilities’ output. At this time, ALLETE Clean Energy expects acquisitions or development of new facilities will be primarily wind or solar facilities in North America. ALLETE Clean Energy is also targeting the development of new facilities up to 200 MW each, which will have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PSAs in place for the output or may be sold upon completion.</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Federal production tax credit qualification is important to the economics of project development, and in 2016, 2017 and 2018 ALLETE Clean Energy invested in equipment to meet production tax credit safe harbor provisions which provides an opportunity to seek development of up to approximately 1,500 MW of production tax credit qualified wind projects through 2022. ALLETE Clean Energy will also invest approximately $80 million through 2020 for production tax credit requalification of up to 468 WTGs at its Storm Lake I, Storm Lake II, Lake Benton and Condon wind energy facilities. We anticipate annual production tax credits relating to these projects of approximately $12 million in 2019, $17 million to $22 million annually in 2020 through 2027 and decreasing thereafter through 2030.</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2017, ALLETE Clean Energy announced it will build, own and operate a 100 MW wind energy facility pursuant to a 20-year PSA with Northern States Power; construction is expected to be completed in late 2019. In March 2018, ALLETE Clean Energy announced that it will build, own and operate an 80 MW wind energy facility pursuant to a 15-year PSA with NorthWestern Corporation; construction is expected to be completed in 2019.</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3, 2019, ALLETE Clean Energy acquired the Diamond Spring wind project in Oklahoma from Apex Clean Energy. ALLETE Clean Energy will build, own and operate the approximately 300 MW wind energy facility. The Diamond Spring wind project is fully contracted to sell wind power to Walmart Inc., Smithfield Foods, Inc. and Starbucks Corporation under long-term power sales agreements. Construction is expected to begin in late 2019 and be completed in the second half of 2020.</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ALLETE Clean Energy manages risk by having a diverse portfolio of assets, which includes PSA expiration, technology and geographic diversity. The current portfolio of approximately 555 MW is subject to typical variations in seasonal wind with higher wind resources typically available in the winter months. The majority of its planned maintenance leverages this seasonality and is performed during lower wind periods. The current mix of PSA expiration and geographic location for existing facilities is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Wind Energy Facility</w:t>
            </w:r>
          </w:p>
        </w:tc>
        <w:tc>
          <w:tcPr>
            <w:tcW w:w="288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17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Capacity MW</w:t>
            </w:r>
          </w:p>
        </w:tc>
        <w:tc>
          <w:tcPr>
            <w:tcW w:w="16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PSA MW %</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PSA Expiration</w:t>
            </w:r>
          </w:p>
        </w:tc>
      </w:tr>
      <w:tr>
        <w:trPr>
          <w:trHeight w:val="27"/>
        </w:trPr>
        <w:tc>
          <w:tcPr>
            <w:tcW w:w="326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3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Armenia Mountain</w:t>
            </w:r>
          </w:p>
        </w:tc>
        <w:tc>
          <w:tcPr>
            <w:tcW w:w="2880" w:type="dxa"/>
            <w:vAlign w:val="bottom"/>
            <w:tcBorders>
              <w:bottom w:val="single" w:sz="8" w:color="CCEEFF"/>
            </w:tcBorders>
            <w:shd w:val="clear" w:color="auto" w:fill="CCEEFF"/>
          </w:tcPr>
          <w:p>
            <w:pPr>
              <w:jc w:val="center"/>
              <w:ind w:left="1150"/>
              <w:spacing w:after="0"/>
              <w:rPr>
                <w:sz w:val="20"/>
                <w:szCs w:val="20"/>
                <w:color w:val="auto"/>
              </w:rPr>
            </w:pPr>
            <w:r>
              <w:rPr>
                <w:rFonts w:ascii="Times New Roman" w:cs="Times New Roman" w:eastAsia="Times New Roman" w:hAnsi="Times New Roman"/>
                <w:sz w:val="18"/>
                <w:szCs w:val="18"/>
                <w:color w:val="auto"/>
                <w:w w:val="99"/>
              </w:rPr>
              <w:t>Pennsylvania</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r>
      <w:tr>
        <w:trPr>
          <w:trHeight w:val="243"/>
        </w:trPr>
        <w:tc>
          <w:tcPr>
            <w:tcW w:w="3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Chanarambie/Viking</w:t>
            </w:r>
          </w:p>
        </w:tc>
        <w:tc>
          <w:tcPr>
            <w:tcW w:w="288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9"/>
              </w:rPr>
              <w:t>Minnesota</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98</w:t>
            </w:r>
          </w:p>
        </w:tc>
        <w:tc>
          <w:tcPr>
            <w:tcW w:w="164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27"/>
        </w:trPr>
        <w:tc>
          <w:tcPr>
            <w:tcW w:w="32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xml:space="preserve">PSA 1 </w:t>
            </w:r>
            <w:r>
              <w:rPr>
                <w:rFonts w:ascii="Times New Roman" w:cs="Times New Roman" w:eastAsia="Times New Roman" w:hAnsi="Times New Roman"/>
                <w:sz w:val="16"/>
                <w:szCs w:val="16"/>
                <w:i w:val="1"/>
                <w:iCs w:val="1"/>
                <w:color w:val="auto"/>
              </w:rPr>
              <w:t>(a)</w:t>
            </w:r>
          </w:p>
        </w:tc>
        <w:tc>
          <w:tcPr>
            <w:tcW w:w="28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43"/>
        </w:trPr>
        <w:tc>
          <w:tcPr>
            <w:tcW w:w="3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PSA 2</w:t>
            </w:r>
          </w:p>
        </w:tc>
        <w:tc>
          <w:tcPr>
            <w:tcW w:w="28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88%</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7"/>
        </w:trPr>
        <w:tc>
          <w:tcPr>
            <w:tcW w:w="32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Condon</w:t>
            </w:r>
          </w:p>
        </w:tc>
        <w:tc>
          <w:tcPr>
            <w:tcW w:w="2880" w:type="dxa"/>
            <w:vAlign w:val="bottom"/>
            <w:tcBorders>
              <w:bottom w:val="single" w:sz="8" w:color="CCEEFF"/>
            </w:tcBorders>
            <w:shd w:val="clear" w:color="auto" w:fill="CCEEFF"/>
          </w:tcPr>
          <w:p>
            <w:pPr>
              <w:jc w:val="center"/>
              <w:ind w:left="1170"/>
              <w:spacing w:after="0"/>
              <w:rPr>
                <w:sz w:val="20"/>
                <w:szCs w:val="20"/>
                <w:color w:val="auto"/>
              </w:rPr>
            </w:pPr>
            <w:r>
              <w:rPr>
                <w:rFonts w:ascii="Times New Roman" w:cs="Times New Roman" w:eastAsia="Times New Roman" w:hAnsi="Times New Roman"/>
                <w:sz w:val="18"/>
                <w:szCs w:val="18"/>
                <w:color w:val="auto"/>
                <w:w w:val="99"/>
              </w:rPr>
              <w:t>Oregon</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r>
      <w:tr>
        <w:trPr>
          <w:trHeight w:val="243"/>
        </w:trPr>
        <w:tc>
          <w:tcPr>
            <w:tcW w:w="3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Lake Benton</w:t>
            </w:r>
          </w:p>
        </w:tc>
        <w:tc>
          <w:tcPr>
            <w:tcW w:w="288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9"/>
              </w:rPr>
              <w:t>Minnesota</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r>
      <w:tr>
        <w:trPr>
          <w:trHeight w:val="27"/>
        </w:trPr>
        <w:tc>
          <w:tcPr>
            <w:tcW w:w="32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Storm Lake I</w:t>
            </w:r>
          </w:p>
        </w:tc>
        <w:tc>
          <w:tcPr>
            <w:tcW w:w="2880" w:type="dxa"/>
            <w:vAlign w:val="bottom"/>
            <w:tcBorders>
              <w:bottom w:val="single" w:sz="8" w:color="CCEEFF"/>
            </w:tcBorders>
            <w:shd w:val="clear" w:color="auto" w:fill="CCEEFF"/>
          </w:tcPr>
          <w:p>
            <w:pPr>
              <w:jc w:val="center"/>
              <w:ind w:left="1150"/>
              <w:spacing w:after="0"/>
              <w:rPr>
                <w:sz w:val="20"/>
                <w:szCs w:val="20"/>
                <w:color w:val="auto"/>
              </w:rPr>
            </w:pPr>
            <w:r>
              <w:rPr>
                <w:rFonts w:ascii="Times New Roman" w:cs="Times New Roman" w:eastAsia="Times New Roman" w:hAnsi="Times New Roman"/>
                <w:sz w:val="18"/>
                <w:szCs w:val="18"/>
                <w:color w:val="auto"/>
                <w:w w:val="99"/>
              </w:rPr>
              <w:t>Iowa</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2027</w:t>
            </w:r>
          </w:p>
        </w:tc>
      </w:tr>
      <w:tr>
        <w:trPr>
          <w:trHeight w:val="243"/>
        </w:trPr>
        <w:tc>
          <w:tcPr>
            <w:tcW w:w="3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Storm Lake II</w:t>
            </w:r>
          </w:p>
        </w:tc>
        <w:tc>
          <w:tcPr>
            <w:tcW w:w="288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9"/>
              </w:rPr>
              <w:t>Iowa</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77</w:t>
            </w:r>
          </w:p>
        </w:tc>
        <w:tc>
          <w:tcPr>
            <w:tcW w:w="164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27"/>
        </w:trPr>
        <w:tc>
          <w:tcPr>
            <w:tcW w:w="32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PSA 1</w:t>
            </w:r>
          </w:p>
        </w:tc>
        <w:tc>
          <w:tcPr>
            <w:tcW w:w="28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90%</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r>
      <w:tr>
        <w:trPr>
          <w:trHeight w:val="243"/>
        </w:trPr>
        <w:tc>
          <w:tcPr>
            <w:tcW w:w="3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PSA 2</w:t>
            </w:r>
          </w:p>
        </w:tc>
        <w:tc>
          <w:tcPr>
            <w:tcW w:w="28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2032</w:t>
            </w:r>
          </w:p>
        </w:tc>
      </w:tr>
      <w:tr>
        <w:trPr>
          <w:trHeight w:val="27"/>
        </w:trPr>
        <w:tc>
          <w:tcPr>
            <w:tcW w:w="32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880" w:type="dxa"/>
            <w:vAlign w:val="bottom"/>
            <w:tcBorders>
              <w:bottom w:val="single" w:sz="8" w:color="CCEEFF"/>
            </w:tcBorders>
            <w:shd w:val="clear" w:color="auto" w:fill="CCEEFF"/>
          </w:tcPr>
          <w:p>
            <w:pPr>
              <w:jc w:val="center"/>
              <w:ind w:left="1150"/>
              <w:spacing w:after="0"/>
              <w:rPr>
                <w:sz w:val="20"/>
                <w:szCs w:val="20"/>
                <w:color w:val="auto"/>
              </w:rPr>
            </w:pPr>
            <w:r>
              <w:rPr>
                <w:rFonts w:ascii="Times New Roman" w:cs="Times New Roman" w:eastAsia="Times New Roman" w:hAnsi="Times New Roman"/>
                <w:sz w:val="18"/>
                <w:szCs w:val="18"/>
                <w:color w:val="auto"/>
                <w:w w:val="99"/>
              </w:rPr>
              <w:t>Minnesota</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r>
      <w:tr>
        <w:trPr>
          <w:trHeight w:val="20"/>
        </w:trPr>
        <w:tc>
          <w:tcPr>
            <w:tcW w:w="3260" w:type="dxa"/>
            <w:vAlign w:val="bottom"/>
            <w:shd w:val="clear" w:color="auto" w:fill="000000"/>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r>
    </w:tbl>
    <w:p>
      <w:pPr>
        <w:spacing w:after="0"/>
        <w:tabs>
          <w:tab w:leader="none" w:pos="320" w:val="left"/>
        </w:tabs>
        <w:rPr>
          <w:sz w:val="20"/>
          <w:szCs w:val="20"/>
          <w:color w:val="auto"/>
        </w:rPr>
      </w:pPr>
      <w:r>
        <w:rPr>
          <w:rFonts w:ascii="Times New Roman" w:cs="Times New Roman" w:eastAsia="Times New Roman" w:hAnsi="Times New Roman"/>
          <w:sz w:val="16"/>
          <w:szCs w:val="16"/>
          <w:i w:val="1"/>
          <w:iCs w:val="1"/>
          <w:color w:val="auto"/>
        </w:rPr>
        <w:t>(a)</w:t>
        <w:tab/>
        <w:t>The PSA expiration assumes the exercise of four one-year renewal options that ALLETE Clean Energy has the sole right to exercise.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Water Services.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8, 2019, the Company entered into a stock purchase agreement providing for the sale of U.S. Water Services to a subsidiary of Kurita Water Industries Ltd. for a cash purchase price of $270 million. On March 26, 2019, ALLETE completed the sale and received approximately $265 million in cash at closing, net of transaction costs and cash retained. ALLETE plans to use the proceeds from the sale primarily to reinvest in growth initiatives at our Regulated Operations and ALLETE Clean Energy.</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Second Quarter 2019 Form 10-Q</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43</w:t>
      </w:r>
    </w:p>
    <w:p>
      <w:pPr>
        <w:sectPr>
          <w:pgSz w:w="11900" w:h="16838" w:orient="portrait"/>
          <w:cols w:equalWidth="0" w:num="1">
            <w:col w:w="11420"/>
          </w:cols>
          <w:pgMar w:left="240" w:top="1036" w:right="2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OUTLOOK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Other.</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BNI Energy. </w:t>
      </w:r>
      <w:r>
        <w:rPr>
          <w:rFonts w:ascii="Times New Roman" w:cs="Times New Roman" w:eastAsia="Times New Roman" w:hAnsi="Times New Roman"/>
          <w:sz w:val="18"/>
          <w:szCs w:val="18"/>
          <w:color w:val="auto"/>
        </w:rPr>
        <w:t>BNI Energy anticipates selling 4.4 million tons of lignite coal in 2019 (4.3 million tons were sold in 2018) and has sold 2.2 million tons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six months ended June 30, 2019 (2.3 million tons were sold for the six months ended June 30, 2018). BNI Energy operates under cost-plus fixed fee agreements extending through December 31, 2037.</w:t>
      </w:r>
    </w:p>
    <w:p>
      <w:pPr>
        <w:spacing w:after="0" w:line="17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Investment in Nobles 2</w:t>
      </w:r>
      <w:r>
        <w:rPr>
          <w:rFonts w:ascii="Times New Roman" w:cs="Times New Roman" w:eastAsia="Times New Roman" w:hAnsi="Times New Roman"/>
          <w:sz w:val="18"/>
          <w:szCs w:val="18"/>
          <w:color w:val="auto"/>
        </w:rPr>
        <w:t>. Our wholly-owned subsidiary, ALLETE South Wind, owns 49 percent of Nobles 2, the entity that will own and operate a 250 MW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wind energy facility in southwestern Minnesota pursuant to a 20-year PPA with Minnesota Power. The wind energy facility will be built in Nobles County, Minnesota and is expected to be completed in late 2020, with an estimated total project cost of approximately $350 million to $400 million, of which our portion is expected to be approximately $170 million to $200 million. We expect to utilize tax equity to finance a portion of our project costs. As of June 30, 2019, our equity investment in Nobles 2 was $26.6 million ($33.0 million at December 31, 2018). In the first quarter of 2019, Nobles 2 returned capital of $8.3 million based on its cash needs. We expect to make approximately $33 million in additional investments in 2019.</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ALLETE Properties. </w:t>
      </w:r>
      <w:r>
        <w:rPr>
          <w:rFonts w:ascii="Times New Roman" w:cs="Times New Roman" w:eastAsia="Times New Roman" w:hAnsi="Times New Roman"/>
          <w:sz w:val="18"/>
          <w:szCs w:val="18"/>
          <w:color w:val="auto"/>
        </w:rPr>
        <w:t>ALLETE Properties represents our legacy Florida real estate investment. ALLETE Properties’ major projects in Florida are Town Center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Palm Coast and Palm Coast Park, with approximately 1,500 acres combined of land available for sale. In addition to these two projects, ALLETE Properties has approximately 600 acres of other land available for sale. Market conditions can impact land sales and could result in our inability to cover our cost basis and operating expenses including fixed carrying costs such as community development district assessments and property taxes.</w:t>
      </w:r>
    </w:p>
    <w:p>
      <w:pPr>
        <w:spacing w:after="0" w:line="1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strategy incorporates the possibility of a bulk sale of the entire ALLETE Properties portfolio. Proceeds from a bulk sale would be strategically deployed to support growth initiatives at our Regulated Operations and ALLETE Clean Energy. ALLETE Properties also continues to pursue sales of individual parcels over time and will continue to maintain key entitlements and infrastructure.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ALLETE’s aggregate federal and multi-state statutory tax rate is approximately 28 percent for 2019. ALLETE also has tax credits and other tax adjustments that reduce the combined statutory rate to the effective tax rate. These tax credits and adjustments historically have included items such as investment tax credits, production tax credits, AFUDC</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Equity, depletion, as well as other items. The annual effective rate can also be impacted by such items as changes in income before income taxes, state and federal tax law changes that become effective during the year, business combinations, tax planning initiatives and resolution of prior years’ tax matters. We expect our effective tax rate to be a benefit in the range of 5 percent to 10 percent for 2019 primarily due to federal production tax credits as a result of wind energy generation. We also expect that our effective tax rate will be lower than the combined statutory rate over the next 10 years due to production tax credits attributable to our wind energy generation.</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Liquidity Position. </w:t>
      </w:r>
      <w:r>
        <w:rPr>
          <w:rFonts w:ascii="Times New Roman" w:cs="Times New Roman" w:eastAsia="Times New Roman" w:hAnsi="Times New Roman"/>
          <w:sz w:val="18"/>
          <w:szCs w:val="18"/>
          <w:color w:val="auto"/>
        </w:rPr>
        <w:t>ALLETE is well-positioned to meet the Company’s liquidity needs. As of June 30, 2019, we had cash and cash equivalents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$203.1 million, $350.7 million in available consolidated lines of credit and a debt-to-capital ratio of 41 percent.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Capital Structure. </w:t>
            </w:r>
            <w:r>
              <w:rPr>
                <w:rFonts w:ascii="Times New Roman" w:cs="Times New Roman" w:eastAsia="Times New Roman" w:hAnsi="Times New Roman"/>
                <w:sz w:val="18"/>
                <w:szCs w:val="18"/>
                <w:color w:val="auto"/>
              </w:rPr>
              <w:t>ALLETE’s capital structure is as follows:</w:t>
            </w:r>
          </w:p>
        </w:tc>
        <w:tc>
          <w:tcPr>
            <w:tcW w:w="2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437"/>
        </w:trPr>
        <w:tc>
          <w:tcPr>
            <w:tcW w:w="6040" w:type="dxa"/>
            <w:vAlign w:val="bottom"/>
          </w:tcPr>
          <w:p>
            <w:pPr>
              <w:spacing w:after="0"/>
              <w:rPr>
                <w:sz w:val="24"/>
                <w:szCs w:val="24"/>
                <w:color w:val="auto"/>
              </w:rPr>
            </w:pPr>
          </w:p>
        </w:tc>
        <w:tc>
          <w:tcPr>
            <w:tcW w:w="21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20" w:type="dxa"/>
            <w:vAlign w:val="bottom"/>
          </w:tcPr>
          <w:p>
            <w:pPr>
              <w:spacing w:after="0"/>
              <w:rPr>
                <w:sz w:val="24"/>
                <w:szCs w:val="24"/>
                <w:color w:val="auto"/>
              </w:rPr>
            </w:pPr>
          </w:p>
        </w:tc>
        <w:tc>
          <w:tcPr>
            <w:tcW w:w="16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660" w:type="dxa"/>
            <w:vAlign w:val="bottom"/>
          </w:tcPr>
          <w:p>
            <w:pPr>
              <w:spacing w:after="0"/>
              <w:rPr>
                <w:sz w:val="24"/>
                <w:szCs w:val="24"/>
                <w:color w:val="auto"/>
              </w:rPr>
            </w:pPr>
          </w:p>
        </w:tc>
      </w:tr>
      <w:tr>
        <w:trPr>
          <w:trHeight w:val="238"/>
        </w:trPr>
        <w:tc>
          <w:tcPr>
            <w:tcW w:w="6040" w:type="dxa"/>
            <w:vAlign w:val="bottom"/>
          </w:tcPr>
          <w:p>
            <w:pPr>
              <w:spacing w:after="0"/>
              <w:rPr>
                <w:sz w:val="20"/>
                <w:szCs w:val="20"/>
                <w:color w:val="auto"/>
              </w:rPr>
            </w:pPr>
          </w:p>
        </w:tc>
        <w:tc>
          <w:tcPr>
            <w:tcW w:w="2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9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60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7"/>
        </w:trPr>
        <w:tc>
          <w:tcPr>
            <w:tcW w:w="60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2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7"/>
        </w:trPr>
        <w:tc>
          <w:tcPr>
            <w:tcW w:w="60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Shareholders’ Equity</w:t>
            </w:r>
          </w:p>
        </w:tc>
        <w:tc>
          <w:tcPr>
            <w:tcW w:w="212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$2,205.0</w:t>
            </w:r>
          </w:p>
        </w:tc>
        <w:tc>
          <w:tcPr>
            <w:tcW w:w="92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59</w:t>
            </w:r>
          </w:p>
        </w:tc>
        <w:tc>
          <w:tcPr>
            <w:tcW w:w="16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$2,155.8</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43"/>
        </w:trPr>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 (Including Long-Term Debt Due Within One Year)</w:t>
            </w:r>
          </w:p>
        </w:tc>
        <w:tc>
          <w:tcPr>
            <w:tcW w:w="21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1,543.0</w:t>
            </w:r>
          </w:p>
        </w:tc>
        <w:tc>
          <w:tcPr>
            <w:tcW w:w="9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41</w:t>
            </w:r>
          </w:p>
        </w:tc>
        <w:tc>
          <w:tcPr>
            <w:tcW w:w="16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1,495.2</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7"/>
        </w:trPr>
        <w:tc>
          <w:tcPr>
            <w:tcW w:w="60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604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$3,748.0</w:t>
            </w:r>
          </w:p>
        </w:tc>
        <w:tc>
          <w:tcPr>
            <w:tcW w:w="92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100</w:t>
            </w:r>
          </w:p>
        </w:tc>
        <w:tc>
          <w:tcPr>
            <w:tcW w:w="16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$3,651.0</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6040" w:type="dxa"/>
            <w:vAlign w:val="bottom"/>
            <w:shd w:val="clear" w:color="auto" w:fill="000000"/>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bl>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Second Quarter 2019 Form 10-Q</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44</w:t>
      </w:r>
    </w:p>
    <w:p>
      <w:pPr>
        <w:sectPr>
          <w:pgSz w:w="11900" w:h="16838" w:orient="portrait"/>
          <w:cols w:equalWidth="0" w:num="1">
            <w:col w:w="11420"/>
          </w:cols>
          <w:pgMar w:left="240" w:top="1035"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8"/>
        </w:trPr>
        <w:tc>
          <w:tcPr>
            <w:tcW w:w="8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 (Continued)</w:t>
            </w:r>
          </w:p>
        </w:tc>
        <w:tc>
          <w:tcPr>
            <w:tcW w:w="22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32"/>
        </w:trPr>
        <w:tc>
          <w:tcPr>
            <w:tcW w:w="8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Cash Flows. </w:t>
            </w:r>
            <w:r>
              <w:rPr>
                <w:rFonts w:ascii="Times New Roman" w:cs="Times New Roman" w:eastAsia="Times New Roman" w:hAnsi="Times New Roman"/>
                <w:sz w:val="18"/>
                <w:szCs w:val="18"/>
                <w:color w:val="auto"/>
              </w:rPr>
              <w:t>Selected information from the Consolidated Statement of Cash Flows is as follows:</w:t>
            </w:r>
          </w:p>
        </w:tc>
        <w:tc>
          <w:tcPr>
            <w:tcW w:w="2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59"/>
        </w:trPr>
        <w:tc>
          <w:tcPr>
            <w:tcW w:w="81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For the Six Months Ended June 30,</w:t>
            </w:r>
          </w:p>
        </w:tc>
        <w:tc>
          <w:tcPr>
            <w:tcW w:w="22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81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81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22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81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220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$79.0</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$110.1</w:t>
            </w:r>
          </w:p>
        </w:tc>
      </w:tr>
      <w:tr>
        <w:trPr>
          <w:trHeight w:val="243"/>
        </w:trPr>
        <w:tc>
          <w:tcPr>
            <w:tcW w:w="8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Flows from (used for)</w:t>
            </w:r>
          </w:p>
        </w:tc>
        <w:tc>
          <w:tcPr>
            <w:tcW w:w="22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1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Operating Activities</w:t>
            </w:r>
          </w:p>
        </w:tc>
        <w:tc>
          <w:tcPr>
            <w:tcW w:w="220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95.2</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194.4</w:t>
            </w:r>
          </w:p>
        </w:tc>
      </w:tr>
      <w:tr>
        <w:trPr>
          <w:trHeight w:val="243"/>
        </w:trPr>
        <w:tc>
          <w:tcPr>
            <w:tcW w:w="8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Investing Activities</w:t>
            </w:r>
          </w:p>
        </w:tc>
        <w:tc>
          <w:tcPr>
            <w:tcW w:w="22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46.0</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w:t>
            </w:r>
          </w:p>
        </w:tc>
      </w:tr>
      <w:tr>
        <w:trPr>
          <w:trHeight w:val="27"/>
        </w:trPr>
        <w:tc>
          <w:tcPr>
            <w:tcW w:w="81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8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Financing Activities</w:t>
            </w:r>
          </w:p>
        </w:tc>
        <w:tc>
          <w:tcPr>
            <w:tcW w:w="220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(13.6)</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37"/>
        </w:trPr>
        <w:tc>
          <w:tcPr>
            <w:tcW w:w="816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Change in Cash, Cash Equivalents and Restricted Cash</w:t>
            </w:r>
          </w:p>
        </w:tc>
        <w:tc>
          <w:tcPr>
            <w:tcW w:w="220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127.6</w:t>
            </w: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22.7</w:t>
            </w:r>
          </w:p>
        </w:tc>
      </w:tr>
      <w:tr>
        <w:trPr>
          <w:trHeight w:val="27"/>
        </w:trPr>
        <w:tc>
          <w:tcPr>
            <w:tcW w:w="81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220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$206.6</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$132.8</w:t>
            </w:r>
          </w:p>
        </w:tc>
      </w:tr>
      <w:tr>
        <w:trPr>
          <w:trHeight w:val="20"/>
        </w:trPr>
        <w:tc>
          <w:tcPr>
            <w:tcW w:w="8160" w:type="dxa"/>
            <w:vAlign w:val="bottom"/>
            <w:shd w:val="clear" w:color="auto" w:fill="000000"/>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bl>
    <w:p>
      <w:pPr>
        <w:spacing w:after="0" w:line="1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Cash from operating activities was lower in 2019 compared to 2018 primarily due to the refund of Minnesota Power’s provisions for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reform and interim rates to customers, fewer customer deposits received and lower recoveries from customers under cost recovery riders in 2019. These decreases were partially offset by the timing of collections of accounts receivable.</w:t>
      </w:r>
    </w:p>
    <w:p>
      <w:pPr>
        <w:spacing w:after="0" w:line="174"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Cash from investing activities was higher in 2019 compared to 2018 primarily due to proceeds received from the sale of U.S. Water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partially offset by higher additions to property, plant and equipment.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Cash used for financing activities was lower in 2019 primarily due to higher proceeds from the issuance of long-term debt.</w:t>
      </w:r>
    </w:p>
    <w:p>
      <w:pPr>
        <w:spacing w:after="0" w:line="2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Working Capital. </w:t>
      </w:r>
      <w:r>
        <w:rPr>
          <w:rFonts w:ascii="Times New Roman" w:cs="Times New Roman" w:eastAsia="Times New Roman" w:hAnsi="Times New Roman"/>
          <w:sz w:val="18"/>
          <w:szCs w:val="18"/>
          <w:color w:val="auto"/>
        </w:rPr>
        <w:t>Additional working capital, if and when needed, generally is provided by consolidated bank lines of credit and the issuance of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including long-term debt, common stock and commercial paper. As of June 30, 2019, we had consolidated bank lines of credit aggregating $407.0 million ($407.0 million as of December 31, 2018), the majority of which expire in January 2024. We had $56.3 million outstanding in standby letters of credit and no outstanding draws under our lines of credit as of June 30, 2019 ($18.4 million in standby letters of credit and no outstanding draws as of December 31, 2018). In addition, as of June 30, 2019, we had 2.8 million original issue shares of our common stock available for issuance through Invest Direct, our direct stock purchase and dividend reinvestment plan, and 2.9 million original issue shares of common stock available for issuance through a distribution agreement with Lampert Capital Markets, Inc. (See </w:t>
      </w:r>
      <w:r>
        <w:rPr>
          <w:rFonts w:ascii="Times New Roman" w:cs="Times New Roman" w:eastAsia="Times New Roman" w:hAnsi="Times New Roman"/>
          <w:sz w:val="18"/>
          <w:szCs w:val="18"/>
          <w:i w:val="1"/>
          <w:iCs w:val="1"/>
          <w:color w:val="auto"/>
        </w:rPr>
        <w:t>Securities.</w:t>
      </w:r>
      <w:r>
        <w:rPr>
          <w:rFonts w:ascii="Times New Roman" w:cs="Times New Roman" w:eastAsia="Times New Roman" w:hAnsi="Times New Roman"/>
          <w:sz w:val="18"/>
          <w:szCs w:val="18"/>
          <w:color w:val="auto"/>
        </w:rPr>
        <w:t>) The amount and timing of future sales of our securities will depend upon market conditions and our specific needs. On July 31, 2019, we filed Registration Statement No. 333-232905, pursuant to which the remaining shares will continue to be offered for sale, from time to time.</w:t>
      </w:r>
    </w:p>
    <w:p>
      <w:pPr>
        <w:spacing w:after="0" w:line="18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Securities. </w:t>
      </w:r>
      <w:r>
        <w:rPr>
          <w:rFonts w:ascii="Times New Roman" w:cs="Times New Roman" w:eastAsia="Times New Roman" w:hAnsi="Times New Roman"/>
          <w:sz w:val="18"/>
          <w:szCs w:val="18"/>
          <w:color w:val="auto"/>
        </w:rPr>
        <w:t>During the six months ended June 30, 2019, we issued 0.2 million shares of common stock through Invest Direct, the Employee Stock Purchase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and the Retirement Savings and Stock Ownership Plan, resulting in net proceeds of $1.5 million (0.3 million shares were issued for the six months ended June 30, 2018, resulting in net proceeds of $10.7 million). These shares of common stock were registered under Registration Statement Nos. 333-231030, 333-211075, 333-183051 and 333-162890.</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10, 2019, ALLETE entered into an amended and restated $400 million credit agreement, as amended (Credit Agreement). The Credit Agreement is unsecured, has a variable interest rate and will expire in January 2024. At ALLETE’s request and subject to certain conditions, the Credit Agreement may be increased by up to $150 million and ALLETE may make two requests to extend the maturity date, each for a one-year extension. Advances may be used by ALLETE for general corporate purposes, to provide liquidity in support of ALLETE’s commercial paper program and to issue up to $100 million in letters of credit. (See Note 6. Short-Term and Long-Term Debt.)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Covenants. </w:t>
      </w:r>
      <w:r>
        <w:rPr>
          <w:rFonts w:ascii="Times New Roman" w:cs="Times New Roman" w:eastAsia="Times New Roman" w:hAnsi="Times New Roman"/>
          <w:sz w:val="18"/>
          <w:szCs w:val="18"/>
          <w:color w:val="auto"/>
        </w:rPr>
        <w:t>See Note 6. Short-Term and Long-Term Debt for information regarding our financial covenants.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Pension and Other Postretirement Benefit Plans. </w:t>
      </w:r>
      <w:r>
        <w:rPr>
          <w:rFonts w:ascii="Times New Roman" w:cs="Times New Roman" w:eastAsia="Times New Roman" w:hAnsi="Times New Roman"/>
          <w:sz w:val="18"/>
          <w:szCs w:val="18"/>
          <w:color w:val="auto"/>
        </w:rPr>
        <w:t>Management considers various factors when making funding decisions, such as regulatory requirements,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actuarially determined minimum contribution requirements and contributions required to avoid benefit restrictions for the defined benefit pension plans. (See Note 10. Pension and Other Postretirement Benefit Plans.)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Off-Balance Sheet Arrangements. </w:t>
      </w:r>
      <w:r>
        <w:rPr>
          <w:rFonts w:ascii="Times New Roman" w:cs="Times New Roman" w:eastAsia="Times New Roman" w:hAnsi="Times New Roman"/>
          <w:sz w:val="18"/>
          <w:szCs w:val="18"/>
          <w:color w:val="auto"/>
        </w:rPr>
        <w:t>Off-balance sheet arrangements are summarized in our 2018 Form 10-K, with additional disclosure in Note 7.</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Commitments, Guarantees and Contingencies.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Second Quarter 2019 Form 10-Q</w:t>
      </w:r>
    </w:p>
    <w:p>
      <w:pPr>
        <w:spacing w:after="0" w:line="17" w:lineRule="exact"/>
        <w:rPr>
          <w:sz w:val="20"/>
          <w:szCs w:val="20"/>
          <w:color w:val="auto"/>
        </w:rPr>
      </w:pPr>
    </w:p>
    <w:p>
      <w:pPr>
        <w:ind w:left="11280"/>
        <w:spacing w:after="0"/>
        <w:rPr>
          <w:sz w:val="20"/>
          <w:szCs w:val="20"/>
          <w:color w:val="auto"/>
        </w:rPr>
      </w:pPr>
      <w:r>
        <w:rPr>
          <w:rFonts w:ascii="Times New Roman" w:cs="Times New Roman" w:eastAsia="Times New Roman" w:hAnsi="Times New Roman"/>
          <w:sz w:val="14"/>
          <w:szCs w:val="14"/>
          <w:color w:val="auto"/>
        </w:rPr>
        <w:t>45</w:t>
      </w:r>
    </w:p>
    <w:p>
      <w:pPr>
        <w:sectPr>
          <w:pgSz w:w="11900" w:h="16838" w:orient="portrait"/>
          <w:cols w:equalWidth="0" w:num="1">
            <w:col w:w="11420"/>
          </w:cols>
          <w:pgMar w:left="240" w:top="1036" w:right="2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 (Continued)</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Credit Ratings</w:t>
      </w:r>
      <w:r>
        <w:rPr>
          <w:rFonts w:ascii="Times New Roman" w:cs="Times New Roman" w:eastAsia="Times New Roman" w:hAnsi="Times New Roman"/>
          <w:sz w:val="18"/>
          <w:szCs w:val="18"/>
          <w:color w:val="auto"/>
        </w:rPr>
        <w:t>. Access to reasonably priced capital markets is dependent in part on credit and ratings. Our securities have been rated by S&amp;P Global Ratings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by Moody’s. Rating agencies use both quantitative and qualitative measures in determining a company’s credit rating. These measures include business risk, liquidity risk, competitive position, capital mix, financial condition, predictability of cash flows, management strength and future direction. Some of the quantitative measures can be analyzed through a few key financial ratios, while the qualitative ones are more subjective. Our current credit ratings are listed in the following table: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4380" w:type="dxa"/>
            <w:vAlign w:val="bottom"/>
          </w:tcPr>
          <w:p>
            <w:pPr>
              <w:jc w:val="center"/>
              <w:ind w:left="2812"/>
              <w:spacing w:after="0"/>
              <w:rPr>
                <w:sz w:val="20"/>
                <w:szCs w:val="20"/>
                <w:color w:val="auto"/>
              </w:rPr>
            </w:pPr>
            <w:r>
              <w:rPr>
                <w:rFonts w:ascii="Times New Roman" w:cs="Times New Roman" w:eastAsia="Times New Roman" w:hAnsi="Times New Roman"/>
                <w:sz w:val="18"/>
                <w:szCs w:val="18"/>
                <w:b w:val="1"/>
                <w:bCs w:val="1"/>
                <w:color w:val="auto"/>
                <w:w w:val="99"/>
              </w:rPr>
              <w:t>S&amp;P Global</w:t>
            </w:r>
          </w:p>
        </w:tc>
        <w:tc>
          <w:tcPr>
            <w:tcW w:w="130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5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Credit Ratings</w:t>
            </w:r>
          </w:p>
        </w:tc>
        <w:tc>
          <w:tcPr>
            <w:tcW w:w="4380" w:type="dxa"/>
            <w:vAlign w:val="bottom"/>
          </w:tcPr>
          <w:p>
            <w:pPr>
              <w:jc w:val="center"/>
              <w:ind w:left="2792"/>
              <w:spacing w:after="0"/>
              <w:rPr>
                <w:sz w:val="20"/>
                <w:szCs w:val="20"/>
                <w:color w:val="auto"/>
              </w:rPr>
            </w:pPr>
            <w:r>
              <w:rPr>
                <w:rFonts w:ascii="Times New Roman" w:cs="Times New Roman" w:eastAsia="Times New Roman" w:hAnsi="Times New Roman"/>
                <w:sz w:val="18"/>
                <w:szCs w:val="18"/>
                <w:b w:val="1"/>
                <w:bCs w:val="1"/>
                <w:color w:val="auto"/>
                <w:w w:val="98"/>
              </w:rPr>
              <w:t>Ratings</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Moody’s</w:t>
            </w:r>
          </w:p>
        </w:tc>
      </w:tr>
      <w:tr>
        <w:trPr>
          <w:trHeight w:val="27"/>
        </w:trPr>
        <w:tc>
          <w:tcPr>
            <w:tcW w:w="20" w:type="dxa"/>
            <w:vAlign w:val="bottom"/>
          </w:tcPr>
          <w:p>
            <w:pPr>
              <w:spacing w:after="0"/>
              <w:rPr>
                <w:sz w:val="2"/>
                <w:szCs w:val="2"/>
                <w:color w:val="auto"/>
              </w:rPr>
            </w:pPr>
          </w:p>
        </w:tc>
        <w:tc>
          <w:tcPr>
            <w:tcW w:w="572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Issuer Credit Rating</w:t>
            </w:r>
          </w:p>
        </w:tc>
        <w:tc>
          <w:tcPr>
            <w:tcW w:w="4380" w:type="dxa"/>
            <w:vAlign w:val="bottom"/>
            <w:tcBorders>
              <w:bottom w:val="single" w:sz="8" w:color="CCEEFF"/>
            </w:tcBorders>
            <w:shd w:val="clear" w:color="auto" w:fill="CCEEFF"/>
          </w:tcPr>
          <w:p>
            <w:pPr>
              <w:jc w:val="center"/>
              <w:ind w:left="2792"/>
              <w:spacing w:after="0"/>
              <w:rPr>
                <w:sz w:val="20"/>
                <w:szCs w:val="20"/>
                <w:color w:val="auto"/>
              </w:rPr>
            </w:pPr>
            <w:r>
              <w:rPr>
                <w:rFonts w:ascii="Times New Roman" w:cs="Times New Roman" w:eastAsia="Times New Roman" w:hAnsi="Times New Roman"/>
                <w:sz w:val="18"/>
                <w:szCs w:val="18"/>
                <w:color w:val="auto"/>
                <w:w w:val="99"/>
              </w:rPr>
              <w:t>BBB+</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Baa1</w:t>
            </w:r>
          </w:p>
        </w:tc>
      </w:tr>
      <w:tr>
        <w:trPr>
          <w:trHeight w:val="243"/>
        </w:trPr>
        <w:tc>
          <w:tcPr>
            <w:tcW w:w="20" w:type="dxa"/>
            <w:vAlign w:val="bottom"/>
          </w:tcPr>
          <w:p>
            <w:pPr>
              <w:spacing w:after="0"/>
              <w:rPr>
                <w:sz w:val="21"/>
                <w:szCs w:val="21"/>
                <w:color w:val="auto"/>
              </w:rPr>
            </w:pPr>
          </w:p>
        </w:tc>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4380" w:type="dxa"/>
            <w:vAlign w:val="bottom"/>
          </w:tcPr>
          <w:p>
            <w:pPr>
              <w:jc w:val="center"/>
              <w:ind w:left="2812"/>
              <w:spacing w:after="0"/>
              <w:rPr>
                <w:sz w:val="20"/>
                <w:szCs w:val="20"/>
                <w:color w:val="auto"/>
              </w:rPr>
            </w:pPr>
            <w:r>
              <w:rPr>
                <w:rFonts w:ascii="Times New Roman" w:cs="Times New Roman" w:eastAsia="Times New Roman" w:hAnsi="Times New Roman"/>
                <w:sz w:val="18"/>
                <w:szCs w:val="18"/>
                <w:color w:val="auto"/>
                <w:w w:val="99"/>
              </w:rPr>
              <w:t>A-2</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P-2</w:t>
            </w:r>
          </w:p>
        </w:tc>
      </w:tr>
      <w:tr>
        <w:trPr>
          <w:trHeight w:val="27"/>
        </w:trPr>
        <w:tc>
          <w:tcPr>
            <w:tcW w:w="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20" w:type="dxa"/>
            <w:vAlign w:val="bottom"/>
          </w:tcPr>
          <w:p>
            <w:pPr>
              <w:spacing w:after="0"/>
              <w:rPr>
                <w:sz w:val="23"/>
                <w:szCs w:val="23"/>
                <w:color w:val="auto"/>
              </w:rPr>
            </w:pPr>
          </w:p>
        </w:tc>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Mortgage Bonds</w:t>
            </w:r>
          </w:p>
        </w:tc>
        <w:tc>
          <w:tcPr>
            <w:tcW w:w="4380" w:type="dxa"/>
            <w:vAlign w:val="bottom"/>
            <w:tcBorders>
              <w:bottom w:val="single" w:sz="8" w:color="CCEEFF"/>
            </w:tcBorders>
            <w:shd w:val="clear" w:color="auto" w:fill="CCEEFF"/>
          </w:tcPr>
          <w:p>
            <w:pPr>
              <w:jc w:val="center"/>
              <w:ind w:left="2792"/>
              <w:spacing w:after="0"/>
              <w:rPr>
                <w:sz w:val="20"/>
                <w:szCs w:val="20"/>
                <w:color w:val="auto"/>
              </w:rPr>
            </w:pPr>
            <w:r>
              <w:rPr>
                <w:rFonts w:ascii="Times New Roman" w:cs="Times New Roman" w:eastAsia="Times New Roman" w:hAnsi="Times New Roman"/>
                <w:sz w:val="16"/>
                <w:szCs w:val="16"/>
                <w:i w:val="1"/>
                <w:iCs w:val="1"/>
                <w:color w:val="auto"/>
                <w:w w:val="96"/>
              </w:rPr>
              <w:t>(a)</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A2</w:t>
            </w:r>
          </w:p>
        </w:tc>
      </w:tr>
      <w:tr>
        <w:trPr>
          <w:trHeight w:val="206"/>
        </w:trPr>
        <w:tc>
          <w:tcPr>
            <w:tcW w:w="20" w:type="dxa"/>
            <w:vAlign w:val="bottom"/>
          </w:tcPr>
          <w:p>
            <w:pPr>
              <w:spacing w:after="0"/>
              <w:rPr>
                <w:sz w:val="17"/>
                <w:szCs w:val="17"/>
                <w:color w:val="auto"/>
              </w:rPr>
            </w:pPr>
          </w:p>
        </w:tc>
        <w:tc>
          <w:tcPr>
            <w:tcW w:w="5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(a)  Not rated by S&amp;P Global Ratings.</w:t>
            </w:r>
          </w:p>
        </w:tc>
        <w:tc>
          <w:tcPr>
            <w:tcW w:w="43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r>
    </w:tbl>
    <w:p>
      <w:pPr>
        <w:spacing w:after="0" w:line="17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26, 2019, Moody’s downgraded the long-term ratings of ALLETE, including its issuer rating to Baa1 from A3, and changed its credit rating outlook to stable from negative. Moody’s noted the combined impact of the 2018 adverse general rate case outcome at Minnesota Power as well as its debt coverage ratios going forward as its rationale for the downgrade.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disclosure of these credit ratings is not a recommendation to buy, sell or hold our securities. Ratings are subject to revision or withdrawal at any time by the assigning rating organization. Each rating should be evaluated independently of any other rating.</w:t>
      </w:r>
    </w:p>
    <w:p>
      <w:pPr>
        <w:spacing w:after="0" w:line="1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Capital Requirements. </w:t>
      </w:r>
      <w:r>
        <w:rPr>
          <w:rFonts w:ascii="Times New Roman" w:cs="Times New Roman" w:eastAsia="Times New Roman" w:hAnsi="Times New Roman"/>
          <w:sz w:val="18"/>
          <w:szCs w:val="18"/>
          <w:color w:val="auto"/>
        </w:rPr>
        <w:t>Our capital expenditures for 2019 and 2020 are now expected to be approximately $695 million and $495 million, respectively.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increases from the 2019 and 2020 capital expenditures projected in our 2018 Form 10-K is primarily due to the Diamond Spring wind energy facility ALLETE Clean Energy will build, own and operate pursuant to long-term PSAs with Walmart Inc., Smithfield Foods, Inc. and Starbucks Corporation. (See Outlook – ALLETE Clean Energy.) For the six months ended June 30, 2019, capital expenditures totaled $249.3 million ($113.9 million for the six months ended June 30, 2018). The expenditures were primarily made in the Regulated Operations and ALLETE Clean Energy segments.</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businesses are subject to regulation of environmental matters by various federal, state and local authorities. A number of regulatory changes to the Clean Air Act, the Clean Water Act and various waste management requirements have been promulgated by both the EPA and state authorities over the past several years. Minnesota Power’s facilities are subject to additional requirements under many of these regulations. Minnesota Power is reshaping its generation portfolio, over time, to reduce its reliance on coal, has installed cost-effective emission control technology, and advocates for sound science and policy during rulemaking implementation. (See Note 7. Commitments, Guarantees and Contingencies.)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2019, ALLETE had 1,369 employees, of which 1,326 were full-time.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Minnesota Power and SWL&amp;P have an aggregate of 458 employees who are members of International Brotherhood of Electrical Workers (IBEW) Local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current labor agreements with IBEW Local 31 expire on April 30, 2020, for Minnesota Power and February 1, 2021, for SWL&amp;P.</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BNI Energy has 181 employees, of which 135 are subject to a labor agreement with IBEW Local 1593. The labor agreement with IBEW Local 1593 expired on March 31, 2019. Negotiations are proceeding and we believe a ratified agreement will be agreed upon with no disruption to operations.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accounting pronouncements are discussed in Note 1. Operations and Significant Accounting Policies.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Second Quarter 2019 Form 10-Q</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46</w:t>
      </w:r>
    </w:p>
    <w:p>
      <w:pPr>
        <w:sectPr>
          <w:pgSz w:w="11900" w:h="16838" w:orient="portrait"/>
          <w:cols w:equalWidth="0" w:num="1">
            <w:col w:w="11420"/>
          </w:cols>
          <w:pgMar w:left="240" w:top="1036" w:right="2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INVESTMENTS</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Available-for-Sale Securities</w:t>
      </w:r>
      <w:r>
        <w:rPr>
          <w:rFonts w:ascii="Times New Roman" w:cs="Times New Roman" w:eastAsia="Times New Roman" w:hAnsi="Times New Roman"/>
          <w:sz w:val="18"/>
          <w:szCs w:val="18"/>
          <w:color w:val="auto"/>
        </w:rPr>
        <w:t>. As of June 30, 2019, our available-for-sale securities portfolio consisted primarily of securities held in other postretirement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plans to fund employee benefits.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regulated utility operations incur costs for power and fuel (primarily coal and related transportation) in Minnesota, and power and natural gas purchased for resale in our regulated service territory in Wisconsin. Minnesota Power’s exposure to price risk for these commodities is significantly mitigated by the current ratemaking process and regulatory framework, which allows recovery of fuel costs in excess of those included in base rates or distribution of savings in fuel costs to ratepayers. SWL&amp;P’s exposure to price risk for natural gas is significantly mitigated by the current ratemaking process and regulatory framework, which allows the commodity cost to be passed through to customers. We seek to prudently manage our customers’ exposure to price risk by entering into contracts of various durations and terms for the purchase of power and coal and related transportation costs (Minnesota Power), and natural gas (SWL&amp;P).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MARKETING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Minnesota Power’s power marketing activities consist of: (1) purchasing energy in the wholesale market to serve its regulated service territory when energy requirements exceed generation output; and (2) selling excess available energy and purchased power. From time to time, Minnesota Power may have excess energy that is temporarily not required by retail and municipal customers in our regulated service territory. Minnesota Power actively sells any excess energy to the wholesale market to optimize the value of its generating facilities.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exposed to credit risk primarily through our power marketing activities. We use credit policies to manage credit risk, which includes utilizing an established credit approval process and monitoring counterparty limits.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exposed to risks resulting from changes in interest rates as a result of our issuance of variable rate debt. We manage our interest rate risk by varying the issuance and maturity dates of our fixed rate debt, limiting the amount of variable rate debt, and continually monitoring the effects of market changes in interest rates. We may also enter into derivative financial instruments, such as interest rate swaps, to mitigate interest rate exposure. Interest rates on variable rate long-term debt are reset on a periodic basis reflecting prevailing market conditions. Based on the variable rate debt outstanding as of June 30, 2019, an increase of 100 basis points in interest rates would impact the amount of pre-tax interest expense by $0.5 million. This amount was determined by considering the impact of a hypothetical 100 basis point increase to the average variable interest rate on the variable rate debt outstanding as of June 30, 2019.</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Evaluation of Disclosure Controls and Procedures. </w:t>
      </w:r>
      <w:r>
        <w:rPr>
          <w:rFonts w:ascii="Times New Roman" w:cs="Times New Roman" w:eastAsia="Times New Roman" w:hAnsi="Times New Roman"/>
          <w:sz w:val="18"/>
          <w:szCs w:val="18"/>
          <w:color w:val="auto"/>
        </w:rPr>
        <w:t>As of June 30, 2019, evaluations were performed, under the supervision and with the participation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including our principal executive officer and principal financial officer, on the effectiveness of the design and operation of ALLETE’s disclosure controls and procedures (as defined in Rules 13a-15(e) and 15d-15(e) of the Securities Exchange Act of 1934 (Exchange Act)). Based upon those evaluations, our principal executive officer and principal financial officer have concluded that such disclosure controls and procedures are effective to provide assurance that information required to be disclosed in ALLETE’s reports filed or submitted under the Exchange Act is recorded, processed, summarized and reported within the time periods specified in the SEC’s rules and forms, and such information is accumulated and communicated to our management, including our principal executive officer and principal financial officer, to allow timely decisions regarding required disclosure.</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Changes in Internal Controls. </w:t>
      </w:r>
      <w:r>
        <w:rPr>
          <w:rFonts w:ascii="Times New Roman" w:cs="Times New Roman" w:eastAsia="Times New Roman" w:hAnsi="Times New Roman"/>
          <w:sz w:val="18"/>
          <w:szCs w:val="18"/>
          <w:color w:val="auto"/>
        </w:rPr>
        <w:t>There has been no change in our internal control over financial reporting that occurred during our most recent fiscal quarter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Second Quarter 2019 Form 10-Q</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47</w:t>
      </w:r>
    </w:p>
    <w:p>
      <w:pPr>
        <w:sectPr>
          <w:pgSz w:w="11900" w:h="16838" w:orient="portrait"/>
          <w:cols w:equalWidth="0" w:num="1">
            <w:col w:w="11420"/>
          </w:cols>
          <w:pgMar w:left="240" w:top="1036" w:right="2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information regarding material legal and regulatory proceedings, see Note 4. Regulatory Matters and Note 11. Commitments, Guarantees and Contingencies to the Consolidated Financial Statements in our 2018 Form 10-K and Note 2. Regulatory Matters and Note 7. Commitments, Guarantees and Contingencies herein. Such information is incorporated herein by reference.</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from the risk factors disclosed in Part I, Item 1A. Risk Factors of our 2018 Form 10-K.</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Dodd-Frank Wall Street Reform and Consumer Protection Act (Dodd-Frank Act) requires issuers to include in periodic reports filed with the SEC certain information relating to citations or orders for violations of standards under the Federal Mine Safety and Health Act of 1977 (Mine Safety Act). Information concerning mine safety violations or other regulatory matters required by Section 1503(a) of the Dodd-Frank Act and this Item are included in Exhibit 95 to this Form 10-Q.</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Second Quarter 2019 Form 10-Q</w:t>
      </w:r>
    </w:p>
    <w:p>
      <w:pPr>
        <w:spacing w:after="0" w:line="17" w:lineRule="exact"/>
        <w:rPr>
          <w:sz w:val="20"/>
          <w:szCs w:val="20"/>
          <w:color w:val="auto"/>
        </w:rPr>
      </w:pPr>
    </w:p>
    <w:p>
      <w:pPr>
        <w:ind w:left="11280"/>
        <w:spacing w:after="0"/>
        <w:rPr>
          <w:sz w:val="20"/>
          <w:szCs w:val="20"/>
          <w:color w:val="auto"/>
        </w:rPr>
      </w:pPr>
      <w:r>
        <w:rPr>
          <w:rFonts w:ascii="Times New Roman" w:cs="Times New Roman" w:eastAsia="Times New Roman" w:hAnsi="Times New Roman"/>
          <w:sz w:val="14"/>
          <w:szCs w:val="14"/>
          <w:color w:val="auto"/>
        </w:rPr>
        <w:t>48</w:t>
      </w:r>
    </w:p>
    <w:p>
      <w:pPr>
        <w:sectPr>
          <w:pgSz w:w="11900" w:h="16838" w:orient="portrait"/>
          <w:cols w:equalWidth="0" w:num="1">
            <w:col w:w="11420"/>
          </w:cols>
          <w:pgMar w:left="240" w:top="1036" w:right="2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u w:val="single" w:color="auto"/>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5" w:lineRule="exact"/>
        <w:rPr>
          <w:sz w:val="20"/>
          <w:szCs w:val="20"/>
          <w:color w:val="auto"/>
        </w:rPr>
      </w:pPr>
    </w:p>
    <w:p>
      <w:pPr>
        <w:ind w:left="1300" w:right="40" w:hanging="1265"/>
        <w:spacing w:after="0" w:line="281" w:lineRule="auto"/>
        <w:tabs>
          <w:tab w:leader="none" w:pos="1300" w:val="left"/>
        </w:tabs>
        <w:numPr>
          <w:ilvl w:val="0"/>
          <w:numId w:val="15"/>
        </w:numPr>
        <w:rPr>
          <w:rFonts w:ascii="Times New Roman" w:cs="Times New Roman" w:eastAsia="Times New Roman" w:hAnsi="Times New Roman"/>
          <w:sz w:val="18"/>
          <w:szCs w:val="18"/>
          <w:u w:val="single" w:color="auto"/>
          <w:color w:val="0000FF"/>
        </w:rPr>
      </w:pPr>
      <w:hyperlink w:anchor="page52">
        <w:r>
          <w:rPr>
            <w:rFonts w:ascii="Times New Roman" w:cs="Times New Roman" w:eastAsia="Times New Roman" w:hAnsi="Times New Roman"/>
            <w:sz w:val="18"/>
            <w:szCs w:val="18"/>
            <w:u w:val="single" w:color="auto"/>
            <w:color w:val="0000FF"/>
          </w:rPr>
          <w:t>First Amendment to Amended and Restated Credit Agreement dated as of May 15, 2019, among ALLETE, as Borrower, the lenders party</w:t>
        </w:r>
      </w:hyperlink>
      <w:r>
        <w:rPr>
          <w:rFonts w:ascii="Times New Roman" w:cs="Times New Roman" w:eastAsia="Times New Roman" w:hAnsi="Times New Roman"/>
          <w:sz w:val="18"/>
          <w:szCs w:val="18"/>
          <w:u w:val="single" w:color="auto"/>
          <w:color w:val="0000FF"/>
        </w:rPr>
        <w:t xml:space="preserve"> </w:t>
      </w:r>
      <w:hyperlink w:anchor="page52">
        <w:r>
          <w:rPr>
            <w:rFonts w:ascii="Times New Roman" w:cs="Times New Roman" w:eastAsia="Times New Roman" w:hAnsi="Times New Roman"/>
            <w:sz w:val="18"/>
            <w:szCs w:val="18"/>
            <w:u w:val="single" w:color="auto"/>
            <w:color w:val="0000FF"/>
          </w:rPr>
          <w:t>hereto, JPMorgan Chase Bank, N.A., as Administrative Agent.</w:t>
        </w:r>
      </w:hyperlink>
    </w:p>
    <w:tbl>
      <w:tblPr>
        <w:tblLayout w:type="fixed"/>
        <w:tblInd w:w="0" w:type="dxa"/>
        <w:tblCellMar>
          <w:top w:w="0" w:type="dxa"/>
          <w:left w:w="0" w:type="dxa"/>
          <w:bottom w:w="0" w:type="dxa"/>
          <w:right w:w="0" w:type="dxa"/>
        </w:tblCellMar>
      </w:tblPr>
      <w:tr>
        <w:trPr>
          <w:trHeight w:val="195"/>
        </w:trPr>
        <w:tc>
          <w:tcPr>
            <w:tcW w:w="860" w:type="dxa"/>
            <w:vAlign w:val="bottom"/>
            <w:gridSpan w:val="3"/>
          </w:tcPr>
          <w:p>
            <w:pPr>
              <w:ind w:left="40"/>
              <w:spacing w:after="0" w:line="195" w:lineRule="exact"/>
              <w:rPr>
                <w:rFonts w:ascii="Times New Roman" w:cs="Times New Roman" w:eastAsia="Times New Roman" w:hAnsi="Times New Roman"/>
                <w:sz w:val="18"/>
                <w:szCs w:val="18"/>
                <w:color w:val="0000FF"/>
              </w:rPr>
            </w:pPr>
            <w:hyperlink w:anchor="page56">
              <w:r>
                <w:rPr>
                  <w:rFonts w:ascii="Times New Roman" w:cs="Times New Roman" w:eastAsia="Times New Roman" w:hAnsi="Times New Roman"/>
                  <w:sz w:val="18"/>
                  <w:szCs w:val="18"/>
                  <w:color w:val="0000FF"/>
                </w:rPr>
                <w:t>31(a)</w:t>
              </w:r>
            </w:hyperlink>
          </w:p>
        </w:tc>
        <w:tc>
          <w:tcPr>
            <w:tcW w:w="2300" w:type="dxa"/>
            <w:vAlign w:val="bottom"/>
            <w:gridSpan w:val="2"/>
          </w:tcPr>
          <w:p>
            <w:pPr>
              <w:ind w:left="440"/>
              <w:spacing w:after="0" w:line="195" w:lineRule="exact"/>
              <w:rPr>
                <w:rFonts w:ascii="Times New Roman" w:cs="Times New Roman" w:eastAsia="Times New Roman" w:hAnsi="Times New Roman"/>
                <w:sz w:val="18"/>
                <w:szCs w:val="18"/>
                <w:color w:val="0000FF"/>
                <w:w w:val="99"/>
              </w:rPr>
            </w:pPr>
            <w:hyperlink w:anchor="page56">
              <w:r>
                <w:rPr>
                  <w:rFonts w:ascii="Times New Roman" w:cs="Times New Roman" w:eastAsia="Times New Roman" w:hAnsi="Times New Roman"/>
                  <w:sz w:val="18"/>
                  <w:szCs w:val="18"/>
                  <w:color w:val="0000FF"/>
                  <w:w w:val="99"/>
                </w:rPr>
                <w:t>Rule 13a-14(a)/15d-14(a)</w:t>
              </w:r>
            </w:hyperlink>
          </w:p>
        </w:tc>
        <w:tc>
          <w:tcPr>
            <w:tcW w:w="8260" w:type="dxa"/>
            <w:vAlign w:val="bottom"/>
            <w:gridSpan w:val="3"/>
          </w:tcPr>
          <w:p>
            <w:pPr>
              <w:ind w:left="20"/>
              <w:spacing w:after="0" w:line="195" w:lineRule="exact"/>
              <w:rPr>
                <w:rFonts w:ascii="Times New Roman" w:cs="Times New Roman" w:eastAsia="Times New Roman" w:hAnsi="Times New Roman"/>
                <w:sz w:val="18"/>
                <w:szCs w:val="18"/>
                <w:color w:val="0000FF"/>
              </w:rPr>
            </w:pPr>
            <w:hyperlink w:anchor="page56">
              <w:r>
                <w:rPr>
                  <w:rFonts w:ascii="Times New Roman" w:cs="Times New Roman" w:eastAsia="Times New Roman" w:hAnsi="Times New Roman"/>
                  <w:sz w:val="18"/>
                  <w:szCs w:val="18"/>
                  <w:color w:val="0000FF"/>
                </w:rPr>
                <w:t>Certification by the Chief Executive Officer Pursuant to Section 302 of the Sarbanes-Oxley Act of 2002.</w:t>
              </w:r>
            </w:hyperlink>
          </w:p>
        </w:tc>
      </w:tr>
      <w:tr>
        <w:trPr>
          <w:trHeight w:val="48"/>
        </w:trPr>
        <w:tc>
          <w:tcPr>
            <w:tcW w:w="40" w:type="dxa"/>
            <w:vAlign w:val="bottom"/>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4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60" w:type="dxa"/>
            <w:vAlign w:val="bottom"/>
            <w:tcBorders>
              <w:top w:val="single" w:sz="8" w:color="0000FF"/>
            </w:tcBorders>
          </w:tcPr>
          <w:p>
            <w:pPr>
              <w:spacing w:after="0"/>
              <w:rPr>
                <w:sz w:val="4"/>
                <w:szCs w:val="4"/>
                <w:color w:val="auto"/>
              </w:rPr>
            </w:pPr>
          </w:p>
        </w:tc>
        <w:tc>
          <w:tcPr>
            <w:tcW w:w="75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700" w:type="dxa"/>
            <w:vAlign w:val="bottom"/>
          </w:tcPr>
          <w:p>
            <w:pPr>
              <w:spacing w:after="0"/>
              <w:rPr>
                <w:sz w:val="4"/>
                <w:szCs w:val="4"/>
                <w:color w:val="auto"/>
              </w:rPr>
            </w:pPr>
          </w:p>
        </w:tc>
      </w:tr>
      <w:tr>
        <w:trPr>
          <w:trHeight w:val="203"/>
        </w:trPr>
        <w:tc>
          <w:tcPr>
            <w:tcW w:w="860" w:type="dxa"/>
            <w:vAlign w:val="bottom"/>
            <w:gridSpan w:val="3"/>
            <w:shd w:val="clear" w:color="auto" w:fill="CCEEFF"/>
          </w:tcPr>
          <w:p>
            <w:pPr>
              <w:ind w:left="40"/>
              <w:spacing w:after="0" w:line="202" w:lineRule="exact"/>
              <w:rPr>
                <w:rFonts w:ascii="Times New Roman" w:cs="Times New Roman" w:eastAsia="Times New Roman" w:hAnsi="Times New Roman"/>
                <w:sz w:val="18"/>
                <w:szCs w:val="18"/>
                <w:color w:val="0000FF"/>
              </w:rPr>
            </w:pPr>
            <w:hyperlink w:anchor="page57">
              <w:r>
                <w:rPr>
                  <w:rFonts w:ascii="Times New Roman" w:cs="Times New Roman" w:eastAsia="Times New Roman" w:hAnsi="Times New Roman"/>
                  <w:sz w:val="18"/>
                  <w:szCs w:val="18"/>
                  <w:color w:val="0000FF"/>
                </w:rPr>
                <w:t>31(b)</w:t>
              </w:r>
            </w:hyperlink>
          </w:p>
        </w:tc>
        <w:tc>
          <w:tcPr>
            <w:tcW w:w="2300" w:type="dxa"/>
            <w:vAlign w:val="bottom"/>
            <w:gridSpan w:val="2"/>
            <w:shd w:val="clear" w:color="auto" w:fill="CCEEFF"/>
          </w:tcPr>
          <w:p>
            <w:pPr>
              <w:ind w:left="440"/>
              <w:spacing w:after="0" w:line="202" w:lineRule="exact"/>
              <w:rPr>
                <w:rFonts w:ascii="Times New Roman" w:cs="Times New Roman" w:eastAsia="Times New Roman" w:hAnsi="Times New Roman"/>
                <w:sz w:val="18"/>
                <w:szCs w:val="18"/>
                <w:color w:val="0000FF"/>
                <w:w w:val="99"/>
              </w:rPr>
            </w:pPr>
            <w:hyperlink w:anchor="page57">
              <w:r>
                <w:rPr>
                  <w:rFonts w:ascii="Times New Roman" w:cs="Times New Roman" w:eastAsia="Times New Roman" w:hAnsi="Times New Roman"/>
                  <w:sz w:val="18"/>
                  <w:szCs w:val="18"/>
                  <w:color w:val="0000FF"/>
                  <w:w w:val="99"/>
                </w:rPr>
                <w:t>Rule 13a-14(a)/15d-14(a)</w:t>
              </w:r>
            </w:hyperlink>
          </w:p>
        </w:tc>
        <w:tc>
          <w:tcPr>
            <w:tcW w:w="8260" w:type="dxa"/>
            <w:vAlign w:val="bottom"/>
            <w:gridSpan w:val="3"/>
            <w:shd w:val="clear" w:color="auto" w:fill="CCEEFF"/>
          </w:tcPr>
          <w:p>
            <w:pPr>
              <w:ind w:left="20"/>
              <w:spacing w:after="0" w:line="202" w:lineRule="exact"/>
              <w:rPr>
                <w:rFonts w:ascii="Times New Roman" w:cs="Times New Roman" w:eastAsia="Times New Roman" w:hAnsi="Times New Roman"/>
                <w:sz w:val="18"/>
                <w:szCs w:val="18"/>
                <w:color w:val="0000FF"/>
              </w:rPr>
            </w:pPr>
            <w:hyperlink w:anchor="page57">
              <w:r>
                <w:rPr>
                  <w:rFonts w:ascii="Times New Roman" w:cs="Times New Roman" w:eastAsia="Times New Roman" w:hAnsi="Times New Roman"/>
                  <w:sz w:val="18"/>
                  <w:szCs w:val="18"/>
                  <w:color w:val="0000FF"/>
                </w:rPr>
                <w:t>Certification by the Chief Financial Officer Pursuant to Section 302 of the Sarbanes-Oxley Act of 2002.</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860" w:type="dxa"/>
            <w:vAlign w:val="bottom"/>
            <w:tcBorders>
              <w:top w:val="single" w:sz="8" w:color="0000FF"/>
            </w:tcBorders>
            <w:shd w:val="clear" w:color="auto" w:fill="CCEEFF"/>
          </w:tcPr>
          <w:p>
            <w:pPr>
              <w:spacing w:after="0"/>
              <w:rPr>
                <w:sz w:val="4"/>
                <w:szCs w:val="4"/>
                <w:color w:val="auto"/>
              </w:rPr>
            </w:pPr>
          </w:p>
        </w:tc>
        <w:tc>
          <w:tcPr>
            <w:tcW w:w="750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r>
    </w:tbl>
    <w:p>
      <w:pPr>
        <w:spacing w:after="0" w:line="9" w:lineRule="exact"/>
        <w:rPr>
          <w:sz w:val="20"/>
          <w:szCs w:val="20"/>
          <w:color w:val="auto"/>
        </w:rPr>
      </w:pPr>
    </w:p>
    <w:p>
      <w:pPr>
        <w:ind w:left="1300" w:right="20" w:hanging="1265"/>
        <w:spacing w:after="0" w:line="281" w:lineRule="auto"/>
        <w:tabs>
          <w:tab w:leader="none" w:pos="1300" w:val="left"/>
        </w:tabs>
        <w:numPr>
          <w:ilvl w:val="0"/>
          <w:numId w:val="16"/>
        </w:numPr>
        <w:rPr>
          <w:rFonts w:ascii="Times New Roman" w:cs="Times New Roman" w:eastAsia="Times New Roman" w:hAnsi="Times New Roman"/>
          <w:sz w:val="18"/>
          <w:szCs w:val="18"/>
          <w:u w:val="single" w:color="auto"/>
          <w:color w:val="0000FF"/>
        </w:rPr>
      </w:pPr>
      <w:hyperlink w:anchor="page58">
        <w:r>
          <w:rPr>
            <w:rFonts w:ascii="Times New Roman" w:cs="Times New Roman" w:eastAsia="Times New Roman" w:hAnsi="Times New Roman"/>
            <w:sz w:val="18"/>
            <w:szCs w:val="18"/>
            <w:u w:val="single" w:color="auto"/>
            <w:color w:val="0000FF"/>
          </w:rPr>
          <w:t>Section 1350 Certification of Periodic Report by the Chief Executive Officer and the Chief Financial Officer Pursuant to Section 906 of the</w:t>
        </w:r>
      </w:hyperlink>
      <w:r>
        <w:rPr>
          <w:rFonts w:ascii="Times New Roman" w:cs="Times New Roman" w:eastAsia="Times New Roman" w:hAnsi="Times New Roman"/>
          <w:sz w:val="18"/>
          <w:szCs w:val="18"/>
          <w:u w:val="single" w:color="auto"/>
          <w:color w:val="0000FF"/>
        </w:rPr>
        <w:t xml:space="preserve"> </w:t>
      </w:r>
      <w:hyperlink w:anchor="page58">
        <w:r>
          <w:rPr>
            <w:rFonts w:ascii="Times New Roman" w:cs="Times New Roman" w:eastAsia="Times New Roman" w:hAnsi="Times New Roman"/>
            <w:sz w:val="18"/>
            <w:szCs w:val="18"/>
            <w:u w:val="single" w:color="auto"/>
            <w:color w:val="0000FF"/>
          </w:rPr>
          <w:t>Sarbanes-Oxley Act of 2002.</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40"/>
        <w:spacing w:after="0"/>
        <w:tabs>
          <w:tab w:leader="none" w:pos="12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95</w:t>
      </w:r>
      <w:r>
        <w:rPr>
          <w:sz w:val="20"/>
          <w:szCs w:val="20"/>
          <w:color w:val="auto"/>
        </w:rPr>
        <w:tab/>
      </w:r>
      <w:hyperlink w:anchor="page59">
        <w:r>
          <w:rPr>
            <w:rFonts w:ascii="Times New Roman" w:cs="Times New Roman" w:eastAsia="Times New Roman" w:hAnsi="Times New Roman"/>
            <w:sz w:val="18"/>
            <w:szCs w:val="18"/>
            <w:u w:val="single" w:color="auto"/>
            <w:color w:val="0000FF"/>
          </w:rPr>
          <w:t>Mine Safety.</w:t>
        </w:r>
      </w:hyperlink>
    </w:p>
    <w:p>
      <w:pPr>
        <w:spacing w:after="0" w:line="59" w:lineRule="exact"/>
        <w:rPr>
          <w:rFonts w:ascii="Times New Roman" w:cs="Times New Roman" w:eastAsia="Times New Roman" w:hAnsi="Times New Roman"/>
          <w:sz w:val="18"/>
          <w:szCs w:val="18"/>
          <w:u w:val="single" w:color="auto"/>
          <w:color w:val="0000FF"/>
        </w:rPr>
      </w:pPr>
    </w:p>
    <w:p>
      <w:pPr>
        <w:jc w:val="both"/>
        <w:ind w:left="1300" w:right="40" w:hanging="1265"/>
        <w:spacing w:after="0" w:line="268" w:lineRule="auto"/>
        <w:tabs>
          <w:tab w:leader="none" w:pos="1300" w:val="left"/>
        </w:tabs>
        <w:numPr>
          <w:ilvl w:val="0"/>
          <w:numId w:val="17"/>
        </w:numPr>
        <w:rPr>
          <w:rFonts w:ascii="Times New Roman" w:cs="Times New Roman" w:eastAsia="Times New Roman" w:hAnsi="Times New Roman"/>
          <w:sz w:val="18"/>
          <w:szCs w:val="18"/>
          <w:b w:val="1"/>
          <w:bCs w:val="1"/>
          <w:u w:val="single" w:color="auto"/>
          <w:color w:val="0000FF"/>
        </w:rPr>
      </w:pPr>
      <w:hyperlink w:anchor="page60">
        <w:r>
          <w:rPr>
            <w:rFonts w:ascii="Times New Roman" w:cs="Times New Roman" w:eastAsia="Times New Roman" w:hAnsi="Times New Roman"/>
            <w:sz w:val="18"/>
            <w:szCs w:val="18"/>
            <w:b w:val="1"/>
            <w:bCs w:val="1"/>
            <w:u w:val="single" w:color="auto"/>
            <w:color w:val="0000FF"/>
          </w:rPr>
          <w:t>ALLETE News Release dated August 1, 2019, announcing 2019 second quarter earnings. (This exhibit has been furnished and shall</w:t>
        </w:r>
      </w:hyperlink>
      <w:r>
        <w:rPr>
          <w:rFonts w:ascii="Times New Roman" w:cs="Times New Roman" w:eastAsia="Times New Roman" w:hAnsi="Times New Roman"/>
          <w:sz w:val="18"/>
          <w:szCs w:val="18"/>
          <w:b w:val="1"/>
          <w:bCs w:val="1"/>
          <w:u w:val="single" w:color="auto"/>
          <w:color w:val="0000FF"/>
        </w:rPr>
        <w:t xml:space="preserve"> </w:t>
      </w:r>
      <w:hyperlink w:anchor="page60">
        <w:r>
          <w:rPr>
            <w:rFonts w:ascii="Times New Roman" w:cs="Times New Roman" w:eastAsia="Times New Roman" w:hAnsi="Times New Roman"/>
            <w:sz w:val="18"/>
            <w:szCs w:val="18"/>
            <w:b w:val="1"/>
            <w:bCs w:val="1"/>
            <w:u w:val="single" w:color="auto"/>
            <w:color w:val="0000FF"/>
          </w:rPr>
          <w:t>not be deemed “filed” for purposes of Section 18 of the Securities Exchange Act of 1934, nor shall it be deemed incorporated by</w:t>
        </w:r>
      </w:hyperlink>
      <w:r>
        <w:rPr>
          <w:rFonts w:ascii="Times New Roman" w:cs="Times New Roman" w:eastAsia="Times New Roman" w:hAnsi="Times New Roman"/>
          <w:sz w:val="18"/>
          <w:szCs w:val="18"/>
          <w:b w:val="1"/>
          <w:bCs w:val="1"/>
          <w:u w:val="single" w:color="auto"/>
          <w:color w:val="0000FF"/>
        </w:rPr>
        <w:t xml:space="preserve"> </w:t>
      </w:r>
      <w:hyperlink w:anchor="page60">
        <w:r>
          <w:rPr>
            <w:rFonts w:ascii="Times New Roman" w:cs="Times New Roman" w:eastAsia="Times New Roman" w:hAnsi="Times New Roman"/>
            <w:sz w:val="18"/>
            <w:szCs w:val="18"/>
            <w:b w:val="1"/>
            <w:bCs w:val="1"/>
            <w:u w:val="single" w:color="auto"/>
            <w:color w:val="0000FF"/>
          </w:rPr>
          <w:t>reference in any filing under the Securities Act of 1933, except as shall be expressly set forth by specific reference in such filing.)</w:t>
        </w:r>
      </w:hyperlink>
    </w:p>
    <w:p>
      <w:pPr>
        <w:spacing w:after="0" w:line="4" w:lineRule="exact"/>
        <w:rPr>
          <w:rFonts w:ascii="Times New Roman" w:cs="Times New Roman" w:eastAsia="Times New Roman" w:hAnsi="Times New Roman"/>
          <w:sz w:val="18"/>
          <w:szCs w:val="18"/>
          <w:b w:val="1"/>
          <w:bCs w:val="1"/>
          <w:u w:val="single" w:color="auto"/>
          <w:color w:val="0000FF"/>
        </w:rPr>
      </w:pPr>
    </w:p>
    <w:tbl>
      <w:tblPr>
        <w:tblLayout w:type="fixed"/>
        <w:tblInd w:w="0" w:type="dxa"/>
        <w:tblCellMar>
          <w:top w:w="0" w:type="dxa"/>
          <w:left w:w="0" w:type="dxa"/>
          <w:bottom w:w="0" w:type="dxa"/>
          <w:right w:w="0" w:type="dxa"/>
        </w:tblCellMar>
      </w:tblPr>
      <w:tr>
        <w:trPr>
          <w:trHeight w:val="225"/>
        </w:trPr>
        <w:tc>
          <w:tcPr>
            <w:tcW w:w="1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101.INS</w:t>
            </w:r>
          </w:p>
        </w:tc>
        <w:tc>
          <w:tcPr>
            <w:tcW w:w="104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 within</w:t>
            </w:r>
          </w:p>
        </w:tc>
      </w:tr>
      <w:tr>
        <w:trPr>
          <w:trHeight w:val="241"/>
        </w:trPr>
        <w:tc>
          <w:tcPr>
            <w:tcW w:w="1000" w:type="dxa"/>
            <w:vAlign w:val="bottom"/>
            <w:tcBorders>
              <w:bottom w:val="single" w:sz="8" w:color="CCEEFF"/>
            </w:tcBorders>
            <w:shd w:val="clear" w:color="auto" w:fill="CCEEFF"/>
          </w:tcPr>
          <w:p>
            <w:pPr>
              <w:spacing w:after="0"/>
              <w:rPr>
                <w:sz w:val="20"/>
                <w:szCs w:val="20"/>
                <w:color w:val="auto"/>
              </w:rPr>
            </w:pPr>
          </w:p>
        </w:tc>
        <w:tc>
          <w:tcPr>
            <w:tcW w:w="104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the Inline XBRL document.</w:t>
            </w:r>
          </w:p>
        </w:tc>
      </w:tr>
      <w:tr>
        <w:trPr>
          <w:trHeight w:val="243"/>
        </w:trPr>
        <w:tc>
          <w:tcPr>
            <w:tcW w:w="1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101.SCH</w:t>
            </w:r>
          </w:p>
        </w:tc>
        <w:tc>
          <w:tcPr>
            <w:tcW w:w="104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XBRL Schema</w:t>
            </w:r>
          </w:p>
        </w:tc>
      </w:tr>
      <w:tr>
        <w:trPr>
          <w:trHeight w:val="27"/>
        </w:trPr>
        <w:tc>
          <w:tcPr>
            <w:tcW w:w="1000" w:type="dxa"/>
            <w:vAlign w:val="bottom"/>
          </w:tcPr>
          <w:p>
            <w:pPr>
              <w:spacing w:after="0"/>
              <w:rPr>
                <w:sz w:val="2"/>
                <w:szCs w:val="2"/>
                <w:color w:val="auto"/>
              </w:rPr>
            </w:pPr>
          </w:p>
        </w:tc>
        <w:tc>
          <w:tcPr>
            <w:tcW w:w="10420" w:type="dxa"/>
            <w:vAlign w:val="bottom"/>
          </w:tcPr>
          <w:p>
            <w:pPr>
              <w:spacing w:after="0"/>
              <w:rPr>
                <w:sz w:val="2"/>
                <w:szCs w:val="2"/>
                <w:color w:val="auto"/>
              </w:rPr>
            </w:pPr>
          </w:p>
        </w:tc>
      </w:tr>
      <w:tr>
        <w:trPr>
          <w:trHeight w:val="250"/>
        </w:trPr>
        <w:tc>
          <w:tcPr>
            <w:tcW w:w="1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101.CAL</w:t>
            </w:r>
          </w:p>
        </w:tc>
        <w:tc>
          <w:tcPr>
            <w:tcW w:w="104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XBRL Calculation</w:t>
            </w:r>
          </w:p>
        </w:tc>
      </w:tr>
      <w:tr>
        <w:trPr>
          <w:trHeight w:val="243"/>
        </w:trPr>
        <w:tc>
          <w:tcPr>
            <w:tcW w:w="1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101.DEF</w:t>
            </w:r>
          </w:p>
        </w:tc>
        <w:tc>
          <w:tcPr>
            <w:tcW w:w="104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XBRL Definition</w:t>
            </w:r>
          </w:p>
        </w:tc>
      </w:tr>
      <w:tr>
        <w:trPr>
          <w:trHeight w:val="27"/>
        </w:trPr>
        <w:tc>
          <w:tcPr>
            <w:tcW w:w="1000" w:type="dxa"/>
            <w:vAlign w:val="bottom"/>
          </w:tcPr>
          <w:p>
            <w:pPr>
              <w:spacing w:after="0"/>
              <w:rPr>
                <w:sz w:val="2"/>
                <w:szCs w:val="2"/>
                <w:color w:val="auto"/>
              </w:rPr>
            </w:pPr>
          </w:p>
        </w:tc>
        <w:tc>
          <w:tcPr>
            <w:tcW w:w="10420" w:type="dxa"/>
            <w:vAlign w:val="bottom"/>
          </w:tcPr>
          <w:p>
            <w:pPr>
              <w:spacing w:after="0"/>
              <w:rPr>
                <w:sz w:val="2"/>
                <w:szCs w:val="2"/>
                <w:color w:val="auto"/>
              </w:rPr>
            </w:pPr>
          </w:p>
        </w:tc>
      </w:tr>
      <w:tr>
        <w:trPr>
          <w:trHeight w:val="250"/>
        </w:trPr>
        <w:tc>
          <w:tcPr>
            <w:tcW w:w="1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101.LAB</w:t>
            </w:r>
          </w:p>
        </w:tc>
        <w:tc>
          <w:tcPr>
            <w:tcW w:w="104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XBRL Label</w:t>
            </w:r>
          </w:p>
        </w:tc>
      </w:tr>
      <w:tr>
        <w:trPr>
          <w:trHeight w:val="243"/>
        </w:trPr>
        <w:tc>
          <w:tcPr>
            <w:tcW w:w="1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101.PRE</w:t>
            </w:r>
          </w:p>
        </w:tc>
        <w:tc>
          <w:tcPr>
            <w:tcW w:w="104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XBRL Presentation</w:t>
            </w:r>
          </w:p>
        </w:tc>
      </w:tr>
      <w:tr>
        <w:trPr>
          <w:trHeight w:val="27"/>
        </w:trPr>
        <w:tc>
          <w:tcPr>
            <w:tcW w:w="1000" w:type="dxa"/>
            <w:vAlign w:val="bottom"/>
          </w:tcPr>
          <w:p>
            <w:pPr>
              <w:spacing w:after="0"/>
              <w:rPr>
                <w:sz w:val="2"/>
                <w:szCs w:val="2"/>
                <w:color w:val="auto"/>
              </w:rPr>
            </w:pPr>
          </w:p>
        </w:tc>
        <w:tc>
          <w:tcPr>
            <w:tcW w:w="10420" w:type="dxa"/>
            <w:vAlign w:val="bottom"/>
          </w:tcPr>
          <w:p>
            <w:pPr>
              <w:spacing w:after="0"/>
              <w:rPr>
                <w:sz w:val="2"/>
                <w:szCs w:val="2"/>
                <w:color w:val="auto"/>
              </w:rPr>
            </w:pPr>
          </w:p>
        </w:tc>
      </w:tr>
      <w:tr>
        <w:trPr>
          <w:trHeight w:val="243"/>
        </w:trPr>
        <w:tc>
          <w:tcPr>
            <w:tcW w:w="1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104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r>
        <w:trPr>
          <w:trHeight w:val="27"/>
        </w:trPr>
        <w:tc>
          <w:tcPr>
            <w:tcW w:w="1000" w:type="dxa"/>
            <w:vAlign w:val="bottom"/>
            <w:shd w:val="clear" w:color="auto" w:fill="CCEEFF"/>
          </w:tcPr>
          <w:p>
            <w:pPr>
              <w:spacing w:after="0"/>
              <w:rPr>
                <w:sz w:val="2"/>
                <w:szCs w:val="2"/>
                <w:color w:val="auto"/>
              </w:rPr>
            </w:pPr>
          </w:p>
        </w:tc>
        <w:tc>
          <w:tcPr>
            <w:tcW w:w="10420" w:type="dxa"/>
            <w:vAlign w:val="bottom"/>
            <w:shd w:val="clear" w:color="auto" w:fill="CCEEFF"/>
          </w:tcPr>
          <w:p>
            <w:pPr>
              <w:spacing w:after="0"/>
              <w:rPr>
                <w:sz w:val="2"/>
                <w:szCs w:val="2"/>
                <w:color w:val="auto"/>
              </w:rPr>
            </w:pPr>
          </w:p>
        </w:tc>
      </w:tr>
    </w:tbl>
    <w:p>
      <w:pPr>
        <w:spacing w:after="0" w:line="200" w:lineRule="exact"/>
        <w:rPr>
          <w:rFonts w:ascii="Times New Roman" w:cs="Times New Roman" w:eastAsia="Times New Roman" w:hAnsi="Times New Roman"/>
          <w:sz w:val="18"/>
          <w:szCs w:val="18"/>
          <w:b w:val="1"/>
          <w:bCs w:val="1"/>
          <w:u w:val="single" w:color="auto"/>
          <w:color w:val="0000FF"/>
        </w:rPr>
      </w:pPr>
    </w:p>
    <w:p>
      <w:pPr>
        <w:spacing w:after="0" w:line="236" w:lineRule="exact"/>
        <w:rPr>
          <w:rFonts w:ascii="Times New Roman" w:cs="Times New Roman" w:eastAsia="Times New Roman" w:hAnsi="Times New Roman"/>
          <w:sz w:val="18"/>
          <w:szCs w:val="18"/>
          <w:b w:val="1"/>
          <w:bCs w:val="1"/>
          <w:u w:val="single" w:color="auto"/>
          <w:color w:val="0000FF"/>
        </w:rPr>
      </w:pPr>
    </w:p>
    <w:p>
      <w:pPr>
        <w:jc w:val="center"/>
        <w:spacing w:after="0"/>
        <w:rPr>
          <w:sz w:val="20"/>
          <w:szCs w:val="20"/>
          <w:color w:val="auto"/>
        </w:rPr>
      </w:pPr>
      <w:r>
        <w:rPr>
          <w:rFonts w:ascii="Times New Roman" w:cs="Times New Roman" w:eastAsia="Times New Roman" w:hAnsi="Times New Roman"/>
          <w:sz w:val="14"/>
          <w:szCs w:val="14"/>
          <w:color w:val="auto"/>
        </w:rPr>
        <w:t>ALLETE, Inc. Second Quarter 2019 Form 10-Q</w:t>
      </w:r>
    </w:p>
    <w:p>
      <w:pPr>
        <w:spacing w:after="0" w:line="17" w:lineRule="exact"/>
        <w:rPr>
          <w:rFonts w:ascii="Times New Roman" w:cs="Times New Roman" w:eastAsia="Times New Roman" w:hAnsi="Times New Roman"/>
          <w:sz w:val="18"/>
          <w:szCs w:val="18"/>
          <w:b w:val="1"/>
          <w:bCs w:val="1"/>
          <w:u w:val="single" w:color="auto"/>
          <w:color w:val="0000FF"/>
        </w:rPr>
      </w:pPr>
    </w:p>
    <w:p>
      <w:pPr>
        <w:jc w:val="right"/>
        <w:spacing w:after="0"/>
        <w:rPr>
          <w:sz w:val="20"/>
          <w:szCs w:val="20"/>
          <w:color w:val="auto"/>
        </w:rPr>
      </w:pPr>
      <w:r>
        <w:rPr>
          <w:rFonts w:ascii="Times New Roman" w:cs="Times New Roman" w:eastAsia="Times New Roman" w:hAnsi="Times New Roman"/>
          <w:sz w:val="14"/>
          <w:szCs w:val="14"/>
          <w:color w:val="auto"/>
        </w:rPr>
        <w:t>49</w:t>
      </w:r>
    </w:p>
    <w:p>
      <w:pPr>
        <w:sectPr>
          <w:pgSz w:w="11900" w:h="16838" w:orient="portrait"/>
          <w:cols w:equalWidth="0" w:num="1">
            <w:col w:w="11420"/>
          </w:cols>
          <w:pgMar w:left="240" w:top="1036" w:right="2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36"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b w:val="1"/>
          <w:bCs w:val="1"/>
          <w:color w:val="auto"/>
        </w:rPr>
        <w:t>ALLETE,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August 1, 2019</w:t>
            </w:r>
          </w:p>
        </w:tc>
        <w:tc>
          <w:tcPr>
            <w:tcW w:w="5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Robert J. Adams</w:t>
            </w:r>
          </w:p>
        </w:tc>
      </w:tr>
      <w:tr>
        <w:trPr>
          <w:trHeight w:val="27"/>
        </w:trPr>
        <w:tc>
          <w:tcPr>
            <w:tcW w:w="5580" w:type="dxa"/>
            <w:vAlign w:val="bottom"/>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r>
      <w:tr>
        <w:trPr>
          <w:trHeight w:val="237"/>
        </w:trPr>
        <w:tc>
          <w:tcPr>
            <w:tcW w:w="5580" w:type="dxa"/>
            <w:vAlign w:val="bottom"/>
          </w:tcPr>
          <w:p>
            <w:pPr>
              <w:spacing w:after="0"/>
              <w:rPr>
                <w:sz w:val="20"/>
                <w:szCs w:val="20"/>
                <w:color w:val="auto"/>
              </w:rPr>
            </w:pPr>
          </w:p>
        </w:tc>
        <w:tc>
          <w:tcPr>
            <w:tcW w:w="5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Robert J. Adams</w:t>
            </w:r>
          </w:p>
        </w:tc>
      </w:tr>
      <w:tr>
        <w:trPr>
          <w:trHeight w:val="270"/>
        </w:trPr>
        <w:tc>
          <w:tcPr>
            <w:tcW w:w="5580" w:type="dxa"/>
            <w:vAlign w:val="bottom"/>
          </w:tcPr>
          <w:p>
            <w:pPr>
              <w:spacing w:after="0"/>
              <w:rPr>
                <w:sz w:val="23"/>
                <w:szCs w:val="23"/>
                <w:color w:val="auto"/>
              </w:rPr>
            </w:pPr>
          </w:p>
        </w:tc>
        <w:tc>
          <w:tcPr>
            <w:tcW w:w="5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Senior Vice President and Chief Financial Officer</w:t>
            </w:r>
          </w:p>
        </w:tc>
      </w:tr>
      <w:tr>
        <w:trPr>
          <w:trHeight w:val="270"/>
        </w:trPr>
        <w:tc>
          <w:tcPr>
            <w:tcW w:w="5580" w:type="dxa"/>
            <w:vAlign w:val="bottom"/>
          </w:tcPr>
          <w:p>
            <w:pPr>
              <w:spacing w:after="0"/>
              <w:rPr>
                <w:sz w:val="23"/>
                <w:szCs w:val="23"/>
                <w:color w:val="auto"/>
              </w:rPr>
            </w:pPr>
          </w:p>
        </w:tc>
        <w:tc>
          <w:tcPr>
            <w:tcW w:w="5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August 1, 2019</w:t>
            </w:r>
          </w:p>
        </w:tc>
        <w:tc>
          <w:tcPr>
            <w:tcW w:w="2880" w:type="dxa"/>
            <w:vAlign w:val="bottom"/>
          </w:tcPr>
          <w:p>
            <w:pPr>
              <w:spacing w:after="0"/>
              <w:rPr>
                <w:sz w:val="20"/>
                <w:szCs w:val="20"/>
                <w:color w:val="auto"/>
              </w:rPr>
            </w:pPr>
          </w:p>
        </w:tc>
        <w:tc>
          <w:tcPr>
            <w:tcW w:w="5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Steven W. Morris</w:t>
            </w:r>
          </w:p>
        </w:tc>
      </w:tr>
      <w:tr>
        <w:trPr>
          <w:trHeight w:val="27"/>
        </w:trPr>
        <w:tc>
          <w:tcPr>
            <w:tcW w:w="27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r>
      <w:tr>
        <w:trPr>
          <w:trHeight w:val="237"/>
        </w:trPr>
        <w:tc>
          <w:tcPr>
            <w:tcW w:w="27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Steven W. Morris</w:t>
            </w:r>
          </w:p>
        </w:tc>
      </w:tr>
      <w:tr>
        <w:trPr>
          <w:trHeight w:val="270"/>
        </w:trPr>
        <w:tc>
          <w:tcPr>
            <w:tcW w:w="270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5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Vice President, Controller and Chief Accounting Officer</w:t>
            </w:r>
          </w:p>
        </w:tc>
      </w:tr>
      <w:tr>
        <w:trPr>
          <w:trHeight w:val="270"/>
        </w:trPr>
        <w:tc>
          <w:tcPr>
            <w:tcW w:w="270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5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588"/>
        </w:trPr>
        <w:tc>
          <w:tcPr>
            <w:tcW w:w="2700" w:type="dxa"/>
            <w:vAlign w:val="bottom"/>
          </w:tcPr>
          <w:p>
            <w:pPr>
              <w:spacing w:after="0"/>
              <w:rPr>
                <w:sz w:val="24"/>
                <w:szCs w:val="24"/>
                <w:color w:val="auto"/>
              </w:rPr>
            </w:pPr>
          </w:p>
        </w:tc>
        <w:tc>
          <w:tcPr>
            <w:tcW w:w="868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ALLETE, Inc. Second Quarter 2019 Form 10-Q</w:t>
            </w:r>
          </w:p>
        </w:tc>
      </w:tr>
    </w:tbl>
    <w:p>
      <w:pPr>
        <w:jc w:val="right"/>
        <w:spacing w:after="0"/>
        <w:rPr>
          <w:sz w:val="20"/>
          <w:szCs w:val="20"/>
          <w:color w:val="auto"/>
        </w:rPr>
      </w:pPr>
      <w:r>
        <w:rPr>
          <w:rFonts w:ascii="Times New Roman" w:cs="Times New Roman" w:eastAsia="Times New Roman" w:hAnsi="Times New Roman"/>
          <w:sz w:val="14"/>
          <w:szCs w:val="14"/>
          <w:color w:val="auto"/>
        </w:rPr>
        <w:t>50</w:t>
      </w:r>
    </w:p>
    <w:p>
      <w:pPr>
        <w:sectPr>
          <w:pgSz w:w="11900" w:h="16838" w:orient="portrait"/>
          <w:cols w:equalWidth="0" w:num="1">
            <w:col w:w="11420"/>
          </w:cols>
          <w:pgMar w:left="240" w:top="1036" w:right="2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FIRST AMENDMENT to Credit Agreement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FIRST AMENDMENT TO CREDIT AGREEMENT dated as of May 15, 2019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is among ALLETE, INC., as Borrower, the Lenders party hereto, and JPMORGAN CHASE BANK, N.A., as Administrative Agent. Capitalized terms used but not defined herein have the respective meanings set forth in the Credit Agreement (as defined below).</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WHEREAS, the Borrower, the Administrative Agent, and the Lenders party thereto have entered into the Amended and Restated Credit Agreement dated as of January 10, 2019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and</w:t>
      </w:r>
    </w:p>
    <w:p>
      <w:pPr>
        <w:spacing w:after="0" w:line="162"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WHEREAS, the Borrower has requested to increase the sublimit related to Letters of Credit and the Administrative Agent and the undersigned Lenders are willing to so amend the Credit Agreement on the terms set forth below;</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herein contained and other good and valuable consideration, the receipt and sufficiency of which are hereby acknowledged, the parties hereto agree as follows: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Subject to the satisfaction of the conditions precedent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Section 2.9 of the Credit Agreement is amended to replace the amount “$60,000,000” with the amount “$100,000,000” where it appears therein.</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The Borrower represents and warrants to the Lenders that, immediately before and upon the effectiveness hereof:</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The representations and warranties of the Borrower set forth in the Loan Documents are and will be true and correct with the same effect as though made on and as of the date hereof except to the extent such representations and warranties specifically relate to an earlier date, in which case such representations and warranties shall have been true and correct on and as of such earlier date.</w:t>
      </w:r>
    </w:p>
    <w:p>
      <w:pPr>
        <w:spacing w:after="0" w:line="176"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u w:val="single" w:color="auto"/>
          <w:color w:val="auto"/>
        </w:rPr>
        <w:t>Default</w:t>
      </w:r>
      <w:r>
        <w:rPr>
          <w:rFonts w:ascii="Times New Roman" w:cs="Times New Roman" w:eastAsia="Times New Roman" w:hAnsi="Times New Roman"/>
          <w:sz w:val="17"/>
          <w:szCs w:val="17"/>
          <w:color w:val="auto"/>
        </w:rPr>
        <w:t>. No Default has occurred and is continuing.</w:t>
      </w:r>
    </w:p>
    <w:p>
      <w:pPr>
        <w:spacing w:after="0" w:line="225" w:lineRule="exact"/>
        <w:rPr>
          <w:sz w:val="20"/>
          <w:szCs w:val="20"/>
          <w:color w:val="auto"/>
        </w:rPr>
      </w:pPr>
    </w:p>
    <w:p>
      <w:pPr>
        <w:ind w:right="300" w:firstLine="648"/>
        <w:spacing w:after="0" w:line="258"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Authorization; Validity</w:t>
      </w:r>
      <w:r>
        <w:rPr>
          <w:rFonts w:ascii="Times New Roman" w:cs="Times New Roman" w:eastAsia="Times New Roman" w:hAnsi="Times New Roman"/>
          <w:sz w:val="18"/>
          <w:szCs w:val="18"/>
          <w:color w:val="auto"/>
        </w:rPr>
        <w:t>. The execution, delivery and performance by the Borrower of this Amendment is within the corporate powers of the Borrower and has been duly authorized by all necessary corporate action. This Amendment has been duly executed and delivered by the Borrower and constitutes a legal, valid and binding obligation of the Borrower, enforceable in accordance with its terms, subject to applicable bankruptcy, insolvency, reorganization, moratorium or other laws affecting creditors’ rights generally, subject to applicable bankruptcy, insolvency, reorganization, moratorium or other similar laws affecting creditors’ rights generally and general principles of equity.</w:t>
      </w:r>
    </w:p>
    <w:p>
      <w:pPr>
        <w:spacing w:after="0" w:line="184"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Government Approval, Regulation, etc</w:t>
      </w:r>
      <w:r>
        <w:rPr>
          <w:rFonts w:ascii="Times New Roman" w:cs="Times New Roman" w:eastAsia="Times New Roman" w:hAnsi="Times New Roman"/>
          <w:sz w:val="18"/>
          <w:szCs w:val="18"/>
          <w:color w:val="auto"/>
        </w:rPr>
        <w:t>. The execution, delivery and performance by the Borrower of this Amendment does not require any consent or approval of, registration or filing with, or any other action by, any Governmental Authority, except for (i) information filings to be made in the ordinary course of business, which filings are not a condition to the Borrower’s performance under the Loan Documents and (ii) such as have been obtained or made and are in full force and effect and not subject to any appeals period.</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EFFECTIVENESS</w:t>
      </w:r>
      <w:r>
        <w:rPr>
          <w:rFonts w:ascii="Times New Roman" w:cs="Times New Roman" w:eastAsia="Times New Roman" w:hAnsi="Times New Roman"/>
          <w:sz w:val="18"/>
          <w:szCs w:val="18"/>
          <w:color w:val="auto"/>
        </w:rPr>
        <w:t>. This Amendment shall become effective as of the date first written above when the Administrative Agent has received, or shall be satisfied that it will substantially concurrently receive, (a) counterparts hereof signed by the Borrower and the Required Lenders and (b) all reasonable and documented fees and expenses (including attorney’s fees) of the Administrative Agent in connection herewith.</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MISCELLANEOUS.</w:t>
      </w:r>
    </w:p>
    <w:p>
      <w:pPr>
        <w:spacing w:after="0" w:line="225"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Ratifications</w:t>
      </w:r>
      <w:r>
        <w:rPr>
          <w:rFonts w:ascii="Times New Roman" w:cs="Times New Roman" w:eastAsia="Times New Roman" w:hAnsi="Times New Roman"/>
          <w:sz w:val="18"/>
          <w:szCs w:val="18"/>
          <w:color w:val="auto"/>
        </w:rPr>
        <w:t>. The terms and provisions set forth in this Amendment shall modify and supersede all inconsistent terms and provisions set forth in the Credit Agreement and except as expressly modified and superseded by this Amendment, the terms and provisions of the Credit Agreement and the other Loan Documents are ratified and confirmed and shall continue in full force and effect.</w:t>
      </w:r>
    </w:p>
    <w:p>
      <w:pPr>
        <w:sectPr>
          <w:pgSz w:w="11900" w:h="16838" w:orient="portrait"/>
          <w:cols w:equalWidth="0" w:num="1">
            <w:col w:w="11420"/>
          </w:cols>
          <w:pgMar w:left="240" w:top="117" w:right="239" w:bottom="1440" w:gutter="0" w:footer="0" w:header="0"/>
        </w:sectPr>
      </w:pPr>
    </w:p>
    <w:bookmarkStart w:id="52" w:name="page53"/>
    <w:bookmarkEnd w:id="52"/>
    <w:p>
      <w:pPr>
        <w:ind w:left="10720"/>
        <w:spacing w:after="0"/>
        <w:rPr>
          <w:sz w:val="20"/>
          <w:szCs w:val="20"/>
          <w:color w:val="auto"/>
        </w:rPr>
      </w:pPr>
      <w:r>
        <w:rPr>
          <w:rFonts w:ascii="Times New Roman" w:cs="Times New Roman" w:eastAsia="Times New Roman" w:hAnsi="Times New Roman"/>
          <w:sz w:val="17"/>
          <w:szCs w:val="17"/>
          <w:b w:val="1"/>
          <w:bCs w:val="1"/>
          <w:color w:val="auto"/>
        </w:rPr>
        <w:t>Exhibit 4</w:t>
      </w:r>
    </w:p>
    <w:p>
      <w:pPr>
        <w:spacing w:after="0" w:line="26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Amendment may be executed in any number of counterparts, each of which shall be deemed an original as against any party whose signature appears thereon, and all of which shall together constitute one and the same instrument. Delivery of an executed counterpart of a signature page of this Amendment by electronic transmission (including .PDF) shall be effective as delivery of a manually executed counterpart of this Amendment.</w:t>
      </w:r>
    </w:p>
    <w:p>
      <w:pPr>
        <w:spacing w:after="0" w:line="176"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This Amendment shall be governed by, and construed in accordance with, the laws of the State of New York.</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Incorporation of Credit Agreement Provisions</w:t>
      </w:r>
      <w:r>
        <w:rPr>
          <w:rFonts w:ascii="Times New Roman" w:cs="Times New Roman" w:eastAsia="Times New Roman" w:hAnsi="Times New Roman"/>
          <w:sz w:val="18"/>
          <w:szCs w:val="18"/>
          <w:color w:val="auto"/>
        </w:rPr>
        <w:t xml:space="preserve">. The provisions of </w:t>
      </w:r>
      <w:r>
        <w:rPr>
          <w:rFonts w:ascii="Times New Roman" w:cs="Times New Roman" w:eastAsia="Times New Roman" w:hAnsi="Times New Roman"/>
          <w:sz w:val="18"/>
          <w:szCs w:val="18"/>
          <w:u w:val="single" w:color="auto"/>
          <w:color w:val="auto"/>
        </w:rPr>
        <w:t>Section 10.7</w:t>
      </w:r>
      <w:r>
        <w:rPr>
          <w:rFonts w:ascii="Times New Roman" w:cs="Times New Roman" w:eastAsia="Times New Roman" w:hAnsi="Times New Roman"/>
          <w:sz w:val="18"/>
          <w:szCs w:val="18"/>
          <w:color w:val="auto"/>
        </w:rPr>
        <w:t xml:space="preserve"> (Severability) and </w:t>
      </w:r>
      <w:r>
        <w:rPr>
          <w:rFonts w:ascii="Times New Roman" w:cs="Times New Roman" w:eastAsia="Times New Roman" w:hAnsi="Times New Roman"/>
          <w:sz w:val="18"/>
          <w:szCs w:val="18"/>
          <w:u w:val="single" w:color="auto"/>
          <w:color w:val="auto"/>
        </w:rPr>
        <w:t>Section 10.10</w:t>
      </w:r>
      <w:r>
        <w:rPr>
          <w:rFonts w:ascii="Times New Roman" w:cs="Times New Roman" w:eastAsia="Times New Roman" w:hAnsi="Times New Roman"/>
          <w:sz w:val="18"/>
          <w:szCs w:val="18"/>
          <w:color w:val="auto"/>
        </w:rPr>
        <w:t xml:space="preserve"> (Waiver of Jury Trial) of the Credit Agreement are incorporated by reference as if fully set forth herein, </w:t>
      </w:r>
      <w:r>
        <w:rPr>
          <w:rFonts w:ascii="Times New Roman" w:cs="Times New Roman" w:eastAsia="Times New Roman" w:hAnsi="Times New Roman"/>
          <w:sz w:val="18"/>
          <w:szCs w:val="18"/>
          <w:u w:val="single" w:color="auto"/>
          <w:color w:val="auto"/>
        </w:rPr>
        <w:t>mutatis mutandis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References</w:t>
      </w:r>
      <w:r>
        <w:rPr>
          <w:rFonts w:ascii="Times New Roman" w:cs="Times New Roman" w:eastAsia="Times New Roman" w:hAnsi="Times New Roman"/>
          <w:sz w:val="18"/>
          <w:szCs w:val="18"/>
          <w:color w:val="auto"/>
        </w:rPr>
        <w:t>. All references in any of the Loan Documents to the “Agreement” or the “Credit Agreement” shall mean the Agreement or Credit Agreement, as applicable, as amended by this Amendment.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captions, and arrangements used in this Amendment are for convenience only and shall not affect the interpretation of this Amendment.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Amendment is binding upon and shall inure to the benefit of the Administrative Agent, the Lenders, the Borrower and their respective successors and assigns as provided in the Credit Agreement.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Loan Document</w:t>
      </w:r>
      <w:r>
        <w:rPr>
          <w:rFonts w:ascii="Times New Roman" w:cs="Times New Roman" w:eastAsia="Times New Roman" w:hAnsi="Times New Roman"/>
          <w:sz w:val="18"/>
          <w:szCs w:val="18"/>
          <w:color w:val="auto"/>
        </w:rPr>
        <w:t>. The execution, delivery and effectiveness of this Amendment shall not, except as expressly provided herein, operate as a waiver of any right, power or remedy of any Lender or the Administrative Agent under any of the Loan Documents, nor constitute a waiver of any provision of any of the Loan Documents. This Amendment shall for all purposes constitute a Loan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[Signature Pages Follow]</w:t>
      </w:r>
    </w:p>
    <w:p>
      <w:pPr>
        <w:sectPr>
          <w:pgSz w:w="11900" w:h="16838" w:orient="portrait"/>
          <w:cols w:equalWidth="0" w:num="1">
            <w:col w:w="11420"/>
          </w:cols>
          <w:pgMar w:left="240" w:top="117" w:right="2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4</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this Amendment has been duly executed and delivered as of the day and year first above written.</w:t>
      </w:r>
    </w:p>
    <w:p>
      <w:pPr>
        <w:spacing w:after="0" w:line="200" w:lineRule="exact"/>
        <w:rPr>
          <w:sz w:val="20"/>
          <w:szCs w:val="20"/>
          <w:color w:val="auto"/>
        </w:rPr>
      </w:pPr>
    </w:p>
    <w:p>
      <w:pPr>
        <w:spacing w:after="0" w:line="34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ALLETE, INC., as Borrower</w:t>
      </w:r>
    </w:p>
    <w:p>
      <w:pPr>
        <w:spacing w:after="0" w:line="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3072765</wp:posOffset>
            </wp:positionH>
            <wp:positionV relativeFrom="paragraph">
              <wp:posOffset>-19050</wp:posOffset>
            </wp:positionV>
            <wp:extent cx="4857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85775" cy="8890"/>
                    </a:xfrm>
                    <a:prstGeom prst="rect">
                      <a:avLst/>
                    </a:prstGeom>
                    <a:noFill/>
                  </pic:spPr>
                </pic:pic>
              </a:graphicData>
            </a:graphic>
          </wp:anchor>
        </w:drawing>
      </w:r>
    </w:p>
    <w:p>
      <w:pPr>
        <w:ind w:left="45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-19050</wp:posOffset>
            </wp:positionV>
            <wp:extent cx="4857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85775" cy="8890"/>
                    </a:xfrm>
                    <a:prstGeom prst="rect">
                      <a:avLst/>
                    </a:prstGeom>
                    <a:noFill/>
                  </pic:spPr>
                </pic:pic>
              </a:graphicData>
            </a:graphic>
          </wp:anchor>
        </w:drawing>
      </w:r>
    </w:p>
    <w:p>
      <w:pPr>
        <w:ind w:left="45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-19050</wp:posOffset>
            </wp:positionV>
            <wp:extent cx="4857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85775" cy="8890"/>
                    </a:xfrm>
                    <a:prstGeom prst="rect">
                      <a:avLst/>
                    </a:prstGeom>
                    <a:noFill/>
                  </pic:spPr>
                </pic:pic>
              </a:graphicData>
            </a:graphic>
          </wp:anchor>
        </w:drawing>
      </w:r>
    </w:p>
    <w:p>
      <w:pPr>
        <w:sectPr>
          <w:pgSz w:w="11900" w:h="16838" w:orient="portrait"/>
          <w:cols w:equalWidth="0" w:num="1">
            <w:col w:w="10760"/>
          </w:cols>
          <w:pgMar w:left="900" w:top="117" w:right="2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4</w:t>
      </w:r>
    </w:p>
    <w:p>
      <w:pPr>
        <w:spacing w:after="0" w:line="200" w:lineRule="exact"/>
        <w:rPr>
          <w:sz w:val="20"/>
          <w:szCs w:val="20"/>
          <w:color w:val="auto"/>
        </w:rPr>
      </w:pPr>
    </w:p>
    <w:p>
      <w:pPr>
        <w:spacing w:after="0" w:line="272" w:lineRule="exact"/>
        <w:rPr>
          <w:sz w:val="20"/>
          <w:szCs w:val="20"/>
          <w:color w:val="auto"/>
        </w:rPr>
      </w:pPr>
    </w:p>
    <w:p>
      <w:pPr>
        <w:ind w:left="4000" w:right="720"/>
        <w:spacing w:after="0" w:line="282" w:lineRule="auto"/>
        <w:rPr>
          <w:sz w:val="20"/>
          <w:szCs w:val="20"/>
          <w:color w:val="auto"/>
        </w:rPr>
      </w:pPr>
      <w:r>
        <w:rPr>
          <w:rFonts w:ascii="Times New Roman" w:cs="Times New Roman" w:eastAsia="Times New Roman" w:hAnsi="Times New Roman"/>
          <w:sz w:val="18"/>
          <w:szCs w:val="18"/>
          <w:color w:val="auto"/>
        </w:rPr>
        <w:t>JPMORGAN CHASE BANK, N.A., as a Lender, as an Issuing Bank, and as Administrative Agent</w:t>
      </w:r>
    </w:p>
    <w:p>
      <w:pPr>
        <w:spacing w:after="0" w:line="378"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2729865</wp:posOffset>
            </wp:positionH>
            <wp:positionV relativeFrom="paragraph">
              <wp:posOffset>-7620</wp:posOffset>
            </wp:positionV>
            <wp:extent cx="4857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85775" cy="8890"/>
                    </a:xfrm>
                    <a:prstGeom prst="rect">
                      <a:avLst/>
                    </a:prstGeom>
                    <a:noFill/>
                  </pic:spPr>
                </pic:pic>
              </a:graphicData>
            </a:graphic>
          </wp:anchor>
        </w:drawing>
      </w:r>
    </w:p>
    <w:p>
      <w:pPr>
        <w:spacing w:after="0" w:line="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-19050</wp:posOffset>
            </wp:positionV>
            <wp:extent cx="4857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85775" cy="8890"/>
                    </a:xfrm>
                    <a:prstGeom prst="rect">
                      <a:avLst/>
                    </a:prstGeom>
                    <a:noFill/>
                  </pic:spPr>
                </pic:pic>
              </a:graphicData>
            </a:graphic>
          </wp:anchor>
        </w:drawing>
      </w:r>
    </w:p>
    <w:p>
      <w:pPr>
        <w:ind w:left="40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-19050</wp:posOffset>
            </wp:positionV>
            <wp:extent cx="485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8577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ROYAL BANK OF CANADA, as a Lender</w:t>
      </w:r>
    </w:p>
    <w:p>
      <w:pPr>
        <w:spacing w:after="0" w:line="200" w:lineRule="exact"/>
        <w:rPr>
          <w:sz w:val="20"/>
          <w:szCs w:val="20"/>
          <w:color w:val="auto"/>
        </w:rPr>
      </w:pPr>
    </w:p>
    <w:p>
      <w:pPr>
        <w:spacing w:after="0" w:line="24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2729865</wp:posOffset>
            </wp:positionH>
            <wp:positionV relativeFrom="paragraph">
              <wp:posOffset>-7620</wp:posOffset>
            </wp:positionV>
            <wp:extent cx="4857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85775" cy="8890"/>
                    </a:xfrm>
                    <a:prstGeom prst="rect">
                      <a:avLst/>
                    </a:prstGeom>
                    <a:noFill/>
                  </pic:spPr>
                </pic:pic>
              </a:graphicData>
            </a:graphic>
          </wp:anchor>
        </w:drawing>
      </w:r>
    </w:p>
    <w:p>
      <w:pPr>
        <w:spacing w:after="0" w:line="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-19050</wp:posOffset>
            </wp:positionV>
            <wp:extent cx="4857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85775" cy="8890"/>
                    </a:xfrm>
                    <a:prstGeom prst="rect">
                      <a:avLst/>
                    </a:prstGeom>
                    <a:noFill/>
                  </pic:spPr>
                </pic:pic>
              </a:graphicData>
            </a:graphic>
          </wp:anchor>
        </w:drawing>
      </w:r>
    </w:p>
    <w:p>
      <w:pPr>
        <w:ind w:left="40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-19050</wp:posOffset>
            </wp:positionV>
            <wp:extent cx="4857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8577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U.S. BANK NATIONAL ASSOCIATION, as a Lender</w:t>
      </w:r>
    </w:p>
    <w:p>
      <w:pPr>
        <w:spacing w:after="0" w:line="200" w:lineRule="exact"/>
        <w:rPr>
          <w:sz w:val="20"/>
          <w:szCs w:val="20"/>
          <w:color w:val="auto"/>
        </w:rPr>
      </w:pPr>
    </w:p>
    <w:p>
      <w:pPr>
        <w:spacing w:after="0" w:line="24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2729865</wp:posOffset>
            </wp:positionH>
            <wp:positionV relativeFrom="paragraph">
              <wp:posOffset>-7620</wp:posOffset>
            </wp:positionV>
            <wp:extent cx="4857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85775" cy="8890"/>
                    </a:xfrm>
                    <a:prstGeom prst="rect">
                      <a:avLst/>
                    </a:prstGeom>
                    <a:noFill/>
                  </pic:spPr>
                </pic:pic>
              </a:graphicData>
            </a:graphic>
          </wp:anchor>
        </w:drawing>
      </w:r>
    </w:p>
    <w:p>
      <w:pPr>
        <w:spacing w:after="0" w:line="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-19050</wp:posOffset>
            </wp:positionV>
            <wp:extent cx="4857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85775" cy="8890"/>
                    </a:xfrm>
                    <a:prstGeom prst="rect">
                      <a:avLst/>
                    </a:prstGeom>
                    <a:noFill/>
                  </pic:spPr>
                </pic:pic>
              </a:graphicData>
            </a:graphic>
          </wp:anchor>
        </w:drawing>
      </w:r>
    </w:p>
    <w:p>
      <w:pPr>
        <w:ind w:left="40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-19050</wp:posOffset>
            </wp:positionV>
            <wp:extent cx="4857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8577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WELLS FARGO BANK, NATIONAL ASSOCIATION, as a Lender</w:t>
      </w:r>
    </w:p>
    <w:p>
      <w:pPr>
        <w:spacing w:after="0" w:line="200" w:lineRule="exact"/>
        <w:rPr>
          <w:sz w:val="20"/>
          <w:szCs w:val="20"/>
          <w:color w:val="auto"/>
        </w:rPr>
      </w:pPr>
    </w:p>
    <w:p>
      <w:pPr>
        <w:spacing w:after="0" w:line="24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2729865</wp:posOffset>
            </wp:positionH>
            <wp:positionV relativeFrom="paragraph">
              <wp:posOffset>-7620</wp:posOffset>
            </wp:positionV>
            <wp:extent cx="4857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85775" cy="8890"/>
                    </a:xfrm>
                    <a:prstGeom prst="rect">
                      <a:avLst/>
                    </a:prstGeom>
                    <a:noFill/>
                  </pic:spPr>
                </pic:pic>
              </a:graphicData>
            </a:graphic>
          </wp:anchor>
        </w:drawing>
      </w:r>
    </w:p>
    <w:p>
      <w:pPr>
        <w:spacing w:after="0" w:line="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-19050</wp:posOffset>
            </wp:positionV>
            <wp:extent cx="4857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85775" cy="8890"/>
                    </a:xfrm>
                    <a:prstGeom prst="rect">
                      <a:avLst/>
                    </a:prstGeom>
                    <a:noFill/>
                  </pic:spPr>
                </pic:pic>
              </a:graphicData>
            </a:graphic>
          </wp:anchor>
        </w:drawing>
      </w:r>
    </w:p>
    <w:p>
      <w:pPr>
        <w:ind w:left="40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-19050</wp:posOffset>
            </wp:positionV>
            <wp:extent cx="4857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85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BANK OF AMERICA, N.A., as a Lender</w:t>
      </w:r>
    </w:p>
    <w:p>
      <w:pPr>
        <w:spacing w:after="0" w:line="200" w:lineRule="exact"/>
        <w:rPr>
          <w:sz w:val="20"/>
          <w:szCs w:val="20"/>
          <w:color w:val="auto"/>
        </w:rPr>
      </w:pPr>
    </w:p>
    <w:p>
      <w:pPr>
        <w:spacing w:after="0" w:line="24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2729865</wp:posOffset>
            </wp:positionH>
            <wp:positionV relativeFrom="paragraph">
              <wp:posOffset>-7620</wp:posOffset>
            </wp:positionV>
            <wp:extent cx="4857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85775" cy="8890"/>
                    </a:xfrm>
                    <a:prstGeom prst="rect">
                      <a:avLst/>
                    </a:prstGeom>
                    <a:noFill/>
                  </pic:spPr>
                </pic:pic>
              </a:graphicData>
            </a:graphic>
          </wp:anchor>
        </w:drawing>
      </w:r>
    </w:p>
    <w:p>
      <w:pPr>
        <w:spacing w:after="0" w:line="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-19050</wp:posOffset>
            </wp:positionV>
            <wp:extent cx="4857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85775" cy="8890"/>
                    </a:xfrm>
                    <a:prstGeom prst="rect">
                      <a:avLst/>
                    </a:prstGeom>
                    <a:noFill/>
                  </pic:spPr>
                </pic:pic>
              </a:graphicData>
            </a:graphic>
          </wp:anchor>
        </w:drawing>
      </w:r>
    </w:p>
    <w:p>
      <w:pPr>
        <w:ind w:left="40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-19050</wp:posOffset>
            </wp:positionV>
            <wp:extent cx="4857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85775" cy="8890"/>
                    </a:xfrm>
                    <a:prstGeom prst="rect">
                      <a:avLst/>
                    </a:prstGeom>
                    <a:noFill/>
                  </pic:spPr>
                </pic:pic>
              </a:graphicData>
            </a:graphic>
          </wp:anchor>
        </w:drawing>
      </w:r>
    </w:p>
    <w:p>
      <w:pPr>
        <w:sectPr>
          <w:pgSz w:w="11900" w:h="16838" w:orient="portrait"/>
          <w:cols w:equalWidth="0" w:num="1">
            <w:col w:w="10220"/>
          </w:cols>
          <w:pgMar w:left="1440" w:top="117" w:right="2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31(a)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13a-14(a)/15d-14(a) Certification by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Alan R. Hodnik, of ALLETE, Inc. (ALLETE), certify that:</w:t>
      </w:r>
    </w:p>
    <w:p>
      <w:pPr>
        <w:spacing w:after="0" w:line="225"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June 30, 2019, of ALLETE;</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0"/>
        <w:spacing w:after="0"/>
        <w:tabs>
          <w:tab w:leader="none" w:pos="4580" w:val="left"/>
        </w:tabs>
        <w:rPr>
          <w:sz w:val="20"/>
          <w:szCs w:val="20"/>
          <w:color w:val="auto"/>
        </w:rPr>
      </w:pPr>
      <w:r>
        <w:rPr>
          <w:rFonts w:ascii="Times New Roman" w:cs="Times New Roman" w:eastAsia="Times New Roman" w:hAnsi="Times New Roman"/>
          <w:sz w:val="18"/>
          <w:szCs w:val="18"/>
          <w:color w:val="auto"/>
        </w:rPr>
        <w:t>Date: August 1, 2019</w:t>
      </w:r>
      <w:r>
        <w:rPr>
          <w:sz w:val="20"/>
          <w:szCs w:val="20"/>
          <w:color w:val="auto"/>
        </w:rPr>
        <w:tab/>
      </w:r>
      <w:r>
        <w:rPr>
          <w:rFonts w:ascii="Times New Roman" w:cs="Times New Roman" w:eastAsia="Times New Roman" w:hAnsi="Times New Roman"/>
          <w:sz w:val="17"/>
          <w:szCs w:val="17"/>
          <w:color w:val="auto"/>
        </w:rPr>
        <w:t>/s/ Alan R. Hodnik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34290</wp:posOffset>
            </wp:positionV>
            <wp:extent cx="43478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57"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Alan R. Hodnik</w:t>
      </w:r>
    </w:p>
    <w:p>
      <w:pPr>
        <w:spacing w:after="0" w:line="63"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ectPr>
          <w:pgSz w:w="11900" w:h="16838" w:orient="portrait"/>
          <w:cols w:equalWidth="0" w:num="1">
            <w:col w:w="11420"/>
          </w:cols>
          <w:pgMar w:left="240" w:top="117" w:right="2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31(b)</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13a-14(a)/15d-14(a) Certification by the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J. Adams, of ALLETE, Inc. (ALLETE), certify that:</w:t>
      </w:r>
    </w:p>
    <w:p>
      <w:pPr>
        <w:spacing w:after="0" w:line="225"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June 30, 2019, of ALLETE;</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0"/>
        <w:spacing w:after="0"/>
        <w:tabs>
          <w:tab w:leader="none" w:pos="4140" w:val="left"/>
        </w:tabs>
        <w:rPr>
          <w:sz w:val="20"/>
          <w:szCs w:val="20"/>
          <w:color w:val="auto"/>
        </w:rPr>
      </w:pPr>
      <w:r>
        <w:rPr>
          <w:rFonts w:ascii="Times New Roman" w:cs="Times New Roman" w:eastAsia="Times New Roman" w:hAnsi="Times New Roman"/>
          <w:sz w:val="18"/>
          <w:szCs w:val="18"/>
          <w:color w:val="auto"/>
        </w:rPr>
        <w:t>Date: August 1, 2019</w:t>
      </w:r>
      <w:r>
        <w:rPr>
          <w:sz w:val="20"/>
          <w:szCs w:val="20"/>
          <w:color w:val="auto"/>
        </w:rPr>
        <w:tab/>
      </w:r>
      <w:r>
        <w:rPr>
          <w:rFonts w:ascii="Times New Roman" w:cs="Times New Roman" w:eastAsia="Times New Roman" w:hAnsi="Times New Roman"/>
          <w:sz w:val="17"/>
          <w:szCs w:val="17"/>
          <w:color w:val="auto"/>
        </w:rPr>
        <w:t>/s/ Robert J.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34290</wp:posOffset>
            </wp:positionV>
            <wp:extent cx="46310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57"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Robert J. Adams</w:t>
      </w:r>
    </w:p>
    <w:p>
      <w:pPr>
        <w:spacing w:after="0" w:line="63"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ectPr>
          <w:pgSz w:w="11900" w:h="16838" w:orient="portrait"/>
          <w:cols w:equalWidth="0" w:num="1">
            <w:col w:w="11420"/>
          </w:cols>
          <w:pgMar w:left="240" w:top="117" w:right="2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 of Periodic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 the 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0" w:lineRule="exact"/>
        <w:rPr>
          <w:sz w:val="20"/>
          <w:szCs w:val="20"/>
          <w:color w:val="auto"/>
        </w:rPr>
      </w:pPr>
    </w:p>
    <w:p>
      <w:pPr>
        <w:spacing w:after="0" w:line="22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18 U.S.C. Section 1350, each of the undersigned officers of ALLETE, Inc. (ALLETE), does hereby certify that:</w:t>
      </w:r>
    </w:p>
    <w:p>
      <w:pPr>
        <w:spacing w:after="0" w:line="162" w:lineRule="exact"/>
        <w:rPr>
          <w:sz w:val="20"/>
          <w:szCs w:val="20"/>
          <w:color w:val="auto"/>
        </w:rPr>
      </w:pPr>
    </w:p>
    <w:p>
      <w:pPr>
        <w:ind w:left="660" w:hanging="328"/>
        <w:spacing w:after="0" w:line="261"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ALLETE for the period ended June 30, 2019, (Report) fully complies with the requirements of Section 13(a) of the Securities Exchange Act of 1934 (15 U.S.C. 78m); and</w:t>
      </w: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ALLETE.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August 1, 2019</w:t>
      </w:r>
    </w:p>
    <w:p>
      <w:pPr>
        <w:spacing w:after="0" w:line="63"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/s/ Alan R. Hodnik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34290</wp:posOffset>
            </wp:positionV>
            <wp:extent cx="38334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57"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Alan R. Hodnik</w:t>
      </w:r>
    </w:p>
    <w:p>
      <w:pPr>
        <w:spacing w:after="0" w:line="63"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August 1, 2019</w:t>
      </w:r>
    </w:p>
    <w:p>
      <w:pPr>
        <w:spacing w:after="0" w:line="63"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/s/ Robert J.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34290</wp:posOffset>
            </wp:positionV>
            <wp:extent cx="38334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57"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Robert J. Adams</w:t>
      </w:r>
    </w:p>
    <w:p>
      <w:pPr>
        <w:spacing w:after="0" w:line="63"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certification shall not be deemed “filed” for purposes of Section 18 of the Securities Exchange Act of 1934 or otherwise subject to liability pursuant to that section. Such certification shall not be deemed to be incorporated by reference into any filing under the Securities Act of 1933 or the Securities Exchange Act of 1934, except to the extent that ALLETE specifically incorporates it by reference.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ALLETE and will be retained by ALLETE and furnished to the Securities and Exchange Commission or its staff upon request.</w:t>
      </w:r>
    </w:p>
    <w:p>
      <w:pPr>
        <w:sectPr>
          <w:pgSz w:w="11900" w:h="16838" w:orient="portrait"/>
          <w:cols w:equalWidth="0" w:num="1">
            <w:col w:w="11420"/>
          </w:cols>
          <w:pgMar w:left="240" w:top="117" w:right="239" w:bottom="1440" w:gutter="0" w:footer="0" w:header="0"/>
        </w:sectPr>
      </w:pPr>
    </w:p>
    <w:bookmarkStart w:id="58" w:name="page59"/>
    <w:bookmarkEnd w:id="58"/>
    <w:tbl>
      <w:tblPr>
        <w:tblLayout w:type="fixed"/>
        <w:tblInd w:w="90" w:type="dxa"/>
        <w:tblCellMar>
          <w:top w:w="0" w:type="dxa"/>
          <w:left w:w="0" w:type="dxa"/>
          <w:bottom w:w="0" w:type="dxa"/>
          <w:right w:w="0" w:type="dxa"/>
        </w:tblCellMar>
      </w:tblPr>
      <w:tr>
        <w:trPr>
          <w:trHeight w:val="238"/>
        </w:trPr>
        <w:tc>
          <w:tcPr>
            <w:tcW w:w="1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w w:val="98"/>
              </w:rPr>
              <w:t>Exhibit 95</w:t>
            </w:r>
          </w:p>
        </w:tc>
        <w:tc>
          <w:tcPr>
            <w:tcW w:w="0" w:type="dxa"/>
            <w:vAlign w:val="bottom"/>
          </w:tcPr>
          <w:p>
            <w:pPr>
              <w:spacing w:after="0"/>
              <w:rPr>
                <w:sz w:val="1"/>
                <w:szCs w:val="1"/>
                <w:color w:val="auto"/>
              </w:rPr>
            </w:pPr>
          </w:p>
        </w:tc>
      </w:tr>
      <w:tr>
        <w:trPr>
          <w:trHeight w:val="432"/>
        </w:trPr>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50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Mine Safety Disclosure</w:t>
            </w: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138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4"/>
              </w:rPr>
              <w:t>Total</w:t>
            </w:r>
          </w:p>
        </w:tc>
        <w:tc>
          <w:tcPr>
            <w:tcW w:w="900" w:type="dxa"/>
            <w:vAlign w:val="bottom"/>
            <w:tcBorders>
              <w:right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color w:val="auto"/>
              </w:rPr>
              <w:t>Received</w:t>
            </w:r>
          </w:p>
        </w:tc>
        <w:tc>
          <w:tcPr>
            <w:tcW w:w="900" w:type="dxa"/>
            <w:vAlign w:val="bottom"/>
            <w:tcBorders>
              <w:right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color w:val="auto"/>
              </w:rPr>
              <w:t>Received</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Legal</w:t>
            </w:r>
          </w:p>
        </w:tc>
        <w:tc>
          <w:tcPr>
            <w:tcW w:w="8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Section</w:t>
            </w:r>
          </w:p>
        </w:tc>
        <w:tc>
          <w:tcPr>
            <w:tcW w:w="9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vMerge w:val="continue"/>
          </w:tcPr>
          <w:p>
            <w:pPr>
              <w:spacing w:after="0"/>
              <w:rPr>
                <w:sz w:val="12"/>
                <w:szCs w:val="12"/>
                <w:color w:val="auto"/>
              </w:rPr>
            </w:pPr>
          </w:p>
        </w:tc>
        <w:tc>
          <w:tcPr>
            <w:tcW w:w="9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Notice of</w:t>
            </w:r>
          </w:p>
        </w:tc>
        <w:tc>
          <w:tcPr>
            <w:tcW w:w="9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Notice of</w:t>
            </w:r>
          </w:p>
        </w:tc>
        <w:tc>
          <w:tcPr>
            <w:tcW w:w="800" w:type="dxa"/>
            <w:vAlign w:val="bottom"/>
            <w:tcBorders>
              <w:right w:val="single" w:sz="8" w:color="auto"/>
            </w:tcBorders>
            <w:vMerge w:val="continue"/>
          </w:tcPr>
          <w:p>
            <w:pPr>
              <w:spacing w:after="0"/>
              <w:rPr>
                <w:sz w:val="12"/>
                <w:szCs w:val="12"/>
                <w:color w:val="auto"/>
              </w:rPr>
            </w:pP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Legal</w:t>
            </w:r>
          </w:p>
        </w:tc>
        <w:tc>
          <w:tcPr>
            <w:tcW w:w="9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Total Dollar</w:t>
            </w: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Number of</w:t>
            </w:r>
          </w:p>
        </w:tc>
        <w:tc>
          <w:tcPr>
            <w:tcW w:w="9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Pattern of</w:t>
            </w:r>
          </w:p>
        </w:tc>
        <w:tc>
          <w:tcPr>
            <w:tcW w:w="9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Potential to</w:t>
            </w: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Actions</w:t>
            </w:r>
          </w:p>
        </w:tc>
        <w:tc>
          <w:tcPr>
            <w:tcW w:w="800" w:type="dxa"/>
            <w:vAlign w:val="bottom"/>
            <w:tcBorders>
              <w:right w:val="single" w:sz="8" w:color="auto"/>
            </w:tcBorders>
            <w:vMerge w:val="continue"/>
          </w:tcPr>
          <w:p>
            <w:pPr>
              <w:spacing w:after="0"/>
              <w:rPr>
                <w:sz w:val="12"/>
                <w:szCs w:val="12"/>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Legal Actions</w:t>
            </w:r>
          </w:p>
        </w:tc>
        <w:tc>
          <w:tcPr>
            <w:tcW w:w="0" w:type="dxa"/>
            <w:vAlign w:val="bottom"/>
          </w:tcPr>
          <w:p>
            <w:pPr>
              <w:spacing w:after="0"/>
              <w:rPr>
                <w:sz w:val="1"/>
                <w:szCs w:val="1"/>
                <w:color w:val="auto"/>
              </w:rPr>
            </w:pPr>
          </w:p>
        </w:tc>
      </w:tr>
      <w:tr>
        <w:trPr>
          <w:trHeight w:val="149"/>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Mine or Operating</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Section 104</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Section</w:t>
            </w:r>
          </w:p>
        </w:tc>
        <w:tc>
          <w:tcPr>
            <w:tcW w:w="7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104(d)</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Section</w:t>
            </w:r>
          </w:p>
        </w:tc>
        <w:tc>
          <w:tcPr>
            <w:tcW w:w="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Section</w:t>
            </w:r>
          </w:p>
        </w:tc>
        <w:tc>
          <w:tcPr>
            <w:tcW w:w="1040" w:type="dxa"/>
            <w:vAlign w:val="bottom"/>
            <w:tcBorders>
              <w:right w:val="single" w:sz="8" w:color="auto"/>
            </w:tcBorders>
            <w:vMerge w:val="continue"/>
          </w:tcPr>
          <w:p>
            <w:pPr>
              <w:spacing w:after="0"/>
              <w:rPr>
                <w:sz w:val="12"/>
                <w:szCs w:val="12"/>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Mining</w:t>
            </w:r>
          </w:p>
        </w:tc>
        <w:tc>
          <w:tcPr>
            <w:tcW w:w="9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Violation</w:t>
            </w:r>
          </w:p>
        </w:tc>
        <w:tc>
          <w:tcPr>
            <w:tcW w:w="9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Have Pattern</w:t>
            </w: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Pending as</w:t>
            </w: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Actions</w:t>
            </w:r>
          </w:p>
        </w:tc>
        <w:tc>
          <w:tcPr>
            <w:tcW w:w="9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tcBorders>
              <w:left w:val="single" w:sz="8" w:color="auto"/>
              <w:right w:val="single" w:sz="8" w:color="auto"/>
            </w:tcBorders>
            <w:vMerge w:val="continue"/>
          </w:tcPr>
          <w:p>
            <w:pPr>
              <w:spacing w:after="0"/>
              <w:rPr>
                <w:sz w:val="12"/>
                <w:szCs w:val="12"/>
                <w:color w:val="auto"/>
              </w:rPr>
            </w:pPr>
          </w:p>
        </w:tc>
        <w:tc>
          <w:tcPr>
            <w:tcW w:w="800" w:type="dxa"/>
            <w:vAlign w:val="bottom"/>
            <w:tcBorders>
              <w:right w:val="single" w:sz="8" w:color="auto"/>
            </w:tcBorders>
            <w:vMerge w:val="continue"/>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Citations</w:t>
            </w:r>
          </w:p>
        </w:tc>
        <w:tc>
          <w:tcPr>
            <w:tcW w:w="920" w:type="dxa"/>
            <w:vAlign w:val="bottom"/>
            <w:tcBorders>
              <w:right w:val="single" w:sz="8" w:color="auto"/>
            </w:tcBorders>
            <w:vMerge w:val="continue"/>
          </w:tcPr>
          <w:p>
            <w:pPr>
              <w:spacing w:after="0"/>
              <w:rPr>
                <w:sz w:val="12"/>
                <w:szCs w:val="12"/>
                <w:color w:val="auto"/>
              </w:rPr>
            </w:pPr>
          </w:p>
        </w:tc>
        <w:tc>
          <w:tcPr>
            <w:tcW w:w="660" w:type="dxa"/>
            <w:vAlign w:val="bottom"/>
            <w:tcBorders>
              <w:right w:val="single" w:sz="8" w:color="auto"/>
            </w:tcBorders>
            <w:vMerge w:val="continue"/>
          </w:tcPr>
          <w:p>
            <w:pPr>
              <w:spacing w:after="0"/>
              <w:rPr>
                <w:sz w:val="12"/>
                <w:szCs w:val="12"/>
                <w:color w:val="auto"/>
              </w:rPr>
            </w:pPr>
          </w:p>
        </w:tc>
        <w:tc>
          <w:tcPr>
            <w:tcW w:w="10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Value of MSHA</w:t>
            </w: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Related</w:t>
            </w:r>
          </w:p>
        </w:tc>
        <w:tc>
          <w:tcPr>
            <w:tcW w:w="9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Under Section</w:t>
            </w:r>
          </w:p>
        </w:tc>
        <w:tc>
          <w:tcPr>
            <w:tcW w:w="9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Under Section</w:t>
            </w: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of Last Day</w:t>
            </w: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Initiated</w:t>
            </w:r>
          </w:p>
        </w:tc>
        <w:tc>
          <w:tcPr>
            <w:tcW w:w="9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Resolved</w:t>
            </w:r>
          </w:p>
        </w:tc>
        <w:tc>
          <w:tcPr>
            <w:tcW w:w="0" w:type="dxa"/>
            <w:vAlign w:val="bottom"/>
          </w:tcPr>
          <w:p>
            <w:pPr>
              <w:spacing w:after="0"/>
              <w:rPr>
                <w:sz w:val="1"/>
                <w:szCs w:val="1"/>
                <w:color w:val="auto"/>
              </w:rPr>
            </w:pPr>
          </w:p>
        </w:tc>
      </w:tr>
      <w:tr>
        <w:trPr>
          <w:trHeight w:val="149"/>
        </w:trPr>
        <w:tc>
          <w:tcPr>
            <w:tcW w:w="1380" w:type="dxa"/>
            <w:vAlign w:val="bottom"/>
            <w:tcBorders>
              <w:left w:val="single" w:sz="8" w:color="auto"/>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Name/MSHA</w:t>
            </w: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S&amp;S</w:t>
            </w:r>
          </w:p>
        </w:tc>
        <w:tc>
          <w:tcPr>
            <w:tcW w:w="6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104(b)</w:t>
            </w:r>
          </w:p>
        </w:tc>
        <w:tc>
          <w:tcPr>
            <w:tcW w:w="7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and Orders</w:t>
            </w:r>
          </w:p>
        </w:tc>
        <w:tc>
          <w:tcPr>
            <w:tcW w:w="9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110(b)(2)</w:t>
            </w:r>
          </w:p>
        </w:tc>
        <w:tc>
          <w:tcPr>
            <w:tcW w:w="6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107(a)</w:t>
            </w:r>
          </w:p>
        </w:tc>
        <w:tc>
          <w:tcPr>
            <w:tcW w:w="10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Assessments</w:t>
            </w: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Fatalities</w:t>
            </w:r>
          </w:p>
        </w:tc>
        <w:tc>
          <w:tcPr>
            <w:tcW w:w="9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104(e)</w:t>
            </w:r>
          </w:p>
        </w:tc>
        <w:tc>
          <w:tcPr>
            <w:tcW w:w="9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104(e)</w:t>
            </w: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of Period</w:t>
            </w: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During</w:t>
            </w:r>
          </w:p>
        </w:tc>
        <w:tc>
          <w:tcPr>
            <w:tcW w:w="9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During Period</w:t>
            </w:r>
          </w:p>
        </w:tc>
        <w:tc>
          <w:tcPr>
            <w:tcW w:w="0" w:type="dxa"/>
            <w:vAlign w:val="bottom"/>
          </w:tcPr>
          <w:p>
            <w:pPr>
              <w:spacing w:after="0"/>
              <w:rPr>
                <w:sz w:val="1"/>
                <w:szCs w:val="1"/>
                <w:color w:val="auto"/>
              </w:rPr>
            </w:pPr>
          </w:p>
        </w:tc>
      </w:tr>
      <w:tr>
        <w:trPr>
          <w:trHeight w:val="193"/>
        </w:trPr>
        <w:tc>
          <w:tcPr>
            <w:tcW w:w="13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Identification Number</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Citations (#)</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Orders (#)</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Violations (#)</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Orders (#)</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Proposed ($)</w:t>
            </w:r>
          </w:p>
        </w:tc>
        <w:tc>
          <w:tcPr>
            <w:tcW w:w="800" w:type="dxa"/>
            <w:vAlign w:val="bottom"/>
            <w:tcBorders>
              <w:bottom w:val="single" w:sz="8" w:color="auto"/>
              <w:right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(yes/no)</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(yes/no)</w:t>
            </w:r>
          </w:p>
        </w:tc>
        <w:tc>
          <w:tcPr>
            <w:tcW w:w="800" w:type="dxa"/>
            <w:vAlign w:val="bottom"/>
            <w:tcBorders>
              <w:bottom w:val="single" w:sz="8" w:color="auto"/>
              <w:right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Period (#)</w:t>
            </w:r>
          </w:p>
        </w:tc>
        <w:tc>
          <w:tcPr>
            <w:tcW w:w="900" w:type="dxa"/>
            <w:vAlign w:val="bottom"/>
            <w:tcBorders>
              <w:bottom w:val="single" w:sz="8" w:color="auto"/>
              <w:right w:val="single" w:sz="8" w:color="auto"/>
            </w:tcBorders>
          </w:tcPr>
          <w:p>
            <w:pPr>
              <w:jc w:val="right"/>
              <w:ind w:right="305"/>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1"/>
        </w:trPr>
        <w:tc>
          <w:tcPr>
            <w:tcW w:w="1380" w:type="dxa"/>
            <w:vAlign w:val="bottom"/>
            <w:tcBorders>
              <w:left w:val="single" w:sz="8" w:color="auto"/>
              <w:right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color w:val="auto"/>
              </w:rPr>
              <w:t>Center Mine /</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93"/>
        </w:trPr>
        <w:tc>
          <w:tcPr>
            <w:tcW w:w="13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3200218</w:t>
            </w:r>
          </w:p>
        </w:tc>
        <w:tc>
          <w:tcPr>
            <w:tcW w:w="800" w:type="dxa"/>
            <w:vAlign w:val="bottom"/>
            <w:tcBorders>
              <w:bottom w:val="single" w:sz="8" w:color="auto"/>
              <w:right w:val="single" w:sz="8" w:color="auto"/>
            </w:tcBorders>
            <w:vMerge w:val="continue"/>
          </w:tcPr>
          <w:p>
            <w:pPr>
              <w:spacing w:after="0"/>
              <w:rPr>
                <w:sz w:val="16"/>
                <w:szCs w:val="16"/>
                <w:color w:val="auto"/>
              </w:rPr>
            </w:pPr>
          </w:p>
        </w:tc>
        <w:tc>
          <w:tcPr>
            <w:tcW w:w="680" w:type="dxa"/>
            <w:vAlign w:val="bottom"/>
            <w:tcBorders>
              <w:bottom w:val="single" w:sz="8" w:color="auto"/>
              <w:right w:val="single" w:sz="8" w:color="auto"/>
            </w:tcBorders>
            <w:vMerge w:val="continue"/>
          </w:tcPr>
          <w:p>
            <w:pPr>
              <w:spacing w:after="0"/>
              <w:rPr>
                <w:sz w:val="16"/>
                <w:szCs w:val="16"/>
                <w:color w:val="auto"/>
              </w:rPr>
            </w:pPr>
          </w:p>
        </w:tc>
        <w:tc>
          <w:tcPr>
            <w:tcW w:w="780" w:type="dxa"/>
            <w:vAlign w:val="bottom"/>
            <w:tcBorders>
              <w:bottom w:val="single" w:sz="8" w:color="auto"/>
              <w:right w:val="single" w:sz="8" w:color="auto"/>
            </w:tcBorders>
            <w:vMerge w:val="continue"/>
          </w:tcPr>
          <w:p>
            <w:pPr>
              <w:spacing w:after="0"/>
              <w:rPr>
                <w:sz w:val="16"/>
                <w:szCs w:val="16"/>
                <w:color w:val="auto"/>
              </w:rPr>
            </w:pPr>
          </w:p>
        </w:tc>
        <w:tc>
          <w:tcPr>
            <w:tcW w:w="920" w:type="dxa"/>
            <w:vAlign w:val="bottom"/>
            <w:tcBorders>
              <w:bottom w:val="single" w:sz="8" w:color="auto"/>
              <w:right w:val="single" w:sz="8" w:color="auto"/>
            </w:tcBorders>
            <w:vMerge w:val="continue"/>
          </w:tcPr>
          <w:p>
            <w:pPr>
              <w:spacing w:after="0"/>
              <w:rPr>
                <w:sz w:val="16"/>
                <w:szCs w:val="16"/>
                <w:color w:val="auto"/>
              </w:rPr>
            </w:pPr>
          </w:p>
        </w:tc>
        <w:tc>
          <w:tcPr>
            <w:tcW w:w="660" w:type="dxa"/>
            <w:vAlign w:val="bottom"/>
            <w:tcBorders>
              <w:bottom w:val="single" w:sz="8" w:color="auto"/>
              <w:right w:val="single" w:sz="8" w:color="auto"/>
            </w:tcBorders>
            <w:vMerge w:val="continue"/>
          </w:tcPr>
          <w:p>
            <w:pPr>
              <w:spacing w:after="0"/>
              <w:rPr>
                <w:sz w:val="16"/>
                <w:szCs w:val="16"/>
                <w:color w:val="auto"/>
              </w:rPr>
            </w:pPr>
          </w:p>
        </w:tc>
        <w:tc>
          <w:tcPr>
            <w:tcW w:w="1040" w:type="dxa"/>
            <w:vAlign w:val="bottom"/>
            <w:tcBorders>
              <w:bottom w:val="single" w:sz="8" w:color="auto"/>
              <w:right w:val="single" w:sz="8" w:color="auto"/>
            </w:tcBorders>
            <w:vMerge w:val="continue"/>
          </w:tcPr>
          <w:p>
            <w:pPr>
              <w:spacing w:after="0"/>
              <w:rPr>
                <w:sz w:val="16"/>
                <w:szCs w:val="16"/>
                <w:color w:val="auto"/>
              </w:rPr>
            </w:pPr>
          </w:p>
        </w:tc>
        <w:tc>
          <w:tcPr>
            <w:tcW w:w="800" w:type="dxa"/>
            <w:vAlign w:val="bottom"/>
            <w:tcBorders>
              <w:bottom w:val="single" w:sz="8" w:color="auto"/>
              <w:right w:val="single" w:sz="8" w:color="auto"/>
            </w:tcBorders>
            <w:vMerge w:val="continue"/>
          </w:tcPr>
          <w:p>
            <w:pPr>
              <w:spacing w:after="0"/>
              <w:rPr>
                <w:sz w:val="16"/>
                <w:szCs w:val="16"/>
                <w:color w:val="auto"/>
              </w:rPr>
            </w:pPr>
          </w:p>
        </w:tc>
        <w:tc>
          <w:tcPr>
            <w:tcW w:w="900" w:type="dxa"/>
            <w:vAlign w:val="bottom"/>
            <w:tcBorders>
              <w:bottom w:val="single" w:sz="8" w:color="auto"/>
              <w:right w:val="single" w:sz="8" w:color="auto"/>
            </w:tcBorders>
            <w:vMerge w:val="continue"/>
          </w:tcPr>
          <w:p>
            <w:pPr>
              <w:spacing w:after="0"/>
              <w:rPr>
                <w:sz w:val="16"/>
                <w:szCs w:val="16"/>
                <w:color w:val="auto"/>
              </w:rPr>
            </w:pPr>
          </w:p>
        </w:tc>
        <w:tc>
          <w:tcPr>
            <w:tcW w:w="900" w:type="dxa"/>
            <w:vAlign w:val="bottom"/>
            <w:tcBorders>
              <w:bottom w:val="single" w:sz="8" w:color="auto"/>
              <w:right w:val="single" w:sz="8" w:color="auto"/>
            </w:tcBorders>
            <w:vMerge w:val="continue"/>
          </w:tcPr>
          <w:p>
            <w:pPr>
              <w:spacing w:after="0"/>
              <w:rPr>
                <w:sz w:val="16"/>
                <w:szCs w:val="16"/>
                <w:color w:val="auto"/>
              </w:rPr>
            </w:pPr>
          </w:p>
        </w:tc>
        <w:tc>
          <w:tcPr>
            <w:tcW w:w="800" w:type="dxa"/>
            <w:vAlign w:val="bottom"/>
            <w:tcBorders>
              <w:bottom w:val="single" w:sz="8" w:color="auto"/>
              <w:right w:val="single" w:sz="8" w:color="auto"/>
            </w:tcBorders>
            <w:vMerge w:val="continue"/>
          </w:tcPr>
          <w:p>
            <w:pPr>
              <w:spacing w:after="0"/>
              <w:rPr>
                <w:sz w:val="16"/>
                <w:szCs w:val="16"/>
                <w:color w:val="auto"/>
              </w:rPr>
            </w:pPr>
          </w:p>
        </w:tc>
        <w:tc>
          <w:tcPr>
            <w:tcW w:w="800" w:type="dxa"/>
            <w:vAlign w:val="bottom"/>
            <w:tcBorders>
              <w:bottom w:val="single" w:sz="8" w:color="auto"/>
              <w:right w:val="single" w:sz="8" w:color="auto"/>
            </w:tcBorders>
            <w:vMerge w:val="continue"/>
          </w:tcPr>
          <w:p>
            <w:pPr>
              <w:spacing w:after="0"/>
              <w:rPr>
                <w:sz w:val="16"/>
                <w:szCs w:val="16"/>
                <w:color w:val="auto"/>
              </w:rPr>
            </w:pPr>
          </w:p>
        </w:tc>
        <w:tc>
          <w:tcPr>
            <w:tcW w:w="90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2019, BNI Energy, owner of Center Mine, received no citations, orders, violations or notices under Sections 104(a), 104(b), 104(d), 107(a), 104(e) or 110(b)(2) of the Mine Safety Act and there were no fatalities.</w:t>
      </w:r>
    </w:p>
    <w:p>
      <w:pPr>
        <w:sectPr>
          <w:pgSz w:w="11900" w:h="16838" w:orient="portrait"/>
          <w:cols w:equalWidth="0" w:num="1">
            <w:col w:w="11440"/>
          </w:cols>
          <w:pgMar w:left="240" w:top="698" w:right="219" w:bottom="1440" w:gutter="0" w:footer="0" w:header="0"/>
        </w:sectPr>
      </w:pPr>
    </w:p>
    <w:bookmarkStart w:id="59" w:name="page60"/>
    <w:bookmarkEnd w:id="5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174625</wp:posOffset>
            </wp:positionH>
            <wp:positionV relativeFrom="page">
              <wp:posOffset>955040</wp:posOffset>
            </wp:positionV>
            <wp:extent cx="1372235" cy="6261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372235"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86"/>
          <w:szCs w:val="86"/>
          <w:b w:val="1"/>
          <w:bCs w:val="1"/>
          <w:i w:val="1"/>
          <w:iCs w:val="1"/>
          <w:color w:val="auto"/>
        </w:rPr>
        <w:t>NEWS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8"/>
          <w:szCs w:val="18"/>
          <w:color w:val="auto"/>
        </w:rPr>
        <w:t>Exhibit 99</w:t>
      </w:r>
    </w:p>
    <w:p>
      <w:pPr>
        <w:spacing w:after="0" w:line="63"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For Release:</w:t>
      </w:r>
      <w:r>
        <w:rPr>
          <w:sz w:val="20"/>
          <w:szCs w:val="20"/>
          <w:color w:val="auto"/>
        </w:rPr>
        <w:tab/>
      </w:r>
      <w:r>
        <w:rPr>
          <w:rFonts w:ascii="Times New Roman" w:cs="Times New Roman" w:eastAsia="Times New Roman" w:hAnsi="Times New Roman"/>
          <w:sz w:val="18"/>
          <w:szCs w:val="18"/>
          <w:color w:val="auto"/>
        </w:rPr>
        <w:t>August 1, 2019</w:t>
      </w:r>
    </w:p>
    <w:p>
      <w:pPr>
        <w:spacing w:after="0" w:line="347"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Investor Contact:</w:t>
      </w:r>
      <w:r>
        <w:rPr>
          <w:sz w:val="20"/>
          <w:szCs w:val="20"/>
          <w:color w:val="auto"/>
        </w:rPr>
        <w:tab/>
      </w:r>
      <w:r>
        <w:rPr>
          <w:rFonts w:ascii="Times New Roman" w:cs="Times New Roman" w:eastAsia="Times New Roman" w:hAnsi="Times New Roman"/>
          <w:sz w:val="17"/>
          <w:szCs w:val="17"/>
          <w:color w:val="auto"/>
        </w:rPr>
        <w:t>Vince Meyer</w:t>
      </w:r>
    </w:p>
    <w:p>
      <w:pPr>
        <w:spacing w:after="0" w:line="6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218-723-3952</w:t>
      </w:r>
    </w:p>
    <w:p>
      <w:pPr>
        <w:spacing w:after="0" w:line="9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vmeyer@allete.com</w:t>
      </w:r>
    </w:p>
    <w:p>
      <w:pPr>
        <w:spacing w:after="0" w:line="866" w:lineRule="exact"/>
        <w:rPr>
          <w:sz w:val="20"/>
          <w:szCs w:val="20"/>
          <w:color w:val="auto"/>
        </w:rPr>
      </w:pPr>
    </w:p>
    <w:p>
      <w:pPr>
        <w:sectPr>
          <w:pgSz w:w="11900" w:h="16838" w:orient="portrait"/>
          <w:cols w:equalWidth="0" w:num="2">
            <w:col w:w="6520" w:space="720"/>
            <w:col w:w="4160"/>
          </w:cols>
          <w:pgMar w:left="240" w:top="1161" w:right="259" w:bottom="1440" w:gutter="0" w:footer="0" w:header="0"/>
        </w:sectPr>
      </w:pPr>
    </w:p>
    <w:p>
      <w:pPr>
        <w:spacing w:after="0" w:line="271" w:lineRule="exact"/>
        <w:rPr>
          <w:sz w:val="20"/>
          <w:szCs w:val="20"/>
          <w:color w:val="auto"/>
        </w:rPr>
      </w:pPr>
    </w:p>
    <w:p>
      <w:pPr>
        <w:jc w:val="center"/>
        <w:ind w:left="300"/>
        <w:spacing w:after="0" w:line="278" w:lineRule="auto"/>
        <w:rPr>
          <w:sz w:val="20"/>
          <w:szCs w:val="20"/>
          <w:color w:val="auto"/>
        </w:rPr>
      </w:pPr>
      <w:r>
        <w:rPr>
          <w:rFonts w:ascii="Times New Roman" w:cs="Times New Roman" w:eastAsia="Times New Roman" w:hAnsi="Times New Roman"/>
          <w:sz w:val="29"/>
          <w:szCs w:val="29"/>
          <w:b w:val="1"/>
          <w:bCs w:val="1"/>
          <w:color w:val="auto"/>
        </w:rPr>
        <w:t>ALLETE, Inc. reports second quarter 2019 earnings growth and narrows earnings guidance range</w:t>
      </w:r>
    </w:p>
    <w:p>
      <w:pPr>
        <w:spacing w:after="0" w:line="9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DULUTH, Minn. - ALLETE, Inc. (NYSE: ALE) today reported second quarter 2019 earnings of 66 cents per share on net income of $34.2 million. Last year’s results were 61 cents per share on net income of $31.3 million.</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"Clean energy investments at both our regulated and energy infrastructure services businesses are expected to drive substantial growth over the next 5 years, potentially exceeding our stated 5-7% average annual growth objective,” said ALLETE Chairman and CEO Al Hodnik.</w:t>
      </w:r>
    </w:p>
    <w:p>
      <w:pPr>
        <w:spacing w:after="0" w:line="121" w:lineRule="exact"/>
        <w:rPr>
          <w:sz w:val="20"/>
          <w:szCs w:val="20"/>
          <w:color w:val="auto"/>
        </w:rPr>
      </w:pPr>
    </w:p>
    <w:p>
      <w:pPr>
        <w:jc w:val="both"/>
        <w:ind w:right="320"/>
        <w:spacing w:after="0" w:line="261" w:lineRule="auto"/>
        <w:rPr>
          <w:sz w:val="20"/>
          <w:szCs w:val="20"/>
          <w:color w:val="auto"/>
        </w:rPr>
      </w:pPr>
      <w:r>
        <w:rPr>
          <w:rFonts w:ascii="Times New Roman" w:cs="Times New Roman" w:eastAsia="Times New Roman" w:hAnsi="Times New Roman"/>
          <w:sz w:val="18"/>
          <w:szCs w:val="18"/>
          <w:color w:val="auto"/>
        </w:rPr>
        <w:t>“We are pleased with our progress year-to-date, as we ramp to record levels of construction activities on several new projects slated to deliver carbon free generation beginning later this year and in 2020,” said ALLETE President Bethany Owen. “At ALLETE Clean Energy our recently announced Diamond Spring power sales agreements with Smithfield, Walmart and Starbucks, totaling over 300 MW in long-term contracted sales, represent an important and exciting new entrance into the growing commercial and industrial marketplace."</w:t>
      </w:r>
    </w:p>
    <w:p>
      <w:pPr>
        <w:spacing w:after="0" w:line="14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ALLETE’s Regulated Operations segment, which includes Minnesota Power, Superior Water, Light and Power (SWL&amp;P) and the Company’s investment in the American Transmission Co. (ATC), recorded net income of $30.3 million, compared to $26.0 million in the second quarter of 2018. Earnings reflect higher net income at Minnesota Power primarily due to the timing of fuel adjustment clause recoveries, lower operating and maintenance expense and increased cost recovery rider revenue. These increases were partially offset by lower kilowatt-hour sales and associated margins from retail and municipal customers. Net income at SWL&amp;P increased over last year due to higher rates implemented the first of this year, and ALLETE’s earnings in ATC were higher than in 2018 primarily due to additional equity investments.</w:t>
      </w:r>
    </w:p>
    <w:p>
      <w:pPr>
        <w:spacing w:after="0" w:line="18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ALLETE’s Energy Infrastructure and Related Services business, ALLETE Clean Energy, recorded second quarter 2019 net income of $1.9 million. Earnings at ALLETE Clean Energy decreased $4.9 million from 2018, primarily due to production tax credits of $2.6 million recorded in 2018 upon retrospective qualification of wind turbines in 2016 and 2017. In addition, lower revenue resulting from decreased non-cash amortization related to the expiration of power sales agreements and increased depreciation expense impacted the second quarter of 2019, slightly offset by higher production tax credits generated during the quarter.</w:t>
      </w:r>
    </w:p>
    <w:p>
      <w:pPr>
        <w:spacing w:after="0" w:line="18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Corporate and Other, which includes BNI Energy and ALLETE Properties, recorded net income of $2.0 million for the quarter, compared to a loss of $1.7 million in 2018. Net income in 2019 includes an adjustment for the gain on the sale of U.S. Water Services of $1.2 million after-tax.</w:t>
      </w:r>
    </w:p>
    <w:p>
      <w:pPr>
        <w:spacing w:after="0" w:line="16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“ALLETE’s 2019 annual earnings guidance is now expected to be in the lower half of the original guidance range. This is due, first, to lower than expected wind resources year-to-date, a phenomenon experienced by many industry participants, especially those with significant assets in the Midwest,” said ALLETE Senior Vice President and Chief Financial Officer Bob Adams. “Second, our newly announced Diamond Spring project and strong pipeline now mean we fully expect to utilize all of the $270 million in proceeds from the U.S. Water Services sale for new investments versus initiating a stock repurchase program which was factored into original guidance. Finally, our guidance reflects higher growth-related business development expenses associated with the Diamond Spring transaction that are required to be expensed for GAAP purposes.”</w:t>
      </w:r>
    </w:p>
    <w:p>
      <w:pPr>
        <w:sectPr>
          <w:pgSz w:w="11900" w:h="16838" w:orient="portrait"/>
          <w:cols w:equalWidth="0" w:num="1">
            <w:col w:w="11400"/>
          </w:cols>
          <w:pgMar w:left="240" w:top="1161" w:right="259" w:bottom="1440" w:gutter="0" w:footer="0" w:header="0"/>
          <w:type w:val="continuous"/>
        </w:sectPr>
      </w:pPr>
    </w:p>
    <w:bookmarkStart w:id="60" w:name="page61"/>
    <w:bookmarkEnd w:id="60"/>
    <w:p>
      <w:pPr>
        <w:spacing w:after="0" w:line="266" w:lineRule="auto"/>
        <w:rPr>
          <w:sz w:val="20"/>
          <w:szCs w:val="20"/>
          <w:color w:val="auto"/>
        </w:rPr>
      </w:pPr>
      <w:r>
        <w:rPr>
          <w:rFonts w:ascii="Times New Roman" w:cs="Times New Roman" w:eastAsia="Times New Roman" w:hAnsi="Times New Roman"/>
          <w:sz w:val="18"/>
          <w:szCs w:val="18"/>
          <w:color w:val="auto"/>
        </w:rPr>
        <w:t xml:space="preserve">ALLETE will host a conference call and webcast at 10 a.m. Eastern Time this morning to discuss details of its financial performance. Interested parties may listen live by calling (877) 303-5852, passcode 9788958, or by accessing the webcast at www.allete.com. A replay of the call will be available through August 5, 2019 by calling (855) 859-2056, pass code 9788958. The webcast will be accessible for one year at </w:t>
      </w:r>
      <w:r>
        <w:rPr>
          <w:rFonts w:ascii="Times New Roman" w:cs="Times New Roman" w:eastAsia="Times New Roman" w:hAnsi="Times New Roman"/>
          <w:sz w:val="18"/>
          <w:szCs w:val="18"/>
          <w:u w:val="single" w:color="auto"/>
          <w:color w:val="0000FF"/>
        </w:rPr>
        <w:t>www.allete.com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 xml:space="preserve">ALLETE is an energy company headquartered in Duluth, Minn. In addition to its electric utilities, Minnesota Power and Superior Water, Light and Power of Wisconsin, ALLETE owns ALLETE Clean Energy, based in Duluth, BNI Energy in Bismarck, N.D., and has an eight percent equity interest in the American Transmission Co. More information about ALLETE is available at </w:t>
      </w:r>
      <w:r>
        <w:rPr>
          <w:rFonts w:ascii="Times New Roman" w:cs="Times New Roman" w:eastAsia="Times New Roman" w:hAnsi="Times New Roman"/>
          <w:sz w:val="18"/>
          <w:szCs w:val="18"/>
          <w:u w:val="single" w:color="auto"/>
          <w:color w:val="0000FF"/>
        </w:rPr>
        <w:t>www.allete.com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ALE-CORP</w:t>
      </w:r>
    </w:p>
    <w:p>
      <w:pPr>
        <w:spacing w:after="0" w:line="174" w:lineRule="exact"/>
        <w:rPr>
          <w:sz w:val="20"/>
          <w:szCs w:val="20"/>
          <w:color w:val="auto"/>
        </w:rPr>
      </w:pPr>
    </w:p>
    <w:p>
      <w:pPr>
        <w:ind w:right="40"/>
        <w:spacing w:after="0" w:line="290" w:lineRule="auto"/>
        <w:rPr>
          <w:sz w:val="20"/>
          <w:szCs w:val="20"/>
          <w:color w:val="auto"/>
        </w:rPr>
      </w:pPr>
      <w:r>
        <w:rPr>
          <w:rFonts w:ascii="Times New Roman" w:cs="Times New Roman" w:eastAsia="Times New Roman" w:hAnsi="Times New Roman"/>
          <w:sz w:val="17"/>
          <w:szCs w:val="17"/>
          <w:i w:val="1"/>
          <w:iCs w:val="1"/>
          <w:color w:val="auto"/>
        </w:rPr>
        <w:t>The statements contained in this release and statements that ALLETE may make orally in connection with this release that are not historical facts, are forward-looking statements. Actual results may differ materially from those projected in the forward-looking statements. These forward-looking statements involve risks and uncertainties and investors are directed to the risks discussed in documents filed by ALLETE with the Securities and Exchange Commission.</w:t>
      </w:r>
    </w:p>
    <w:p>
      <w:pPr>
        <w:spacing w:after="0" w:line="11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ALLETE's press releases and other communications may include certain non-Generally Accepted Accounting Principles (GAAP) financial measures. A "non-GAAP financial measure" is defined as a numerical measure of a company's financial performance, financial position or cash flows that excludes (or includes) amounts that are included in (or excluded from) the most directly comparable measure calculated and presented in accordance with GAAP in the company's financial statements.</w:t>
      </w:r>
    </w:p>
    <w:p>
      <w:pPr>
        <w:spacing w:after="0" w:line="180"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i w:val="1"/>
          <w:iCs w:val="1"/>
          <w:color w:val="auto"/>
        </w:rPr>
        <w:t>Non-GAAP financial measures utilized by the Company include presentations of earnings (loss) per share. ALLETE's management believes that these non-GAAP financial measures provide useful information to investors by removing the effect of variances in GAAP reported results of operations that are not indicative of changes in the fundamental earnings power of the Company's operations. Management believes that the presentation of the non-GAAP financial measures is appropriate and enables investors and analysts to more accurately compare the company's ongoing financial performance over the periods presented.</w:t>
      </w:r>
    </w:p>
    <w:p>
      <w:pPr>
        <w:sectPr>
          <w:pgSz w:w="11900" w:h="16838" w:orient="portrait"/>
          <w:cols w:equalWidth="0" w:num="1">
            <w:col w:w="11420"/>
          </w:cols>
          <w:pgMar w:left="240" w:top="999" w:right="2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ALLETE,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Millions Except Per Share Amounts -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00" w:type="dxa"/>
            <w:vAlign w:val="bottom"/>
          </w:tcPr>
          <w:p>
            <w:pPr>
              <w:spacing w:after="0"/>
              <w:rPr>
                <w:sz w:val="20"/>
                <w:szCs w:val="20"/>
                <w:color w:val="auto"/>
              </w:rPr>
            </w:pPr>
          </w:p>
        </w:tc>
        <w:tc>
          <w:tcPr>
            <w:tcW w:w="384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208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70"/>
        </w:trPr>
        <w:tc>
          <w:tcPr>
            <w:tcW w:w="5500" w:type="dxa"/>
            <w:vAlign w:val="bottom"/>
          </w:tcPr>
          <w:p>
            <w:pPr>
              <w:spacing w:after="0"/>
              <w:rPr>
                <w:sz w:val="23"/>
                <w:szCs w:val="23"/>
                <w:color w:val="auto"/>
              </w:rPr>
            </w:pP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60" w:type="dxa"/>
            <w:vAlign w:val="bottom"/>
          </w:tcPr>
          <w:p>
            <w:pPr>
              <w:spacing w:after="0"/>
              <w:rPr>
                <w:sz w:val="23"/>
                <w:szCs w:val="23"/>
                <w:color w:val="auto"/>
              </w:rPr>
            </w:pPr>
          </w:p>
        </w:tc>
      </w:tr>
      <w:tr>
        <w:trPr>
          <w:trHeight w:val="270"/>
        </w:trPr>
        <w:tc>
          <w:tcPr>
            <w:tcW w:w="5500" w:type="dxa"/>
            <w:vAlign w:val="bottom"/>
          </w:tcPr>
          <w:p>
            <w:pPr>
              <w:spacing w:after="0"/>
              <w:rPr>
                <w:sz w:val="23"/>
                <w:szCs w:val="23"/>
                <w:color w:val="auto"/>
              </w:rPr>
            </w:pPr>
          </w:p>
        </w:tc>
        <w:tc>
          <w:tcPr>
            <w:tcW w:w="298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8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4"/>
              </w:rPr>
              <w:t>2018</w:t>
            </w:r>
          </w:p>
        </w:tc>
        <w:tc>
          <w:tcPr>
            <w:tcW w:w="132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7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2018</w:t>
            </w:r>
          </w:p>
        </w:tc>
      </w:tr>
      <w:tr>
        <w:trPr>
          <w:trHeight w:val="27"/>
        </w:trPr>
        <w:tc>
          <w:tcPr>
            <w:tcW w:w="550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Revenue</w:t>
            </w:r>
          </w:p>
        </w:tc>
        <w:tc>
          <w:tcPr>
            <w:tcW w:w="29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Contracts with Customers – Utility</w:t>
            </w:r>
          </w:p>
        </w:tc>
        <w:tc>
          <w:tcPr>
            <w:tcW w:w="29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$249.8</w:t>
            </w:r>
          </w:p>
        </w:tc>
        <w:tc>
          <w:tcPr>
            <w:tcW w:w="8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$257.8</w:t>
            </w:r>
          </w:p>
        </w:tc>
        <w:tc>
          <w:tcPr>
            <w:tcW w:w="132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$532.0</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$528.0</w:t>
            </w:r>
          </w:p>
        </w:tc>
      </w:tr>
      <w:tr>
        <w:trPr>
          <w:trHeight w:val="243"/>
        </w:trPr>
        <w:tc>
          <w:tcPr>
            <w:tcW w:w="5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Contracts with Customers – Non-utility</w:t>
            </w:r>
          </w:p>
        </w:tc>
        <w:tc>
          <w:tcPr>
            <w:tcW w:w="29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37.7</w:t>
            </w:r>
          </w:p>
        </w:tc>
        <w:tc>
          <w:tcPr>
            <w:tcW w:w="8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80.4</w:t>
            </w:r>
          </w:p>
        </w:tc>
        <w:tc>
          <w:tcPr>
            <w:tcW w:w="13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109.8</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162.4</w:t>
            </w:r>
          </w:p>
        </w:tc>
      </w:tr>
      <w:tr>
        <w:trPr>
          <w:trHeight w:val="27"/>
        </w:trPr>
        <w:tc>
          <w:tcPr>
            <w:tcW w:w="55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5"/>
        </w:trPr>
        <w:tc>
          <w:tcPr>
            <w:tcW w:w="55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 Non-utility</w:t>
            </w:r>
          </w:p>
        </w:tc>
        <w:tc>
          <w:tcPr>
            <w:tcW w:w="29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2.9</w:t>
            </w:r>
          </w:p>
        </w:tc>
        <w:tc>
          <w:tcPr>
            <w:tcW w:w="8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5.9</w:t>
            </w:r>
          </w:p>
        </w:tc>
        <w:tc>
          <w:tcPr>
            <w:tcW w:w="132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5.8</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w:t>
            </w:r>
          </w:p>
        </w:tc>
      </w:tr>
      <w:tr>
        <w:trPr>
          <w:trHeight w:val="237"/>
        </w:trPr>
        <w:tc>
          <w:tcPr>
            <w:tcW w:w="550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Total Operating Revenue</w:t>
            </w:r>
          </w:p>
        </w:tc>
        <w:tc>
          <w:tcPr>
            <w:tcW w:w="298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290.4</w:t>
            </w:r>
          </w:p>
        </w:tc>
        <w:tc>
          <w:tcPr>
            <w:tcW w:w="8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344.1</w:t>
            </w:r>
          </w:p>
        </w:tc>
        <w:tc>
          <w:tcPr>
            <w:tcW w:w="132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647.6</w:t>
            </w:r>
          </w:p>
        </w:tc>
        <w:tc>
          <w:tcPr>
            <w:tcW w:w="7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702.3</w:t>
            </w:r>
          </w:p>
        </w:tc>
      </w:tr>
      <w:tr>
        <w:trPr>
          <w:trHeight w:val="27"/>
        </w:trPr>
        <w:tc>
          <w:tcPr>
            <w:tcW w:w="550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9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Fuel, Purchased Power and Gas – Utility</w:t>
            </w:r>
          </w:p>
        </w:tc>
        <w:tc>
          <w:tcPr>
            <w:tcW w:w="29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87.9</w:t>
            </w:r>
          </w:p>
        </w:tc>
        <w:tc>
          <w:tcPr>
            <w:tcW w:w="8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96.5</w:t>
            </w:r>
          </w:p>
        </w:tc>
        <w:tc>
          <w:tcPr>
            <w:tcW w:w="13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197.7</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197.4</w:t>
            </w:r>
          </w:p>
        </w:tc>
      </w:tr>
      <w:tr>
        <w:trPr>
          <w:trHeight w:val="27"/>
        </w:trPr>
        <w:tc>
          <w:tcPr>
            <w:tcW w:w="55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Transmission Services – Utility</w:t>
            </w:r>
          </w:p>
        </w:tc>
        <w:tc>
          <w:tcPr>
            <w:tcW w:w="29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19.2</w:t>
            </w:r>
          </w:p>
        </w:tc>
        <w:tc>
          <w:tcPr>
            <w:tcW w:w="8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16.8</w:t>
            </w:r>
          </w:p>
        </w:tc>
        <w:tc>
          <w:tcPr>
            <w:tcW w:w="132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37.5</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35.2</w:t>
            </w:r>
          </w:p>
        </w:tc>
      </w:tr>
      <w:tr>
        <w:trPr>
          <w:trHeight w:val="243"/>
        </w:trPr>
        <w:tc>
          <w:tcPr>
            <w:tcW w:w="5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Cost of Sales – Non-utility</w:t>
            </w:r>
          </w:p>
        </w:tc>
        <w:tc>
          <w:tcPr>
            <w:tcW w:w="29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16.5</w:t>
            </w:r>
          </w:p>
        </w:tc>
        <w:tc>
          <w:tcPr>
            <w:tcW w:w="8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37.0</w:t>
            </w:r>
          </w:p>
        </w:tc>
        <w:tc>
          <w:tcPr>
            <w:tcW w:w="13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47.1</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69.9</w:t>
            </w:r>
          </w:p>
        </w:tc>
      </w:tr>
      <w:tr>
        <w:trPr>
          <w:trHeight w:val="27"/>
        </w:trPr>
        <w:tc>
          <w:tcPr>
            <w:tcW w:w="55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Operating and Maintenance</w:t>
            </w:r>
          </w:p>
        </w:tc>
        <w:tc>
          <w:tcPr>
            <w:tcW w:w="29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66.7</w:t>
            </w:r>
          </w:p>
        </w:tc>
        <w:tc>
          <w:tcPr>
            <w:tcW w:w="8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86.8</w:t>
            </w:r>
          </w:p>
        </w:tc>
        <w:tc>
          <w:tcPr>
            <w:tcW w:w="132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142.9</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173.3</w:t>
            </w:r>
          </w:p>
        </w:tc>
      </w:tr>
      <w:tr>
        <w:trPr>
          <w:trHeight w:val="243"/>
        </w:trPr>
        <w:tc>
          <w:tcPr>
            <w:tcW w:w="5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9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50.2</w:t>
            </w:r>
          </w:p>
        </w:tc>
        <w:tc>
          <w:tcPr>
            <w:tcW w:w="8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56.1</w:t>
            </w:r>
          </w:p>
        </w:tc>
        <w:tc>
          <w:tcPr>
            <w:tcW w:w="13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102.1</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101.9</w:t>
            </w:r>
          </w:p>
        </w:tc>
      </w:tr>
      <w:tr>
        <w:trPr>
          <w:trHeight w:val="27"/>
        </w:trPr>
        <w:tc>
          <w:tcPr>
            <w:tcW w:w="55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5"/>
        </w:trPr>
        <w:tc>
          <w:tcPr>
            <w:tcW w:w="55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Taxes Other than Income Taxes</w:t>
            </w:r>
          </w:p>
        </w:tc>
        <w:tc>
          <w:tcPr>
            <w:tcW w:w="29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13.7</w:t>
            </w:r>
          </w:p>
        </w:tc>
        <w:tc>
          <w:tcPr>
            <w:tcW w:w="8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14.4</w:t>
            </w:r>
          </w:p>
        </w:tc>
        <w:tc>
          <w:tcPr>
            <w:tcW w:w="132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27.3</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30.7</w:t>
            </w:r>
          </w:p>
        </w:tc>
      </w:tr>
      <w:tr>
        <w:trPr>
          <w:trHeight w:val="237"/>
        </w:trPr>
        <w:tc>
          <w:tcPr>
            <w:tcW w:w="550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98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254.2</w:t>
            </w:r>
          </w:p>
        </w:tc>
        <w:tc>
          <w:tcPr>
            <w:tcW w:w="8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307.6</w:t>
            </w:r>
          </w:p>
        </w:tc>
        <w:tc>
          <w:tcPr>
            <w:tcW w:w="132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554.6</w:t>
            </w:r>
          </w:p>
        </w:tc>
        <w:tc>
          <w:tcPr>
            <w:tcW w:w="7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608.4</w:t>
            </w:r>
          </w:p>
        </w:tc>
      </w:tr>
      <w:tr>
        <w:trPr>
          <w:trHeight w:val="27"/>
        </w:trPr>
        <w:tc>
          <w:tcPr>
            <w:tcW w:w="550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9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36.2</w:t>
            </w:r>
          </w:p>
        </w:tc>
        <w:tc>
          <w:tcPr>
            <w:tcW w:w="8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36.5</w:t>
            </w:r>
          </w:p>
        </w:tc>
        <w:tc>
          <w:tcPr>
            <w:tcW w:w="132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93.0</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93.9</w:t>
            </w:r>
          </w:p>
        </w:tc>
      </w:tr>
      <w:tr>
        <w:trPr>
          <w:trHeight w:val="237"/>
        </w:trPr>
        <w:tc>
          <w:tcPr>
            <w:tcW w:w="55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9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 Expense</w:t>
            </w:r>
          </w:p>
        </w:tc>
        <w:tc>
          <w:tcPr>
            <w:tcW w:w="298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(16.3)</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(17.1)</w:t>
            </w:r>
          </w:p>
        </w:tc>
        <w:tc>
          <w:tcPr>
            <w:tcW w:w="13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(32.8)</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r>
      <w:tr>
        <w:trPr>
          <w:trHeight w:val="243"/>
        </w:trPr>
        <w:tc>
          <w:tcPr>
            <w:tcW w:w="5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Equity Earnings</w:t>
            </w:r>
          </w:p>
        </w:tc>
        <w:tc>
          <w:tcPr>
            <w:tcW w:w="29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4.8</w:t>
            </w:r>
          </w:p>
        </w:tc>
        <w:tc>
          <w:tcPr>
            <w:tcW w:w="8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4.3</w:t>
            </w:r>
          </w:p>
        </w:tc>
        <w:tc>
          <w:tcPr>
            <w:tcW w:w="13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10.4</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w:t>
            </w:r>
          </w:p>
        </w:tc>
      </w:tr>
      <w:tr>
        <w:trPr>
          <w:trHeight w:val="27"/>
        </w:trPr>
        <w:tc>
          <w:tcPr>
            <w:tcW w:w="55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Gain on Sale of U.S. Water Services</w:t>
            </w:r>
          </w:p>
        </w:tc>
        <w:tc>
          <w:tcPr>
            <w:tcW w:w="29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0.5</w:t>
            </w:r>
          </w:p>
        </w:tc>
        <w:tc>
          <w:tcPr>
            <w:tcW w:w="8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20.6</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29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4.2</w:t>
            </w:r>
          </w:p>
        </w:tc>
        <w:tc>
          <w:tcPr>
            <w:tcW w:w="8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2.2</w:t>
            </w:r>
          </w:p>
        </w:tc>
        <w:tc>
          <w:tcPr>
            <w:tcW w:w="13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11.6</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r>
      <w:tr>
        <w:trPr>
          <w:trHeight w:val="27"/>
        </w:trPr>
        <w:tc>
          <w:tcPr>
            <w:tcW w:w="550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55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98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(6.8)</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(10.6)</w:t>
            </w:r>
          </w:p>
        </w:tc>
        <w:tc>
          <w:tcPr>
            <w:tcW w:w="132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9.8</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37"/>
        </w:trPr>
        <w:tc>
          <w:tcPr>
            <w:tcW w:w="55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98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29.4</w:t>
            </w:r>
          </w:p>
        </w:tc>
        <w:tc>
          <w:tcPr>
            <w:tcW w:w="8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25.9</w:t>
            </w:r>
          </w:p>
        </w:tc>
        <w:tc>
          <w:tcPr>
            <w:tcW w:w="132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102.8</w:t>
            </w:r>
          </w:p>
        </w:tc>
        <w:tc>
          <w:tcPr>
            <w:tcW w:w="7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73.2</w:t>
            </w:r>
          </w:p>
        </w:tc>
      </w:tr>
      <w:tr>
        <w:trPr>
          <w:trHeight w:val="27"/>
        </w:trPr>
        <w:tc>
          <w:tcPr>
            <w:tcW w:w="55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5"/>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Income Tax Benefit</w:t>
            </w:r>
          </w:p>
        </w:tc>
        <w:tc>
          <w:tcPr>
            <w:tcW w:w="298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(4.8)</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(5.4)</w:t>
            </w:r>
          </w:p>
        </w:tc>
        <w:tc>
          <w:tcPr>
            <w:tcW w:w="13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(1.9)</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37"/>
        </w:trPr>
        <w:tc>
          <w:tcPr>
            <w:tcW w:w="55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98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$34.2</w:t>
            </w:r>
          </w:p>
        </w:tc>
        <w:tc>
          <w:tcPr>
            <w:tcW w:w="8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$31.3</w:t>
            </w:r>
          </w:p>
        </w:tc>
        <w:tc>
          <w:tcPr>
            <w:tcW w:w="132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$104.7</w:t>
            </w:r>
          </w:p>
        </w:tc>
        <w:tc>
          <w:tcPr>
            <w:tcW w:w="7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$82.3</w:t>
            </w:r>
          </w:p>
        </w:tc>
      </w:tr>
      <w:tr>
        <w:trPr>
          <w:trHeight w:val="27"/>
        </w:trPr>
        <w:tc>
          <w:tcPr>
            <w:tcW w:w="550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Average Shares of Common Stock</w:t>
            </w:r>
          </w:p>
        </w:tc>
        <w:tc>
          <w:tcPr>
            <w:tcW w:w="29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29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51.6</w:t>
            </w:r>
          </w:p>
        </w:tc>
        <w:tc>
          <w:tcPr>
            <w:tcW w:w="8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51.3</w:t>
            </w:r>
          </w:p>
        </w:tc>
        <w:tc>
          <w:tcPr>
            <w:tcW w:w="13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51.6</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51.2</w:t>
            </w:r>
          </w:p>
        </w:tc>
      </w:tr>
      <w:tr>
        <w:trPr>
          <w:trHeight w:val="27"/>
        </w:trPr>
        <w:tc>
          <w:tcPr>
            <w:tcW w:w="55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5"/>
        </w:trPr>
        <w:tc>
          <w:tcPr>
            <w:tcW w:w="55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29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51.7</w:t>
            </w:r>
          </w:p>
        </w:tc>
        <w:tc>
          <w:tcPr>
            <w:tcW w:w="8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51.5</w:t>
            </w:r>
          </w:p>
        </w:tc>
        <w:tc>
          <w:tcPr>
            <w:tcW w:w="132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51.7</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51.4</w:t>
            </w:r>
          </w:p>
        </w:tc>
      </w:tr>
      <w:tr>
        <w:trPr>
          <w:trHeight w:val="237"/>
        </w:trPr>
        <w:tc>
          <w:tcPr>
            <w:tcW w:w="55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Basic Earnings Per Share of Common Stock</w:t>
            </w:r>
          </w:p>
        </w:tc>
        <w:tc>
          <w:tcPr>
            <w:tcW w:w="298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$0.66</w:t>
            </w:r>
          </w:p>
        </w:tc>
        <w:tc>
          <w:tcPr>
            <w:tcW w:w="8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$0.61</w:t>
            </w:r>
          </w:p>
        </w:tc>
        <w:tc>
          <w:tcPr>
            <w:tcW w:w="132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$2.03</w:t>
            </w:r>
          </w:p>
        </w:tc>
        <w:tc>
          <w:tcPr>
            <w:tcW w:w="7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$1.61</w:t>
            </w:r>
          </w:p>
        </w:tc>
      </w:tr>
      <w:tr>
        <w:trPr>
          <w:trHeight w:val="27"/>
        </w:trPr>
        <w:tc>
          <w:tcPr>
            <w:tcW w:w="55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Diluted Earnings Per Share of Common Stock</w:t>
            </w:r>
          </w:p>
        </w:tc>
        <w:tc>
          <w:tcPr>
            <w:tcW w:w="29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$0.66</w:t>
            </w:r>
          </w:p>
        </w:tc>
        <w:tc>
          <w:tcPr>
            <w:tcW w:w="8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$0.61</w:t>
            </w:r>
          </w:p>
        </w:tc>
        <w:tc>
          <w:tcPr>
            <w:tcW w:w="132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$2.02</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43"/>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Dividends Per Share of Common Stock</w:t>
            </w:r>
          </w:p>
        </w:tc>
        <w:tc>
          <w:tcPr>
            <w:tcW w:w="29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$0.5875</w:t>
            </w:r>
          </w:p>
        </w:tc>
        <w:tc>
          <w:tcPr>
            <w:tcW w:w="8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$0.56</w:t>
            </w:r>
          </w:p>
        </w:tc>
        <w:tc>
          <w:tcPr>
            <w:tcW w:w="13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$1.175</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w:t>
            </w:r>
          </w:p>
        </w:tc>
      </w:tr>
      <w:tr>
        <w:trPr>
          <w:trHeight w:val="27"/>
        </w:trPr>
        <w:tc>
          <w:tcPr>
            <w:tcW w:w="550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bl>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p>
      <w:pPr>
        <w:jc w:val="center"/>
        <w:spacing w:after="0"/>
        <w:rPr>
          <w:sz w:val="20"/>
          <w:szCs w:val="20"/>
          <w:color w:val="auto"/>
        </w:rPr>
      </w:pPr>
      <w:r>
        <w:rPr>
          <w:rFonts w:ascii="Times New Roman" w:cs="Times New Roman" w:eastAsia="Times New Roman" w:hAnsi="Times New Roman"/>
          <w:sz w:val="18"/>
          <w:szCs w:val="18"/>
          <w:color w:val="auto"/>
        </w:rPr>
        <w:t>Millions - 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Jun. 30,</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 31,</w:t>
            </w:r>
          </w:p>
        </w:tc>
        <w:tc>
          <w:tcPr>
            <w:tcW w:w="4020" w:type="dxa"/>
            <w:vAlign w:val="bottom"/>
          </w:tcPr>
          <w:p>
            <w:pPr>
              <w:spacing w:after="0"/>
              <w:rPr>
                <w:sz w:val="20"/>
                <w:szCs w:val="20"/>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Jun. 30,</w:t>
            </w: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Dec. 31,</w:t>
            </w:r>
          </w:p>
        </w:tc>
        <w:tc>
          <w:tcPr>
            <w:tcW w:w="0" w:type="dxa"/>
            <w:vAlign w:val="bottom"/>
          </w:tcPr>
          <w:p>
            <w:pPr>
              <w:spacing w:after="0"/>
              <w:rPr>
                <w:sz w:val="1"/>
                <w:szCs w:val="1"/>
                <w:color w:val="auto"/>
              </w:rPr>
            </w:pPr>
          </w:p>
        </w:tc>
      </w:tr>
      <w:tr>
        <w:trPr>
          <w:trHeight w:val="270"/>
        </w:trPr>
        <w:tc>
          <w:tcPr>
            <w:tcW w:w="3200" w:type="dxa"/>
            <w:vAlign w:val="bottom"/>
          </w:tcPr>
          <w:p>
            <w:pPr>
              <w:spacing w:after="0"/>
              <w:rPr>
                <w:sz w:val="23"/>
                <w:szCs w:val="23"/>
                <w:color w:val="auto"/>
              </w:rPr>
            </w:pPr>
          </w:p>
        </w:tc>
        <w:tc>
          <w:tcPr>
            <w:tcW w:w="13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9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4020" w:type="dxa"/>
            <w:vAlign w:val="bottom"/>
          </w:tcPr>
          <w:p>
            <w:pPr>
              <w:spacing w:after="0"/>
              <w:rPr>
                <w:sz w:val="23"/>
                <w:szCs w:val="23"/>
                <w:color w:val="auto"/>
              </w:rPr>
            </w:pPr>
          </w:p>
        </w:tc>
        <w:tc>
          <w:tcPr>
            <w:tcW w:w="11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8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7"/>
        </w:trPr>
        <w:tc>
          <w:tcPr>
            <w:tcW w:w="3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40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Current Liabilities</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$296.6</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$405.1</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Current Assets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Long-Term Debt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1,505.9</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1,428.5</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 Net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4,062.9</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3,904.4</w:t>
            </w:r>
          </w:p>
        </w:tc>
        <w:tc>
          <w:tcPr>
            <w:tcW w:w="40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Deferred Income Taxes</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213.5</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Regulatory Assets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391.2</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389.5</w:t>
            </w: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Regulatory Liabilities</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508.8</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512.1</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2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Investments</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4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Defined Benefit Pension and Other Postretirement</w:t>
            </w:r>
          </w:p>
        </w:tc>
        <w:tc>
          <w:tcPr>
            <w:tcW w:w="11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163.9</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0" w:type="dxa"/>
            <w:vAlign w:val="bottom"/>
          </w:tcPr>
          <w:p>
            <w:pPr>
              <w:spacing w:after="0"/>
              <w:rPr>
                <w:sz w:val="1"/>
                <w:szCs w:val="1"/>
                <w:color w:val="auto"/>
              </w:rPr>
            </w:pPr>
          </w:p>
        </w:tc>
      </w:tr>
      <w:tr>
        <w:trPr>
          <w:trHeight w:val="241"/>
        </w:trPr>
        <w:tc>
          <w:tcPr>
            <w:tcW w:w="3200" w:type="dxa"/>
            <w:vAlign w:val="bottom"/>
            <w:tcBorders>
              <w:bottom w:val="single" w:sz="8" w:color="CCEEFF"/>
            </w:tcBorders>
            <w:vMerge w:val="continue"/>
            <w:shd w:val="clear" w:color="auto" w:fill="CCEEFF"/>
          </w:tcPr>
          <w:p>
            <w:pPr>
              <w:spacing w:after="0"/>
              <w:rPr>
                <w:sz w:val="20"/>
                <w:szCs w:val="20"/>
                <w:color w:val="auto"/>
              </w:rPr>
            </w:pPr>
          </w:p>
        </w:tc>
        <w:tc>
          <w:tcPr>
            <w:tcW w:w="1320" w:type="dxa"/>
            <w:vAlign w:val="bottom"/>
            <w:tcBorders>
              <w:bottom w:val="single" w:sz="8" w:color="CCEEFF"/>
            </w:tcBorders>
            <w:vMerge w:val="continue"/>
            <w:shd w:val="clear" w:color="auto" w:fill="CCEEFF"/>
          </w:tcPr>
          <w:p>
            <w:pPr>
              <w:spacing w:after="0"/>
              <w:rPr>
                <w:sz w:val="20"/>
                <w:szCs w:val="20"/>
                <w:color w:val="auto"/>
              </w:rPr>
            </w:pPr>
          </w:p>
        </w:tc>
        <w:tc>
          <w:tcPr>
            <w:tcW w:w="920" w:type="dxa"/>
            <w:vAlign w:val="bottom"/>
            <w:tcBorders>
              <w:bottom w:val="single" w:sz="8" w:color="CCEEFF"/>
            </w:tcBorders>
            <w:vMerge w:val="continue"/>
            <w:shd w:val="clear" w:color="auto" w:fill="CCEEFF"/>
          </w:tcPr>
          <w:p>
            <w:pPr>
              <w:spacing w:after="0"/>
              <w:rPr>
                <w:sz w:val="20"/>
                <w:szCs w:val="20"/>
                <w:color w:val="auto"/>
              </w:rPr>
            </w:pPr>
          </w:p>
        </w:tc>
        <w:tc>
          <w:tcPr>
            <w:tcW w:w="40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Benefit Plans</w:t>
            </w:r>
          </w:p>
        </w:tc>
        <w:tc>
          <w:tcPr>
            <w:tcW w:w="1120" w:type="dxa"/>
            <w:vAlign w:val="bottom"/>
            <w:tcBorders>
              <w:bottom w:val="single" w:sz="8" w:color="CCEEFF"/>
            </w:tcBorders>
            <w:vMerge w:val="continue"/>
            <w:shd w:val="clear" w:color="auto" w:fill="CCEEFF"/>
          </w:tcPr>
          <w:p>
            <w:pPr>
              <w:spacing w:after="0"/>
              <w:rPr>
                <w:sz w:val="20"/>
                <w:szCs w:val="20"/>
                <w:color w:val="auto"/>
              </w:rPr>
            </w:pPr>
          </w:p>
        </w:tc>
        <w:tc>
          <w:tcPr>
            <w:tcW w:w="84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 and Intangibles – Net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282.8</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262.6</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Non-Current Assets</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40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Shareholders’ Equity</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2,205.0</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2,155.8</w:t>
            </w:r>
          </w:p>
        </w:tc>
        <w:tc>
          <w:tcPr>
            <w:tcW w:w="0" w:type="dxa"/>
            <w:vAlign w:val="bottom"/>
          </w:tcPr>
          <w:p>
            <w:pPr>
              <w:spacing w:after="0"/>
              <w:rPr>
                <w:sz w:val="1"/>
                <w:szCs w:val="1"/>
                <w:color w:val="auto"/>
              </w:rPr>
            </w:pPr>
          </w:p>
        </w:tc>
      </w:tr>
      <w:tr>
        <w:trPr>
          <w:trHeight w:val="237"/>
        </w:trPr>
        <w:tc>
          <w:tcPr>
            <w:tcW w:w="32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$5,176.5</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$5,165.0</w:t>
            </w:r>
          </w:p>
        </w:tc>
        <w:tc>
          <w:tcPr>
            <w:tcW w:w="40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$5,176.5</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$5,165.0</w:t>
            </w:r>
          </w:p>
        </w:tc>
        <w:tc>
          <w:tcPr>
            <w:tcW w:w="0" w:type="dxa"/>
            <w:vAlign w:val="bottom"/>
          </w:tcPr>
          <w:p>
            <w:pPr>
              <w:spacing w:after="0"/>
              <w:rPr>
                <w:sz w:val="1"/>
                <w:szCs w:val="1"/>
                <w:color w:val="auto"/>
              </w:rPr>
            </w:pPr>
          </w:p>
        </w:tc>
      </w:tr>
      <w:tr>
        <w:trPr>
          <w:trHeight w:val="27"/>
        </w:trPr>
        <w:tc>
          <w:tcPr>
            <w:tcW w:w="3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7"/>
          <w:szCs w:val="17"/>
          <w:b w:val="1"/>
          <w:bCs w:val="1"/>
          <w:color w:val="auto"/>
        </w:rPr>
        <w:t>This exhibit has been 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p>
    <w:p>
      <w:pPr>
        <w:sectPr>
          <w:pgSz w:w="11900" w:h="16838" w:orient="portrait"/>
          <w:cols w:equalWidth="0" w:num="1">
            <w:col w:w="11420"/>
          </w:cols>
          <w:pgMar w:left="240" w:top="995" w:right="239" w:bottom="959"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38"/>
        </w:trPr>
        <w:tc>
          <w:tcPr>
            <w:tcW w:w="4540" w:type="dxa"/>
            <w:vAlign w:val="bottom"/>
          </w:tcPr>
          <w:p>
            <w:pPr>
              <w:spacing w:after="0"/>
              <w:rPr>
                <w:sz w:val="20"/>
                <w:szCs w:val="20"/>
                <w:color w:val="auto"/>
              </w:rPr>
            </w:pPr>
          </w:p>
        </w:tc>
        <w:tc>
          <w:tcPr>
            <w:tcW w:w="3760" w:type="dxa"/>
            <w:vAlign w:val="bottom"/>
            <w:gridSpan w:val="2"/>
          </w:tcPr>
          <w:p>
            <w:pPr>
              <w:jc w:val="right"/>
              <w:ind w:right="131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3120" w:type="dxa"/>
            <w:vAlign w:val="bottom"/>
            <w:gridSpan w:val="2"/>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70"/>
        </w:trPr>
        <w:tc>
          <w:tcPr>
            <w:tcW w:w="45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ALLETE, Inc.</w:t>
            </w:r>
          </w:p>
        </w:tc>
        <w:tc>
          <w:tcPr>
            <w:tcW w:w="2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540" w:type="dxa"/>
            <w:vAlign w:val="bottom"/>
          </w:tcPr>
          <w:p>
            <w:pPr>
              <w:spacing w:after="0"/>
              <w:rPr>
                <w:sz w:val="23"/>
                <w:szCs w:val="23"/>
                <w:color w:val="auto"/>
              </w:rPr>
            </w:pPr>
          </w:p>
        </w:tc>
        <w:tc>
          <w:tcPr>
            <w:tcW w:w="19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20" w:type="dxa"/>
            <w:vAlign w:val="bottom"/>
          </w:tcPr>
          <w:p>
            <w:pPr>
              <w:spacing w:after="0"/>
              <w:rPr>
                <w:sz w:val="23"/>
                <w:szCs w:val="23"/>
                <w:color w:val="auto"/>
              </w:rPr>
            </w:pPr>
          </w:p>
        </w:tc>
      </w:tr>
      <w:tr>
        <w:trPr>
          <w:trHeight w:val="270"/>
        </w:trPr>
        <w:tc>
          <w:tcPr>
            <w:tcW w:w="45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Income (Loss)</w:t>
            </w:r>
          </w:p>
        </w:tc>
        <w:tc>
          <w:tcPr>
            <w:tcW w:w="2220" w:type="dxa"/>
            <w:vAlign w:val="bottom"/>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540" w:type="dxa"/>
            <w:vAlign w:val="bottom"/>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900" w:type="dxa"/>
            <w:vAlign w:val="bottom"/>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2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45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Millions</w:t>
            </w:r>
          </w:p>
        </w:tc>
        <w:tc>
          <w:tcPr>
            <w:tcW w:w="22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45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Regulated Operations</w:t>
            </w:r>
          </w:p>
        </w:tc>
        <w:tc>
          <w:tcPr>
            <w:tcW w:w="2220" w:type="dxa"/>
            <w:vAlign w:val="bottom"/>
            <w:tcBorders>
              <w:bottom w:val="single" w:sz="8" w:color="CCEEFF"/>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$30.3</w:t>
            </w:r>
          </w:p>
        </w:tc>
        <w:tc>
          <w:tcPr>
            <w:tcW w:w="1540" w:type="dxa"/>
            <w:vAlign w:val="bottom"/>
            <w:tcBorders>
              <w:bottom w:val="single" w:sz="8" w:color="CCEEFF"/>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$26.0</w:t>
            </w:r>
          </w:p>
        </w:tc>
        <w:tc>
          <w:tcPr>
            <w:tcW w:w="1900" w:type="dxa"/>
            <w:vAlign w:val="bottom"/>
            <w:tcBorders>
              <w:bottom w:val="single" w:sz="8" w:color="CCEEFF"/>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$81.8</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$69.9</w:t>
            </w:r>
          </w:p>
        </w:tc>
      </w:tr>
      <w:tr>
        <w:trPr>
          <w:trHeight w:val="216"/>
        </w:trPr>
        <w:tc>
          <w:tcPr>
            <w:tcW w:w="45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50"/>
        </w:trPr>
        <w:tc>
          <w:tcPr>
            <w:tcW w:w="45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Energy Infrastructure and Related Services</w:t>
            </w:r>
          </w:p>
        </w:tc>
        <w:tc>
          <w:tcPr>
            <w:tcW w:w="22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ALLETE Clean Energy</w:t>
            </w:r>
          </w:p>
        </w:tc>
        <w:tc>
          <w:tcPr>
            <w:tcW w:w="22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1.9</w:t>
            </w:r>
          </w:p>
        </w:tc>
        <w:tc>
          <w:tcPr>
            <w:tcW w:w="15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6.8</w:t>
            </w:r>
          </w:p>
        </w:tc>
        <w:tc>
          <w:tcPr>
            <w:tcW w:w="190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7.7</w:t>
            </w:r>
          </w:p>
        </w:tc>
        <w:tc>
          <w:tcPr>
            <w:tcW w:w="12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14.9</w:t>
            </w:r>
          </w:p>
        </w:tc>
      </w:tr>
      <w:tr>
        <w:trPr>
          <w:trHeight w:val="27"/>
        </w:trPr>
        <w:tc>
          <w:tcPr>
            <w:tcW w:w="45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U.S. Water Services</w:t>
            </w:r>
          </w:p>
        </w:tc>
        <w:tc>
          <w:tcPr>
            <w:tcW w:w="2220" w:type="dxa"/>
            <w:vAlign w:val="bottom"/>
            <w:tcBorders>
              <w:bottom w:val="single" w:sz="8" w:color="CCEEFF"/>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0.2</w:t>
            </w:r>
          </w:p>
        </w:tc>
        <w:tc>
          <w:tcPr>
            <w:tcW w:w="1900" w:type="dxa"/>
            <w:vAlign w:val="bottom"/>
            <w:tcBorders>
              <w:bottom w:val="single" w:sz="8" w:color="CCEEFF"/>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(1.1)</w:t>
            </w:r>
          </w:p>
        </w:tc>
        <w:tc>
          <w:tcPr>
            <w:tcW w:w="122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45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75"/>
        </w:trPr>
        <w:tc>
          <w:tcPr>
            <w:tcW w:w="4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Corporate and Other</w:t>
            </w:r>
          </w:p>
        </w:tc>
        <w:tc>
          <w:tcPr>
            <w:tcW w:w="2220" w:type="dxa"/>
            <w:vAlign w:val="bottom"/>
            <w:tcBorders>
              <w:bottom w:val="single" w:sz="8" w:color="CCEEFF"/>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2.0</w:t>
            </w:r>
          </w:p>
        </w:tc>
        <w:tc>
          <w:tcPr>
            <w:tcW w:w="1540" w:type="dxa"/>
            <w:vAlign w:val="bottom"/>
            <w:tcBorders>
              <w:bottom w:val="single" w:sz="8" w:color="CCEEFF"/>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(1.7)</w:t>
            </w:r>
          </w:p>
        </w:tc>
        <w:tc>
          <w:tcPr>
            <w:tcW w:w="1900" w:type="dxa"/>
            <w:vAlign w:val="bottom"/>
            <w:tcBorders>
              <w:bottom w:val="single" w:sz="8" w:color="CCEEFF"/>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16.3</w:t>
            </w:r>
          </w:p>
        </w:tc>
        <w:tc>
          <w:tcPr>
            <w:tcW w:w="122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(1.3)</w:t>
            </w:r>
          </w:p>
        </w:tc>
      </w:tr>
      <w:tr>
        <w:trPr>
          <w:trHeight w:val="237"/>
        </w:trPr>
        <w:tc>
          <w:tcPr>
            <w:tcW w:w="454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Net Income</w:t>
            </w:r>
          </w:p>
        </w:tc>
        <w:tc>
          <w:tcPr>
            <w:tcW w:w="2220" w:type="dxa"/>
            <w:vAlign w:val="bottom"/>
            <w:tcBorders>
              <w:top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$34.2</w:t>
            </w:r>
          </w:p>
        </w:tc>
        <w:tc>
          <w:tcPr>
            <w:tcW w:w="154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$31.3</w:t>
            </w:r>
          </w:p>
        </w:tc>
        <w:tc>
          <w:tcPr>
            <w:tcW w:w="1900" w:type="dxa"/>
            <w:vAlign w:val="bottom"/>
            <w:tcBorders>
              <w:top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$104.7</w:t>
            </w:r>
          </w:p>
        </w:tc>
        <w:tc>
          <w:tcPr>
            <w:tcW w:w="122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$82.3</w:t>
            </w:r>
          </w:p>
        </w:tc>
      </w:tr>
      <w:tr>
        <w:trPr>
          <w:trHeight w:val="27"/>
        </w:trPr>
        <w:tc>
          <w:tcPr>
            <w:tcW w:w="45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4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2220" w:type="dxa"/>
            <w:vAlign w:val="bottom"/>
            <w:tcBorders>
              <w:bottom w:val="single" w:sz="8" w:color="CCEEFF"/>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$0.66</w:t>
            </w:r>
          </w:p>
        </w:tc>
        <w:tc>
          <w:tcPr>
            <w:tcW w:w="1540" w:type="dxa"/>
            <w:vAlign w:val="bottom"/>
            <w:tcBorders>
              <w:bottom w:val="single" w:sz="8" w:color="CCEEFF"/>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$0.61</w:t>
            </w:r>
          </w:p>
        </w:tc>
        <w:tc>
          <w:tcPr>
            <w:tcW w:w="1900" w:type="dxa"/>
            <w:vAlign w:val="bottom"/>
            <w:tcBorders>
              <w:bottom w:val="single" w:sz="8" w:color="CCEEFF"/>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$2.02</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$1.60</w:t>
            </w:r>
          </w:p>
        </w:tc>
      </w:tr>
      <w:tr>
        <w:trPr>
          <w:trHeight w:val="588"/>
        </w:trPr>
        <w:tc>
          <w:tcPr>
            <w:tcW w:w="45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Statistical Data</w:t>
            </w:r>
          </w:p>
        </w:tc>
        <w:tc>
          <w:tcPr>
            <w:tcW w:w="222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19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7"/>
        </w:trPr>
        <w:tc>
          <w:tcPr>
            <w:tcW w:w="45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w:t>
            </w:r>
          </w:p>
        </w:tc>
        <w:tc>
          <w:tcPr>
            <w:tcW w:w="22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45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Common Stock</w:t>
            </w:r>
          </w:p>
        </w:tc>
        <w:tc>
          <w:tcPr>
            <w:tcW w:w="22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5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High</w:t>
            </w:r>
          </w:p>
        </w:tc>
        <w:tc>
          <w:tcPr>
            <w:tcW w:w="22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$86.52</w:t>
            </w:r>
          </w:p>
        </w:tc>
        <w:tc>
          <w:tcPr>
            <w:tcW w:w="15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$79.86</w:t>
            </w:r>
          </w:p>
        </w:tc>
        <w:tc>
          <w:tcPr>
            <w:tcW w:w="19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$86.52</w:t>
            </w:r>
          </w:p>
        </w:tc>
        <w:tc>
          <w:tcPr>
            <w:tcW w:w="12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$79.86</w:t>
            </w:r>
          </w:p>
        </w:tc>
      </w:tr>
      <w:tr>
        <w:trPr>
          <w:trHeight w:val="27"/>
        </w:trPr>
        <w:tc>
          <w:tcPr>
            <w:tcW w:w="45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Low</w:t>
            </w:r>
          </w:p>
        </w:tc>
        <w:tc>
          <w:tcPr>
            <w:tcW w:w="22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$78.86</w:t>
            </w:r>
          </w:p>
        </w:tc>
        <w:tc>
          <w:tcPr>
            <w:tcW w:w="15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$70.40</w:t>
            </w:r>
          </w:p>
        </w:tc>
        <w:tc>
          <w:tcPr>
            <w:tcW w:w="1900" w:type="dxa"/>
            <w:vAlign w:val="bottom"/>
            <w:tcBorders>
              <w:bottom w:val="single" w:sz="8" w:color="CCEEFF"/>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$72.50</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$66.64</w:t>
            </w:r>
          </w:p>
        </w:tc>
      </w:tr>
      <w:tr>
        <w:trPr>
          <w:trHeight w:val="243"/>
        </w:trPr>
        <w:tc>
          <w:tcPr>
            <w:tcW w:w="45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Close</w:t>
            </w:r>
          </w:p>
        </w:tc>
        <w:tc>
          <w:tcPr>
            <w:tcW w:w="22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$83.21</w:t>
            </w:r>
          </w:p>
        </w:tc>
        <w:tc>
          <w:tcPr>
            <w:tcW w:w="15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$77.41</w:t>
            </w:r>
          </w:p>
        </w:tc>
        <w:tc>
          <w:tcPr>
            <w:tcW w:w="19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$83.21</w:t>
            </w:r>
          </w:p>
        </w:tc>
        <w:tc>
          <w:tcPr>
            <w:tcW w:w="12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$77.41</w:t>
            </w:r>
          </w:p>
        </w:tc>
      </w:tr>
      <w:tr>
        <w:trPr>
          <w:trHeight w:val="27"/>
        </w:trPr>
        <w:tc>
          <w:tcPr>
            <w:tcW w:w="45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4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Book Value</w:t>
            </w:r>
          </w:p>
        </w:tc>
        <w:tc>
          <w:tcPr>
            <w:tcW w:w="22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$42.69</w:t>
            </w:r>
          </w:p>
        </w:tc>
        <w:tc>
          <w:tcPr>
            <w:tcW w:w="15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$41.05</w:t>
            </w:r>
          </w:p>
        </w:tc>
        <w:tc>
          <w:tcPr>
            <w:tcW w:w="1900" w:type="dxa"/>
            <w:vAlign w:val="bottom"/>
            <w:tcBorders>
              <w:bottom w:val="single" w:sz="8" w:color="CCEEFF"/>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$42.69</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$41.05</w:t>
            </w:r>
          </w:p>
        </w:tc>
      </w:tr>
      <w:tr>
        <w:trPr>
          <w:trHeight w:val="588"/>
        </w:trPr>
        <w:tc>
          <w:tcPr>
            <w:tcW w:w="45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Kilowatt-hours Sold</w:t>
            </w:r>
          </w:p>
        </w:tc>
        <w:tc>
          <w:tcPr>
            <w:tcW w:w="222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19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7"/>
        </w:trPr>
        <w:tc>
          <w:tcPr>
            <w:tcW w:w="45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Millions</w:t>
            </w:r>
          </w:p>
        </w:tc>
        <w:tc>
          <w:tcPr>
            <w:tcW w:w="22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45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Regulated Utility</w:t>
            </w:r>
          </w:p>
        </w:tc>
        <w:tc>
          <w:tcPr>
            <w:tcW w:w="22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5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Retail and Municipal</w:t>
            </w:r>
          </w:p>
        </w:tc>
        <w:tc>
          <w:tcPr>
            <w:tcW w:w="22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5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Residential</w:t>
            </w:r>
          </w:p>
        </w:tc>
        <w:tc>
          <w:tcPr>
            <w:tcW w:w="22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232</w:t>
            </w:r>
          </w:p>
        </w:tc>
        <w:tc>
          <w:tcPr>
            <w:tcW w:w="15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243</w:t>
            </w:r>
          </w:p>
        </w:tc>
        <w:tc>
          <w:tcPr>
            <w:tcW w:w="1900" w:type="dxa"/>
            <w:vAlign w:val="bottom"/>
            <w:tcBorders>
              <w:bottom w:val="single" w:sz="8" w:color="CCEEFF"/>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581</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585</w:t>
            </w:r>
          </w:p>
        </w:tc>
      </w:tr>
      <w:tr>
        <w:trPr>
          <w:trHeight w:val="243"/>
        </w:trPr>
        <w:tc>
          <w:tcPr>
            <w:tcW w:w="45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Commercial</w:t>
            </w:r>
          </w:p>
        </w:tc>
        <w:tc>
          <w:tcPr>
            <w:tcW w:w="22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317</w:t>
            </w:r>
          </w:p>
        </w:tc>
        <w:tc>
          <w:tcPr>
            <w:tcW w:w="15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339</w:t>
            </w:r>
          </w:p>
        </w:tc>
        <w:tc>
          <w:tcPr>
            <w:tcW w:w="19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683</w:t>
            </w:r>
          </w:p>
        </w:tc>
        <w:tc>
          <w:tcPr>
            <w:tcW w:w="12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706</w:t>
            </w:r>
          </w:p>
        </w:tc>
      </w:tr>
      <w:tr>
        <w:trPr>
          <w:trHeight w:val="27"/>
        </w:trPr>
        <w:tc>
          <w:tcPr>
            <w:tcW w:w="45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Industrial</w:t>
            </w:r>
          </w:p>
        </w:tc>
        <w:tc>
          <w:tcPr>
            <w:tcW w:w="22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1,773</w:t>
            </w:r>
          </w:p>
        </w:tc>
        <w:tc>
          <w:tcPr>
            <w:tcW w:w="15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1,781</w:t>
            </w:r>
          </w:p>
        </w:tc>
        <w:tc>
          <w:tcPr>
            <w:tcW w:w="1900" w:type="dxa"/>
            <w:vAlign w:val="bottom"/>
            <w:tcBorders>
              <w:bottom w:val="single" w:sz="8" w:color="CCEEFF"/>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3,587</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3,624</w:t>
            </w:r>
          </w:p>
        </w:tc>
      </w:tr>
      <w:tr>
        <w:trPr>
          <w:trHeight w:val="243"/>
        </w:trPr>
        <w:tc>
          <w:tcPr>
            <w:tcW w:w="45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Municipal</w:t>
            </w:r>
          </w:p>
        </w:tc>
        <w:tc>
          <w:tcPr>
            <w:tcW w:w="22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170</w:t>
            </w:r>
          </w:p>
        </w:tc>
        <w:tc>
          <w:tcPr>
            <w:tcW w:w="15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188</w:t>
            </w:r>
          </w:p>
        </w:tc>
        <w:tc>
          <w:tcPr>
            <w:tcW w:w="19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373</w:t>
            </w:r>
          </w:p>
        </w:tc>
        <w:tc>
          <w:tcPr>
            <w:tcW w:w="12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407</w:t>
            </w:r>
          </w:p>
        </w:tc>
      </w:tr>
      <w:tr>
        <w:trPr>
          <w:trHeight w:val="27"/>
        </w:trPr>
        <w:tc>
          <w:tcPr>
            <w:tcW w:w="45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54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 Retail and Municipal</w:t>
            </w:r>
          </w:p>
        </w:tc>
        <w:tc>
          <w:tcPr>
            <w:tcW w:w="22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2,492</w:t>
            </w:r>
          </w:p>
        </w:tc>
        <w:tc>
          <w:tcPr>
            <w:tcW w:w="15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2,551</w:t>
            </w:r>
          </w:p>
        </w:tc>
        <w:tc>
          <w:tcPr>
            <w:tcW w:w="1900" w:type="dxa"/>
            <w:vAlign w:val="bottom"/>
            <w:tcBorders>
              <w:bottom w:val="single" w:sz="8" w:color="CCEEFF"/>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5,224</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5,322</w:t>
            </w:r>
          </w:p>
        </w:tc>
      </w:tr>
      <w:tr>
        <w:trPr>
          <w:trHeight w:val="243"/>
        </w:trPr>
        <w:tc>
          <w:tcPr>
            <w:tcW w:w="45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Other Power Suppliers</w:t>
            </w:r>
          </w:p>
        </w:tc>
        <w:tc>
          <w:tcPr>
            <w:tcW w:w="22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714</w:t>
            </w:r>
          </w:p>
        </w:tc>
        <w:tc>
          <w:tcPr>
            <w:tcW w:w="15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1,005</w:t>
            </w:r>
          </w:p>
        </w:tc>
        <w:tc>
          <w:tcPr>
            <w:tcW w:w="19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1,536</w:t>
            </w:r>
          </w:p>
        </w:tc>
        <w:tc>
          <w:tcPr>
            <w:tcW w:w="12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2,008</w:t>
            </w:r>
          </w:p>
        </w:tc>
      </w:tr>
      <w:tr>
        <w:trPr>
          <w:trHeight w:val="27"/>
        </w:trPr>
        <w:tc>
          <w:tcPr>
            <w:tcW w:w="45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4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Regulated Utility Kilowatt-hours Sold</w:t>
            </w:r>
          </w:p>
        </w:tc>
        <w:tc>
          <w:tcPr>
            <w:tcW w:w="22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3,206</w:t>
            </w:r>
          </w:p>
        </w:tc>
        <w:tc>
          <w:tcPr>
            <w:tcW w:w="15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3,556</w:t>
            </w:r>
          </w:p>
        </w:tc>
        <w:tc>
          <w:tcPr>
            <w:tcW w:w="1900" w:type="dxa"/>
            <w:vAlign w:val="bottom"/>
            <w:tcBorders>
              <w:bottom w:val="single" w:sz="8" w:color="CCEEFF"/>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6,760</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7,330</w:t>
            </w:r>
          </w:p>
        </w:tc>
      </w:tr>
      <w:tr>
        <w:trPr>
          <w:trHeight w:val="588"/>
        </w:trPr>
        <w:tc>
          <w:tcPr>
            <w:tcW w:w="45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Regulated Utility Revenue</w:t>
            </w:r>
          </w:p>
        </w:tc>
        <w:tc>
          <w:tcPr>
            <w:tcW w:w="222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19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7"/>
        </w:trPr>
        <w:tc>
          <w:tcPr>
            <w:tcW w:w="45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Millions</w:t>
            </w:r>
          </w:p>
        </w:tc>
        <w:tc>
          <w:tcPr>
            <w:tcW w:w="22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45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Regulated Utility Revenue</w:t>
            </w:r>
          </w:p>
        </w:tc>
        <w:tc>
          <w:tcPr>
            <w:tcW w:w="22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5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Retail and Municipal Electric Revenue</w:t>
            </w:r>
          </w:p>
        </w:tc>
        <w:tc>
          <w:tcPr>
            <w:tcW w:w="22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5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Residential</w:t>
            </w:r>
          </w:p>
        </w:tc>
        <w:tc>
          <w:tcPr>
            <w:tcW w:w="22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$26.7</w:t>
            </w:r>
          </w:p>
        </w:tc>
        <w:tc>
          <w:tcPr>
            <w:tcW w:w="15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$28.0</w:t>
            </w:r>
          </w:p>
        </w:tc>
        <w:tc>
          <w:tcPr>
            <w:tcW w:w="1900" w:type="dxa"/>
            <w:vAlign w:val="bottom"/>
            <w:tcBorders>
              <w:bottom w:val="single" w:sz="8" w:color="CCEEFF"/>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$66.4</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$63.5</w:t>
            </w:r>
          </w:p>
        </w:tc>
      </w:tr>
      <w:tr>
        <w:trPr>
          <w:trHeight w:val="243"/>
        </w:trPr>
        <w:tc>
          <w:tcPr>
            <w:tcW w:w="45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Commercial</w:t>
            </w:r>
          </w:p>
        </w:tc>
        <w:tc>
          <w:tcPr>
            <w:tcW w:w="22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33.6</w:t>
            </w:r>
          </w:p>
        </w:tc>
        <w:tc>
          <w:tcPr>
            <w:tcW w:w="15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35.2</w:t>
            </w:r>
          </w:p>
        </w:tc>
        <w:tc>
          <w:tcPr>
            <w:tcW w:w="19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70.1</w:t>
            </w:r>
          </w:p>
        </w:tc>
        <w:tc>
          <w:tcPr>
            <w:tcW w:w="12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69.2</w:t>
            </w:r>
          </w:p>
        </w:tc>
      </w:tr>
      <w:tr>
        <w:trPr>
          <w:trHeight w:val="27"/>
        </w:trPr>
        <w:tc>
          <w:tcPr>
            <w:tcW w:w="45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Industrial</w:t>
            </w:r>
          </w:p>
        </w:tc>
        <w:tc>
          <w:tcPr>
            <w:tcW w:w="22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120.0</w:t>
            </w:r>
          </w:p>
        </w:tc>
        <w:tc>
          <w:tcPr>
            <w:tcW w:w="15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114.7</w:t>
            </w:r>
          </w:p>
        </w:tc>
        <w:tc>
          <w:tcPr>
            <w:tcW w:w="1900" w:type="dxa"/>
            <w:vAlign w:val="bottom"/>
            <w:tcBorders>
              <w:bottom w:val="single" w:sz="8" w:color="CCEEFF"/>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240.6</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228.0</w:t>
            </w:r>
          </w:p>
        </w:tc>
      </w:tr>
      <w:tr>
        <w:trPr>
          <w:trHeight w:val="243"/>
        </w:trPr>
        <w:tc>
          <w:tcPr>
            <w:tcW w:w="45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Municipal</w:t>
            </w:r>
          </w:p>
        </w:tc>
        <w:tc>
          <w:tcPr>
            <w:tcW w:w="22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12.2</w:t>
            </w:r>
          </w:p>
        </w:tc>
        <w:tc>
          <w:tcPr>
            <w:tcW w:w="15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13.7</w:t>
            </w:r>
          </w:p>
        </w:tc>
        <w:tc>
          <w:tcPr>
            <w:tcW w:w="19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27.6</w:t>
            </w:r>
          </w:p>
        </w:tc>
        <w:tc>
          <w:tcPr>
            <w:tcW w:w="12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27.7</w:t>
            </w:r>
          </w:p>
        </w:tc>
      </w:tr>
      <w:tr>
        <w:trPr>
          <w:trHeight w:val="27"/>
        </w:trPr>
        <w:tc>
          <w:tcPr>
            <w:tcW w:w="45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54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 Retail and Municipal Electric Revenue</w:t>
            </w:r>
          </w:p>
        </w:tc>
        <w:tc>
          <w:tcPr>
            <w:tcW w:w="22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192.5</w:t>
            </w:r>
          </w:p>
        </w:tc>
        <w:tc>
          <w:tcPr>
            <w:tcW w:w="15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191.6</w:t>
            </w:r>
          </w:p>
        </w:tc>
        <w:tc>
          <w:tcPr>
            <w:tcW w:w="1900" w:type="dxa"/>
            <w:vAlign w:val="bottom"/>
            <w:tcBorders>
              <w:bottom w:val="single" w:sz="8" w:color="CCEEFF"/>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404.7</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388.4</w:t>
            </w:r>
          </w:p>
        </w:tc>
      </w:tr>
      <w:tr>
        <w:trPr>
          <w:trHeight w:val="243"/>
        </w:trPr>
        <w:tc>
          <w:tcPr>
            <w:tcW w:w="45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Other Power Suppliers</w:t>
            </w:r>
          </w:p>
        </w:tc>
        <w:tc>
          <w:tcPr>
            <w:tcW w:w="22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35.2</w:t>
            </w:r>
          </w:p>
        </w:tc>
        <w:tc>
          <w:tcPr>
            <w:tcW w:w="15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42.7</w:t>
            </w:r>
          </w:p>
        </w:tc>
        <w:tc>
          <w:tcPr>
            <w:tcW w:w="19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74.6</w:t>
            </w:r>
          </w:p>
        </w:tc>
        <w:tc>
          <w:tcPr>
            <w:tcW w:w="12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86.4</w:t>
            </w:r>
          </w:p>
        </w:tc>
      </w:tr>
      <w:tr>
        <w:trPr>
          <w:trHeight w:val="27"/>
        </w:trPr>
        <w:tc>
          <w:tcPr>
            <w:tcW w:w="45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454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Other (Includes Water and Gas Revenue)</w:t>
            </w:r>
          </w:p>
        </w:tc>
        <w:tc>
          <w:tcPr>
            <w:tcW w:w="22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22.1</w:t>
            </w:r>
          </w:p>
        </w:tc>
        <w:tc>
          <w:tcPr>
            <w:tcW w:w="15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23.5</w:t>
            </w:r>
          </w:p>
        </w:tc>
        <w:tc>
          <w:tcPr>
            <w:tcW w:w="1900" w:type="dxa"/>
            <w:vAlign w:val="bottom"/>
            <w:tcBorders>
              <w:bottom w:val="single" w:sz="8" w:color="CCEEFF"/>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52.7</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53.2</w:t>
            </w:r>
          </w:p>
        </w:tc>
      </w:tr>
      <w:tr>
        <w:trPr>
          <w:trHeight w:val="237"/>
        </w:trPr>
        <w:tc>
          <w:tcPr>
            <w:tcW w:w="454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Total Regulated Utility Revenue</w:t>
            </w:r>
          </w:p>
        </w:tc>
        <w:tc>
          <w:tcPr>
            <w:tcW w:w="22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$249.8</w:t>
            </w:r>
          </w:p>
        </w:tc>
        <w:tc>
          <w:tcPr>
            <w:tcW w:w="15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$257.8</w:t>
            </w:r>
          </w:p>
        </w:tc>
        <w:tc>
          <w:tcPr>
            <w:tcW w:w="190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$532.0</w:t>
            </w:r>
          </w:p>
        </w:tc>
        <w:tc>
          <w:tcPr>
            <w:tcW w:w="122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$528.0</w:t>
            </w:r>
          </w:p>
        </w:tc>
      </w:tr>
      <w:tr>
        <w:trPr>
          <w:trHeight w:val="27"/>
        </w:trPr>
        <w:tc>
          <w:tcPr>
            <w:tcW w:w="45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190"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7"/>
          <w:szCs w:val="17"/>
          <w:b w:val="1"/>
          <w:bCs w:val="1"/>
          <w:color w:val="auto"/>
        </w:rPr>
        <w:t>This exhibit has been 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p>
    <w:p>
      <w:pPr>
        <w:spacing w:after="0" w:line="182"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7"/>
          <w:szCs w:val="17"/>
          <w:b w:val="1"/>
          <w:bCs w:val="1"/>
          <w:color w:val="auto"/>
        </w:rPr>
        <w:t>This exhibit has been 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p>
    <w:sectPr>
      <w:pgSz w:w="11900" w:h="16838" w:orient="portrait"/>
      <w:cols w:equalWidth="0" w:num="1">
        <w:col w:w="11420"/>
      </w:cols>
      <w:pgMar w:left="240" w:top="1225" w:right="239" w:bottom="100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1)"/>
      <w:numFmt w:val="lowerLetter"/>
      <w:start w:val="1"/>
    </w:lvl>
  </w:abstractNum>
  <w:abstractNum w:abstractNumId="4">
    <w:nsid w:val="140E0F76"/>
    <w:multiLevelType w:val="hybridMultilevel"/>
    <w:lvl w:ilvl="0">
      <w:lvlJc w:val="left"/>
      <w:lvlText w:val="(%1)"/>
      <w:numFmt w:val="lowerLetter"/>
      <w:start w:val="1"/>
    </w:lvl>
  </w:abstractNum>
  <w:abstractNum w:abstractNumId="5">
    <w:nsid w:val="3352255A"/>
    <w:multiLevelType w:val="hybridMultilevel"/>
    <w:lvl w:ilvl="0">
      <w:lvlJc w:val="left"/>
      <w:lvlText w:val="(%1)"/>
      <w:numFmt w:val="lowerLetter"/>
      <w:start w:val="1"/>
    </w:lvl>
  </w:abstractNum>
  <w:abstractNum w:abstractNumId="6">
    <w:nsid w:val="109CF92E"/>
    <w:multiLevelType w:val="hybridMultilevel"/>
    <w:lvl w:ilvl="0">
      <w:lvlJc w:val="left"/>
      <w:lvlText w:val="(%1)"/>
      <w:numFmt w:val="lowerLetter"/>
      <w:start w:val="1"/>
    </w:lvl>
  </w:abstractNum>
  <w:abstractNum w:abstractNumId="7">
    <w:nsid w:val="DED7263"/>
    <w:multiLevelType w:val="hybridMultilevel"/>
    <w:lvl w:ilvl="0">
      <w:lvlJc w:val="left"/>
      <w:lvlText w:val="(%1)"/>
      <w:numFmt w:val="lowerLetter"/>
      <w:start w:val="1"/>
    </w:lvl>
  </w:abstractNum>
  <w:abstractNum w:abstractNumId="8">
    <w:nsid w:val="7FDCC233"/>
    <w:multiLevelType w:val="hybridMultilevel"/>
    <w:lvl w:ilvl="0">
      <w:lvlJc w:val="left"/>
      <w:lvlText w:val="(%1)"/>
      <w:numFmt w:val="lowerLetter"/>
      <w:start w:val="1"/>
    </w:lvl>
  </w:abstractNum>
  <w:abstractNum w:abstractNumId="9">
    <w:nsid w:val="1BEFD79F"/>
    <w:multiLevelType w:val="hybridMultilevel"/>
    <w:lvl w:ilvl="0">
      <w:lvlJc w:val="left"/>
      <w:lvlText w:val="(%1)"/>
      <w:numFmt w:val="lowerLetter"/>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1)"/>
      <w:numFmt w:val="lowerLetter"/>
      <w:start w:val="1"/>
    </w:lvl>
  </w:abstractNum>
  <w:abstractNum w:abstractNumId="12">
    <w:nsid w:val="4E6AFB66"/>
    <w:multiLevelType w:val="hybridMultilevel"/>
    <w:lvl w:ilvl="0">
      <w:lvlJc w:val="left"/>
      <w:lvlText w:val="(%1)"/>
      <w:numFmt w:val="lowerLetter"/>
      <w:start w:val="1"/>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4"/>
      <w:numFmt w:val="bullet"/>
      <w:start w:val="1"/>
    </w:lvl>
  </w:abstractNum>
  <w:abstractNum w:abstractNumId="15">
    <w:nsid w:val="431BD7B7"/>
    <w:multiLevelType w:val="hybridMultilevel"/>
    <w:lvl w:ilvl="0">
      <w:lvlJc w:val="left"/>
      <w:lvlText w:val="%1"/>
      <w:numFmt w:val="decimal"/>
      <w:start w:val="32"/>
    </w:lvl>
  </w:abstractNum>
  <w:abstractNum w:abstractNumId="16">
    <w:nsid w:val="3F2DBA31"/>
    <w:multiLevelType w:val="hybridMultilevel"/>
    <w:lvl w:ilvl="0">
      <w:lvlJc w:val="left"/>
      <w:lvlText w:val="%1"/>
      <w:numFmt w:val="decimal"/>
      <w:start w:val="99"/>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2019-12-28T09:08:23Z</dcterms:created>
  <dcterms:modified xsi:type="dcterms:W3CDTF">2019-12-28T09:08:23Z</dcterms:modified>
</cp:coreProperties>
</file>