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5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660" w:hanging="1020"/>
        <w:spacing w:after="0"/>
        <w:tabs>
          <w:tab w:leader="none" w:pos="16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Annual Report Pursuant to Section 13 or 15(d) of the Securities Exchange Act of 1934</w:t>
      </w:r>
    </w:p>
    <w:p>
      <w:pPr>
        <w:spacing w:after="0" w:line="17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 xml:space="preserve">For the year ended </w:t>
      </w:r>
      <w:r>
        <w:rPr>
          <w:rFonts w:ascii="Arial" w:cs="Arial" w:eastAsia="Arial" w:hAnsi="Arial"/>
          <w:sz w:val="16"/>
          <w:szCs w:val="16"/>
          <w:b w:val="1"/>
          <w:bCs w:val="1"/>
          <w:color w:val="auto"/>
        </w:rPr>
        <w:t>December 31, 2021</w:t>
      </w:r>
    </w:p>
    <w:p>
      <w:pPr>
        <w:spacing w:after="0" w:line="63" w:lineRule="exact"/>
        <w:rPr>
          <w:sz w:val="24"/>
          <w:szCs w:val="24"/>
          <w:color w:val="auto"/>
        </w:rPr>
      </w:pPr>
    </w:p>
    <w:p>
      <w:pPr>
        <w:ind w:left="1620" w:right="3820" w:hanging="1014"/>
        <w:spacing w:after="0" w:line="304" w:lineRule="auto"/>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40"/>
          </w:cols>
          <w:pgMar w:left="320" w:top="845" w:right="339" w:bottom="1440" w:gutter="0" w:footer="0" w:header="0"/>
        </w:sectPr>
      </w:pPr>
    </w:p>
    <w:p>
      <w:pPr>
        <w:spacing w:after="0" w:line="53" w:lineRule="exact"/>
        <w:rPr>
          <w:sz w:val="24"/>
          <w:szCs w:val="24"/>
          <w:color w:val="auto"/>
        </w:rPr>
      </w:pPr>
    </w:p>
    <w:p>
      <w:pPr>
        <w:ind w:left="230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59" w:lineRule="exact"/>
        <w:rPr>
          <w:sz w:val="24"/>
          <w:szCs w:val="24"/>
          <w:color w:val="auto"/>
        </w:rPr>
      </w:pPr>
    </w:p>
    <w:p>
      <w:pPr>
        <w:sectPr>
          <w:pgSz w:w="11900" w:h="16838" w:orient="portrait"/>
          <w:cols w:equalWidth="0" w:num="2">
            <w:col w:w="7780" w:space="720"/>
            <w:col w:w="2740"/>
          </w:cols>
          <w:pgMar w:left="320" w:top="845" w:right="33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75" w:lineRule="exact"/>
        <w:rPr>
          <w:sz w:val="24"/>
          <w:szCs w:val="24"/>
          <w:color w:val="auto"/>
        </w:rPr>
      </w:pPr>
    </w:p>
    <w:p>
      <w:pPr>
        <w:sectPr>
          <w:pgSz w:w="11900" w:h="16838" w:orient="portrait"/>
          <w:cols w:equalWidth="0" w:num="2">
            <w:col w:w="6980" w:space="720"/>
            <w:col w:w="3540"/>
          </w:cols>
          <w:pgMar w:left="320" w:top="845"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30 West Superior Street, Duluth, Minnesota 55802-2093</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845" w:right="339" w:bottom="1440" w:gutter="0" w:footer="0" w:header="0"/>
          <w:type w:val="continuous"/>
        </w:sectPr>
      </w:pPr>
    </w:p>
    <w:p>
      <w:pPr>
        <w:spacing w:after="0" w:line="57"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51" w:lineRule="exact"/>
        <w:rPr>
          <w:sz w:val="24"/>
          <w:szCs w:val="24"/>
          <w:color w:val="auto"/>
        </w:rPr>
      </w:pPr>
    </w:p>
    <w:p>
      <w:pPr>
        <w:sectPr>
          <w:pgSz w:w="11900" w:h="16838" w:orient="portrait"/>
          <w:cols w:equalWidth="0" w:num="3">
            <w:col w:w="4420" w:space="720"/>
            <w:col w:w="1580" w:space="720"/>
            <w:col w:w="3800"/>
          </w:cols>
          <w:pgMar w:left="320" w:top="845" w:right="3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New York Stock Exchange</w:t>
      </w:r>
    </w:p>
    <w:p>
      <w:pPr>
        <w:spacing w:after="0" w:line="193" w:lineRule="exact"/>
        <w:rPr>
          <w:sz w:val="24"/>
          <w:szCs w:val="24"/>
          <w:color w:val="auto"/>
        </w:rPr>
      </w:pPr>
    </w:p>
    <w:p>
      <w:pPr>
        <w:sectPr>
          <w:pgSz w:w="11900" w:h="16838" w:orient="portrait"/>
          <w:cols w:equalWidth="0" w:num="3">
            <w:col w:w="4780" w:space="720"/>
            <w:col w:w="1740" w:space="720"/>
            <w:col w:w="3280"/>
          </w:cols>
          <w:pgMar w:left="320" w:top="845"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63" w:lineRule="exact"/>
        <w:rPr>
          <w:sz w:val="24"/>
          <w:szCs w:val="24"/>
          <w:color w:val="auto"/>
        </w:rPr>
      </w:pPr>
    </w:p>
    <w:p>
      <w:pPr>
        <w:ind w:right="2440"/>
        <w:spacing w:after="0" w:line="20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No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845" w:right="339" w:bottom="1440" w:gutter="0" w:footer="0" w:header="0"/>
          <w:type w:val="continuous"/>
        </w:sectPr>
      </w:pPr>
    </w:p>
    <w:p>
      <w:pPr>
        <w:spacing w:after="0" w:line="1"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p>
    <w:p>
      <w:pPr>
        <w:spacing w:after="0" w:line="1"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5" w:right="339" w:bottom="1440" w:gutter="0" w:footer="0" w:header="0"/>
          <w:type w:val="continuous"/>
        </w:sectPr>
      </w:pPr>
    </w:p>
    <w:p>
      <w:pPr>
        <w:spacing w:after="0" w:line="13" w:lineRule="exact"/>
        <w:rPr>
          <w:sz w:val="24"/>
          <w:szCs w:val="24"/>
          <w:color w:val="auto"/>
        </w:rPr>
      </w:pPr>
    </w:p>
    <w:p>
      <w:pPr>
        <w:ind w:left="360"/>
        <w:spacing w:after="0" w:line="184" w:lineRule="exact"/>
        <w:tabs>
          <w:tab w:leader="none" w:pos="2040" w:val="left"/>
          <w:tab w:leader="none" w:pos="2780" w:val="left"/>
          <w:tab w:leader="none" w:pos="40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ind w:left="380"/>
        <w:spacing w:after="0" w:line="184" w:lineRule="exact"/>
        <w:tabs>
          <w:tab w:leader="none" w:pos="1960" w:val="left"/>
          <w:tab w:leader="none" w:pos="25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sectPr>
          <w:pgSz w:w="11900" w:h="16838" w:orient="portrait"/>
          <w:cols w:equalWidth="0" w:num="2">
            <w:col w:w="4400" w:space="160"/>
            <w:col w:w="6680"/>
          </w:cols>
          <w:pgMar w:left="320" w:top="845" w:right="339" w:bottom="1440" w:gutter="0" w:footer="0" w:header="0"/>
          <w:type w:val="continuous"/>
        </w:sectPr>
      </w:pPr>
    </w:p>
    <w:p>
      <w:pPr>
        <w:ind w:left="1180"/>
        <w:spacing w:after="0" w:line="184" w:lineRule="exact"/>
        <w:tabs>
          <w:tab w:leader="none" w:pos="31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7"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9" w:lineRule="exact"/>
        <w:rPr>
          <w:sz w:val="24"/>
          <w:szCs w:val="24"/>
          <w:color w:val="auto"/>
        </w:rPr>
      </w:pPr>
    </w:p>
    <w:p>
      <w:pPr>
        <w:ind w:right="2660"/>
        <w:spacing w:after="0" w:line="21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aggregate market value of voting stock held by nonaffiliates on June 30, 2021, was $3,649,980,087.</w:t>
      </w:r>
    </w:p>
    <w:p>
      <w:pPr>
        <w:spacing w:after="0"/>
        <w:rPr>
          <w:sz w:val="20"/>
          <w:szCs w:val="20"/>
          <w:color w:val="auto"/>
        </w:rPr>
      </w:pPr>
      <w:r>
        <w:rPr>
          <w:rFonts w:ascii="Arial" w:cs="Arial" w:eastAsia="Arial" w:hAnsi="Arial"/>
          <w:sz w:val="16"/>
          <w:szCs w:val="16"/>
          <w:color w:val="auto"/>
        </w:rPr>
        <w:t>As of February 1, 2022, there were 53,243,671 shares of ALLETE Common Stock, without par value, outstanding.</w:t>
      </w:r>
    </w:p>
    <w:p>
      <w:pPr>
        <w:spacing w:after="0" w:line="5"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2022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20" w:type="dxa"/>
            <w:vAlign w:val="bottom"/>
            <w:gridSpan w:val="48"/>
          </w:tcPr>
          <w:p>
            <w:pPr>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Definitions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Forward-Looking Statements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Part I</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8980" w:type="dxa"/>
            <w:vAlign w:val="bottom"/>
            <w:tcBorders>
              <w:top w:val="single" w:sz="8" w:color="CCEEFF"/>
            </w:tcBorders>
            <w:gridSpan w:val="44"/>
          </w:tcPr>
          <w:p>
            <w:pPr>
              <w:ind w:left="280"/>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Business</w:t>
              </w:r>
            </w:hyperlink>
          </w:p>
        </w:tc>
        <w:tc>
          <w:tcPr>
            <w:tcW w:w="100" w:type="dxa"/>
            <w:vAlign w:val="bottom"/>
            <w:tcBorders>
              <w:top w:val="single" w:sz="8" w:color="0000FF"/>
            </w:tcBorders>
          </w:tcPr>
          <w:p>
            <w:pPr>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7</w:t>
              </w:r>
            </w:hyperlink>
          </w:p>
        </w:tc>
        <w:tc>
          <w:tcPr>
            <w:tcW w:w="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Regulated Operations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Electric Sales / Customers</w:t>
              </w:r>
            </w:hyperlink>
          </w:p>
        </w:tc>
        <w:tc>
          <w:tcPr>
            <w:tcW w:w="180" w:type="dxa"/>
            <w:vAlign w:val="bottom"/>
            <w:gridSpan w:val="2"/>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9</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0000FF"/>
            </w:tcBorders>
            <w:gridSpan w:val="7"/>
            <w:shd w:val="clear" w:color="auto" w:fill="CCEEFF"/>
          </w:tcPr>
          <w:p>
            <w:pPr>
              <w:spacing w:after="0" w:line="189" w:lineRule="exact"/>
              <w:rPr>
                <w:rFonts w:ascii="Arial" w:cs="Arial" w:eastAsia="Arial" w:hAnsi="Arial"/>
                <w:sz w:val="18"/>
                <w:szCs w:val="18"/>
                <w:color w:val="0000FF"/>
                <w:w w:val="88"/>
              </w:rPr>
            </w:pPr>
            <w:hyperlink w:anchor="page12">
              <w:r>
                <w:rPr>
                  <w:rFonts w:ascii="Arial" w:cs="Arial" w:eastAsia="Arial" w:hAnsi="Arial"/>
                  <w:sz w:val="18"/>
                  <w:szCs w:val="18"/>
                  <w:color w:val="0000FF"/>
                  <w:w w:val="88"/>
                </w:rPr>
                <w:t>Seasonality</w:t>
              </w:r>
            </w:hyperlink>
          </w:p>
        </w:tc>
        <w:tc>
          <w:tcPr>
            <w:tcW w:w="7660" w:type="dxa"/>
            <w:vAlign w:val="bottom"/>
            <w:tcBorders>
              <w:bottom w:val="single" w:sz="8" w:color="CCEEFF"/>
            </w:tcBorders>
            <w:gridSpan w:val="3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Power Supply</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Transmission and Distribution</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14</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30"/>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Investment in ATC</w:t>
              </w:r>
            </w:hyperlink>
          </w:p>
        </w:tc>
        <w:tc>
          <w:tcPr>
            <w:tcW w:w="6320" w:type="dxa"/>
            <w:vAlign w:val="bottom"/>
            <w:tcBorders>
              <w:top w:val="single" w:sz="8" w:color="CCEEFF"/>
            </w:tcBorders>
            <w:gridSpan w:val="12"/>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15</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4"/>
            <w:shd w:val="clear" w:color="auto" w:fill="CCEEFF"/>
          </w:tcPr>
          <w:p>
            <w:pPr>
              <w:spacing w:after="0" w:line="189" w:lineRule="exact"/>
              <w:rPr>
                <w:rFonts w:ascii="Arial" w:cs="Arial" w:eastAsia="Arial" w:hAnsi="Arial"/>
                <w:sz w:val="18"/>
                <w:szCs w:val="18"/>
                <w:color w:val="0000FF"/>
                <w:w w:val="87"/>
              </w:rPr>
            </w:pPr>
            <w:hyperlink w:anchor="page15">
              <w:r>
                <w:rPr>
                  <w:rFonts w:ascii="Arial" w:cs="Arial" w:eastAsia="Arial" w:hAnsi="Arial"/>
                  <w:sz w:val="18"/>
                  <w:szCs w:val="18"/>
                  <w:color w:val="0000FF"/>
                  <w:w w:val="87"/>
                </w:rPr>
                <w:t>Properties</w:t>
              </w:r>
            </w:hyperlink>
          </w:p>
        </w:tc>
        <w:tc>
          <w:tcPr>
            <w:tcW w:w="7760" w:type="dxa"/>
            <w:vAlign w:val="bottom"/>
            <w:tcBorders>
              <w:bottom w:val="single" w:sz="8" w:color="CCEEFF"/>
            </w:tcBorders>
            <w:gridSpan w:val="38"/>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Regulatory Matters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15</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Regional Organizations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16">
              <w:r>
                <w:rPr>
                  <w:rFonts w:ascii="Arial" w:cs="Arial" w:eastAsia="Arial" w:hAnsi="Arial"/>
                  <w:sz w:val="18"/>
                  <w:szCs w:val="18"/>
                  <w:color w:val="0000FF"/>
                  <w:w w:val="79"/>
                </w:rPr>
                <w:t>17</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0000FF"/>
            </w:tcBorders>
            <w:gridSpan w:val="24"/>
          </w:tcPr>
          <w:p>
            <w:pPr>
              <w:spacing w:after="0" w:line="189" w:lineRule="exact"/>
              <w:rPr>
                <w:rFonts w:ascii="Arial" w:cs="Arial" w:eastAsia="Arial" w:hAnsi="Arial"/>
                <w:sz w:val="18"/>
                <w:szCs w:val="18"/>
                <w:color w:val="0000FF"/>
                <w:w w:val="96"/>
              </w:rPr>
            </w:pPr>
            <w:hyperlink w:anchor="page17">
              <w:r>
                <w:rPr>
                  <w:rFonts w:ascii="Arial" w:cs="Arial" w:eastAsia="Arial" w:hAnsi="Arial"/>
                  <w:sz w:val="18"/>
                  <w:szCs w:val="18"/>
                  <w:color w:val="0000FF"/>
                  <w:w w:val="96"/>
                </w:rPr>
                <w:t>Minnesota Legislation</w:t>
              </w:r>
            </w:hyperlink>
          </w:p>
        </w:tc>
        <w:tc>
          <w:tcPr>
            <w:tcW w:w="6800" w:type="dxa"/>
            <w:vAlign w:val="bottom"/>
            <w:tcBorders>
              <w:top w:val="single" w:sz="8" w:color="CCEEFF"/>
            </w:tcBorders>
            <w:gridSpan w:val="18"/>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Competition</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0000FF"/>
            </w:tcBorders>
            <w:gridSpan w:val="9"/>
          </w:tcPr>
          <w:p>
            <w:pPr>
              <w:spacing w:after="0" w:line="189" w:lineRule="exact"/>
              <w:rPr>
                <w:rFonts w:ascii="Arial" w:cs="Arial" w:eastAsia="Arial" w:hAnsi="Arial"/>
                <w:sz w:val="18"/>
                <w:szCs w:val="18"/>
                <w:color w:val="0000FF"/>
                <w:w w:val="99"/>
              </w:rPr>
            </w:pPr>
            <w:hyperlink w:anchor="page18">
              <w:r>
                <w:rPr>
                  <w:rFonts w:ascii="Arial" w:cs="Arial" w:eastAsia="Arial" w:hAnsi="Arial"/>
                  <w:sz w:val="18"/>
                  <w:szCs w:val="18"/>
                  <w:color w:val="0000FF"/>
                  <w:w w:val="99"/>
                </w:rPr>
                <w:t>Franchises</w:t>
              </w:r>
            </w:hyperlink>
          </w:p>
        </w:tc>
        <w:tc>
          <w:tcPr>
            <w:tcW w:w="7600" w:type="dxa"/>
            <w:vAlign w:val="bottom"/>
            <w:tcBorders>
              <w:top w:val="single" w:sz="8" w:color="CCEEFF"/>
            </w:tcBorders>
            <w:gridSpan w:val="33"/>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ALLETE Clean Energy</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18</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U.S. Water Services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Corporate and Other</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280" w:type="dxa"/>
            <w:vAlign w:val="bottom"/>
            <w:tcBorders>
              <w:top w:val="single" w:sz="8" w:color="0000FF"/>
            </w:tcBorders>
            <w:gridSpan w:val="15"/>
          </w:tcPr>
          <w:p>
            <w:pPr>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BNI Energy</w:t>
              </w:r>
            </w:hyperlink>
          </w:p>
        </w:tc>
        <w:tc>
          <w:tcPr>
            <w:tcW w:w="7220" w:type="dxa"/>
            <w:vAlign w:val="bottom"/>
            <w:tcBorders>
              <w:top w:val="single" w:sz="8" w:color="CCEEFF"/>
            </w:tcBorders>
            <w:gridSpan w:val="27"/>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19</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0000FF"/>
            </w:tcBorders>
            <w:gridSpan w:val="23"/>
            <w:shd w:val="clear" w:color="auto" w:fill="CCEEFF"/>
          </w:tcPr>
          <w:p>
            <w:pPr>
              <w:spacing w:after="0" w:line="189" w:lineRule="exact"/>
              <w:rPr>
                <w:rFonts w:ascii="Arial" w:cs="Arial" w:eastAsia="Arial" w:hAnsi="Arial"/>
                <w:sz w:val="18"/>
                <w:szCs w:val="18"/>
                <w:color w:val="0000FF"/>
                <w:w w:val="90"/>
              </w:rPr>
            </w:pPr>
            <w:hyperlink w:anchor="page19">
              <w:r>
                <w:rPr>
                  <w:rFonts w:ascii="Arial" w:cs="Arial" w:eastAsia="Arial" w:hAnsi="Arial"/>
                  <w:sz w:val="18"/>
                  <w:szCs w:val="18"/>
                  <w:color w:val="0000FF"/>
                  <w:w w:val="90"/>
                </w:rPr>
                <w:t>Investment in Nobles 2</w:t>
              </w:r>
            </w:hyperlink>
          </w:p>
        </w:tc>
        <w:tc>
          <w:tcPr>
            <w:tcW w:w="6820" w:type="dxa"/>
            <w:vAlign w:val="bottom"/>
            <w:tcBorders>
              <w:bottom w:val="single" w:sz="8" w:color="CCEEFF"/>
            </w:tcBorders>
            <w:gridSpan w:val="19"/>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20</w:t>
              </w:r>
            </w:hyperlink>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ALLETE Properties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Non-Rate Base Generation and Miscellaneous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20</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Environmental Matters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Human Capital Management</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21</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Availability of Information</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Information about our Executive Officers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Item 1A. Risk Factors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1B. Unresolved Staff Comments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2. Properties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3. Legal Proceedings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4. Mine Safety Disclosures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Part II</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8980" w:type="dxa"/>
            <w:vAlign w:val="bottom"/>
            <w:tcBorders>
              <w:top w:val="single" w:sz="8" w:color="CCEEFF"/>
            </w:tcBorders>
            <w:gridSpan w:val="44"/>
          </w:tcPr>
          <w:p>
            <w:pPr>
              <w:ind w:left="28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5. Market for Registrant’s Common Equity, Related Stockholder Matters and</w:t>
              </w:r>
            </w:hyperlink>
          </w:p>
        </w:tc>
        <w:tc>
          <w:tcPr>
            <w:tcW w:w="180" w:type="dxa"/>
            <w:vAlign w:val="bottom"/>
            <w:tcBorders>
              <w:top w:val="single" w:sz="8" w:color="0000FF"/>
            </w:tcBorders>
            <w:gridSpan w:val="2"/>
            <w:vMerge w:val="restart"/>
          </w:tcPr>
          <w:p>
            <w:pPr>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720" w:type="dxa"/>
            <w:vAlign w:val="bottom"/>
            <w:tcBorders>
              <w:top w:val="single" w:sz="8" w:color="0000FF"/>
            </w:tcBorders>
            <w:gridSpan w:val="40"/>
          </w:tcPr>
          <w:p>
            <w:pPr>
              <w:ind w:left="40"/>
              <w:spacing w:after="0" w:line="156" w:lineRule="exact"/>
              <w:rPr>
                <w:rFonts w:ascii="Arial" w:cs="Arial" w:eastAsia="Arial" w:hAnsi="Arial"/>
                <w:sz w:val="18"/>
                <w:szCs w:val="18"/>
                <w:color w:val="0000FF"/>
              </w:rPr>
            </w:pPr>
            <w:hyperlink w:anchor="page35">
              <w:r>
                <w:rPr>
                  <w:rFonts w:ascii="Arial" w:cs="Arial" w:eastAsia="Arial" w:hAnsi="Arial"/>
                  <w:sz w:val="18"/>
                  <w:szCs w:val="18"/>
                  <w:color w:val="0000FF"/>
                </w:rPr>
                <w:t>Issuer Purchases of Equity Securities</w:t>
              </w:r>
            </w:hyperlink>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0" w:type="dxa"/>
            <w:vAlign w:val="bottom"/>
            <w:tcBorders>
              <w:top w:val="single" w:sz="8" w:color="0000FF"/>
            </w:tcBorders>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6. [Reserved]</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7. Management’s Discussion and Analysis of Financial Condition and Results of Operations</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93"/>
              </w:rPr>
            </w:pPr>
            <w:hyperlink w:anchor="page36">
              <w:r>
                <w:rPr>
                  <w:rFonts w:ascii="Arial" w:cs="Arial" w:eastAsia="Arial" w:hAnsi="Arial"/>
                  <w:sz w:val="18"/>
                  <w:szCs w:val="18"/>
                  <w:color w:val="0000FF"/>
                  <w:w w:val="93"/>
                </w:rPr>
                <w:t>Overview</w:t>
              </w:r>
            </w:hyperlink>
          </w:p>
        </w:tc>
        <w:tc>
          <w:tcPr>
            <w:tcW w:w="7780" w:type="dxa"/>
            <w:vAlign w:val="bottom"/>
            <w:tcBorders>
              <w:bottom w:val="single" w:sz="8" w:color="CCEEFF"/>
            </w:tcBorders>
            <w:gridSpan w:val="39"/>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79"/>
              </w:rPr>
            </w:pPr>
            <w:hyperlink w:anchor="page36">
              <w:r>
                <w:rPr>
                  <w:rFonts w:ascii="Arial" w:cs="Arial" w:eastAsia="Arial" w:hAnsi="Arial"/>
                  <w:sz w:val="18"/>
                  <w:szCs w:val="18"/>
                  <w:color w:val="0000FF"/>
                  <w:w w:val="79"/>
                </w:rPr>
                <w:t>36</w:t>
              </w:r>
            </w:hyperlink>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 xml:space="preserve">2021 Compared to </w:t>
              </w:r>
            </w:hyperlink>
            <w:r>
              <w:rPr>
                <w:rFonts w:ascii="Arial" w:cs="Arial" w:eastAsia="Arial" w:hAnsi="Arial"/>
                <w:sz w:val="18"/>
                <w:szCs w:val="18"/>
                <w:color w:val="0000FF"/>
              </w:rPr>
              <w:t>2020</w:t>
            </w:r>
          </w:p>
        </w:tc>
        <w:tc>
          <w:tcPr>
            <w:tcW w:w="180" w:type="dxa"/>
            <w:vAlign w:val="bottom"/>
            <w:gridSpan w:val="2"/>
          </w:tcPr>
          <w:p>
            <w:pPr>
              <w:spacing w:after="0" w:line="189" w:lineRule="exact"/>
              <w:rPr>
                <w:rFonts w:ascii="Arial" w:cs="Arial" w:eastAsia="Arial" w:hAnsi="Arial"/>
                <w:sz w:val="18"/>
                <w:szCs w:val="18"/>
                <w:color w:val="0000FF"/>
                <w:w w:val="79"/>
              </w:rPr>
            </w:pPr>
            <w:hyperlink w:anchor="page37">
              <w:r>
                <w:rPr>
                  <w:rFonts w:ascii="Arial" w:cs="Arial" w:eastAsia="Arial" w:hAnsi="Arial"/>
                  <w:sz w:val="18"/>
                  <w:szCs w:val="18"/>
                  <w:color w:val="0000FF"/>
                  <w:w w:val="79"/>
                </w:rPr>
                <w:t>38</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Critical Accounting Policies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41</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40" w:type="dxa"/>
            <w:vAlign w:val="bottom"/>
            <w:tcBorders>
              <w:top w:val="single" w:sz="8" w:color="0000FF"/>
            </w:tcBorders>
            <w:gridSpan w:val="28"/>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Outlook</w:t>
              </w:r>
            </w:hyperlink>
          </w:p>
        </w:tc>
        <w:tc>
          <w:tcPr>
            <w:tcW w:w="6460" w:type="dxa"/>
            <w:vAlign w:val="bottom"/>
            <w:tcBorders>
              <w:top w:val="single" w:sz="8" w:color="CCEEFF"/>
            </w:tcBorders>
            <w:gridSpan w:val="14"/>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Liquidity and Capital Resources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31"/>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Capital Requirements</w:t>
              </w:r>
            </w:hyperlink>
          </w:p>
        </w:tc>
        <w:tc>
          <w:tcPr>
            <w:tcW w:w="6180" w:type="dxa"/>
            <w:vAlign w:val="bottom"/>
            <w:tcBorders>
              <w:top w:val="single" w:sz="8" w:color="CCEEFF"/>
            </w:tcBorders>
            <w:gridSpan w:val="11"/>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Environmental and Other Matters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20" w:type="dxa"/>
            <w:vAlign w:val="bottom"/>
            <w:tcBorders>
              <w:top w:val="single" w:sz="8" w:color="0000FF"/>
            </w:tcBorders>
            <w:gridSpan w:val="32"/>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Market Risk</w:t>
              </w:r>
            </w:hyperlink>
          </w:p>
        </w:tc>
        <w:tc>
          <w:tcPr>
            <w:tcW w:w="6080" w:type="dxa"/>
            <w:vAlign w:val="bottom"/>
            <w:tcBorders>
              <w:top w:val="single" w:sz="8" w:color="CCEEFF"/>
            </w:tcBorders>
            <w:gridSpan w:val="10"/>
          </w:tcPr>
          <w:p>
            <w:pPr>
              <w:spacing w:after="0"/>
              <w:rPr>
                <w:sz w:val="16"/>
                <w:szCs w:val="16"/>
                <w:color w:val="auto"/>
              </w:rPr>
            </w:pPr>
          </w:p>
        </w:tc>
        <w:tc>
          <w:tcPr>
            <w:tcW w:w="180" w:type="dxa"/>
            <w:vAlign w:val="bottom"/>
            <w:tcBorders>
              <w:top w:val="single" w:sz="8" w:color="0000FF"/>
            </w:tcBorders>
            <w:gridSpan w:val="2"/>
          </w:tcPr>
          <w:p>
            <w:pPr>
              <w:spacing w:after="0" w:line="189" w:lineRule="exact"/>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Recently Adopted Accounting Standards</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55</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980" w:type="dxa"/>
            <w:vAlign w:val="bottom"/>
            <w:gridSpan w:val="44"/>
          </w:tcPr>
          <w:p>
            <w:pPr>
              <w:ind w:left="280"/>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7A. Quantitative and Qualitative Disclosures about Market Risk</w:t>
              </w:r>
            </w:hyperlink>
          </w:p>
        </w:tc>
        <w:tc>
          <w:tcPr>
            <w:tcW w:w="180" w:type="dxa"/>
            <w:vAlign w:val="bottom"/>
            <w:gridSpan w:val="2"/>
          </w:tcPr>
          <w:p>
            <w:pPr>
              <w:spacing w:after="0" w:line="189" w:lineRule="exact"/>
              <w:rPr>
                <w:rFonts w:ascii="Arial" w:cs="Arial" w:eastAsia="Arial" w:hAnsi="Arial"/>
                <w:sz w:val="18"/>
                <w:szCs w:val="18"/>
                <w:color w:val="0000FF"/>
                <w:w w:val="79"/>
              </w:rPr>
            </w:pPr>
            <w:hyperlink w:anchor="page55">
              <w:r>
                <w:rPr>
                  <w:rFonts w:ascii="Arial" w:cs="Arial" w:eastAsia="Arial" w:hAnsi="Arial"/>
                  <w:sz w:val="18"/>
                  <w:szCs w:val="18"/>
                  <w:color w:val="0000FF"/>
                  <w:w w:val="79"/>
                </w:rPr>
                <w:t>56</w:t>
              </w:r>
            </w:hyperlink>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980" w:type="dxa"/>
            <w:vAlign w:val="bottom"/>
            <w:gridSpan w:val="44"/>
            <w:shd w:val="clear" w:color="auto" w:fill="CCEEFF"/>
          </w:tcPr>
          <w:p>
            <w:pPr>
              <w:ind w:left="28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8. Financial Statements and Supplementary Data</w:t>
              </w:r>
            </w:hyperlink>
          </w:p>
        </w:tc>
        <w:tc>
          <w:tcPr>
            <w:tcW w:w="180" w:type="dxa"/>
            <w:vAlign w:val="bottom"/>
            <w:gridSpan w:val="2"/>
            <w:shd w:val="clear" w:color="auto" w:fill="CCEEFF"/>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20" w:type="dxa"/>
            <w:vAlign w:val="bottom"/>
            <w:gridSpan w:val="40"/>
          </w:tcPr>
          <w:p>
            <w:pPr>
              <w:spacing w:after="0"/>
              <w:rPr>
                <w:sz w:val="20"/>
                <w:szCs w:val="20"/>
                <w:color w:val="auto"/>
              </w:rPr>
            </w:pPr>
            <w:r>
              <w:rPr>
                <w:rFonts w:ascii="Arial" w:cs="Arial" w:eastAsia="Arial" w:hAnsi="Arial"/>
                <w:sz w:val="18"/>
                <w:szCs w:val="18"/>
                <w:b w:val="1"/>
                <w:bCs w:val="1"/>
                <w:color w:val="auto"/>
              </w:rPr>
              <w:t>Index (Continued)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9. Changes in and Disagreements with Accountants on Accounting and Financial Disclosure</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9A. Controls and Procedures</w:t>
              </w:r>
            </w:hyperlink>
          </w:p>
        </w:tc>
        <w:tc>
          <w:tcPr>
            <w:tcW w:w="180" w:type="dxa"/>
            <w:vAlign w:val="bottom"/>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9B. Other Information</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9C. Disclosure Regarding Foreign Jurisdictions that Prevent Inspections</w:t>
              </w:r>
            </w:hyperlink>
          </w:p>
        </w:tc>
        <w:tc>
          <w:tcPr>
            <w:tcW w:w="180" w:type="dxa"/>
            <w:vAlign w:val="bottom"/>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56</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39"/>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Part III</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6">
              <w:r>
                <w:rPr>
                  <w:rFonts w:ascii="Arial" w:cs="Arial" w:eastAsia="Arial" w:hAnsi="Arial"/>
                  <w:sz w:val="18"/>
                  <w:szCs w:val="18"/>
                  <w:color w:val="0000FF"/>
                  <w:w w:val="79"/>
                </w:rPr>
                <w:t>57</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960" w:type="dxa"/>
            <w:vAlign w:val="bottom"/>
            <w:tcBorders>
              <w:top w:val="single" w:sz="8" w:color="CCEEFF"/>
            </w:tcBorders>
            <w:gridSpan w:val="35"/>
          </w:tcPr>
          <w:p>
            <w:pPr>
              <w:ind w:left="26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10. Directors, Executive Officers and Corporate Governance</w:t>
              </w:r>
            </w:hyperlink>
          </w:p>
        </w:tc>
        <w:tc>
          <w:tcPr>
            <w:tcW w:w="180" w:type="dxa"/>
            <w:vAlign w:val="bottom"/>
            <w:tcBorders>
              <w:top w:val="single" w:sz="8" w:color="0000FF"/>
            </w:tcBorders>
          </w:tcPr>
          <w:p>
            <w:pPr>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11. Executive Compensation</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7">
              <w:r>
                <w:rPr>
                  <w:rFonts w:ascii="Arial" w:cs="Arial" w:eastAsia="Arial" w:hAnsi="Arial"/>
                  <w:sz w:val="18"/>
                  <w:szCs w:val="18"/>
                  <w:color w:val="0000FF"/>
                  <w:w w:val="79"/>
                </w:rPr>
                <w:t>57</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12. Security Ownership of Certain Beneficial Owners and Management and</w:t>
              </w:r>
            </w:hyperlink>
          </w:p>
        </w:tc>
        <w:tc>
          <w:tcPr>
            <w:tcW w:w="180" w:type="dxa"/>
            <w:vAlign w:val="bottom"/>
            <w:vMerge w:val="restart"/>
          </w:tcPr>
          <w:p>
            <w:pPr>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58</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640" w:type="dxa"/>
            <w:vAlign w:val="bottom"/>
            <w:tcBorders>
              <w:top w:val="single" w:sz="8" w:color="0000FF"/>
            </w:tcBorders>
            <w:gridSpan w:val="30"/>
          </w:tcPr>
          <w:p>
            <w:pPr>
              <w:ind w:left="40"/>
              <w:spacing w:after="0" w:line="156" w:lineRule="exact"/>
              <w:rPr>
                <w:rFonts w:ascii="Arial" w:cs="Arial" w:eastAsia="Arial" w:hAnsi="Arial"/>
                <w:sz w:val="18"/>
                <w:szCs w:val="18"/>
                <w:color w:val="0000FF"/>
              </w:rPr>
            </w:pPr>
            <w:hyperlink w:anchor="page57">
              <w:r>
                <w:rPr>
                  <w:rFonts w:ascii="Arial" w:cs="Arial" w:eastAsia="Arial" w:hAnsi="Arial"/>
                  <w:sz w:val="18"/>
                  <w:szCs w:val="18"/>
                  <w:color w:val="0000FF"/>
                </w:rPr>
                <w:t>Related Stockholder Matters</w:t>
              </w:r>
            </w:hyperlink>
          </w:p>
        </w:tc>
        <w:tc>
          <w:tcPr>
            <w:tcW w:w="260" w:type="dxa"/>
            <w:vAlign w:val="bottom"/>
          </w:tcPr>
          <w:p>
            <w:pPr>
              <w:spacing w:after="0"/>
              <w:rPr>
                <w:sz w:val="13"/>
                <w:szCs w:val="13"/>
                <w:color w:val="auto"/>
              </w:rPr>
            </w:pPr>
          </w:p>
        </w:tc>
        <w:tc>
          <w:tcPr>
            <w:tcW w:w="2600" w:type="dxa"/>
            <w:vAlign w:val="bottom"/>
            <w:gridSpan w:val="2"/>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Item 13. Certain Relationships and Related Transactions, and Director Independence</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Item 14. Principal Accountant Fees and Services</w:t>
              </w:r>
            </w:hyperlink>
          </w:p>
        </w:tc>
        <w:tc>
          <w:tcPr>
            <w:tcW w:w="180" w:type="dxa"/>
            <w:vAlign w:val="bottom"/>
          </w:tcPr>
          <w:p>
            <w:pPr>
              <w:spacing w:after="0" w:line="189"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59</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39"/>
            <w:shd w:val="clear" w:color="auto" w:fill="CCEEFF"/>
          </w:tcPr>
          <w:p>
            <w:pPr>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Part IV</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960" w:type="dxa"/>
            <w:vAlign w:val="bottom"/>
            <w:tcBorders>
              <w:top w:val="single" w:sz="8" w:color="CCEEFF"/>
            </w:tcBorders>
            <w:gridSpan w:val="35"/>
          </w:tcPr>
          <w:p>
            <w:pPr>
              <w:ind w:left="260"/>
              <w:spacing w:after="0" w:line="189" w:lineRule="exact"/>
              <w:rPr>
                <w:rFonts w:ascii="Arial" w:cs="Arial" w:eastAsia="Arial" w:hAnsi="Arial"/>
                <w:sz w:val="18"/>
                <w:szCs w:val="18"/>
                <w:color w:val="0000FF"/>
              </w:rPr>
            </w:pPr>
            <w:hyperlink w:anchor="page59">
              <w:r>
                <w:rPr>
                  <w:rFonts w:ascii="Arial" w:cs="Arial" w:eastAsia="Arial" w:hAnsi="Arial"/>
                  <w:sz w:val="18"/>
                  <w:szCs w:val="18"/>
                  <w:color w:val="0000FF"/>
                </w:rPr>
                <w:t>Item 15. Exhibits and Financial Statement Schedules</w:t>
              </w:r>
            </w:hyperlink>
          </w:p>
        </w:tc>
        <w:tc>
          <w:tcPr>
            <w:tcW w:w="180" w:type="dxa"/>
            <w:vAlign w:val="bottom"/>
            <w:tcBorders>
              <w:top w:val="single" w:sz="8" w:color="0000FF"/>
            </w:tcBorders>
          </w:tcPr>
          <w:p>
            <w:pPr>
              <w:spacing w:after="0" w:line="189" w:lineRule="exact"/>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Item 16. Form 10-K Summary</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39"/>
            <w:shd w:val="clear" w:color="auto" w:fill="CCEEFF"/>
          </w:tcPr>
          <w:p>
            <w:pPr>
              <w:spacing w:after="0" w:line="189" w:lineRule="exact"/>
              <w:rPr>
                <w:rFonts w:ascii="Arial" w:cs="Arial" w:eastAsia="Arial" w:hAnsi="Arial"/>
                <w:sz w:val="18"/>
                <w:szCs w:val="18"/>
                <w:color w:val="0000FF"/>
              </w:rPr>
            </w:pPr>
            <w:hyperlink w:anchor="page63">
              <w:r>
                <w:rPr>
                  <w:rFonts w:ascii="Arial" w:cs="Arial" w:eastAsia="Arial" w:hAnsi="Arial"/>
                  <w:sz w:val="18"/>
                  <w:szCs w:val="18"/>
                  <w:color w:val="0000FF"/>
                </w:rPr>
                <w:t>Signatures</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64</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39"/>
            <w:shd w:val="clear" w:color="auto" w:fill="CCEEFF"/>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Report of Independent Registered Public Accounting Firm</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65">
              <w:r>
                <w:rPr>
                  <w:rFonts w:ascii="Arial" w:cs="Arial" w:eastAsia="Arial" w:hAnsi="Arial"/>
                  <w:sz w:val="18"/>
                  <w:szCs w:val="18"/>
                  <w:color w:val="0000FF"/>
                  <w:w w:val="79"/>
                </w:rPr>
                <w:t>66</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0000FF"/>
            </w:tcBorders>
            <w:gridSpan w:val="11"/>
            <w:shd w:val="clear" w:color="auto" w:fill="CCEEFF"/>
          </w:tcPr>
          <w:p>
            <w:pPr>
              <w:spacing w:after="0" w:line="189"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Consolidated Financial Statements - Audited</w:t>
              </w:r>
            </w:hyperlink>
          </w:p>
        </w:tc>
        <w:tc>
          <w:tcPr>
            <w:tcW w:w="6560" w:type="dxa"/>
            <w:vAlign w:val="bottom"/>
            <w:tcBorders>
              <w:bottom w:val="single" w:sz="8" w:color="CCEEFF"/>
            </w:tcBorders>
            <w:gridSpan w:val="28"/>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79"/>
              </w:rPr>
            </w:pPr>
            <w:hyperlink w:anchor="page67">
              <w:r>
                <w:rPr>
                  <w:rFonts w:ascii="Arial" w:cs="Arial" w:eastAsia="Arial" w:hAnsi="Arial"/>
                  <w:sz w:val="18"/>
                  <w:szCs w:val="18"/>
                  <w:color w:val="0000FF"/>
                  <w:w w:val="79"/>
                </w:rPr>
                <w:t>68</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Consolidated Balance Sheet</w:t>
              </w:r>
            </w:hyperlink>
          </w:p>
        </w:tc>
        <w:tc>
          <w:tcPr>
            <w:tcW w:w="180" w:type="dxa"/>
            <w:vAlign w:val="bottom"/>
          </w:tcPr>
          <w:p>
            <w:pPr>
              <w:spacing w:after="0" w:line="189"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68">
              <w:r>
                <w:rPr>
                  <w:rFonts w:ascii="Arial" w:cs="Arial" w:eastAsia="Arial" w:hAnsi="Arial"/>
                  <w:sz w:val="18"/>
                  <w:szCs w:val="18"/>
                  <w:color w:val="0000FF"/>
                </w:rPr>
                <w:t>Consolidated Statement of Income</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69</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Consolidated Statement of Comprehensive Income</w:t>
              </w:r>
            </w:hyperlink>
          </w:p>
        </w:tc>
        <w:tc>
          <w:tcPr>
            <w:tcW w:w="180" w:type="dxa"/>
            <w:vAlign w:val="bottom"/>
          </w:tcPr>
          <w:p>
            <w:pPr>
              <w:spacing w:after="0" w:line="189" w:lineRule="exact"/>
              <w:rPr>
                <w:rFonts w:ascii="Arial" w:cs="Arial" w:eastAsia="Arial" w:hAnsi="Arial"/>
                <w:sz w:val="18"/>
                <w:szCs w:val="18"/>
                <w:color w:val="0000FF"/>
                <w:w w:val="79"/>
              </w:rPr>
            </w:pPr>
            <w:hyperlink w:anchor="page69">
              <w:r>
                <w:rPr>
                  <w:rFonts w:ascii="Arial" w:cs="Arial" w:eastAsia="Arial" w:hAnsi="Arial"/>
                  <w:sz w:val="18"/>
                  <w:szCs w:val="18"/>
                  <w:color w:val="0000FF"/>
                  <w:w w:val="79"/>
                </w:rPr>
                <w:t>70</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70">
              <w:r>
                <w:rPr>
                  <w:rFonts w:ascii="Arial" w:cs="Arial" w:eastAsia="Arial" w:hAnsi="Arial"/>
                  <w:sz w:val="18"/>
                  <w:szCs w:val="18"/>
                  <w:color w:val="0000FF"/>
                </w:rPr>
                <w:t>Consolidated Statement of Cash Flows</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71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5"/>
          </w:tcPr>
          <w:p>
            <w:pPr>
              <w:ind w:left="260"/>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Consolidated Statement of Equity</w:t>
              </w:r>
            </w:hyperlink>
          </w:p>
        </w:tc>
        <w:tc>
          <w:tcPr>
            <w:tcW w:w="180" w:type="dxa"/>
            <w:vAlign w:val="bottom"/>
          </w:tcPr>
          <w:p>
            <w:pPr>
              <w:spacing w:after="0" w:line="189" w:lineRule="exact"/>
              <w:rPr>
                <w:rFonts w:ascii="Arial" w:cs="Arial" w:eastAsia="Arial" w:hAnsi="Arial"/>
                <w:sz w:val="18"/>
                <w:szCs w:val="18"/>
                <w:color w:val="0000FF"/>
                <w:w w:val="79"/>
              </w:rPr>
            </w:pPr>
            <w:hyperlink w:anchor="page71">
              <w:r>
                <w:rPr>
                  <w:rFonts w:ascii="Arial" w:cs="Arial" w:eastAsia="Arial" w:hAnsi="Arial"/>
                  <w:sz w:val="18"/>
                  <w:szCs w:val="18"/>
                  <w:color w:val="0000FF"/>
                  <w:w w:val="79"/>
                </w:rPr>
                <w:t>72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5"/>
            <w:shd w:val="clear" w:color="auto" w:fill="CCEEFF"/>
          </w:tcPr>
          <w:p>
            <w:pPr>
              <w:ind w:left="260"/>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Notes to Consolidated Financial Statements</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72">
              <w:r>
                <w:rPr>
                  <w:rFonts w:ascii="Arial" w:cs="Arial" w:eastAsia="Arial" w:hAnsi="Arial"/>
                  <w:sz w:val="18"/>
                  <w:szCs w:val="18"/>
                  <w:color w:val="0000FF"/>
                  <w:w w:val="79"/>
                </w:rPr>
                <w:t>73</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73">
              <w:r>
                <w:rPr>
                  <w:rFonts w:ascii="Arial" w:cs="Arial" w:eastAsia="Arial" w:hAnsi="Arial"/>
                  <w:sz w:val="18"/>
                  <w:szCs w:val="18"/>
                  <w:color w:val="0000FF"/>
                </w:rPr>
                <w:t>Note 1. Operations and Significant Accounting Policies</w:t>
              </w:r>
            </w:hyperlink>
          </w:p>
        </w:tc>
        <w:tc>
          <w:tcPr>
            <w:tcW w:w="180" w:type="dxa"/>
            <w:vAlign w:val="bottom"/>
          </w:tcPr>
          <w:p>
            <w:pPr>
              <w:spacing w:after="0" w:line="189" w:lineRule="exact"/>
              <w:rPr>
                <w:rFonts w:ascii="Arial" w:cs="Arial" w:eastAsia="Arial" w:hAnsi="Arial"/>
                <w:sz w:val="18"/>
                <w:szCs w:val="18"/>
                <w:color w:val="0000FF"/>
                <w:w w:val="79"/>
              </w:rPr>
            </w:pPr>
            <w:hyperlink w:anchor="page73">
              <w:r>
                <w:rPr>
                  <w:rFonts w:ascii="Arial" w:cs="Arial" w:eastAsia="Arial" w:hAnsi="Arial"/>
                  <w:sz w:val="18"/>
                  <w:szCs w:val="18"/>
                  <w:color w:val="0000FF"/>
                  <w:w w:val="79"/>
                </w:rPr>
                <w:t>73</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33"/>
            <w:shd w:val="clear" w:color="auto" w:fill="CCEEFF"/>
          </w:tcPr>
          <w:p>
            <w:pPr>
              <w:spacing w:after="0" w:line="189" w:lineRule="exact"/>
              <w:rPr>
                <w:rFonts w:ascii="Arial" w:cs="Arial" w:eastAsia="Arial" w:hAnsi="Arial"/>
                <w:sz w:val="18"/>
                <w:szCs w:val="18"/>
                <w:color w:val="0000FF"/>
              </w:rPr>
            </w:pPr>
            <w:hyperlink w:anchor="page83">
              <w:r>
                <w:rPr>
                  <w:rFonts w:ascii="Arial" w:cs="Arial" w:eastAsia="Arial" w:hAnsi="Arial"/>
                  <w:sz w:val="18"/>
                  <w:szCs w:val="18"/>
                  <w:color w:val="0000FF"/>
                </w:rPr>
                <w:t>Note 2. Property, Plant and Equipment</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83">
              <w:r>
                <w:rPr>
                  <w:rFonts w:ascii="Arial" w:cs="Arial" w:eastAsia="Arial" w:hAnsi="Arial"/>
                  <w:sz w:val="18"/>
                  <w:szCs w:val="18"/>
                  <w:color w:val="0000FF"/>
                  <w:w w:val="79"/>
                </w:rPr>
                <w:t>84</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85">
              <w:r>
                <w:rPr>
                  <w:rFonts w:ascii="Arial" w:cs="Arial" w:eastAsia="Arial" w:hAnsi="Arial"/>
                  <w:sz w:val="18"/>
                  <w:szCs w:val="18"/>
                  <w:color w:val="0000FF"/>
                </w:rPr>
                <w:t>Note 3. Jointly-Owned Facilities and Assets</w:t>
              </w:r>
            </w:hyperlink>
          </w:p>
        </w:tc>
        <w:tc>
          <w:tcPr>
            <w:tcW w:w="180" w:type="dxa"/>
            <w:vAlign w:val="bottom"/>
          </w:tcPr>
          <w:p>
            <w:pPr>
              <w:spacing w:after="0" w:line="189" w:lineRule="exact"/>
              <w:rPr>
                <w:rFonts w:ascii="Arial" w:cs="Arial" w:eastAsia="Arial" w:hAnsi="Arial"/>
                <w:sz w:val="18"/>
                <w:szCs w:val="18"/>
                <w:color w:val="0000FF"/>
                <w:w w:val="79"/>
              </w:rPr>
            </w:pPr>
            <w:hyperlink w:anchor="page85">
              <w:r>
                <w:rPr>
                  <w:rFonts w:ascii="Arial" w:cs="Arial" w:eastAsia="Arial" w:hAnsi="Arial"/>
                  <w:sz w:val="18"/>
                  <w:szCs w:val="18"/>
                  <w:color w:val="0000FF"/>
                  <w:w w:val="79"/>
                </w:rPr>
                <w:t>85</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FF"/>
            </w:tcBorders>
            <w:gridSpan w:val="6"/>
            <w:shd w:val="clear" w:color="auto" w:fill="CCEEFF"/>
          </w:tcPr>
          <w:p>
            <w:pPr>
              <w:spacing w:after="0" w:line="189"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Note 4. Regulatory Matters</w:t>
              </w:r>
            </w:hyperlink>
          </w:p>
        </w:tc>
        <w:tc>
          <w:tcPr>
            <w:tcW w:w="652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79"/>
              </w:rPr>
            </w:pPr>
            <w:hyperlink w:anchor="page86">
              <w:r>
                <w:rPr>
                  <w:rFonts w:ascii="Arial" w:cs="Arial" w:eastAsia="Arial" w:hAnsi="Arial"/>
                  <w:sz w:val="18"/>
                  <w:szCs w:val="18"/>
                  <w:color w:val="0000FF"/>
                  <w:w w:val="79"/>
                </w:rPr>
                <w:t>86</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90">
              <w:r>
                <w:rPr>
                  <w:rFonts w:ascii="Arial" w:cs="Arial" w:eastAsia="Arial" w:hAnsi="Arial"/>
                  <w:sz w:val="18"/>
                  <w:szCs w:val="18"/>
                  <w:color w:val="0000FF"/>
                </w:rPr>
                <w:t>Note 5. Equity Investments</w:t>
              </w:r>
            </w:hyperlink>
          </w:p>
        </w:tc>
        <w:tc>
          <w:tcPr>
            <w:tcW w:w="180" w:type="dxa"/>
            <w:vAlign w:val="bottom"/>
          </w:tcPr>
          <w:p>
            <w:pPr>
              <w:spacing w:after="0" w:line="189" w:lineRule="exact"/>
              <w:rPr>
                <w:rFonts w:ascii="Arial" w:cs="Arial" w:eastAsia="Arial" w:hAnsi="Arial"/>
                <w:sz w:val="18"/>
                <w:szCs w:val="18"/>
                <w:color w:val="0000FF"/>
                <w:w w:val="79"/>
              </w:rPr>
            </w:pPr>
            <w:hyperlink w:anchor="page90">
              <w:r>
                <w:rPr>
                  <w:rFonts w:ascii="Arial" w:cs="Arial" w:eastAsia="Arial" w:hAnsi="Arial"/>
                  <w:sz w:val="18"/>
                  <w:szCs w:val="18"/>
                  <w:color w:val="0000FF"/>
                  <w:w w:val="79"/>
                </w:rPr>
                <w:t>91</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33"/>
            <w:shd w:val="clear" w:color="auto" w:fill="CCEEFF"/>
          </w:tcPr>
          <w:p>
            <w:pPr>
              <w:spacing w:after="0" w:line="189" w:lineRule="exact"/>
              <w:rPr>
                <w:rFonts w:ascii="Arial" w:cs="Arial" w:eastAsia="Arial" w:hAnsi="Arial"/>
                <w:sz w:val="18"/>
                <w:szCs w:val="18"/>
                <w:color w:val="0000FF"/>
              </w:rPr>
            </w:pPr>
            <w:hyperlink w:anchor="page92">
              <w:r>
                <w:rPr>
                  <w:rFonts w:ascii="Arial" w:cs="Arial" w:eastAsia="Arial" w:hAnsi="Arial"/>
                  <w:sz w:val="18"/>
                  <w:szCs w:val="18"/>
                  <w:color w:val="0000FF"/>
                </w:rPr>
                <w:t>Note 6. Fair Value</w:t>
              </w:r>
            </w:hyperlink>
          </w:p>
        </w:tc>
        <w:tc>
          <w:tcPr>
            <w:tcW w:w="180" w:type="dxa"/>
            <w:vAlign w:val="bottom"/>
            <w:shd w:val="clear" w:color="auto" w:fill="CCEEFF"/>
          </w:tcPr>
          <w:p>
            <w:pPr>
              <w:spacing w:after="0" w:line="189" w:lineRule="exact"/>
              <w:rPr>
                <w:rFonts w:ascii="Arial" w:cs="Arial" w:eastAsia="Arial" w:hAnsi="Arial"/>
                <w:sz w:val="18"/>
                <w:szCs w:val="18"/>
                <w:color w:val="0000FF"/>
                <w:w w:val="79"/>
              </w:rPr>
            </w:pPr>
            <w:hyperlink w:anchor="page92">
              <w:r>
                <w:rPr>
                  <w:rFonts w:ascii="Arial" w:cs="Arial" w:eastAsia="Arial" w:hAnsi="Arial"/>
                  <w:sz w:val="18"/>
                  <w:szCs w:val="18"/>
                  <w:color w:val="0000FF"/>
                  <w:w w:val="79"/>
                </w:rPr>
                <w:t>92</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94">
              <w:r>
                <w:rPr>
                  <w:rFonts w:ascii="Arial" w:cs="Arial" w:eastAsia="Arial" w:hAnsi="Arial"/>
                  <w:sz w:val="18"/>
                  <w:szCs w:val="18"/>
                  <w:color w:val="0000FF"/>
                </w:rPr>
                <w:t>Note 7. Short-Term and Long-Term Debt</w:t>
              </w:r>
            </w:hyperlink>
          </w:p>
        </w:tc>
        <w:tc>
          <w:tcPr>
            <w:tcW w:w="180" w:type="dxa"/>
            <w:vAlign w:val="bottom"/>
          </w:tcPr>
          <w:p>
            <w:pPr>
              <w:spacing w:after="0" w:line="189" w:lineRule="exact"/>
              <w:rPr>
                <w:rFonts w:ascii="Arial" w:cs="Arial" w:eastAsia="Arial" w:hAnsi="Arial"/>
                <w:sz w:val="18"/>
                <w:szCs w:val="18"/>
                <w:color w:val="0000FF"/>
                <w:w w:val="79"/>
              </w:rPr>
            </w:pPr>
            <w:hyperlink w:anchor="page94">
              <w:r>
                <w:rPr>
                  <w:rFonts w:ascii="Arial" w:cs="Arial" w:eastAsia="Arial" w:hAnsi="Arial"/>
                  <w:sz w:val="18"/>
                  <w:szCs w:val="18"/>
                  <w:color w:val="0000FF"/>
                  <w:w w:val="79"/>
                </w:rPr>
                <w:t>94</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880" w:type="dxa"/>
            <w:vAlign w:val="bottom"/>
            <w:tcBorders>
              <w:bottom w:val="single" w:sz="8" w:color="0000FF"/>
            </w:tcBorders>
            <w:gridSpan w:val="25"/>
            <w:shd w:val="clear" w:color="auto" w:fill="CCEEFF"/>
          </w:tcPr>
          <w:p>
            <w:pPr>
              <w:spacing w:after="0" w:line="189" w:lineRule="exact"/>
              <w:rPr>
                <w:rFonts w:ascii="Arial" w:cs="Arial" w:eastAsia="Arial" w:hAnsi="Arial"/>
                <w:sz w:val="18"/>
                <w:szCs w:val="18"/>
                <w:color w:val="0000FF"/>
                <w:w w:val="89"/>
              </w:rPr>
            </w:pPr>
            <w:hyperlink w:anchor="page97">
              <w:r>
                <w:rPr>
                  <w:rFonts w:ascii="Arial" w:cs="Arial" w:eastAsia="Arial" w:hAnsi="Arial"/>
                  <w:sz w:val="18"/>
                  <w:szCs w:val="18"/>
                  <w:color w:val="0000FF"/>
                  <w:w w:val="89"/>
                </w:rPr>
                <w:t>Note 8. Commitments, Guarantees and Contingencies</w:t>
              </w:r>
            </w:hyperlink>
          </w:p>
        </w:tc>
        <w:tc>
          <w:tcPr>
            <w:tcW w:w="4620" w:type="dxa"/>
            <w:vAlign w:val="bottom"/>
            <w:tcBorders>
              <w:bottom w:val="single" w:sz="8" w:color="CCEEFF"/>
            </w:tcBorders>
            <w:gridSpan w:val="8"/>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79"/>
              </w:rPr>
            </w:pPr>
            <w:hyperlink w:anchor="page97">
              <w:r>
                <w:rPr>
                  <w:rFonts w:ascii="Arial" w:cs="Arial" w:eastAsia="Arial" w:hAnsi="Arial"/>
                  <w:sz w:val="18"/>
                  <w:szCs w:val="18"/>
                  <w:color w:val="0000FF"/>
                  <w:w w:val="79"/>
                </w:rPr>
                <w:t>97</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Note 9. Common Stock and Earnings Per Share</w:t>
              </w:r>
            </w:hyperlink>
          </w:p>
        </w:tc>
        <w:tc>
          <w:tcPr>
            <w:tcW w:w="1400" w:type="dxa"/>
            <w:vAlign w:val="bottom"/>
            <w:gridSpan w:val="4"/>
          </w:tcPr>
          <w:p>
            <w:pPr>
              <w:spacing w:after="0" w:line="189" w:lineRule="exact"/>
              <w:rPr>
                <w:rFonts w:ascii="Arial" w:cs="Arial" w:eastAsia="Arial" w:hAnsi="Arial"/>
                <w:sz w:val="18"/>
                <w:szCs w:val="18"/>
                <w:color w:val="0000FF"/>
              </w:rPr>
            </w:pPr>
            <w:hyperlink w:anchor="page104">
              <w:r>
                <w:rPr>
                  <w:rFonts w:ascii="Arial" w:cs="Arial" w:eastAsia="Arial" w:hAnsi="Arial"/>
                  <w:sz w:val="18"/>
                  <w:szCs w:val="18"/>
                  <w:color w:val="0000FF"/>
                </w:rPr>
                <w:t>104</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89"/>
              </w:rPr>
            </w:pPr>
            <w:hyperlink w:anchor="page105">
              <w:r>
                <w:rPr>
                  <w:rFonts w:ascii="Arial" w:cs="Arial" w:eastAsia="Arial" w:hAnsi="Arial"/>
                  <w:sz w:val="18"/>
                  <w:szCs w:val="18"/>
                  <w:color w:val="0000FF"/>
                  <w:w w:val="89"/>
                </w:rPr>
                <w:t>Note 10. Income Tax Expense</w:t>
              </w:r>
            </w:hyperlink>
          </w:p>
        </w:tc>
        <w:tc>
          <w:tcPr>
            <w:tcW w:w="6320" w:type="dxa"/>
            <w:vAlign w:val="bottom"/>
            <w:tcBorders>
              <w:bottom w:val="single" w:sz="8" w:color="CCEEFF"/>
            </w:tcBorders>
            <w:gridSpan w:val="23"/>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105</w:t>
              </w:r>
            </w:hyperlink>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3"/>
          </w:tcPr>
          <w:p>
            <w:pPr>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Note 11. Pension and Other Postretirement Benefit Plans</w:t>
              </w:r>
            </w:hyperlink>
          </w:p>
        </w:tc>
        <w:tc>
          <w:tcPr>
            <w:tcW w:w="1400" w:type="dxa"/>
            <w:vAlign w:val="bottom"/>
            <w:gridSpan w:val="4"/>
          </w:tcPr>
          <w:p>
            <w:pPr>
              <w:spacing w:after="0" w:line="189" w:lineRule="exact"/>
              <w:rPr>
                <w:rFonts w:ascii="Arial" w:cs="Arial" w:eastAsia="Arial" w:hAnsi="Arial"/>
                <w:sz w:val="18"/>
                <w:szCs w:val="18"/>
                <w:color w:val="0000FF"/>
              </w:rPr>
            </w:pPr>
            <w:hyperlink w:anchor="page107">
              <w:r>
                <w:rPr>
                  <w:rFonts w:ascii="Arial" w:cs="Arial" w:eastAsia="Arial" w:hAnsi="Arial"/>
                  <w:sz w:val="18"/>
                  <w:szCs w:val="18"/>
                  <w:color w:val="0000FF"/>
                </w:rPr>
                <w:t>108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33"/>
            <w:shd w:val="clear" w:color="auto" w:fill="CCEEFF"/>
          </w:tcPr>
          <w:p>
            <w:pPr>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Note 12. Employee Stock and Incentive Plans</w:t>
              </w:r>
            </w:hyperlink>
          </w:p>
        </w:tc>
        <w:tc>
          <w:tcPr>
            <w:tcW w:w="280" w:type="dxa"/>
            <w:vAlign w:val="bottom"/>
            <w:gridSpan w:val="3"/>
            <w:shd w:val="clear" w:color="auto" w:fill="CCEEFF"/>
          </w:tcPr>
          <w:p>
            <w:pPr>
              <w:spacing w:after="0" w:line="189"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117</w:t>
              </w:r>
            </w:hyperlink>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20"/>
          </w:tcPr>
          <w:p>
            <w:pPr>
              <w:spacing w:after="0" w:line="189" w:lineRule="exact"/>
              <w:rPr>
                <w:rFonts w:ascii="Arial" w:cs="Arial" w:eastAsia="Arial" w:hAnsi="Arial"/>
                <w:sz w:val="18"/>
                <w:szCs w:val="18"/>
                <w:color w:val="0000FF"/>
              </w:rPr>
            </w:pPr>
            <w:hyperlink w:anchor="page119">
              <w:r>
                <w:rPr>
                  <w:rFonts w:ascii="Arial" w:cs="Arial" w:eastAsia="Arial" w:hAnsi="Arial"/>
                  <w:sz w:val="18"/>
                  <w:szCs w:val="18"/>
                  <w:color w:val="0000FF"/>
                </w:rPr>
                <w:t>Note 13. Business Segments</w:t>
              </w:r>
            </w:hyperlink>
          </w:p>
        </w:tc>
        <w:tc>
          <w:tcPr>
            <w:tcW w:w="5200" w:type="dxa"/>
            <w:vAlign w:val="bottom"/>
            <w:gridSpan w:val="13"/>
          </w:tcPr>
          <w:p>
            <w:pPr>
              <w:spacing w:after="0"/>
              <w:rPr>
                <w:sz w:val="16"/>
                <w:szCs w:val="16"/>
                <w:color w:val="auto"/>
              </w:rPr>
            </w:pPr>
          </w:p>
        </w:tc>
        <w:tc>
          <w:tcPr>
            <w:tcW w:w="280" w:type="dxa"/>
            <w:vAlign w:val="bottom"/>
            <w:gridSpan w:val="3"/>
          </w:tcPr>
          <w:p>
            <w:pPr>
              <w:spacing w:after="0" w:line="189" w:lineRule="exact"/>
              <w:rPr>
                <w:rFonts w:ascii="Arial" w:cs="Arial" w:eastAsia="Arial" w:hAnsi="Arial"/>
                <w:sz w:val="18"/>
                <w:szCs w:val="18"/>
                <w:color w:val="0000FF"/>
                <w:w w:val="86"/>
              </w:rPr>
            </w:pPr>
            <w:hyperlink w:anchor="page119">
              <w:r>
                <w:rPr>
                  <w:rFonts w:ascii="Arial" w:cs="Arial" w:eastAsia="Arial" w:hAnsi="Arial"/>
                  <w:sz w:val="18"/>
                  <w:szCs w:val="18"/>
                  <w:color w:val="0000FF"/>
                  <w:w w:val="86"/>
                </w:rPr>
                <w:t>119</w:t>
              </w:r>
            </w:hyperlink>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33"/>
            <w:shd w:val="clear" w:color="auto" w:fill="CCEEFF"/>
          </w:tcPr>
          <w:p>
            <w:pPr>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Note 14. Quarterly Financial Data (Unaudited)</w:t>
              </w:r>
            </w:hyperlink>
          </w:p>
        </w:tc>
        <w:tc>
          <w:tcPr>
            <w:tcW w:w="1400" w:type="dxa"/>
            <w:vAlign w:val="bottom"/>
            <w:gridSpan w:val="4"/>
            <w:shd w:val="clear" w:color="auto" w:fill="CCEEFF"/>
          </w:tcPr>
          <w:p>
            <w:pPr>
              <w:spacing w:after="0" w:line="189" w:lineRule="exact"/>
              <w:rPr>
                <w:rFonts w:ascii="Arial" w:cs="Arial" w:eastAsia="Arial" w:hAnsi="Arial"/>
                <w:sz w:val="18"/>
                <w:szCs w:val="18"/>
                <w:color w:val="0000FF"/>
              </w:rPr>
            </w:pPr>
            <w:hyperlink w:anchor="page121">
              <w:r>
                <w:rPr>
                  <w:rFonts w:ascii="Arial" w:cs="Arial" w:eastAsia="Arial" w:hAnsi="Arial"/>
                  <w:sz w:val="18"/>
                  <w:szCs w:val="18"/>
                  <w:color w:val="0000FF"/>
                </w:rPr>
                <w:t>122</w:t>
              </w:r>
            </w:hyperlink>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300" w:type="dxa"/>
            <w:vAlign w:val="bottom"/>
            <w:tcBorders>
              <w:top w:val="single" w:sz="8" w:color="CCEEFF"/>
            </w:tcBorders>
            <w:gridSpan w:val="6"/>
          </w:tcPr>
          <w:p>
            <w:pPr>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Schedule II</w:t>
              </w:r>
            </w:hyperlink>
          </w:p>
        </w:tc>
        <w:tc>
          <w:tcPr>
            <w:tcW w:w="3360" w:type="dxa"/>
            <w:vAlign w:val="bottom"/>
            <w:tcBorders>
              <w:top w:val="single" w:sz="8" w:color="0000FF"/>
            </w:tcBorders>
            <w:gridSpan w:val="21"/>
          </w:tcPr>
          <w:p>
            <w:pPr>
              <w:spacing w:after="0"/>
              <w:rPr>
                <w:sz w:val="16"/>
                <w:szCs w:val="16"/>
                <w:color w:val="auto"/>
              </w:rPr>
            </w:pPr>
          </w:p>
        </w:tc>
        <w:tc>
          <w:tcPr>
            <w:tcW w:w="5140" w:type="dxa"/>
            <w:vAlign w:val="bottom"/>
            <w:tcBorders>
              <w:top w:val="single" w:sz="8" w:color="CCEEFF"/>
            </w:tcBorders>
            <w:gridSpan w:val="12"/>
          </w:tcPr>
          <w:p>
            <w:pPr>
              <w:spacing w:after="0"/>
              <w:rPr>
                <w:sz w:val="16"/>
                <w:szCs w:val="16"/>
                <w:color w:val="auto"/>
              </w:rPr>
            </w:pPr>
          </w:p>
        </w:tc>
        <w:tc>
          <w:tcPr>
            <w:tcW w:w="280" w:type="dxa"/>
            <w:vAlign w:val="bottom"/>
            <w:tcBorders>
              <w:top w:val="single" w:sz="8" w:color="0000FF"/>
            </w:tcBorders>
            <w:gridSpan w:val="3"/>
          </w:tcPr>
          <w:p>
            <w:pPr>
              <w:spacing w:after="0" w:line="189" w:lineRule="exact"/>
              <w:rPr>
                <w:rFonts w:ascii="Arial" w:cs="Arial" w:eastAsia="Arial" w:hAnsi="Arial"/>
                <w:sz w:val="18"/>
                <w:szCs w:val="18"/>
                <w:color w:val="0000FF"/>
                <w:w w:val="86"/>
              </w:rPr>
            </w:pPr>
            <w:hyperlink w:anchor="page122">
              <w:r>
                <w:rPr>
                  <w:rFonts w:ascii="Arial" w:cs="Arial" w:eastAsia="Arial" w:hAnsi="Arial"/>
                  <w:sz w:val="18"/>
                  <w:szCs w:val="18"/>
                  <w:color w:val="0000FF"/>
                  <w:w w:val="86"/>
                </w:rPr>
                <w:t>122</w:t>
              </w:r>
            </w:hyperlink>
          </w:p>
        </w:tc>
        <w:tc>
          <w:tcPr>
            <w:tcW w:w="1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0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Allowance for Funds Used During Construction - the cost of both debt and equity funds used to finance utility</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USA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ATC</w:t>
            </w:r>
          </w:p>
        </w:tc>
        <w:tc>
          <w:tcPr>
            <w:tcW w:w="80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Bison</w:t>
            </w:r>
          </w:p>
        </w:tc>
        <w:tc>
          <w:tcPr>
            <w:tcW w:w="80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0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CIP</w:t>
            </w:r>
          </w:p>
        </w:tc>
        <w:tc>
          <w:tcPr>
            <w:tcW w:w="8020" w:type="dxa"/>
            <w:vAlign w:val="bottom"/>
            <w:gridSpan w:val="2"/>
          </w:tcPr>
          <w:p>
            <w:pPr>
              <w:spacing w:after="0"/>
              <w:rPr>
                <w:sz w:val="20"/>
                <w:szCs w:val="20"/>
                <w:color w:val="auto"/>
              </w:rPr>
            </w:pPr>
            <w:r>
              <w:rPr>
                <w:rFonts w:ascii="Arial" w:cs="Arial" w:eastAsia="Arial" w:hAnsi="Arial"/>
                <w:sz w:val="18"/>
                <w:szCs w:val="18"/>
                <w:color w:val="auto"/>
              </w:rPr>
              <w:t>Conservation Improvement Program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Cliffs</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Cleveland-Cliffs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COVID-19</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novel coronavirus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DC</w:t>
            </w:r>
          </w:p>
        </w:tc>
        <w:tc>
          <w:tcPr>
            <w:tcW w:w="8020" w:type="dxa"/>
            <w:vAlign w:val="bottom"/>
            <w:gridSpan w:val="2"/>
          </w:tcPr>
          <w:p>
            <w:pPr>
              <w:spacing w:after="0"/>
              <w:rPr>
                <w:sz w:val="20"/>
                <w:szCs w:val="20"/>
                <w:color w:val="auto"/>
              </w:rPr>
            </w:pPr>
            <w:r>
              <w:rPr>
                <w:rFonts w:ascii="Arial" w:cs="Arial" w:eastAsia="Arial" w:hAnsi="Arial"/>
                <w:sz w:val="18"/>
                <w:szCs w:val="18"/>
                <w:color w:val="auto"/>
              </w:rPr>
              <w:t>Direct Current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EIS</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Impact Statement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EPA</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States Environmental Protection Agency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ESOP</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FERC</w:t>
            </w:r>
          </w:p>
        </w:tc>
        <w:tc>
          <w:tcPr>
            <w:tcW w:w="802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8-K</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Current Report on Form 8-K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Form 10-K</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10-Q</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GAAP</w:t>
            </w:r>
          </w:p>
        </w:tc>
        <w:tc>
          <w:tcPr>
            <w:tcW w:w="8020" w:type="dxa"/>
            <w:vAlign w:val="bottom"/>
            <w:gridSpan w:val="2"/>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GHG</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GNTL</w:t>
            </w:r>
          </w:p>
        </w:tc>
        <w:tc>
          <w:tcPr>
            <w:tcW w:w="802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Hibbing Taconite Co.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Husky Energy</w:t>
            </w:r>
          </w:p>
        </w:tc>
        <w:tc>
          <w:tcPr>
            <w:tcW w:w="8020" w:type="dxa"/>
            <w:vAlign w:val="bottom"/>
            <w:gridSpan w:val="2"/>
          </w:tcPr>
          <w:p>
            <w:pPr>
              <w:spacing w:after="0"/>
              <w:rPr>
                <w:sz w:val="20"/>
                <w:szCs w:val="20"/>
                <w:color w:val="auto"/>
              </w:rPr>
            </w:pPr>
            <w:r>
              <w:rPr>
                <w:rFonts w:ascii="Arial" w:cs="Arial" w:eastAsia="Arial" w:hAnsi="Arial"/>
                <w:sz w:val="18"/>
                <w:szCs w:val="18"/>
                <w:color w:val="auto"/>
              </w:rPr>
              <w:t>Husky Energy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IRP</w:t>
            </w:r>
          </w:p>
        </w:tc>
        <w:tc>
          <w:tcPr>
            <w:tcW w:w="80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kV</w:t>
            </w:r>
          </w:p>
        </w:tc>
        <w:tc>
          <w:tcPr>
            <w:tcW w:w="8020" w:type="dxa"/>
            <w:vAlign w:val="bottom"/>
            <w:gridSpan w:val="2"/>
          </w:tcPr>
          <w:p>
            <w:pPr>
              <w:spacing w:after="0"/>
              <w:rPr>
                <w:sz w:val="20"/>
                <w:szCs w:val="20"/>
                <w:color w:val="auto"/>
              </w:rPr>
            </w:pPr>
            <w:r>
              <w:rPr>
                <w:rFonts w:ascii="Arial" w:cs="Arial" w:eastAsia="Arial" w:hAnsi="Arial"/>
                <w:sz w:val="18"/>
                <w:szCs w:val="18"/>
                <w:color w:val="auto"/>
              </w:rPr>
              <w:t>Kilovolt(s)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0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0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MBtu</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 British thermal units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ind w:left="880"/>
              <w:spacing w:after="0"/>
              <w:rPr>
                <w:sz w:val="20"/>
                <w:szCs w:val="20"/>
                <w:color w:val="auto"/>
              </w:rPr>
            </w:pPr>
            <w:r>
              <w:rPr>
                <w:rFonts w:ascii="Arial" w:cs="Arial" w:eastAsia="Arial" w:hAnsi="Arial"/>
                <w:sz w:val="18"/>
                <w:szCs w:val="18"/>
                <w:color w:val="auto"/>
              </w:rPr>
              <w:t>ALLETE, Inc. 2021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ind w:left="24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0" w:type="dxa"/>
            <w:vAlign w:val="bottom"/>
          </w:tcPr>
          <w:p>
            <w:pPr>
              <w:ind w:left="112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0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0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MPUC</w:t>
            </w:r>
          </w:p>
        </w:tc>
        <w:tc>
          <w:tcPr>
            <w:tcW w:w="80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 / MWh</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NAAQS</w:t>
            </w:r>
          </w:p>
        </w:tc>
        <w:tc>
          <w:tcPr>
            <w:tcW w:w="80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NERC</w:t>
            </w:r>
          </w:p>
        </w:tc>
        <w:tc>
          <w:tcPr>
            <w:tcW w:w="8020" w:type="dxa"/>
            <w:vAlign w:val="bottom"/>
            <w:gridSpan w:val="2"/>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Nobles 2 Power Partners, LLC</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NOL</w:t>
            </w:r>
          </w:p>
        </w:tc>
        <w:tc>
          <w:tcPr>
            <w:tcW w:w="802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29"/>
        </w:trPr>
        <w:tc>
          <w:tcPr>
            <w:tcW w:w="31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Northshore Mining</w:t>
            </w:r>
          </w:p>
        </w:tc>
        <w:tc>
          <w:tcPr>
            <w:tcW w:w="8020" w:type="dxa"/>
            <w:vAlign w:val="bottom"/>
            <w:gridSpan w:val="2"/>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NPDES</w:t>
            </w:r>
          </w:p>
        </w:tc>
        <w:tc>
          <w:tcPr>
            <w:tcW w:w="8020" w:type="dxa"/>
            <w:vAlign w:val="bottom"/>
            <w:gridSpan w:val="2"/>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NTEC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Nemadji Trail Energy Center</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NYSE</w:t>
            </w:r>
          </w:p>
        </w:tc>
        <w:tc>
          <w:tcPr>
            <w:tcW w:w="8020" w:type="dxa"/>
            <w:vAlign w:val="bottom"/>
            <w:gridSpan w:val="2"/>
          </w:tcPr>
          <w:p>
            <w:pPr>
              <w:spacing w:after="0"/>
              <w:rPr>
                <w:sz w:val="20"/>
                <w:szCs w:val="20"/>
                <w:color w:val="auto"/>
              </w:rPr>
            </w:pPr>
            <w:r>
              <w:rPr>
                <w:rFonts w:ascii="Arial" w:cs="Arial" w:eastAsia="Arial" w:hAnsi="Arial"/>
                <w:sz w:val="18"/>
                <w:szCs w:val="18"/>
                <w:color w:val="auto"/>
              </w:rPr>
              <w:t>New York Stock Exchange</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 Energy Center</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Oliver Wind II</w:t>
            </w:r>
          </w:p>
        </w:tc>
        <w:tc>
          <w:tcPr>
            <w:tcW w:w="8020" w:type="dxa"/>
            <w:vAlign w:val="bottom"/>
            <w:gridSpan w:val="2"/>
          </w:tcPr>
          <w:p>
            <w:pPr>
              <w:spacing w:after="0"/>
              <w:rPr>
                <w:sz w:val="20"/>
                <w:szCs w:val="20"/>
                <w:color w:val="auto"/>
              </w:rPr>
            </w:pPr>
            <w:r>
              <w:rPr>
                <w:rFonts w:ascii="Arial" w:cs="Arial" w:eastAsia="Arial" w:hAnsi="Arial"/>
                <w:sz w:val="18"/>
                <w:szCs w:val="18"/>
                <w:color w:val="auto"/>
              </w:rPr>
              <w:t>Oliver Wind II Energy Center</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PolyMet</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PolyMet Mining Corp.</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PPA / PSA</w:t>
            </w:r>
          </w:p>
        </w:tc>
        <w:tc>
          <w:tcPr>
            <w:tcW w:w="8020" w:type="dxa"/>
            <w:vAlign w:val="bottom"/>
            <w:gridSpan w:val="2"/>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PPACA</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PSCW</w:t>
            </w:r>
          </w:p>
        </w:tc>
        <w:tc>
          <w:tcPr>
            <w:tcW w:w="802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RSOP</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SEC</w:t>
            </w:r>
          </w:p>
        </w:tc>
        <w:tc>
          <w:tcPr>
            <w:tcW w:w="802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Global Ratings</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Silver Bay Power</w:t>
            </w:r>
          </w:p>
        </w:tc>
        <w:tc>
          <w:tcPr>
            <w:tcW w:w="8020" w:type="dxa"/>
            <w:vAlign w:val="bottom"/>
            <w:gridSpan w:val="2"/>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30"/>
        </w:trPr>
        <w:tc>
          <w:tcPr>
            <w:tcW w:w="31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South Shore Energy</w:t>
            </w:r>
          </w:p>
        </w:tc>
        <w:tc>
          <w:tcPr>
            <w:tcW w:w="8020" w:type="dxa"/>
            <w:vAlign w:val="bottom"/>
            <w:gridSpan w:val="2"/>
          </w:tcPr>
          <w:p>
            <w:pPr>
              <w:spacing w:after="0"/>
              <w:rPr>
                <w:sz w:val="20"/>
                <w:szCs w:val="20"/>
                <w:color w:val="auto"/>
              </w:rPr>
            </w:pPr>
            <w:r>
              <w:rPr>
                <w:rFonts w:ascii="Arial" w:cs="Arial" w:eastAsia="Arial" w:hAnsi="Arial"/>
                <w:sz w:val="18"/>
                <w:szCs w:val="18"/>
                <w:color w:val="auto"/>
              </w:rPr>
              <w:t>South Shore Energy, LLC</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0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Taconite Ridge</w:t>
            </w:r>
          </w:p>
        </w:tc>
        <w:tc>
          <w:tcPr>
            <w:tcW w:w="8020" w:type="dxa"/>
            <w:vAlign w:val="bottom"/>
            <w:gridSpan w:val="2"/>
          </w:tcPr>
          <w:p>
            <w:pPr>
              <w:spacing w:after="0"/>
              <w:rPr>
                <w:sz w:val="20"/>
                <w:szCs w:val="20"/>
                <w:color w:val="auto"/>
              </w:rPr>
            </w:pPr>
            <w:r>
              <w:rPr>
                <w:rFonts w:ascii="Arial" w:cs="Arial" w:eastAsia="Arial" w:hAnsi="Arial"/>
                <w:sz w:val="18"/>
                <w:szCs w:val="18"/>
                <w:color w:val="auto"/>
              </w:rPr>
              <w:t>Taconite Ridge Energy Center</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United Taconite</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UPM Blandin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U.S.</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Water Services</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Water Services, Inc. and its subsidiaries</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USS Corporation</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WTG</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29"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ALLETE is a leader in the nation’s clean-energy transformation. Our businesses and dedicated employees deliver sustainable energy solutions that mitigate climate change, build thriving communities, help customers reach their sustainability goals and drive value for shareholders. ALLETE’s largest business, Minnesota Power, recently reached a milestone of providing 50 percent renewable energy, and envisions delivering 100 percent carbon-free energy to customers by 2050—a vision grounded in a steadfast commitment to climate, customers and community through its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strategy. ALLETE Clean Energy, our second-largest business, is positioned at the heart of society’s clean-energy transformation and owns, operates and is developing more than 1,300 megawatts of wind energy generation across eight states – helping some of the largest companies in the country reduce their carbon footprint.</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2021, Minnesota Power filed its latest IRP with the MPUC, which outlines its clean-energy transition plans 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second half of 2022.</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also committed to earning a financial return that rewards our shareholders, allows for reinvestment in our businesses, and sustains growth. ALLETE is predominately a regulated utility through Minnesota Power, SWL&amp;P, and an investment in ATC. ALLETE’s strategy is to remain predominately a regulated utility while also investing in ALLETE Clean Energy and our Corporate and Other businesses to complement its regulated businesses, balance exposure to the utility’s industrial customers, and provide potential long-term earnings growth.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ongoing COVID-19 pandemic has resulted in widespread impacts on the global economy and on our employees, customers, contractors, and suppliers. There is considerable uncertainty regarding the length of time for which COVID-19 will continue, if new variants will emerge or the extent and duration of measures to try to contain the virus. Additional disclosures in this Form 10-K regarding the impacts of the ongoing COVID-19 pandemic are located in Item 1A. Risk Factors and Item 7. Management’s Discussion and Analysis of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4. Regulatory Matters.)</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seven states, more than 1,300 MW of nameplate capacity wind energy generation that is contracted under PSAs of various durations. In addition, ALLETE Clean Energy currently has approximately 200 MW of wind energy facilities under contract to be sold to others. ALLETE Clean Energy also engages in the development of wind energy facilities to operate under long-term PSAs or for sale to others upon completion.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provided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 In 2019, the Company sold U.S. Water Services to a subsidiary of Kurita Water Industries Ltd.</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2021, unless otherwise indicated. All subsidiaries are wholly-owned unless otherwise specifically indicated. References in this report to “we,” “us” and “our” are to ALLETE and its subsidiaries, collectively.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r>
      <w:tr>
        <w:trPr>
          <w:trHeight w:val="196"/>
        </w:trPr>
        <w:tc>
          <w:tcPr>
            <w:tcW w:w="5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Consolidated Operating Revenue – Millions </w:t>
            </w:r>
            <w:r>
              <w:rPr>
                <w:rFonts w:ascii="Arial" w:cs="Arial" w:eastAsia="Arial" w:hAnsi="Arial"/>
                <w:sz w:val="16"/>
                <w:szCs w:val="16"/>
                <w:i w:val="1"/>
                <w:iCs w:val="1"/>
                <w:color w:val="auto"/>
              </w:rPr>
              <w:t>(a)</w:t>
            </w:r>
          </w:p>
        </w:tc>
        <w:tc>
          <w:tcPr>
            <w:tcW w:w="3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$1,419.2</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$1,169.1</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$1,240.5</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Consolidated Operating Revenue</w:t>
            </w:r>
          </w:p>
        </w:tc>
        <w:tc>
          <w:tcPr>
            <w:tcW w:w="3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87 %</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84 %</w:t>
            </w:r>
          </w:p>
        </w:tc>
        <w:tc>
          <w:tcPr>
            <w:tcW w:w="12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6 %</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(a)</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3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7 %</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9 %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53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100 %</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ALLETE sold U.S. Water Services in the first quarter of 2019.</w:t>
      </w:r>
    </w:p>
    <w:p>
      <w:pPr>
        <w:spacing w:after="0" w:line="17" w:lineRule="exact"/>
        <w:rPr>
          <w:sz w:val="20"/>
          <w:szCs w:val="20"/>
          <w:color w:val="auto"/>
        </w:rPr>
      </w:pPr>
    </w:p>
    <w:p>
      <w:pPr>
        <w:jc w:val="both"/>
        <w:ind w:right="20"/>
        <w:spacing w:after="0" w:line="288"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13. Business Segments.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Regulated Utility Kilowatt-hours Sold</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and Municipal</w:t>
            </w:r>
          </w:p>
        </w:tc>
        <w:tc>
          <w:tcPr>
            <w:tcW w:w="1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1,135</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1,134</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1,130</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1,359</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1,306</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7,196</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6,192</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7,277</w:t>
            </w: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590</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584</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672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4080" w:type="dxa"/>
            <w:vAlign w:val="bottom"/>
          </w:tcPr>
          <w:p>
            <w:pPr>
              <w:ind w:left="480"/>
              <w:spacing w:after="0"/>
              <w:rPr>
                <w:sz w:val="20"/>
                <w:szCs w:val="20"/>
                <w:color w:val="auto"/>
              </w:rPr>
            </w:pPr>
            <w:r>
              <w:rPr>
                <w:rFonts w:ascii="Arial" w:cs="Arial" w:eastAsia="Arial" w:hAnsi="Arial"/>
                <w:sz w:val="18"/>
                <w:szCs w:val="18"/>
                <w:color w:val="auto"/>
              </w:rPr>
              <w:t>Total Retail and Municipal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10,280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9,216</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70</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10,469</w:t>
            </w: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Power Suppliers</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5,102</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4,039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30</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3,185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15,382</w:t>
            </w: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13,255</w:t>
            </w: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13,654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2021, industrial customers represented 47 percent of total regulated utility kWh sales. Our industrial customers are primarily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taconite mining, paper, pulp and secondary wood products, and pipeline industries.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ongoing COVID-19 pandemic and related governmental responses has led to a disruption of economic activity, and could result in an extended disruption of economic activity. This disruption resulted in reduced sales and revenue from industrial customers in 2020 as many industrial customers operated at reduced levels or were temporarily closed or idled during 2020. Sales to our industrial customers in 2021 were similar to levels prior to the COVID-19 pandemic; however, further disruption of economic activity or an extended disruption of economic activity may lead to additional adverse impacts on our industrial customers including reduced production or the temporary idling or indefinite shutdown of facilities, which would result in lower sales and revenue from these customers.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Industrial Customer Kilowatt-hours Sold</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Taconite</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5,281</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4,296</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Paper, Pulp and Secondary Wood Products</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702</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752</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1,014</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Pipelines and Other Industrial</w:t>
            </w:r>
          </w:p>
        </w:tc>
        <w:tc>
          <w:tcPr>
            <w:tcW w:w="1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1,213</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1,144</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Industrial Customer Kilowatt-hours Sold</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7,196</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6,192</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7,277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Six taconite facilities served by Minnesota Power made up approximately 80 percent of 2020 iron ore pellet production in the U.S. according to data from the Minnesota Department of Revenue 2021 Mining Tax Guide. These taconite facilities were owned by Cliffs and USS Corporation at the end of the 2021. (See </w:t>
      </w:r>
      <w:r>
        <w:rPr>
          <w:rFonts w:ascii="Arial" w:cs="Arial" w:eastAsia="Arial" w:hAnsi="Arial"/>
          <w:sz w:val="18"/>
          <w:szCs w:val="18"/>
          <w:i w:val="1"/>
          <w:iCs w:val="1"/>
          <w:color w:val="auto"/>
        </w:rPr>
        <w:t>Large Power Customer Contracts</w:t>
      </w:r>
      <w:r>
        <w:rPr>
          <w:rFonts w:ascii="Arial" w:cs="Arial" w:eastAsia="Arial" w:hAnsi="Arial"/>
          <w:sz w:val="18"/>
          <w:szCs w:val="18"/>
          <w:color w:val="auto"/>
        </w:rPr>
        <w:t>.) Sales to taconite customers represented 5,281 million kWh, or 73 percent of total industrial customer kWh sales in 2021. Taconite, an iron</w:t>
      </w:r>
      <w:r>
        <w:rPr>
          <w:rFonts w:ascii="MS PGothic" w:cs="MS PGothic" w:eastAsia="MS PGothic" w:hAnsi="MS PGothic"/>
          <w:sz w:val="18"/>
          <w:szCs w:val="18"/>
          <w:color w:val="auto"/>
        </w:rPr>
        <w:t>‑</w:t>
      </w:r>
      <w:r>
        <w:rPr>
          <w:rFonts w:ascii="Arial" w:cs="Arial" w:eastAsia="Arial" w:hAnsi="Arial"/>
          <w:sz w:val="18"/>
          <w:szCs w:val="18"/>
          <w:color w:val="auto"/>
        </w:rPr>
        <w:t>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Minnesota Power’s taconite customers are capable of producing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82 percent of capacity in 2021 (68 percent in 2020 and 80 percent in 2019). The World Steel Association, an association of steel producers, national and regional steel industry associations, and steel research institutes representing approximately 85 percent of world steel production, projected U.S. steel consumption in 2022 will increase by approximately 6 percent compared to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143510</wp:posOffset>
            </wp:positionV>
            <wp:extent cx="4791710" cy="204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91710" cy="2049145"/>
                    </a:xfrm>
                    <a:prstGeom prst="rect">
                      <a:avLst/>
                    </a:prstGeom>
                    <a:noFill/>
                  </pic:spPr>
                </pic:pic>
              </a:graphicData>
            </a:graphic>
          </wp:anchor>
        </w:drawing>
      </w:r>
    </w:p>
    <w:p>
      <w:pPr>
        <w:spacing w:after="0" w:line="201"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50"/>
        </w:trPr>
        <w:tc>
          <w:tcPr>
            <w:tcW w:w="19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Year</w:t>
            </w:r>
          </w:p>
        </w:tc>
        <w:tc>
          <w:tcPr>
            <w:tcW w:w="3740" w:type="dxa"/>
            <w:vAlign w:val="bottom"/>
            <w:tcBorders>
              <w:top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1"/>
              </w:rPr>
              <w:t>Tons (Millions)</w:t>
            </w:r>
          </w:p>
        </w:tc>
      </w:tr>
      <w:tr>
        <w:trPr>
          <w:trHeight w:val="223"/>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3"/>
              </w:rPr>
              <w:t>2021*</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29"/>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2020</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30</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2019</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37</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2018</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2017</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38</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2016</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28</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2015</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31</w:t>
            </w:r>
          </w:p>
        </w:tc>
      </w:tr>
      <w:tr>
        <w:trPr>
          <w:trHeight w:val="229"/>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2014</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30"/>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2013</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37</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2012</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39</w:t>
            </w:r>
          </w:p>
        </w:tc>
      </w:tr>
    </w:tbl>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Source: Minnesota Department of Revenue 2021 Mining Tax Guide for years 2012 - 2020.</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serving the taconite industry, Minnesota Power serves a number of customers in the paper, pulp and secondary wood products industry, which represented 702 million kWh, or 10 percent of total industrial customer kWh sales in 2021. Minnesota Power also has an agreement to provide steam for one paper and pulp customer for use in the customer’s operations. The four major paper and pulp mills we serve reported operating at lower levels in 2021 compared to 2020. Verso Corporation indefinitely idled its paper mill in Duluth, Minnesota, which it subsequently sold to ST Paper in May 2021. (See Outlook – Regulated Operations – Industrial Customers and Prospective Additional Load – Paper, Pulp and Secondary Wood Products – Verso Corporation and ST Paper.)</w:t>
      </w:r>
    </w:p>
    <w:p>
      <w:pPr>
        <w:spacing w:after="0" w:line="21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Large Power Customer Contracts. </w:t>
      </w:r>
      <w:r>
        <w:rPr>
          <w:rFonts w:ascii="Arial" w:cs="Arial" w:eastAsia="Arial" w:hAnsi="Arial"/>
          <w:sz w:val="17"/>
          <w:szCs w:val="17"/>
          <w:color w:val="auto"/>
        </w:rPr>
        <w:t>Minnesota Power had eight Large Power Customer contracts as of December 31, 2021, each serving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10 MW or more of customer load; however, Minnesota Power and Verso Corporation mutually agreed to resolve the outstanding commitments under the contract in January 2022. The customers as of December 31, 2021 consisted of six taconite facilities owned by Cliffs and USS Corporation as well as four paper and pulp mills. Certain facilities with common ownership are served under combined contracts.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three to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reduce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Arial" w:cs="Arial" w:eastAsia="Arial" w:hAnsi="Arial"/>
          <w:sz w:val="16"/>
          <w:szCs w:val="16"/>
          <w:i w:val="1"/>
          <w:iCs w:val="1"/>
          <w:color w:val="auto"/>
        </w:rPr>
        <w:t>Regulatory Matters – Electric Rates</w:t>
      </w:r>
      <w:r>
        <w:rPr>
          <w:rFonts w:ascii="Arial" w:cs="Arial" w:eastAsia="Arial" w:hAnsi="Arial"/>
          <w:sz w:val="16"/>
          <w:szCs w:val="16"/>
          <w:color w:val="auto"/>
        </w:rPr>
        <w:t>.)</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Minnesota Power, as permitted by the MPUC, requires its taconite-producing Large Power Customers to pay weekly for electric usage based on monthly energy usage estimates. These customers receive estimated bills or make weekly prepayments based on Minnesota Power’s estimate of the customer’s energy usage, forecasted energy prices and fuel adjustment clause estimates. Minnesota Power’s taconite</w:t>
      </w:r>
      <w:r>
        <w:rPr>
          <w:rFonts w:ascii="MS PGothic" w:cs="MS PGothic" w:eastAsia="MS PGothic" w:hAnsi="MS PGothic"/>
          <w:sz w:val="17"/>
          <w:szCs w:val="17"/>
          <w:color w:val="auto"/>
        </w:rPr>
        <w:t>‑</w:t>
      </w:r>
      <w:r>
        <w:rPr>
          <w:rFonts w:ascii="Arial" w:cs="Arial" w:eastAsia="Arial" w:hAnsi="Arial"/>
          <w:sz w:val="17"/>
          <w:szCs w:val="17"/>
          <w:color w:val="auto"/>
        </w:rPr>
        <w:t>producing Large Power Customers have generally predictable energy usage on a week-to-week basis and any differences that occur are trued-up the following month.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Customer</w:t>
            </w:r>
          </w:p>
        </w:tc>
        <w:tc>
          <w:tcPr>
            <w:tcW w:w="146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Industry</w:t>
            </w:r>
          </w:p>
        </w:tc>
        <w:tc>
          <w:tcPr>
            <w:tcW w:w="20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Location</w:t>
            </w:r>
          </w:p>
        </w:tc>
        <w:tc>
          <w:tcPr>
            <w:tcW w:w="304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Ownership</w:t>
            </w:r>
          </w:p>
        </w:tc>
        <w:tc>
          <w:tcPr>
            <w:tcW w:w="2080" w:type="dxa"/>
            <w:vAlign w:val="bottom"/>
            <w:tcBorders>
              <w:top w:val="single" w:sz="8" w:color="auto"/>
            </w:tcBorders>
          </w:tcPr>
          <w:p>
            <w:pPr>
              <w:jc w:val="center"/>
              <w:ind w:left="111"/>
              <w:spacing w:after="0" w:line="189" w:lineRule="exact"/>
              <w:rPr>
                <w:sz w:val="20"/>
                <w:szCs w:val="20"/>
                <w:color w:val="auto"/>
              </w:rPr>
            </w:pPr>
            <w:r>
              <w:rPr>
                <w:rFonts w:ascii="Arial" w:cs="Arial" w:eastAsia="Arial" w:hAnsi="Arial"/>
                <w:sz w:val="18"/>
                <w:szCs w:val="18"/>
                <w:b w:val="1"/>
                <w:bCs w:val="1"/>
                <w:color w:val="auto"/>
                <w:w w:val="92"/>
              </w:rPr>
              <w:t>Earliest</w:t>
            </w:r>
          </w:p>
        </w:tc>
        <w:tc>
          <w:tcPr>
            <w:tcW w:w="0" w:type="dxa"/>
            <w:vAlign w:val="bottom"/>
          </w:tcPr>
          <w:p>
            <w:pPr>
              <w:spacing w:after="0"/>
              <w:rPr>
                <w:sz w:val="1"/>
                <w:szCs w:val="1"/>
                <w:color w:val="auto"/>
              </w:rPr>
            </w:pPr>
          </w:p>
        </w:tc>
      </w:tr>
      <w:tr>
        <w:trPr>
          <w:trHeight w:val="229"/>
        </w:trPr>
        <w:tc>
          <w:tcPr>
            <w:tcW w:w="2640" w:type="dxa"/>
            <w:vAlign w:val="bottom"/>
            <w:tcBorders>
              <w:bottom w:val="single" w:sz="8" w:color="auto"/>
            </w:tcBorders>
            <w:vMerge w:val="continue"/>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vMerge w:val="continue"/>
          </w:tcPr>
          <w:p>
            <w:pPr>
              <w:spacing w:after="0"/>
              <w:rPr>
                <w:sz w:val="19"/>
                <w:szCs w:val="19"/>
                <w:color w:val="auto"/>
              </w:rPr>
            </w:pPr>
          </w:p>
        </w:tc>
        <w:tc>
          <w:tcPr>
            <w:tcW w:w="304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b w:val="1"/>
                <w:bCs w:val="1"/>
                <w:color w:val="auto"/>
                <w:w w:val="92"/>
              </w:rPr>
              <w:t>Termination Date</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Cliffs – Minorca Mine </w:t>
            </w:r>
            <w:r>
              <w:rPr>
                <w:rFonts w:ascii="Arial" w:cs="Arial" w:eastAsia="Arial" w:hAnsi="Arial"/>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Taconite</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Cliffs</w:t>
            </w:r>
          </w:p>
        </w:tc>
        <w:tc>
          <w:tcPr>
            <w:tcW w:w="2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December 31, 2025</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8"/>
                <w:szCs w:val="18"/>
                <w:color w:val="auto"/>
              </w:rPr>
              <w:t xml:space="preserve">Hibbing Taconite </w:t>
            </w:r>
            <w:r>
              <w:rPr>
                <w:rFonts w:ascii="Arial" w:cs="Arial" w:eastAsia="Arial" w:hAnsi="Arial"/>
                <w:sz w:val="16"/>
                <w:szCs w:val="16"/>
                <w:i w:val="1"/>
                <w:iCs w:val="1"/>
                <w:color w:val="auto"/>
              </w:rPr>
              <w:t>(a)</w:t>
            </w:r>
          </w:p>
        </w:tc>
        <w:tc>
          <w:tcPr>
            <w:tcW w:w="1460" w:type="dxa"/>
            <w:vAlign w:val="bottom"/>
          </w:tcPr>
          <w:p>
            <w:pPr>
              <w:ind w:left="300"/>
              <w:spacing w:after="0" w:line="176" w:lineRule="exact"/>
              <w:rPr>
                <w:sz w:val="20"/>
                <w:szCs w:val="20"/>
                <w:color w:val="auto"/>
              </w:rPr>
            </w:pPr>
            <w:r>
              <w:rPr>
                <w:rFonts w:ascii="Arial" w:cs="Arial" w:eastAsia="Arial" w:hAnsi="Arial"/>
                <w:sz w:val="18"/>
                <w:szCs w:val="18"/>
                <w:color w:val="auto"/>
              </w:rPr>
              <w:t>Taconite</w:t>
            </w:r>
          </w:p>
        </w:tc>
        <w:tc>
          <w:tcPr>
            <w:tcW w:w="2000" w:type="dxa"/>
            <w:vAlign w:val="bottom"/>
          </w:tcPr>
          <w:p>
            <w:pPr>
              <w:ind w:left="80"/>
              <w:spacing w:after="0" w:line="176" w:lineRule="exact"/>
              <w:rPr>
                <w:sz w:val="20"/>
                <w:szCs w:val="20"/>
                <w:color w:val="auto"/>
              </w:rPr>
            </w:pPr>
            <w:r>
              <w:rPr>
                <w:rFonts w:ascii="Arial" w:cs="Arial" w:eastAsia="Arial" w:hAnsi="Arial"/>
                <w:sz w:val="18"/>
                <w:szCs w:val="18"/>
                <w:color w:val="auto"/>
              </w:rPr>
              <w:t>Hibbing, MN</w:t>
            </w:r>
          </w:p>
        </w:tc>
        <w:tc>
          <w:tcPr>
            <w:tcW w:w="3040" w:type="dxa"/>
            <w:vAlign w:val="bottom"/>
          </w:tcPr>
          <w:p>
            <w:pPr>
              <w:ind w:left="60"/>
              <w:spacing w:after="0" w:line="176" w:lineRule="exact"/>
              <w:rPr>
                <w:sz w:val="20"/>
                <w:szCs w:val="20"/>
                <w:color w:val="auto"/>
              </w:rPr>
            </w:pPr>
            <w:r>
              <w:rPr>
                <w:rFonts w:ascii="Arial" w:cs="Arial" w:eastAsia="Arial" w:hAnsi="Arial"/>
                <w:sz w:val="18"/>
                <w:szCs w:val="18"/>
                <w:color w:val="auto"/>
              </w:rPr>
              <w:t>85.3% Cliffs</w:t>
            </w:r>
          </w:p>
        </w:tc>
        <w:tc>
          <w:tcPr>
            <w:tcW w:w="2080" w:type="dxa"/>
            <w:vAlign w:val="bottom"/>
          </w:tcPr>
          <w:p>
            <w:pPr>
              <w:ind w:left="640"/>
              <w:spacing w:after="0" w:line="176" w:lineRule="exact"/>
              <w:rPr>
                <w:sz w:val="20"/>
                <w:szCs w:val="20"/>
                <w:color w:val="auto"/>
              </w:rPr>
            </w:pPr>
            <w:r>
              <w:rPr>
                <w:rFonts w:ascii="Arial" w:cs="Arial" w:eastAsia="Arial" w:hAnsi="Arial"/>
                <w:sz w:val="18"/>
                <w:szCs w:val="18"/>
                <w:color w:val="auto"/>
                <w:w w:val="89"/>
              </w:rPr>
              <w:t>December 31, 2025</w:t>
            </w:r>
          </w:p>
        </w:tc>
        <w:tc>
          <w:tcPr>
            <w:tcW w:w="0" w:type="dxa"/>
            <w:vAlign w:val="bottom"/>
          </w:tcPr>
          <w:p>
            <w:pPr>
              <w:spacing w:after="0"/>
              <w:rPr>
                <w:sz w:val="1"/>
                <w:szCs w:val="1"/>
                <w:color w:val="auto"/>
              </w:rPr>
            </w:pPr>
          </w:p>
        </w:tc>
      </w:tr>
      <w:tr>
        <w:trPr>
          <w:trHeight w:val="229"/>
        </w:trPr>
        <w:tc>
          <w:tcPr>
            <w:tcW w:w="2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14.7% USS Corporation</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Taconite</w:t>
            </w:r>
          </w:p>
        </w:tc>
        <w:tc>
          <w:tcPr>
            <w:tcW w:w="20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Eveleth, MN and Babbitt,</w:t>
            </w:r>
          </w:p>
        </w:tc>
        <w:tc>
          <w:tcPr>
            <w:tcW w:w="304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rPr>
              <w:t>Cliffs</w:t>
            </w:r>
          </w:p>
        </w:tc>
        <w:tc>
          <w:tcPr>
            <w:tcW w:w="2080" w:type="dxa"/>
            <w:vAlign w:val="bottom"/>
            <w:shd w:val="clear" w:color="auto" w:fill="CCEEFF"/>
          </w:tcPr>
          <w:p>
            <w:pPr>
              <w:ind w:left="640"/>
              <w:spacing w:after="0" w:line="176" w:lineRule="exact"/>
              <w:rPr>
                <w:sz w:val="20"/>
                <w:szCs w:val="20"/>
                <w:color w:val="auto"/>
              </w:rPr>
            </w:pPr>
            <w:r>
              <w:rPr>
                <w:rFonts w:ascii="Arial" w:cs="Arial" w:eastAsia="Arial" w:hAnsi="Arial"/>
                <w:sz w:val="18"/>
                <w:szCs w:val="18"/>
                <w:color w:val="auto"/>
                <w:w w:val="89"/>
              </w:rPr>
              <w:t>December 31, 2026</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460" w:type="dxa"/>
            <w:vAlign w:val="bottom"/>
            <w:shd w:val="clear" w:color="auto" w:fill="CCEEFF"/>
          </w:tcPr>
          <w:p>
            <w:pPr>
              <w:spacing w:after="0"/>
              <w:rPr>
                <w:sz w:val="19"/>
                <w:szCs w:val="19"/>
                <w:color w:val="auto"/>
              </w:rPr>
            </w:pP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0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20"/>
              <w:spacing w:after="0" w:line="176" w:lineRule="exact"/>
              <w:rPr>
                <w:sz w:val="20"/>
                <w:szCs w:val="20"/>
                <w:color w:val="auto"/>
              </w:rPr>
            </w:pPr>
            <w:r>
              <w:rPr>
                <w:rFonts w:ascii="Arial" w:cs="Arial" w:eastAsia="Arial" w:hAnsi="Arial"/>
                <w:sz w:val="18"/>
                <w:szCs w:val="18"/>
                <w:color w:val="auto"/>
              </w:rPr>
              <w:t>USS Corporation</w:t>
            </w:r>
          </w:p>
        </w:tc>
        <w:tc>
          <w:tcPr>
            <w:tcW w:w="1460" w:type="dxa"/>
            <w:vAlign w:val="bottom"/>
          </w:tcPr>
          <w:p>
            <w:pPr>
              <w:ind w:left="300"/>
              <w:spacing w:after="0" w:line="176" w:lineRule="exact"/>
              <w:rPr>
                <w:sz w:val="20"/>
                <w:szCs w:val="20"/>
                <w:color w:val="auto"/>
              </w:rPr>
            </w:pPr>
            <w:r>
              <w:rPr>
                <w:rFonts w:ascii="Arial" w:cs="Arial" w:eastAsia="Arial" w:hAnsi="Arial"/>
                <w:sz w:val="18"/>
                <w:szCs w:val="18"/>
                <w:color w:val="auto"/>
              </w:rPr>
              <w:t>Taconite</w:t>
            </w:r>
          </w:p>
        </w:tc>
        <w:tc>
          <w:tcPr>
            <w:tcW w:w="2000" w:type="dxa"/>
            <w:vAlign w:val="bottom"/>
          </w:tcPr>
          <w:p>
            <w:pPr>
              <w:ind w:left="80"/>
              <w:spacing w:after="0" w:line="176" w:lineRule="exact"/>
              <w:rPr>
                <w:sz w:val="20"/>
                <w:szCs w:val="20"/>
                <w:color w:val="auto"/>
              </w:rPr>
            </w:pPr>
            <w:r>
              <w:rPr>
                <w:rFonts w:ascii="Arial" w:cs="Arial" w:eastAsia="Arial" w:hAnsi="Arial"/>
                <w:sz w:val="18"/>
                <w:szCs w:val="18"/>
                <w:color w:val="auto"/>
              </w:rPr>
              <w:t>Mtn. Iron, MN and</w:t>
            </w:r>
          </w:p>
        </w:tc>
        <w:tc>
          <w:tcPr>
            <w:tcW w:w="3040" w:type="dxa"/>
            <w:vAlign w:val="bottom"/>
          </w:tcPr>
          <w:p>
            <w:pPr>
              <w:ind w:left="60"/>
              <w:spacing w:after="0" w:line="176" w:lineRule="exact"/>
              <w:rPr>
                <w:sz w:val="20"/>
                <w:szCs w:val="20"/>
                <w:color w:val="auto"/>
              </w:rPr>
            </w:pPr>
            <w:r>
              <w:rPr>
                <w:rFonts w:ascii="Arial" w:cs="Arial" w:eastAsia="Arial" w:hAnsi="Arial"/>
                <w:sz w:val="18"/>
                <w:szCs w:val="18"/>
                <w:color w:val="auto"/>
              </w:rPr>
              <w:t>USS Corporation</w:t>
            </w:r>
          </w:p>
        </w:tc>
        <w:tc>
          <w:tcPr>
            <w:tcW w:w="2080" w:type="dxa"/>
            <w:vAlign w:val="bottom"/>
          </w:tcPr>
          <w:p>
            <w:pPr>
              <w:ind w:left="640"/>
              <w:spacing w:after="0" w:line="176" w:lineRule="exact"/>
              <w:rPr>
                <w:sz w:val="20"/>
                <w:szCs w:val="20"/>
                <w:color w:val="auto"/>
              </w:rPr>
            </w:pPr>
            <w:r>
              <w:rPr>
                <w:rFonts w:ascii="Arial" w:cs="Arial" w:eastAsia="Arial" w:hAnsi="Arial"/>
                <w:sz w:val="18"/>
                <w:szCs w:val="18"/>
                <w:color w:val="auto"/>
                <w:w w:val="89"/>
              </w:rPr>
              <w:t>December 31, 2025</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(a)(b)</w:t>
            </w:r>
          </w:p>
        </w:tc>
        <w:tc>
          <w:tcPr>
            <w:tcW w:w="1460" w:type="dxa"/>
            <w:vAlign w:val="bottom"/>
          </w:tcPr>
          <w:p>
            <w:pPr>
              <w:spacing w:after="0"/>
              <w:rPr>
                <w:sz w:val="19"/>
                <w:szCs w:val="19"/>
                <w:color w:val="auto"/>
              </w:rPr>
            </w:pPr>
          </w:p>
        </w:tc>
        <w:tc>
          <w:tcPr>
            <w:tcW w:w="200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30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Boise, Inc. </w:t>
            </w:r>
            <w:r>
              <w:rPr>
                <w:rFonts w:ascii="Arial" w:cs="Arial" w:eastAsia="Arial" w:hAnsi="Arial"/>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Paper</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Falls, MN</w:t>
            </w:r>
          </w:p>
        </w:tc>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Packaging Corporation of America</w:t>
            </w:r>
          </w:p>
        </w:tc>
        <w:tc>
          <w:tcPr>
            <w:tcW w:w="2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December 31, 2025</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UPM Blandin</w:t>
            </w:r>
          </w:p>
        </w:tc>
        <w:tc>
          <w:tcPr>
            <w:tcW w:w="1460" w:type="dxa"/>
            <w:vAlign w:val="bottom"/>
          </w:tcPr>
          <w:p>
            <w:pPr>
              <w:ind w:left="300"/>
              <w:spacing w:after="0"/>
              <w:rPr>
                <w:sz w:val="20"/>
                <w:szCs w:val="20"/>
                <w:color w:val="auto"/>
              </w:rPr>
            </w:pPr>
            <w:r>
              <w:rPr>
                <w:rFonts w:ascii="Arial" w:cs="Arial" w:eastAsia="Arial" w:hAnsi="Arial"/>
                <w:sz w:val="18"/>
                <w:szCs w:val="18"/>
                <w:color w:val="auto"/>
              </w:rPr>
              <w:t>Paper</w:t>
            </w:r>
          </w:p>
        </w:tc>
        <w:tc>
          <w:tcPr>
            <w:tcW w:w="2000" w:type="dxa"/>
            <w:vAlign w:val="bottom"/>
          </w:tcPr>
          <w:p>
            <w:pPr>
              <w:ind w:left="80"/>
              <w:spacing w:after="0"/>
              <w:rPr>
                <w:sz w:val="20"/>
                <w:szCs w:val="20"/>
                <w:color w:val="auto"/>
              </w:rPr>
            </w:pPr>
            <w:r>
              <w:rPr>
                <w:rFonts w:ascii="Arial" w:cs="Arial" w:eastAsia="Arial" w:hAnsi="Arial"/>
                <w:sz w:val="18"/>
                <w:szCs w:val="18"/>
                <w:color w:val="auto"/>
              </w:rPr>
              <w:t>Grand Rapids, MN</w:t>
            </w:r>
          </w:p>
        </w:tc>
        <w:tc>
          <w:tcPr>
            <w:tcW w:w="3040" w:type="dxa"/>
            <w:vAlign w:val="bottom"/>
          </w:tcPr>
          <w:p>
            <w:pPr>
              <w:ind w:left="60"/>
              <w:spacing w:after="0"/>
              <w:rPr>
                <w:sz w:val="20"/>
                <w:szCs w:val="20"/>
                <w:color w:val="auto"/>
              </w:rPr>
            </w:pPr>
            <w:r>
              <w:rPr>
                <w:rFonts w:ascii="Arial" w:cs="Arial" w:eastAsia="Arial" w:hAnsi="Arial"/>
                <w:sz w:val="18"/>
                <w:szCs w:val="18"/>
                <w:color w:val="auto"/>
              </w:rPr>
              <w:t>UPM-Kymmene Corporation</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December 31, 2029</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Verso Duluth Mill </w:t>
            </w:r>
            <w:r>
              <w:rPr>
                <w:rFonts w:ascii="Arial" w:cs="Arial" w:eastAsia="Arial" w:hAnsi="Arial"/>
                <w:sz w:val="16"/>
                <w:szCs w:val="16"/>
                <w:i w:val="1"/>
                <w:iCs w:val="1"/>
                <w:color w:val="auto"/>
              </w:rPr>
              <w:t>(c)</w:t>
            </w: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Paper and Pulp</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Duluth, MN</w:t>
            </w:r>
          </w:p>
        </w:tc>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Verso Corporation</w:t>
            </w:r>
          </w:p>
        </w:tc>
        <w:tc>
          <w:tcPr>
            <w:tcW w:w="2080" w:type="dxa"/>
            <w:vAlign w:val="bottom"/>
            <w:shd w:val="clear" w:color="auto" w:fill="CCEEFF"/>
          </w:tcPr>
          <w:p>
            <w:pPr>
              <w:jc w:val="center"/>
              <w:ind w:left="131"/>
              <w:spacing w:after="0"/>
              <w:rPr>
                <w:sz w:val="20"/>
                <w:szCs w:val="20"/>
                <w:color w:val="auto"/>
              </w:rPr>
            </w:pPr>
            <w:r>
              <w:rPr>
                <w:rFonts w:ascii="Arial" w:cs="Arial" w:eastAsia="Arial" w:hAnsi="Arial"/>
                <w:sz w:val="16"/>
                <w:szCs w:val="16"/>
                <w:i w:val="1"/>
                <w:iCs w:val="1"/>
                <w:color w:val="auto"/>
                <w:w w:val="96"/>
              </w:rPr>
              <w:t>(c)</w:t>
            </w:r>
          </w:p>
        </w:tc>
        <w:tc>
          <w:tcPr>
            <w:tcW w:w="0" w:type="dxa"/>
            <w:vAlign w:val="bottom"/>
          </w:tcPr>
          <w:p>
            <w:pPr>
              <w:spacing w:after="0"/>
              <w:rPr>
                <w:sz w:val="1"/>
                <w:szCs w:val="1"/>
                <w:color w:val="auto"/>
              </w:rPr>
            </w:pPr>
          </w:p>
        </w:tc>
      </w:tr>
      <w:tr>
        <w:trPr>
          <w:trHeight w:val="230"/>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1"/>
              </w:rPr>
              <w:t>Paper and Pulp</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Cloquet, MN</w:t>
            </w:r>
          </w:p>
        </w:tc>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Sappi Limited</w:t>
            </w:r>
          </w:p>
        </w:tc>
        <w:tc>
          <w:tcPr>
            <w:tcW w:w="20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9"/>
              </w:rPr>
              <w:t>December 31, 2025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line="25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2025.</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5" w:lineRule="exact"/>
        <w:rPr>
          <w:rFonts w:ascii="Arial" w:cs="Arial" w:eastAsia="Arial" w:hAnsi="Arial"/>
          <w:sz w:val="16"/>
          <w:szCs w:val="16"/>
          <w:i w:val="1"/>
          <w:iCs w:val="1"/>
          <w:color w:val="auto"/>
        </w:rPr>
      </w:pPr>
    </w:p>
    <w:p>
      <w:pPr>
        <w:jc w:val="both"/>
        <w:ind w:left="340" w:hanging="332"/>
        <w:spacing w:after="0" w:line="251" w:lineRule="auto"/>
        <w:tabs>
          <w:tab w:leader="none" w:pos="33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On January 29, 2021, Verso Corporation provided notice of termination for its contract. Minnesota Power and Verso Corporation mutually agreed to resolve the outstanding commitments under the contract in January 2022. (See Outlook – Regulated Operations – Industrial Customers and Prospective Additional Load – Paper, Pulp and Secondary Wood Products – Verso Corporation and ST Paper.)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Residential and Commercial Customers. </w:t>
      </w:r>
      <w:r>
        <w:rPr>
          <w:rFonts w:ascii="Arial" w:cs="Arial" w:eastAsia="Arial" w:hAnsi="Arial"/>
          <w:sz w:val="16"/>
          <w:szCs w:val="16"/>
          <w:color w:val="auto"/>
        </w:rPr>
        <w:t>In 2021, residential and commercial customers represented 16 percent of total regulated utility kWh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2021, municipal customers represented 4 percent of total regulated utility kWh sales.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Power’s wholesale electric contracts with 15 non-affiliated municipal customers in Minnesota have termination dates ranging from 2024 through 2037, with a majority of contracts effective through 2029. Two of the wholesale contracts include a termination clause requiring a three-year notice to terminate. (See Note 4. Regulatory Matters.)</w:t>
      </w:r>
    </w:p>
    <w:p>
      <w:pPr>
        <w:spacing w:after="0" w:line="20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Arial" w:cs="Arial" w:eastAsia="Arial" w:hAnsi="Arial"/>
          <w:sz w:val="18"/>
          <w:szCs w:val="18"/>
          <w:color w:val="auto"/>
        </w:rPr>
        <w:t>based prices into the MISO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on a daily basis or through bilateral agreements of various durations.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PSAs are detailed in Note 8. Commitments, Guarantees and Contingencies, with additional disclosure provided in the following paragraphs.</w:t>
      </w:r>
    </w:p>
    <w:p>
      <w:pPr>
        <w:spacing w:after="0" w:line="2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Basin PSAs. </w:t>
      </w:r>
      <w:r>
        <w:rPr>
          <w:rFonts w:ascii="Arial" w:cs="Arial" w:eastAsia="Arial" w:hAnsi="Arial"/>
          <w:sz w:val="16"/>
          <w:szCs w:val="16"/>
          <w:color w:val="auto"/>
        </w:rPr>
        <w:t>Minnesota Power had an agreement to sell 100 MW of capacity and energy to Basin for a ten-year period which expired in April 2020.</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has two additional agreements to sell capacity to Basin at fixed prices. (See Note 8. Commitments, Guarantees and Contingencies.)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Minnkota Power PSA. </w:t>
      </w:r>
      <w:r>
        <w:rPr>
          <w:rFonts w:ascii="Arial" w:cs="Arial" w:eastAsia="Arial" w:hAnsi="Arial"/>
          <w:sz w:val="17"/>
          <w:szCs w:val="17"/>
          <w:color w:val="auto"/>
        </w:rPr>
        <w:t>Minnesota Power has a PSA with Minnkota Power where Minnesota Power is selling a portion of its entitlement from Square Butte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Minnkota Power, resulting in Minnkota Power’s net entitlement increasing and Minnesota Power’s net entitlement decreasing until Minnesota Power’s share is eliminated at the end of 2025. Of Minnesota Power’s 50 percent output entitlement, it sold approximately 28 percent to Minnkota Power in 2021 (28 percent in 2020 and in 2019). Minnkota Power’s net entitlement increases to approximately 32 percent in 2022, 37 percent in 2023, 41 percent in 2024, 46 percent in 2025 and 50 percent in 2026. (See </w:t>
      </w:r>
      <w:r>
        <w:rPr>
          <w:rFonts w:ascii="Arial" w:cs="Arial" w:eastAsia="Arial" w:hAnsi="Arial"/>
          <w:sz w:val="17"/>
          <w:szCs w:val="17"/>
          <w:i w:val="1"/>
          <w:iCs w:val="1"/>
          <w:color w:val="auto"/>
        </w:rPr>
        <w:t>Power Supply – Long-Term Purchased Power</w:t>
      </w:r>
      <w:r>
        <w:rPr>
          <w:rFonts w:ascii="Arial" w:cs="Arial" w:eastAsia="Arial" w:hAnsi="Arial"/>
          <w:sz w:val="17"/>
          <w:szCs w:val="17"/>
          <w:color w:val="auto"/>
        </w:rPr>
        <w:t>.)</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Silver Bay Power PSA</w:t>
      </w:r>
      <w:r>
        <w:rPr>
          <w:rFonts w:ascii="Arial" w:cs="Arial" w:eastAsia="Arial" w:hAnsi="Arial"/>
          <w:sz w:val="18"/>
          <w:szCs w:val="18"/>
          <w:color w:val="auto"/>
        </w:rPr>
        <w:t>. In 2016, Minnesota Power and Silver Bay Power entered into a PSA through 2031. Silver Bay Power supplies approximately 90</w:t>
      </w:r>
      <w:r>
        <w:rPr>
          <w:rFonts w:ascii="Arial" w:cs="Arial" w:eastAsia="Arial" w:hAnsi="Arial"/>
          <w:sz w:val="18"/>
          <w:szCs w:val="18"/>
          <w:i w:val="1"/>
          <w:iCs w:val="1"/>
          <w:color w:val="auto"/>
        </w:rPr>
        <w:t xml:space="preserve"> </w:t>
      </w:r>
      <w:r>
        <w:rPr>
          <w:rFonts w:ascii="Arial" w:cs="Arial" w:eastAsia="Arial" w:hAnsi="Arial"/>
          <w:sz w:val="18"/>
          <w:szCs w:val="18"/>
          <w:color w:val="auto"/>
        </w:rPr>
        <w:t>MW of load to Northshore Mining, an affiliate of Silver Bay Power, which had previously been served predominately through self-generation by Silver Bay Power. Minnesota Power now supplies the full energy requirements for Silver Bay Power.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8"/>
          <w:szCs w:val="18"/>
          <w:i w:val="1"/>
          <w:iCs w:val="1"/>
          <w:color w:val="auto"/>
        </w:rPr>
        <w:t>Electric Sales / Customers.</w:t>
      </w:r>
      <w:r>
        <w:rPr>
          <w:rFonts w:ascii="Arial" w:cs="Arial" w:eastAsia="Arial" w:hAnsi="Arial"/>
          <w:sz w:val="18"/>
          <w:szCs w:val="18"/>
          <w:color w:val="auto"/>
        </w:rPr>
        <w:t>) As a result, Minnesota Power is generally not subject to significant seasonal fluctuations in electric sales; however, Minnesota 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order to meet its customers’ electric requirements, Minnesota Power utilizes a mix of its own generation and purchased power. As of December 31, 2021, approximately 50 percent of Minnesota Power’s power supply was provided by renewable energy sources. This was enabled by the completion of the 250 MW Nobles 2 wind energy facility in December 2020 and the GNTL in June 2020, which is used to deliver 250 MW of hydroelectric energy from Manitoba Hydro. Minnesota Power’s remaining operating coal-fired facilities are Boswell Units 3 and 4, which Minnesota Power proposed in its latest IRP to retire by 2030 and be coal-free by 2035, respectively. (See </w:t>
      </w:r>
      <w:r>
        <w:rPr>
          <w:rFonts w:ascii="Arial" w:cs="Arial" w:eastAsia="Arial" w:hAnsi="Arial"/>
          <w:sz w:val="16"/>
          <w:szCs w:val="16"/>
          <w:i w:val="1"/>
          <w:iCs w:val="1"/>
          <w:color w:val="auto"/>
        </w:rPr>
        <w:t>Regulatory Matters</w:t>
      </w:r>
      <w:r>
        <w:rPr>
          <w:rFonts w:ascii="Arial" w:cs="Arial" w:eastAsia="Arial" w:hAnsi="Arial"/>
          <w:sz w:val="16"/>
          <w:szCs w:val="16"/>
          <w:color w:val="auto"/>
        </w:rPr>
        <w:t>.) The following table reflects Minnesota Power’s generating capabilities as of December 31, 2021, and total electrical supply for 2021. Minnesota Power had an annual net peak load of 1,557 MW on July 26,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460" w:type="dxa"/>
            <w:vAlign w:val="bottom"/>
          </w:tcPr>
          <w:p>
            <w:pPr>
              <w:spacing w:after="0"/>
              <w:rPr>
                <w:sz w:val="19"/>
                <w:szCs w:val="19"/>
                <w:color w:val="auto"/>
              </w:rPr>
            </w:pPr>
          </w:p>
        </w:tc>
        <w:tc>
          <w:tcPr>
            <w:tcW w:w="2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2021</w:t>
            </w:r>
          </w:p>
        </w:tc>
      </w:tr>
      <w:tr>
        <w:trPr>
          <w:trHeight w:val="23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Power Supply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Capability</w:t>
            </w: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460" w:type="dxa"/>
            <w:vAlign w:val="bottom"/>
          </w:tcPr>
          <w:p>
            <w:pPr>
              <w:spacing w:after="0"/>
              <w:rPr>
                <w:sz w:val="19"/>
                <w:szCs w:val="19"/>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b w:val="1"/>
                <w:bCs w:val="1"/>
                <w:color w:val="auto"/>
              </w:rPr>
              <w:t>MWh</w:t>
            </w:r>
          </w:p>
        </w:tc>
        <w:tc>
          <w:tcPr>
            <w:tcW w:w="8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Coal-Fired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Boswell Energy Center </w:t>
            </w:r>
            <w:r>
              <w:rPr>
                <w:rFonts w:ascii="Arial" w:cs="Arial" w:eastAsia="Arial" w:hAnsi="Arial"/>
                <w:sz w:val="16"/>
                <w:szCs w:val="16"/>
                <w:i w:val="1"/>
                <w:iCs w:val="1"/>
                <w:color w:val="auto"/>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Cohasset, MN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4,451,706</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Taconite Harbor Energy Center</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Coal-Fired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973</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4,451,706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Biomass Co-Fired / Natural Gas</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Hibbard Renewable Energy Center in Duluth, MN</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111,238</w:t>
            </w: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Laskin Energy Center in Hoyt Lakes, MN</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90,165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Biomass Co-Fired / Natural Gas</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201,403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Group consisting of ten stations in MN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344,025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(e)</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Taconite Ridge Energy Center in Mtn. Iron, MN</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55,178</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Bison Wind Energy Center in Oliver and Morton Counties, ND</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1,533,048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Wind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1,588,226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Solar </w:t>
            </w:r>
            <w:r>
              <w:rPr>
                <w:rFonts w:ascii="Arial" w:cs="Arial" w:eastAsia="Arial" w:hAnsi="Arial"/>
                <w:sz w:val="16"/>
                <w:szCs w:val="16"/>
                <w:i w:val="1"/>
                <w:iCs w:val="1"/>
                <w:color w:val="auto"/>
              </w:rPr>
              <w:t>(f)</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Group consisting of two solar arrays in MN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17,263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Generation</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6,602,623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6"/>
        </w:trPr>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Purchased Power</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(g)</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1,488,785</w:t>
            </w:r>
          </w:p>
        </w:tc>
        <w:tc>
          <w:tcPr>
            <w:tcW w:w="8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Wind - Oliver Wind I and II in Oliver County, ND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374,217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Wind - Nobles 2 in Nobles County, MN </w:t>
            </w:r>
            <w:r>
              <w:rPr>
                <w:rFonts w:ascii="Arial" w:cs="Arial" w:eastAsia="Arial" w:hAnsi="Arial"/>
                <w:sz w:val="16"/>
                <w:szCs w:val="16"/>
                <w:i w:val="1"/>
                <w:iCs w:val="1"/>
                <w:color w:val="auto"/>
              </w:rPr>
              <w:t>(h)</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936,312</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Hydro - Manitoba Hydro in Manitoba, Canada</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1,460,000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Long-Term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4,259,314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(i)</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4,930,066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9,189,380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Regulated Utility Power Supply</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15,792,003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85" w:lineRule="exact"/>
        <w:rPr>
          <w:sz w:val="20"/>
          <w:szCs w:val="20"/>
          <w:color w:val="auto"/>
        </w:rPr>
      </w:pPr>
    </w:p>
    <w:p>
      <w:pPr>
        <w:ind w:left="340" w:hanging="332"/>
        <w:spacing w:after="0" w:line="255" w:lineRule="auto"/>
        <w:tabs>
          <w:tab w:leader="none" w:pos="25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retired Boswell Units 1 and 2 in the fourth quarter of 2018. Minnesota Power proposed in its latest IRP to retire Boswell Unit 3 by 2030 and for Boswell Unit 4 to be coal-free by 2035. (See Regulatory Matters.)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Assets.)</w:t>
      </w:r>
    </w:p>
    <w:p>
      <w:pPr>
        <w:ind w:left="340" w:right="20" w:hanging="332"/>
        <w:spacing w:after="0" w:line="246" w:lineRule="auto"/>
        <w:tabs>
          <w:tab w:leader="none" w:pos="331"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2016 and are planned to be retired once Minnesota Power’s 2021 IRP is approved. (See Item 7. Management’s Discussion and Analysis of Financial Condition and Results of Operations – Outlook – EnergyForward.)</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Solar includes the 10 MW Camp Ripley Solar Array near Little Falls, MN, and a 40 kW community solar garden in Duluth, MN.</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Minnesota Power has a PSA with Minnkota Power whereby Minnesota Power is selling a portion of its entitlement from Square Butte to Minnkota Power. (See Electric Sales / Customers </w:t>
      </w:r>
      <w:r>
        <w:rPr>
          <w:rFonts w:ascii="Arial" w:cs="Arial" w:eastAsia="Arial" w:hAnsi="Arial"/>
          <w:sz w:val="16"/>
          <w:szCs w:val="16"/>
          <w:color w:val="auto"/>
        </w:rPr>
        <w:t>–</w:t>
      </w:r>
      <w:r>
        <w:rPr>
          <w:rFonts w:ascii="Arial" w:cs="Arial" w:eastAsia="Arial" w:hAnsi="Arial"/>
          <w:sz w:val="16"/>
          <w:szCs w:val="16"/>
          <w:i w:val="1"/>
          <w:iCs w:val="1"/>
          <w:color w:val="auto"/>
        </w:rPr>
        <w:t xml:space="preserve"> Minnkota Power PSA</w:t>
      </w:r>
      <w:r>
        <w:rPr>
          <w:rFonts w:ascii="Arial" w:cs="Arial" w:eastAsia="Arial" w:hAnsi="Arial"/>
          <w:sz w:val="16"/>
          <w:szCs w:val="16"/>
          <w:color w:val="auto"/>
        </w:rPr>
        <w:t>.</w:t>
      </w:r>
      <w:r>
        <w:rPr>
          <w:rFonts w:ascii="Arial" w:cs="Arial" w:eastAsia="Arial" w:hAnsi="Arial"/>
          <w:sz w:val="16"/>
          <w:szCs w:val="16"/>
          <w:i w:val="1"/>
          <w:iCs w:val="1"/>
          <w:color w:val="auto"/>
        </w:rPr>
        <w:t>)</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Item 1. Business – Corporate and Other – Investment in Nobles 2.</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w:t>
      </w:r>
      <w:r>
        <w:rPr>
          <w:rFonts w:ascii="Arial" w:cs="Arial" w:eastAsia="Arial" w:hAnsi="Arial"/>
          <w:sz w:val="17"/>
          <w:szCs w:val="17"/>
          <w:b w:val="1"/>
          <w:bCs w:val="1"/>
          <w:color w:val="auto"/>
        </w:rPr>
        <w:t xml:space="preserve"> </w:t>
      </w:r>
      <w:r>
        <w:rPr>
          <w:rFonts w:ascii="Arial" w:cs="Arial" w:eastAsia="Arial" w:hAnsi="Arial"/>
          <w:sz w:val="17"/>
          <w:szCs w:val="17"/>
          <w:color w:val="auto"/>
        </w:rPr>
        <w:t>consumption in 2021 for electric generation at Minnesota Power’s coal-fired generating stations was 2.7 million tons (2.2 million tons in 2020; 2.5 million tons in 2019). As of December 31, 2021, Minnesota Power had coal inventories of 0.4 million tons (0.8 million tons as of December 31, 2020). Minnesota Power has coal supply agreements providing for the purchase of a significant portion of its coal requirements through December 2022. In 2022,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Coal Delivered to Minnesota Power</w:t>
            </w:r>
          </w:p>
        </w:tc>
        <w:tc>
          <w:tcPr>
            <w:tcW w:w="3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Ton</w:t>
            </w:r>
          </w:p>
        </w:tc>
        <w:tc>
          <w:tcPr>
            <w:tcW w:w="3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$39.51</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$34.94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2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Price per MBtu</w:t>
            </w:r>
          </w:p>
        </w:tc>
        <w:tc>
          <w:tcPr>
            <w:tcW w:w="3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$2.18</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$1.93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hydro and solar generating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Our PPAs are detailed in Note 8. Commitments, Guarantees and Contingencies, with additional disclosure provided in the following paragraph.</w:t>
      </w:r>
    </w:p>
    <w:p>
      <w:pPr>
        <w:spacing w:after="0" w:line="2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Square Butte PPA. </w:t>
      </w:r>
      <w:r>
        <w:rPr>
          <w:rFonts w:ascii="Arial" w:cs="Arial" w:eastAsia="Arial" w:hAnsi="Arial"/>
          <w:sz w:val="16"/>
          <w:szCs w:val="16"/>
          <w:color w:val="auto"/>
        </w:rPr>
        <w:t>Under the PPA with Square Butte that extends through 2026, Minnesota Power is entitled to 50 percent of the output of Square Butte’s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455 MW coal-fired generating unit. (See Note 8. Commitments, Guarantees and Contingencies.) BNI Energy mines and sells lignite coal to Square Butte. This lignite supply is sufficient to provide fuel for the anticipated useful life of the generating unit. Square Butte’s cost of lignite consumed in 2021 was approximately $1.94 per MBtu ($1.75 per MBtu in 2020; $1.88 per MBtu in 2019).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xml:space="preserve"> – </w:t>
      </w:r>
      <w:r>
        <w:rPr>
          <w:rFonts w:ascii="Arial" w:cs="Arial" w:eastAsia="Arial" w:hAnsi="Arial"/>
          <w:sz w:val="16"/>
          <w:szCs w:val="16"/>
          <w:i w:val="1"/>
          <w:iCs w:val="1"/>
          <w:color w:val="auto"/>
        </w:rPr>
        <w:t>Minnkota Power PSA</w:t>
      </w:r>
      <w:r>
        <w:rPr>
          <w:rFonts w:ascii="Arial" w:cs="Arial" w:eastAsia="Arial" w:hAnsi="Arial"/>
          <w:sz w:val="16"/>
          <w:szCs w:val="16"/>
          <w:color w:val="auto"/>
        </w:rPr>
        <w: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three long-term PPAs with Manitoba Hydro. Under the first PPA, Minnesota Power is purchasing surplus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electric transmission and distribution lines of 500 kV (232 miles), 345 kV (241 miles), 250 kV (466 miles), 230 kV (715 miles), 161 kV (43 miles), 138 kV (130 miles), 115 kV (1,248 miles) and less than 115 kV (6,390 miles). We own and operate 159 substations with a total capacity of 10,086 megavoltamperes. Some of our transmission and distribution lines interconnect with other utilities.</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 xml:space="preserve">Great Northern Transmission Line. </w:t>
      </w:r>
      <w:r>
        <w:rPr>
          <w:rFonts w:ascii="Arial" w:cs="Arial" w:eastAsia="Arial" w:hAnsi="Arial"/>
          <w:sz w:val="17"/>
          <w:szCs w:val="17"/>
          <w:color w:val="auto"/>
        </w:rPr>
        <w:t>As a condition of the 250 MW long-term PPA entered into with Manitoba Hydro, construction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capacity was required. As a result, Minnesota Power constructed the GNTL, an approximately 220</w:t>
      </w:r>
      <w:r>
        <w:rPr>
          <w:rFonts w:ascii="MS PGothic" w:cs="MS PGothic" w:eastAsia="MS PGothic" w:hAnsi="MS PGothic"/>
          <w:sz w:val="17"/>
          <w:szCs w:val="17"/>
          <w:color w:val="auto"/>
        </w:rPr>
        <w:t>‑</w:t>
      </w:r>
      <w:r>
        <w:rPr>
          <w:rFonts w:ascii="Arial" w:cs="Arial" w:eastAsia="Arial" w:hAnsi="Arial"/>
          <w:sz w:val="17"/>
          <w:szCs w:val="17"/>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The 250 MW PPA with Manitoba Hydro commenced when the GNTL was placed into service.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2021, our equity investment in ATC was $154.5 million ($149.0 million as of December 31, 2020). (See Note 5. Equity Investments.)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2020 FERC order that granted rehearing of a 2019 FERC order. These FERC orders are subject to various outstanding legal challenges related to the refund period ordered by the FERC. If these legal challenges are successful, ATC may be required to provide refunds to its customers of up to approximately $65 million of which our share would be approximately $5 million pre-tax. 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10-year transmission assessment, which covers the years 2021 through 2030, identifies a need for between $3.5 billion and $4.2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transmission and distribution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the jurisdiction of various regulatory authorities and other organizations. Regulatory matters and proceedings are detailed in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with a summary included in the following paragraphs.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Minnesota Public Utilities Commission. </w:t>
      </w:r>
      <w:r>
        <w:rPr>
          <w:rFonts w:ascii="Arial" w:cs="Arial" w:eastAsia="Arial" w:hAnsi="Arial"/>
          <w:sz w:val="18"/>
          <w:szCs w:val="18"/>
          <w:color w:val="auto"/>
        </w:rPr>
        <w:t>The MPUC has regulatory authority over Minnesota Power’s retail service area in Minnesota, retail rates,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services, capital structure, issuance of securities and other matters. Minnesota Power’s current retail rates are based on a 2018 MPUC retail rate order that allows for a 9.25 percent return on common equity and a 53.81 percent equity ratio. The resolution of Minnesota Power’s 2020 general rate case did not change the allowed return on equity or equity ratio. (See </w:t>
      </w:r>
      <w:r>
        <w:rPr>
          <w:rFonts w:ascii="Arial" w:cs="Arial" w:eastAsia="Arial" w:hAnsi="Arial"/>
          <w:sz w:val="18"/>
          <w:szCs w:val="18"/>
          <w:i w:val="1"/>
          <w:iCs w:val="1"/>
          <w:color w:val="auto"/>
        </w:rPr>
        <w:t>2020 Minnesota General Rate Case</w:t>
      </w:r>
      <w:r>
        <w:rPr>
          <w:rFonts w:ascii="Arial" w:cs="Arial" w:eastAsia="Arial" w:hAnsi="Arial"/>
          <w:sz w:val="18"/>
          <w:szCs w:val="18"/>
          <w:color w:val="auto"/>
        </w:rPr>
        <w:t>.) As authorized by the MPUC, Minnesota Power also recognizes revenue under cost recovery riders for transmission and renewable investments.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In November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December 2019 orders, the MPUC accepted the filing as complete and authorized an annual interim rate increase of $36.1 million beginning January 1, 2020.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Power Land Sales</w:t>
      </w:r>
      <w:r>
        <w:rPr>
          <w:rFonts w:ascii="Arial" w:cs="Arial" w:eastAsia="Arial" w:hAnsi="Arial"/>
          <w:sz w:val="18"/>
          <w:szCs w:val="18"/>
          <w:color w:val="auto"/>
        </w:rPr>
        <w:t>. 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second half of 2022.</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w:t>
      </w:r>
      <w:r>
        <w:rPr>
          <w:rFonts w:ascii="Arial" w:cs="Arial" w:eastAsia="Arial" w:hAnsi="Arial"/>
          <w:sz w:val="18"/>
          <w:szCs w:val="18"/>
          <w:b w:val="1"/>
          <w:bCs w:val="1"/>
          <w:color w:val="auto"/>
        </w:rPr>
        <w:t xml:space="preserve"> </w:t>
      </w:r>
      <w:r>
        <w:rPr>
          <w:rFonts w:ascii="Arial" w:cs="Arial" w:eastAsia="Arial" w:hAnsi="Arial"/>
          <w:sz w:val="18"/>
          <w:szCs w:val="18"/>
          <w:color w:val="auto"/>
        </w:rPr>
        <w:t>of securities and other matters. SWL&amp;P’s current retail rates are based on a December 2018 order that allows for a return on equity of 10.4 percent and a 55.0 percent equity ratio. The PSCW had directed SWL&amp;P to file its next general rate case in 2020; however, the PSCW granted an extension request made by SWL&amp;P to delay filing its next general rate case until on or before December 20, 2022. SWL&amp;P requested the extension primarily due to impacts of the COVID-19 pandemic.</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8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for 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Arial" w:cs="Arial" w:eastAsia="Arial" w:hAnsi="Arial"/>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Midcontinent Independent System Operator, Inc. </w:t>
      </w:r>
      <w:r>
        <w:rPr>
          <w:rFonts w:ascii="Arial" w:cs="Arial" w:eastAsia="Arial" w:hAnsi="Arial"/>
          <w:sz w:val="16"/>
          <w:szCs w:val="16"/>
          <w:color w:val="auto"/>
        </w:rPr>
        <w:t>Minnesota Power, SWL&amp;P and ATC are members of MISO, a regional transmission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Midwest Reliability Organization (MRO). </w:t>
      </w:r>
      <w:r>
        <w:rPr>
          <w:rFonts w:ascii="Arial" w:cs="Arial" w:eastAsia="Arial" w:hAnsi="Arial"/>
          <w:sz w:val="17"/>
          <w:szCs w:val="17"/>
          <w:color w:val="auto"/>
        </w:rPr>
        <w:t>Minnesota Power and ATC are members of the MRO, one of the six regional entities overseen by the NERC.</w:t>
      </w:r>
      <w:r>
        <w:rPr>
          <w:rFonts w:ascii="Arial" w:cs="Arial" w:eastAsia="Arial" w:hAnsi="Arial"/>
          <w:sz w:val="17"/>
          <w:szCs w:val="17"/>
          <w:b w:val="1"/>
          <w:bCs w:val="1"/>
          <w:color w:val="auto"/>
        </w:rPr>
        <w:t xml:space="preserve"> </w:t>
      </w:r>
      <w:r>
        <w:rPr>
          <w:rFonts w:ascii="Arial" w:cs="Arial" w:eastAsia="Arial" w:hAnsi="Arial"/>
          <w:sz w:val="17"/>
          <w:szCs w:val="17"/>
          <w:color w:val="auto"/>
        </w:rPr>
        <w:t>The MRO's primary responsibilities are to: ensure compliance with mandatory reliability standards by entities who own, operate or use the interconnected, international bulk power system; conduct assessments of the grid's ability to meet electricity demand in the region; and analyze regional system events. The MRO region spans the Canadian provinces of Saskatchewan and Manitoba, and all or parts of 16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Renewable Energy. </w:t>
      </w:r>
      <w:r>
        <w:rPr>
          <w:rFonts w:ascii="Arial" w:cs="Arial" w:eastAsia="Arial" w:hAnsi="Arial"/>
          <w:sz w:val="18"/>
          <w:szCs w:val="18"/>
          <w:color w:val="auto"/>
        </w:rPr>
        <w:t>Minnesota law requires 25 percent of electric utilities’ applicable retail and municipal energy sales in Minnesota to be from renewable</w:t>
      </w:r>
      <w:r>
        <w:rPr>
          <w:rFonts w:ascii="Arial" w:cs="Arial" w:eastAsia="Arial" w:hAnsi="Arial"/>
          <w:sz w:val="18"/>
          <w:szCs w:val="18"/>
          <w:i w:val="1"/>
          <w:iCs w:val="1"/>
          <w:color w:val="auto"/>
        </w:rPr>
        <w:t xml:space="preserve"> </w:t>
      </w:r>
      <w:r>
        <w:rPr>
          <w:rFonts w:ascii="Arial" w:cs="Arial" w:eastAsia="Arial" w:hAnsi="Arial"/>
          <w:sz w:val="18"/>
          <w:szCs w:val="18"/>
          <w:color w:val="auto"/>
        </w:rPr>
        <w:t>energy sources by 2025. Minnesota law also requires Minnesota Power to meet interim milestones including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has exceeded the interim milestone requirements to date.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approximately 50 percent of Minnesota Power’s power supply was provided by renewable energy sources. (See Item 7. Management’s Discussion and Analysis of Financial Condition and Results of Operations – Outlook – EnergyForward.)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served 8 Large Power Customers under contracts of at least 10 MW in 2021, none of which have engaged in a competitive rate process.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2021, 4 percent of total regulated utility kWh sales were to municipal customers in Minnesota. These customers have the right to seek an energy supply from any wholesale electric service provider upon contract expiration. Minnesota Power’s wholesale electric contract with the Nashwauk Public Utilities Commission was extended in 2020 and is effective through December 31, 2037. Minnesota Power’s wholesale electric contracts with 14 non-affiliated municipal customers are effective through varying dates ranging from 2024 through 2029. (See </w:t>
      </w:r>
      <w:r>
        <w:rPr>
          <w:rFonts w:ascii="Arial" w:cs="Arial" w:eastAsia="Arial" w:hAnsi="Arial"/>
          <w:sz w:val="17"/>
          <w:szCs w:val="17"/>
          <w:i w:val="1"/>
          <w:iCs w:val="1"/>
          <w:color w:val="auto"/>
        </w:rPr>
        <w:t>Electric Sales / Customers.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(Continued)</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95 cities. The remaining cities, villages and towns served by Minnesota Power do not require a franchise to operate. SWL&amp;P serves customers under electric, natural gas or water franchises in 1 city and 14 villages and towns.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ALLETE Clean Energy focuses on developing, acquiring, and operating clean and renewable energy projects. ALLETE Clean Energy currently owns and operates, in seven states, more than 1,300 MW of nameplate capacity wind energy generation that is contracted under PSAs of various durations. In addition, ALLETE Clean Energy currently has approximately 200 MW of wind energy facilities under contract to be sold to others. ALLETE Clean Energy also engages in the development of wind energy facilities to operate under long-term PSAs or for sale to others upon completion. (See Item 7. Management’s Discussion and Analysis of Financial Condition and Results of Operations – Outlook – ALLETE Clean Energy.)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40" w:type="dxa"/>
            <w:vAlign w:val="bottom"/>
          </w:tcPr>
          <w:p>
            <w:pPr>
              <w:ind w:left="540"/>
              <w:spacing w:after="0"/>
              <w:rPr>
                <w:sz w:val="20"/>
                <w:szCs w:val="20"/>
                <w:color w:val="auto"/>
              </w:rPr>
            </w:pPr>
            <w:r>
              <w:rPr>
                <w:rFonts w:ascii="Arial" w:cs="Arial" w:eastAsia="Arial" w:hAnsi="Arial"/>
                <w:sz w:val="18"/>
                <w:szCs w:val="18"/>
                <w:color w:val="auto"/>
              </w:rPr>
              <w:t>Chanarambie/Viking</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Lake Benton</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Storm Lake I</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II</w:t>
            </w:r>
          </w:p>
        </w:tc>
        <w:tc>
          <w:tcPr>
            <w:tcW w:w="29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Caddo</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66%</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 Spring</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Condon</w:t>
            </w:r>
          </w:p>
        </w:tc>
        <w:tc>
          <w:tcPr>
            <w:tcW w:w="29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Glen Ullin</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South Peak</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2035</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ALLETE Clean Energy’s wind operations are located on real property owned by others with easement rights or necessary consents of governmental authorities. One of ALLETE Clean Energy’s wind energy facilities is encumbered by liens against its assets securing financing. ALLETE Clean Energy’s Glen Ullin, South Peak, Diamond Spring and Caddo wind energy facilities are subject to tax equity financing structures. (See Note 1. Operations and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WATER SERVICES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Water Services provided integrated water management for industry by combining chemical, equipment, engineering and service for customized 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 The Company recognized a gain on the sale of U.S. Water Services of $13.2 million after-tax in 2019. ALLETE used the proceeds from the sale of U.S. Water Services to reinvest in growth initiatives at our Regulated Operations and ALLETE Clean Energy.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8. Commitments, Guarantees and Contingencies.) The mining process disturbs and reclaims between 200 and 250 acres per year. Laws require that the reclaimed land be at least as productive as it was prior to mining. As of December 31, 2021, BNI Energy’s total reclamation liability is estimated at $70.7 million and is included in Other Non-Current Liabilities on the Consolidated Balance Sheet. These costs are included in the cost-plus fixed fee contract, for which an asset reclamation cost receivable was included in Other Non-Current Assets on the Consolidated Balance Sheet. The asset reclamation obligation is guaranteed by surety bonds and a letter of credit. (See Note 8. Commitments, Guarantees and Contingencies.)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Nobles 2</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subsidiary, ALLETE South Wind, owns a 49 percent equity interest in Nobles 2, the entity that owns and operates a 250 MW wind energy facility in southwestern Minnesota pursuant to a 20-year PPA with Minnesota Power. As of December 31, 2021, our equity investment in Nobles 2 was $163.5 million ($152.2 million at December 31, 2020). (See Note 5. Equity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Shore Energy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2025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2021, is approximately $5 million.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 2021, South Shore Energy sold a portion of its undivided ownership interest in NTEC for approximately $20 million representing reimbursement of current costs plus a fee for prior development costs and risks incurred. Following the transaction, South Shore Energy now owns a 20 percent undivided ownership interest in NTEC, Basin owns a 30 percent undivided ownership interest in NTEC and Dairyland Power Cooperative continues to own a 50 percent undivided ownership interest in NTEC. The closing of the transaction resulted in the recognition of an approximately $8.5 million after-tax gain recorded in Corporate and Other in the fourth quarter of 2021, related to prior development costs and risks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Properties represents our legacy Florida real estate investment. ALLETE Properties’ major project in Florida is Town Center at Palm Coast, which consists of approximately 500 acres of land as well as various residential units and non-residential square footage. In addition to the Town Center at Palm Coast project, ALLETE Properties has approximately 500 acres of other land available for sale. (See Item 7. Management’s Discussion and Analysis of Financial Condition and Results of Operations – Outlook – Corporate and Other – ALLETE Properties.)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qualified buyers. As of December 31, 2021,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$7.6 million, net of reserves, with maturities through 2026. These finance receivables accrue interest at market-based rates and are collateralized by the financed properties.</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w:t>
      </w:r>
      <w:r>
        <w:rPr>
          <w:rFonts w:ascii="Arial" w:cs="Arial" w:eastAsia="Arial" w:hAnsi="Arial"/>
          <w:sz w:val="17"/>
          <w:szCs w:val="17"/>
          <w:b w:val="1"/>
          <w:bCs w:val="1"/>
          <w:color w:val="auto"/>
        </w:rPr>
        <w:t xml:space="preserve"> </w:t>
      </w:r>
      <w:r>
        <w:rPr>
          <w:rFonts w:ascii="Arial" w:cs="Arial" w:eastAsia="Arial" w:hAnsi="Arial"/>
          <w:sz w:val="17"/>
          <w:szCs w:val="17"/>
          <w:color w:val="auto"/>
        </w:rPr>
        <w:t>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approximately 4,000 acres of land in Minnesota, and earnings on cash and investments.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non-rate base generation consists of 29 MW of natural gas and hydro generation at Rapids Energy Center in Grand Rapids, Minnesota, which is primarily dedicated to the needs of one customer, UPM Blandin.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8. Commitments, Guarantees and Contingencies.)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key human capital management objectives are to attract, recognize and retain high quality talent, align with strategic business objectives and support the Company’s values. To support these objectives, the Company’s programs are designed to develop talent; reward and support employees through competitive compensation programs and benefit plans; enhance the Company’s culture through efforts aimed at making the workplace more engaging, safe and inclusive; and acquire talent and leverage internal opportunities to create a high-performing, diverse workforce. Our management and Board of Directors play key roles in reviewing and overseeing our human capital practices.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ALLETE had 1,365 employees, of which 1,340 were full-time. Minnesota Power and SWL&amp;P have an aggregate of 469 employees covered under collective bargaining agreements, of which most are members of the International Brotherhood of Electrical Workers (IBEW) Local 31. The current labor agreements with IBEW Local 31 expire on April 30, 2023 for Minnesota Power and January 31, 2024 for SWL&amp;P. BNI Energy has 127 employees that are members of IBEW Local 1593. The current labor agreement with IBEW Local 1593 expires on March 31,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u w:val="single" w:color="auto"/>
          <w:color w:val="auto"/>
        </w:rPr>
        <w:t>Integrity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Integrity is a foundational, shared value at ALLETE, is important to ALLETE’s business and operations, and enables our success.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a written Code of Ethics that applies to all of our employees.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u w:val="single" w:color="auto"/>
          <w:color w:val="auto"/>
        </w:rPr>
        <w:t>Health and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success of our business is fundamentally connected to the well-being of our people. We continue to respond to the COVID-19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pandemic by taking steps to mitigate the potential risks to us posed by its transmission and have implemented company-wide business continuity plans in response to the pandemic. These plans guide our response, business continuity, and the precautionary measures we are taking on behalf of employees and the public.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HUMAN CAPITAL MANAGEMENT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Zero Injury Culture</w:t>
      </w:r>
      <w:r>
        <w:rPr>
          <w:rFonts w:ascii="Arial" w:cs="Arial" w:eastAsia="Arial" w:hAnsi="Arial"/>
          <w:sz w:val="18"/>
          <w:szCs w:val="18"/>
          <w:color w:val="auto"/>
        </w:rPr>
        <w:t>. Our journey to Zero Injury starts with a culture that is open and transparent. We encourage all employees to report injuries, near</w:t>
      </w:r>
      <w:r>
        <w:rPr>
          <w:rFonts w:ascii="Arial" w:cs="Arial" w:eastAsia="Arial" w:hAnsi="Arial"/>
          <w:sz w:val="18"/>
          <w:szCs w:val="18"/>
          <w:i w:val="1"/>
          <w:iCs w:val="1"/>
          <w:color w:val="auto"/>
        </w:rPr>
        <w:t xml:space="preserve"> </w:t>
      </w:r>
      <w:r>
        <w:rPr>
          <w:rFonts w:ascii="Arial" w:cs="Arial" w:eastAsia="Arial" w:hAnsi="Arial"/>
          <w:sz w:val="18"/>
          <w:szCs w:val="18"/>
          <w:color w:val="auto"/>
        </w:rPr>
        <w:t>misses, and good catches, so that we can learn and share with others throughout the Company in an effort to improve safety performance. Leaders have regular safety conversations with employees, where the data learned from the conversations is examined, shared with the ALLETE safety strategy team and used to improve the Company’s safety programs. To monitor progress, the Company uses leading and lagging indicators to analyze injury trends, safety participation and other data to make better decision on safety practices.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u w:val="single" w:color="auto"/>
          <w:color w:val="auto"/>
        </w:rPr>
        <w:t>Talent Attraction, Retention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more than a century, ALLETE has been successful because of our ability to attract and retain high-quality people who demonstrate our shared values. We engage in workforce planning, and succession planning, while building a robust talent pipeline and monitoring turnover.</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and support the growth and development of our employees and offer opportunities to participate in internal and external learning programs. Our internal talent development programs provide employees with the resources they need to develop proficiency in their role, help achieve their career goals and build leadership skills. We are focusing initiatives on programs to expand the diversity of new hires and updating on-the-job trainings—including apprenticeships and scholarships aimed at bridging opportunity gaps—as we recognize the importance of a strong talent pipeline. In addition to role specific training, targeted training also includes respect in the workplace, cyber awareness, safety, integrity and leadership development.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u w:val="single" w:color="auto"/>
          <w:color w:val="auto"/>
        </w:rPr>
        <w:t>Compensation and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competitive compensation package gives employees flexibility, choices and opportunities. Competitive compensation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important for the Company to attract and retain a qualified workforce to successfully manage our business and achieve our business objectives. We also strive to ensure pay equity amongst diverse employees performing equal or substantially similar work. Periodically, we review the median pay of our male and female employees as well as employees from diverse backgrounds.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u w:val="single" w:color="auto"/>
          <w:color w:val="auto"/>
        </w:rPr>
        <w:t>Diversity, Equity and Inclusion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 staff diversity enriches our workforce culture at ALLETE. Our employees are operating in an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diverse society. In order to be accountable to our employees and stakeholders, we strive to have a workforce that reflects the diversity of the communities we serve, promotes inclusivity and is equitable.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ALLETE, we want to ensure that we have a workplace culture where we treat each other with fairness, dignity and respect. The Company has a respect in the workplace initiative, which includes education as well as ongoing discussions focused on building respectful relationships and managing bias. We continue our efforts in crafting a framework to strengthen ALLETE’s diversity, equity and inclusion efforts in the areas of: workforce, supply chain and ALLETE as a community citizen. In 2021, ALLETE took tangible steps toward advancing diversity, equity and inclusion by continuing to raise awareness, furthering intentional external relationships/partnerships, increasing supplier diversity, focus on underrepresented groups through grants/scholarships and other Company and employee giving.</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Yellow Ribbon Program</w:t>
      </w:r>
      <w:r>
        <w:rPr>
          <w:rFonts w:ascii="Arial" w:cs="Arial" w:eastAsia="Arial" w:hAnsi="Arial"/>
          <w:sz w:val="17"/>
          <w:szCs w:val="17"/>
          <w:color w:val="auto"/>
        </w:rPr>
        <w:t>. ALLETE and its subsidiaries are dedicated to supporting veterans, military members and their families. An employee effort grew</w:t>
      </w:r>
      <w:r>
        <w:rPr>
          <w:rFonts w:ascii="Arial" w:cs="Arial" w:eastAsia="Arial" w:hAnsi="Arial"/>
          <w:sz w:val="17"/>
          <w:szCs w:val="17"/>
          <w:i w:val="1"/>
          <w:iCs w:val="1"/>
          <w:color w:val="auto"/>
        </w:rPr>
        <w:t xml:space="preserve"> </w:t>
      </w:r>
      <w:r>
        <w:rPr>
          <w:rFonts w:ascii="Arial" w:cs="Arial" w:eastAsia="Arial" w:hAnsi="Arial"/>
          <w:sz w:val="17"/>
          <w:szCs w:val="17"/>
          <w:color w:val="auto"/>
        </w:rPr>
        <w:t>out of that spirit of commitment to veterans and led the state of Minnesota to designate ALLETE/Minnesota Power and ALLETE Clean Energy as Yellow Ribbon Companies. The mission of ALLETE’s Yellow Ribbon Program is to contribute to the Company’s unique culture by proactively recruiting and retaining the best and supporting an environment in which military-connected employees can thrive.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3900" w:type="dxa"/>
            <w:vAlign w:val="bottom"/>
          </w:tcPr>
          <w:p>
            <w:pPr>
              <w:spacing w:after="0"/>
              <w:rPr>
                <w:sz w:val="20"/>
                <w:szCs w:val="20"/>
                <w:color w:val="auto"/>
              </w:rPr>
            </w:pPr>
          </w:p>
        </w:tc>
      </w:tr>
      <w:tr>
        <w:trPr>
          <w:trHeight w:val="459"/>
        </w:trPr>
        <w:tc>
          <w:tcPr>
            <w:tcW w:w="7300" w:type="dxa"/>
            <w:vAlign w:val="bottom"/>
          </w:tcPr>
          <w:p>
            <w:pPr>
              <w:spacing w:after="0"/>
              <w:rPr>
                <w:sz w:val="20"/>
                <w:szCs w:val="20"/>
                <w:color w:val="auto"/>
              </w:rPr>
            </w:pPr>
            <w:r>
              <w:rPr>
                <w:rFonts w:ascii="Arial" w:cs="Arial" w:eastAsia="Arial" w:hAnsi="Arial"/>
                <w:sz w:val="18"/>
                <w:szCs w:val="18"/>
                <w:color w:val="auto"/>
              </w:rPr>
              <w:t>As of February 16, 2022, these are the executive officers of ALLETE:</w:t>
            </w:r>
          </w:p>
        </w:tc>
        <w:tc>
          <w:tcPr>
            <w:tcW w:w="3900" w:type="dxa"/>
            <w:vAlign w:val="bottom"/>
          </w:tcPr>
          <w:p>
            <w:pPr>
              <w:spacing w:after="0"/>
              <w:rPr>
                <w:sz w:val="24"/>
                <w:szCs w:val="24"/>
                <w:color w:val="auto"/>
              </w:rPr>
            </w:pPr>
          </w:p>
        </w:tc>
      </w:tr>
      <w:tr>
        <w:trPr>
          <w:trHeight w:val="49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 Officers</w:t>
            </w:r>
          </w:p>
        </w:tc>
        <w:tc>
          <w:tcPr>
            <w:tcW w:w="390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Initial Effective Date</w:t>
            </w:r>
          </w:p>
        </w:tc>
      </w:tr>
      <w:tr>
        <w:trPr>
          <w:trHeight w:val="223"/>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Bethany M. Owen, Age 56</w:t>
            </w:r>
          </w:p>
        </w:tc>
        <w:tc>
          <w:tcPr>
            <w:tcW w:w="390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Chair, President and Chief Executive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May 11, 2021</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February 3, 2020</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3900" w:type="dxa"/>
            <w:vAlign w:val="bottom"/>
          </w:tcPr>
          <w:p>
            <w:pPr>
              <w:ind w:left="1800"/>
              <w:spacing w:after="0"/>
              <w:rPr>
                <w:sz w:val="20"/>
                <w:szCs w:val="20"/>
                <w:color w:val="auto"/>
              </w:rPr>
            </w:pPr>
            <w:r>
              <w:rPr>
                <w:rFonts w:ascii="Arial" w:cs="Arial" w:eastAsia="Arial" w:hAnsi="Arial"/>
                <w:sz w:val="18"/>
                <w:szCs w:val="18"/>
                <w:color w:val="auto"/>
              </w:rPr>
              <w:t>January 31, 2019</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Senior Vice President and Chief Legal and Administrative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November 26, 2016</w:t>
            </w:r>
          </w:p>
        </w:tc>
      </w:tr>
      <w:tr>
        <w:trPr>
          <w:trHeight w:val="229"/>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Robert J. Adams, Age 59 (a)</w:t>
            </w:r>
          </w:p>
        </w:tc>
        <w:tc>
          <w:tcPr>
            <w:tcW w:w="390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Senior Vice President</w:t>
            </w:r>
          </w:p>
        </w:tc>
        <w:tc>
          <w:tcPr>
            <w:tcW w:w="3900" w:type="dxa"/>
            <w:vAlign w:val="bottom"/>
          </w:tcPr>
          <w:p>
            <w:pPr>
              <w:ind w:left="1800"/>
              <w:spacing w:after="0"/>
              <w:rPr>
                <w:sz w:val="20"/>
                <w:szCs w:val="20"/>
                <w:color w:val="auto"/>
              </w:rPr>
            </w:pPr>
            <w:r>
              <w:rPr>
                <w:rFonts w:ascii="Arial" w:cs="Arial" w:eastAsia="Arial" w:hAnsi="Arial"/>
                <w:sz w:val="18"/>
                <w:szCs w:val="18"/>
                <w:color w:val="auto"/>
              </w:rPr>
              <w:t>February 9, 2022</w:t>
            </w: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March 4, 2017</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Senior Vice President – Energy-Centric Businesses and Chief Risk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November 14, 2015</w:t>
            </w:r>
          </w:p>
        </w:tc>
      </w:tr>
      <w:tr>
        <w:trPr>
          <w:trHeight w:val="229"/>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Patrick L. Cutshall, Age 56</w:t>
            </w:r>
          </w:p>
        </w:tc>
        <w:tc>
          <w:tcPr>
            <w:tcW w:w="390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Vice President and Corporate Treasurer</w:t>
            </w:r>
          </w:p>
        </w:tc>
        <w:tc>
          <w:tcPr>
            <w:tcW w:w="3900" w:type="dxa"/>
            <w:vAlign w:val="bottom"/>
          </w:tcPr>
          <w:p>
            <w:pPr>
              <w:ind w:left="1800"/>
              <w:spacing w:after="0"/>
              <w:rPr>
                <w:sz w:val="20"/>
                <w:szCs w:val="20"/>
                <w:color w:val="auto"/>
              </w:rPr>
            </w:pPr>
            <w:r>
              <w:rPr>
                <w:rFonts w:ascii="Arial" w:cs="Arial" w:eastAsia="Arial" w:hAnsi="Arial"/>
                <w:sz w:val="18"/>
                <w:szCs w:val="18"/>
                <w:color w:val="auto"/>
              </w:rPr>
              <w:t>December 18, 2017</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Treasurer</w:t>
            </w:r>
          </w:p>
        </w:tc>
        <w:tc>
          <w:tcPr>
            <w:tcW w:w="3900" w:type="dxa"/>
            <w:vAlign w:val="bottom"/>
          </w:tcPr>
          <w:p>
            <w:pPr>
              <w:ind w:left="1800"/>
              <w:spacing w:after="0"/>
              <w:rPr>
                <w:sz w:val="20"/>
                <w:szCs w:val="20"/>
                <w:color w:val="auto"/>
              </w:rPr>
            </w:pPr>
            <w:r>
              <w:rPr>
                <w:rFonts w:ascii="Arial" w:cs="Arial" w:eastAsia="Arial" w:hAnsi="Arial"/>
                <w:sz w:val="18"/>
                <w:szCs w:val="18"/>
                <w:color w:val="auto"/>
              </w:rPr>
              <w:t>January 1, 2016</w:t>
            </w:r>
          </w:p>
        </w:tc>
      </w:tr>
      <w:tr>
        <w:trPr>
          <w:trHeight w:val="257"/>
        </w:trPr>
        <w:tc>
          <w:tcPr>
            <w:tcW w:w="730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Nicole R. Johnson, Age 47</w:t>
            </w:r>
          </w:p>
        </w:tc>
        <w:tc>
          <w:tcPr>
            <w:tcW w:w="3900" w:type="dxa"/>
            <w:vAlign w:val="bottom"/>
            <w:shd w:val="clear" w:color="auto" w:fill="CCEEFF"/>
          </w:tcPr>
          <w:p>
            <w:pPr>
              <w:spacing w:after="0"/>
              <w:rPr>
                <w:sz w:val="19"/>
                <w:szCs w:val="19"/>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Vice President and Chief Administrative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June 28, 2019</w:t>
            </w:r>
          </w:p>
        </w:tc>
      </w:tr>
      <w:tr>
        <w:trPr>
          <w:trHeight w:val="256"/>
        </w:trPr>
        <w:tc>
          <w:tcPr>
            <w:tcW w:w="730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Steven W. Morris, Age 60</w:t>
            </w:r>
          </w:p>
        </w:tc>
        <w:tc>
          <w:tcPr>
            <w:tcW w:w="390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February 9, 2022</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Vice President and Chief Accounting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October 28, 2021</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Vice President, Controller and Chief Accounting Officer</w:t>
            </w:r>
          </w:p>
        </w:tc>
        <w:tc>
          <w:tcPr>
            <w:tcW w:w="3900" w:type="dxa"/>
            <w:vAlign w:val="bottom"/>
          </w:tcPr>
          <w:p>
            <w:pPr>
              <w:ind w:left="1800"/>
              <w:spacing w:after="0"/>
              <w:rPr>
                <w:sz w:val="20"/>
                <w:szCs w:val="20"/>
                <w:color w:val="auto"/>
              </w:rPr>
            </w:pPr>
            <w:r>
              <w:rPr>
                <w:rFonts w:ascii="Arial" w:cs="Arial" w:eastAsia="Arial" w:hAnsi="Arial"/>
                <w:sz w:val="18"/>
                <w:szCs w:val="18"/>
                <w:color w:val="auto"/>
              </w:rPr>
              <w:t>December 24, 2016</w:t>
            </w:r>
          </w:p>
        </w:tc>
      </w:tr>
      <w:tr>
        <w:trPr>
          <w:trHeight w:val="229"/>
        </w:trPr>
        <w:tc>
          <w:tcPr>
            <w:tcW w:w="730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Margaret A. Thickens, Age 55</w:t>
            </w:r>
          </w:p>
        </w:tc>
        <w:tc>
          <w:tcPr>
            <w:tcW w:w="3900" w:type="dxa"/>
            <w:vAlign w:val="bottom"/>
            <w:shd w:val="clear" w:color="auto" w:fill="CCEEFF"/>
          </w:tcPr>
          <w:p>
            <w:pPr>
              <w:spacing w:after="0"/>
              <w:rPr>
                <w:sz w:val="19"/>
                <w:szCs w:val="19"/>
                <w:color w:val="auto"/>
              </w:rPr>
            </w:pP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Vice President, Chief Legal Officer and Corporate Secretary</w:t>
            </w:r>
          </w:p>
        </w:tc>
        <w:tc>
          <w:tcPr>
            <w:tcW w:w="3900" w:type="dxa"/>
            <w:vAlign w:val="bottom"/>
          </w:tcPr>
          <w:p>
            <w:pPr>
              <w:ind w:left="1800"/>
              <w:spacing w:after="0"/>
              <w:rPr>
                <w:sz w:val="20"/>
                <w:szCs w:val="20"/>
                <w:color w:val="auto"/>
              </w:rPr>
            </w:pPr>
            <w:r>
              <w:rPr>
                <w:rFonts w:ascii="Arial" w:cs="Arial" w:eastAsia="Arial" w:hAnsi="Arial"/>
                <w:sz w:val="18"/>
                <w:szCs w:val="18"/>
                <w:color w:val="auto"/>
              </w:rPr>
              <w:t>February 13,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06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16" w:lineRule="exact"/>
        <w:rPr>
          <w:sz w:val="20"/>
          <w:szCs w:val="20"/>
          <w:color w:val="auto"/>
        </w:rPr>
      </w:pPr>
    </w:p>
    <w:p>
      <w:pPr>
        <w:ind w:left="340" w:hanging="332"/>
        <w:spacing w:after="0" w:line="277" w:lineRule="auto"/>
        <w:tabs>
          <w:tab w:leader="none" w:pos="380" w:val="left"/>
        </w:tabs>
        <w:numPr>
          <w:ilvl w:val="0"/>
          <w:numId w:val="6"/>
        </w:numPr>
        <w:rPr>
          <w:rFonts w:ascii="Arial" w:cs="Arial" w:eastAsia="Arial" w:hAnsi="Arial"/>
          <w:sz w:val="16"/>
          <w:szCs w:val="16"/>
          <w:i w:val="1"/>
          <w:iCs w:val="1"/>
          <w:color w:val="auto"/>
        </w:rPr>
      </w:pPr>
      <w:r>
        <w:rPr>
          <w:rFonts w:ascii="Arial" w:cs="Arial" w:eastAsia="Arial" w:hAnsi="Arial"/>
          <w:sz w:val="18"/>
          <w:szCs w:val="18"/>
          <w:color w:val="auto"/>
        </w:rPr>
        <w:t>On January 11, 2022, ALLETE announced the planned retirement of Robert J. Adams. As part of an orderly transition, Mr. Adams will remain at the Company until June 2022.</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Johnson </w:t>
      </w:r>
      <w:r>
        <w:rPr>
          <w:rFonts w:ascii="Arial" w:cs="Arial" w:eastAsia="Arial" w:hAnsi="Arial"/>
          <w:sz w:val="18"/>
          <w:szCs w:val="18"/>
          <w:color w:val="auto"/>
        </w:rPr>
        <w:t>was Vice President – Human Resources.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Thickens </w:t>
      </w:r>
      <w:r>
        <w:rPr>
          <w:rFonts w:ascii="Arial" w:cs="Arial" w:eastAsia="Arial" w:hAnsi="Arial"/>
          <w:sz w:val="18"/>
          <w:szCs w:val="18"/>
          <w:color w:val="auto"/>
        </w:rPr>
        <w:t>was General Counsel and Director of Compliance – ALLETE Clean Energy.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term of office of the executive officers listed in the preceding table extends to the first meeting of our Board of Directors after the next annual meeting of shareholders. Both meetings are scheduled for May 10, 2022.</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results of operations could be negatively impacted if our taconite, paper and pipeline customers experience an economic downturn, incur work stoppages, fail to compete effectively, experience decreased demand, fail to economically obtain raw materials, fail to renew or obtain necessary permits, or experience a decline in prices for their product.</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Minnesota Power’s Large Power Customers (see Item 1. Business – Regulated Operations – Electric Sales / Customers) and Silver Bay Power accounted for 32 percent of our 2021 consolidated operating revenue (29 percent in 2020 and 30 percent in 2019) and 37 percent of Regulated Operations operating revenue (34 percent in 2020 and 36 percent in 2019). Minnesota Power’s taconite customers, which are currently owned by only two entities at the end of 2021, accounted for approximately 28 percent of consolidated operating revenue and 32 percent of Regulated Operations operating revenue in 2021. These customers are involved in cyclical industries that by their nature are adversely impacted by economic downturns and are subject to strong competition in the marketplace. The North American paper and pulp industry also faces declining demand due to the impact of electronic substitution for print and changing customer needs. As a result, certain paper and pulp customers have reduced their existing operations or idled facilities in recent years and have pursued or are pursuing product changes in response to declining demand. Additionally, the taconite industry could be impacted by changing technology in the steel industry such as the adoption of electric arc furnaces for steelmaking, which could result in declining demand for taconite and the electricity used during its production.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Minnesota Power also serves two pipeline customers that accounted for 2 percent of our 2021 consolidated operating revenue (2 percent in 2020 and in 2019) and 2 percent of Regulated Operations revenue in 2021 (3 percent in 2020 and 3 percent in 2019). These customers are involved in an industry that is seeing increased environmental pressure for construction of new or expanded pipeline infrastructure for the transportation of fossil fuels. Changes in regulatory rulings or permit proceedings could result in changes to operations of the pipeline network in our service territory.</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Accordingly, if our industrial customers experience an economic downturn, incur a work stoppage (including strikes, lock-outs or other events), fail to compete effectively, experience decreased demand, fail to economically obtain raw materials, fail to renew or obtain necessary permits, or experience a decline in prices for their product, there could be adverse effects on their operations and, consequently, this could have a negative impact on our results of operations as we are unable to remarket at similar prices the energy that would otherwise have been sold to such customers. These customers have also been impacted by the ongoing COVID-19 pandemic. (See </w:t>
      </w:r>
      <w:r>
        <w:rPr>
          <w:rFonts w:ascii="Arial" w:cs="Arial" w:eastAsia="Arial" w:hAnsi="Arial"/>
          <w:sz w:val="18"/>
          <w:szCs w:val="18"/>
          <w:i w:val="1"/>
          <w:iCs w:val="1"/>
          <w:color w:val="auto"/>
        </w:rPr>
        <w:t>Entity-wide Risks</w:t>
      </w:r>
      <w:r>
        <w:rPr>
          <w:rFonts w:ascii="Arial" w:cs="Arial" w:eastAsia="Arial" w:hAnsi="Arial"/>
          <w:sz w:val="18"/>
          <w:szCs w:val="18"/>
          <w:color w:val="auto"/>
        </w:rPr>
        <w:t>.)</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 and approvals.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businesses, investments and customers are subject to an extensive legal and regulatory framework under federal and state laws as well as regulations imposed by other organizations that may have a negative impact on our business and results of operations.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businesses, investments and customers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renewable portfolio standards or incentives for distributed generation, municipal utility ownership, or local initiatives could introduce generation or distribution requirements that could change the current integrated utility model.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timing of approvals, the adoption of new regulations or the expansion of jurisdiction by these agencies and other organizations could have an adverse impact on our business and results of operations.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or recovered on a timely basis, if fuel adjustment clause recoveries or cost recovery for other items are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or new laws and regulations that may be passed,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regarding if and when new laws, regulations or administrative policies will be adopted to reduce or limit GHG and the impact any such laws or regulations would have on us. In 2021, our operating coal-fired generating facilities consisted of the 355 MW Boswell Unit 3 and the 468 MW Boswell Unit 4. (See Outlook – EnergyForward.) Any future limits on GHG emissions at the federal or state level, or action taken by regulators, before these facilities are retired or become coal-free may require us to incur significant capital expenditures and increases in operating costs, or could result in early closure of coal-fired generating facilities, stranded assets, an impairment of assets, denial of full recovery of decommissioning costs in excess of amounts previously collected, or otherwise adversely affect our results of operations, particularly if resulting expenditures and costs are not fully recoverable from customers.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regulated operations may be adversely impacted by the physical and financial risks associated with climate change. See </w:t>
      </w:r>
      <w:r>
        <w:rPr>
          <w:rFonts w:ascii="Arial" w:cs="Arial" w:eastAsia="Arial" w:hAnsi="Arial"/>
          <w:sz w:val="18"/>
          <w:szCs w:val="18"/>
          <w:i w:val="1"/>
          <w:iCs w:val="1"/>
          <w:color w:val="auto"/>
        </w:rPr>
        <w:t>Entity-wide Risks</w:t>
      </w:r>
      <w:r>
        <w:rPr>
          <w:rFonts w:ascii="Arial" w:cs="Arial" w:eastAsia="Arial" w:hAnsi="Arial"/>
          <w:sz w:val="18"/>
          <w:szCs w:val="18"/>
          <w:color w:val="auto"/>
        </w:rPr>
        <w:t xml:space="preserve"> for additional discussion of risks related to GHG and climate change.</w:t>
      </w:r>
    </w:p>
    <w:p>
      <w:pPr>
        <w:spacing w:after="0" w:line="19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2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operation and maintenance of our regulated electric generation and transmission facilities are subject to operational risks that could adversely affect our financial position, results of operations and cash flows.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operation of generating facilities involves many risks, including start-up operational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and transmission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forced outage or limited availability of fuel or fuel transportation, as well as the repair of damage to facilities due to breakdown, storms, natural disasters, wars, sabotage, terrorist acts and other catastrophic events. This could also lead to requiring additional purchased power to meet requirements of serving our retail load, which for Minnesota Power is subject to recovery under the fuel adjustment clause. Should these costs be denied or are otherwise unable to be recovered, our financial position, results of operations and cash flows could be adversely impacted.</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repairs or improvements to existing regulated facilities or other capital projects is contingent upon many variables.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incur significant capital expenditures in making capital repairs or improvements to our existing electric generation and transmission facilities and in the development and construction of new electric generation and transmission facilities. Should any such efforts be unsuccessful, not completed in a timely manner or if there are increases in the costs for or limited availability of key materials, supplies, labor and services, we could be subject to additional costs or impairments which could have an adverse impact on our financial position, results of operation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regulated electric generating operations may not have access to adequate and reliable transmission and distribution facilities necessary to deliver electricity to our customers.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produced and sold to our customers, and to other energy suppliers. If transmission capacity is inadequate, our ability to sell and deliver electricity may be limited. We may have to forgo sales or may have to buy more expensive wholesale electricity that is available in the capacity-constrained area. In addition, any infrastructure failure that interrupts or impairs delivery of electricity to our customers could negatively impact the satisfaction of our customers, which could have an adverse impact on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may be volatile and fuel may be volatile and availability may be limited.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in market prices for electricity and volatility and limited availability of fuel could adversely impact our financial position and results of operations and may result from:</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fuel and transportation of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Volatility in market prices for our fuel and purchase power costs impacts our sales to retail, municipal and Other Power Suppliers. Fluctuations in our fuel and purchased power costs related to our retail and municipal customers are passed on to customers through the fuel adjustment clause; however, our results of operations and cash flows may be adversely impacted if increased fuel adjustment clause rates are not approved or recovered on a timely basis, if cost recovery is not granted at the requested level, or costs are otherwise unable to be recovered through the fuel adjustment clause.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Wholesale prices for electricity have also declined in recent years primarily due to low natural gas prices, the extension of renewable tax credits and additional renewable generation commencing operations. If there are reductions in demand from current customers, we lose retail customers, or we lose municipal customers that do not renew existing contracts, we will market any available power to Other Power Suppliers in an effort to mitigate any earnings impact. Sales to Other Power Suppliers are sold at market-based prices into the MISO market on a daily basis or through bilateral agreements of various durations. Due to wholesale prices for electricity being below our rates for retail and municipal customers, we do not expect that our power marketing efforts would fully offset the reduction in earnings resulting from the lower demand from existing customers or the loss of customers. (See Item 1. Business – Regulated Operations – Electric Sales /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of our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successfully manage and grow ALLETE Clean Energy and our Corporate and Other businesses could adversely affect our results of operations.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strategy includes adding customers, new geographies, and growth through acquisitions or project development with long-term PSAs in place for the output or to be sold upon completion. This strategy depends, in part, on the Company’s ability to successfully identify and evaluate acquisition or development opportunities and consummate acquisitions on acceptable terms. The Company may compete with other companies for these acquisition and development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New laws and regulations promoting renewable energy generation may result in increased competition. Our ALLETE Clean Energy business is experiencing return pressures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Additionally, tax law changes may adversely impact the economic characteristics of potential acquisitions or investments. Any reductions or modifications to, or the elimination of, governmental incentives or policies that support renewable energy or the imposition of additional taxes or other assessments on renewable energy, could result in, among other items, the lack of a satisfactory market for the development or financing of new renewable energy projects and reduced project returns on future projects. If the Company is unable to execute its strategy of growth through acquisitions, project development for others, or the addition of new customers and geographies, it may impede our long-term objectives and business strategy.</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Acquisitions are subject to uncertainties. If we are unable to successfully integrate and manage future acquisitions or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 Corporate and Other Risks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generation of electricity from wind and solar energy facilities depends heavily on suitable meteorological conditions.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our electric generation facilities are located in diverse geographic regions to reduce the potential impact that may be caused by unfavorable weather in a particular region, suitable meteorological conditions are variable and difficult to predict. If wind or solar conditions are unfavorable or meteorological conditions are unsuitable, electricity generation and revenue from wind and solar energy facilities may be substantially below our expectations. The electricity produced, production tax credits received, and revenues generated by a wind or solar energy facility are highly dependent on suitable wind conditions and associated weather conditions, which are variable and beyond our control. We base our decisions about which wind and solar projects to build or acquire as well as our electricity generation estimates, in part, on the findings of long-term wind and other meteorological studies conducted on the project site and its region; however, the unpredictable nature of wind and solar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may be difficult or costly to acquire or may be unavailable. Unfavorable wind and solar conditions, weather or changes to meteorological patterns could impair the effectiveness of our electric generation facility assets, reduce their output beneath their rated capacity or require shutdown of key equipment, impeding operation of our wind energy facilities or lead to an impairment of assets.</w:t>
      </w:r>
    </w:p>
    <w:p>
      <w:pPr>
        <w:spacing w:after="0" w:line="20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construction, operation and maintenance of our electric generation facilities or investment in facilities are subject to operational risks that could adversely affect our financial position, results of operations and cash flows.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construction and operation of generating facilities involves many risks, including the performance by key contracted suppliers and maintenance providers; increases in the costs for or limited availability of key materials, supplies, labor and services; start-up operations risks; breakdown or failure of facilities; curtailment of facilities by counterparties;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the repair of damage to facilities due to storms, natural disasters, wars, sabotage, terrorist acts and other catastrophic events.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contracts with customer and industrial (C&amp;I) customers.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Unusual, adverse weather conditions or other natural events can cause volatility in market prices for electricity and adversely affect our financial position, results of operations and cash flows. ALLETE Clean Energy’s power sales agreements with its three C&amp;I customers at its Diamond Spring wind energy facility are contracts for differences where power is delivered to the market, and a fixed price is paid by the customers to ALLETE Clean Energy, and differences between the market price and the fixed price are paid to or received from the customers. One of these power sales agreements settles with the customer based on day-ahead electricity prices, while deliveries to the market are settled based on real-time electricity prices. This settlement provision can and has resulted in an adverse impact to the Company when market prices are extremely volatile as happened in February 2021 during an extreme winter weather event in the southwest United States. This winter weather event caused extreme volatility, with large differences in the day-ahead and real-time market prices; the settlement provision resulted in an approximately $5 million after-tax negative impact related to the Diamond Spring wind energy facility in 2021.</w:t>
      </w:r>
    </w:p>
    <w:p>
      <w:pPr>
        <w:spacing w:after="0" w:line="20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 contracts with counterparties expire, we may not be able to replace them with agreements on similar terms or divest the related assets at a profit.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Clean Energy is party to PSAs which expire in various years between 2022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sell energy in the wholesale market resulting in similar revenue, or enter into a contract to sell the facility at a profit, our financial position, results of operations and cash flows could be adversely affected, which includes potential impairment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 Corporate and Other Risks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Counterparties to turbine and other generation supply, service and maintenance, or power sale agreements may not fulfill their obligations.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party to turbine and other generation supply agreements, service and maintenance agreements, and PSAs under various durations with a limited number of creditworthy counterparties. If, for any reason, any of the counterparties under these agreements do not fulfill their related contractual obligations, and we are unable to mitigate non-performance by a key supplier or maintenance provider or remarket PSA energy resulting in similar revenue, our financial position, results of operations and cash flows could be adversely affected.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BNI Energy sells lignite coal to two electric generating cooperatives, Minnkota Power and Square Butte, and could be adversely impacted if these customers were unable or unwilling to fulfill their related contractual obligations, or change the way in which they operate their generating facilities. In addition, BNI Energy and its customers may be adversely impacted by existing or new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deteriorate.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be materially adversely affected by health epidemics, pandemics and other outbreaks, such as the ongoing COVID-19 pandemic.</w:t>
      </w: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ongoing COVID-19 pandemic has resulted in widespread impacts on the global economy and on our employees, customers, contractors, and suppliers. There is considerable uncertainty regarding the length of time for which COVID-19 will continue, if new variants will emerge or the extent and duration of measures to try to contain the virus. We are responding to the COVID-19 pandemic by taking steps to mitigate the potential risks to us posed by its transmission and have implemented company-wide business continuity plans in response to the pandemic. These plans guide our emergency response, business continuity, and the precautionary measures we are taking on behalf of employees and the public. We have taken additional precautions for our employees who work in the field and for employees who continue to work in our facilities, and we have implemented work from home policies where appropriate. We continue to implement physical and cyber-security measures to ensure that our systems remain functional in order to both serve our operational needs with a remote workforce and keep them running to ensure uninterrupted service to our customers.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ongoing COVID-19 pandemic and related federal and state government responses has led to a disruption of economic activity, and could result in an extended disruption of economic activity. Further disruption of economic activity or an extended disruption of economic activity may lead to additional adverse impacts on our taconite, paper, pulp and secondary wood products, and pipeline customers’ operations including reduced production or the temporary idling or indefinite shutdown of facilities, which would result in lower sales and revenue from these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is monitoring the capital markets and has access to liquidity to enable us to operate our businesses and fund capital projects; however,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 In addition, the performance of capital markets impacts the values of the assets that are held in trust to satisfy future obligations under our pension and other postretirement benefit plans. A decline in the market value of these assets would increase the funding requirements under our benefit plans and future costs recognized for the benefit plans if the asset market values do not recover. The Company is also monitoring supply chains for key materials, supplies, labor and services for our operations and large capital projects. The pandemic could result in a disruption to our supply chains which could adversely impact our operations and capital projects. There has been some impact on our supply chains as to the availability of and price for materials, supplies and services to date. In addition, disruptions in our supply chains or a lack of available financing could jeopardize our ability to complete certain capital projects in time to qualify them for production tax credits.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will continue to monitor developments affecting our workforce, operations and customers, and we will take additional precautions that we determine are necessary in order to mitigate the impacts of the COVID-19 pandemic. Despite our efforts to manage these impacts to the Company, their ultimate impact also depends on factors beyond our control, including the duration and severity of this pandemic as well as governmental and third-party actions taken to contain its spread and mitigate its public health effects. As a result, we cannot predict the ultimate impact of the COVID-19 pandemic and whether it will have a material impact on our liquidity, financial position, results of operations and cash flows.</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access to financing sources and the capital markets, on acceptable terms and at reasonable costs, as sources of liquidity for capital requirements not satisfied by our cash flows from operations. Market disruptions or a downgrade of our credit ratings may increase the cost of borrowing or adversely affect our ability to access and finance in the capital markets or to access other financing sources such as tax equity financing. Such disruptions or causes of a downgrade could include but are not limited to: weakening of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not able to access capital on acceptable terms in sufficient amounts and when needed, or at all, the ability to maintain our businesses or to implement our business plans would be adversely affected.</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deterioration in general economic conditions, an inflationary environment or supply chain disruptions may have adverse impacts on our financial position, results of operations and cash flows.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economic conditions deteriorate, we experience an inflationary environment or supply chains are disrupted on a national or regional level, it may have a negative impact on the Company’s financial position, results of operations and cash flows as well as on our customers. This impact may include volatility and unpredictability in the demand for the products and services offered by our businesses, the loss of existing customers, tempered growth strategies, customer production cutbacks, customer bankruptcies and increases in costs for or limited availability of key materials, supplies, labor and services for our operations and capital projects. An uncertain economy could also adversely affect expenses including pension costs, interest costs, and uncollectible accounts, or lead to reductions in the value of certain real estate and other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businesses, investments and customers are subject to extensive state and federal legislation and regulation, compliance with which could have an adverse effect on our businesses.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investments and customers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inflation or terms of collective bargaining agreements with union employees.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reputational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could suffer negative impacts to its reputation as a result of operational incidents, violations of corporate compliance policies, regulatory violations, or other events which may result in negative customer perception and increased regulatory oversight, each of which could have an adverse effect on our financial position, results of operations and cash flows.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physical and financial risks associated with climate change and other catastrophic events, such as natural disasters and acts of war.</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Catastrophic events at or near Company facilities and equipment on which the Company depends upon or that otherwise impact the Company such as fires, wildfires, including the impact to Company facilities and operations or potential liability if caused by Company equipment,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scientific community generally accepts that emissions of GHG are linked to global climate change. Physical risks of climate change, such as more frequent, longer duration or more extreme weather events, changes in temperature and precipitation patterns, changes to ground and surface water availability, and other related phenomena, could affect some, or all, of our operations. Severe weather or other natural disasters could be destructive, which could result in increased costs or limit the availability of key materials, supplies, labor and services. An extreme weather event can also directly affect our capital assets, causing disruption in service to customers due to facility outages, downed wires and poles or damage to other operating equipment.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Climate-related risks that could adversely affect our financial position and results of operations include effects of environmental- or economic-based laws, regulations, incentives or initiatives designed to reduce the quantity or impact of GHG emissions. This includes the risk of laws or regulations that create mandates that do not allow for a transition that protects the safety, reliability or affordability of energy for our customers, are implemented before cost-effective technology is developed and regulatory policy is established, or require the electric sector to decarbonize faster than other sectors and ahead of our current goal to deliver 100 percent carbon-free energy to customers by 2050. Additionally, restrictions on land use, wildlife impacts, and other environmental regulations could affect the siting, construction and operation of new or existing generation and transmission facilities needed to transition to lower-carbon generation sources.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These all have the potential to adversely affect our business and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maintain insurance against some, but not all, of the risks and uncertainties we face.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against some, but not all, of the risks and uncertainties we face. The occurrence of these risks and uncertainties, if not fully covered by insurance, could have a material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our operations and business decisions, could adversely affect our results of operations and liquidity.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some or all of these tax benefits could have an adverse impact on our financial position, results of operations and cash flows.</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federal or state tax authorities deny any deductions or tax credits, negatively change existing tax laws or policies, or fail to extend or renew policies beneficial to the Company, such as those for renewable energy production tax credits, our financial position, results of operations and cash flows may be adversely impacted.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8. Commitments, Guarantees and Contingencies, and are incorporated by reference herein.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been named in a lawsuit where a contractor performing work at one of its facilities experienced an injury and subsequently filed a lawsuit seeking compensatory damages. Litigation related to this injury is ongoing. At this time, a loss is considered reasonably possible; however, we do not deem it probable, and we are unable to estimate a loss or range of loss related to the litigation at this time.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$0.65 per share on our common stock is payable on March 1, 2022, to the shareholders of record on February 15, 2022. The timing and amount of future dividends will depend upon earnings, cash requirements, the financial condition of the Company, applicable government regulations and other factors deemed relevant by the ALLETE Board of Directors. As of February 1, 2022, there were approximately 20,000 common stock shareholders of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2016,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168910</wp:posOffset>
            </wp:positionV>
            <wp:extent cx="5254625"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w:t>
            </w:r>
          </w:p>
        </w:tc>
        <w:tc>
          <w:tcPr>
            <w:tcW w:w="2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$119</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$126</w:t>
            </w: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$138</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$110</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$122</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$116</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$153</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$181</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$233</w:t>
            </w:r>
          </w:p>
        </w:tc>
      </w:tr>
      <w:tr>
        <w:trPr>
          <w:trHeight w:val="229"/>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Philadelphia Utility Index</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$113</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$117</w:t>
            </w:r>
          </w:p>
        </w:tc>
        <w:tc>
          <w:tcPr>
            <w:tcW w:w="12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$148</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trends and results for the year ended December 31, 2021, may not be indicative of future results that may be expected due to uncertainty regarding the COVID-19 pandemic. This pandemic has resulted in widespread impacts on the global economy and on our employees, customers, contractors, and suppliers. There is considerable uncertainty regarding the length of time for which COVID-19 will continue, if new variants will emerge or the extent and duration of measures to try to contain the virus. Additional disclosures in this Form 10-K regarding the impacts of the ongoing COVID-19 pandemic are located in Item 1A. Risk Factors.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4. Regulatory Matters.)</w:t>
      </w:r>
    </w:p>
    <w:p>
      <w:pPr>
        <w:spacing w:after="0" w:line="21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focuses on developing, acquiring, and operating clean and renewable energy projects. ALLETE Clean Energy currently owns and</w:t>
      </w:r>
      <w:r>
        <w:rPr>
          <w:rFonts w:ascii="Arial" w:cs="Arial" w:eastAsia="Arial" w:hAnsi="Arial"/>
          <w:sz w:val="16"/>
          <w:szCs w:val="16"/>
          <w:b w:val="1"/>
          <w:bCs w:val="1"/>
          <w:color w:val="auto"/>
        </w:rPr>
        <w:t xml:space="preserve"> </w:t>
      </w:r>
      <w:r>
        <w:rPr>
          <w:rFonts w:ascii="Arial" w:cs="Arial" w:eastAsia="Arial" w:hAnsi="Arial"/>
          <w:sz w:val="16"/>
          <w:szCs w:val="16"/>
          <w:color w:val="auto"/>
        </w:rPr>
        <w:t>operates, in seven states, more than 1,300 MW of nameplate capacity wind energy generation that is contracted under PSAs of various durations. In addition, ALLETE Clean Energy currently has approximately 200 MW of wind energy facilities under contract to be sold to others. ALLETE Clean Energy also engages in the development of wind energy facilities to operate under long-term PSAs or for sale to others upon completion.</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provided integrated water management for industry by combining chemical, equipment, engineering and service for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to reduce water and energy usage, and improve efficiency. In March 2019, the Company sold U.S. Water Services to a subsidiary of Kurita Water Industries Ltd.</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coal mining operations in North Dakota; our investment in Nobles 2, an entity that owns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250 MW wind energy facility in southwestern Minnesota; South Shore Energy, our non-rate regulated, Wisconsin subsidiary developing NTEC, an approximately 600 MW proposed combined-cycle natural gas-fired generating facility; ALLETE Properties, our legacy Florida real estate investment;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Overview (Continued)</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2021, unless otherwise indicated. All subsidiaries are wholly-owned unless otherwise specifically indicated. References in this report to “we,” “us” and “our” are to ALLETE and its subsidiaries, collectively.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Overview</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net income discussion summarizes a comparison of the year ended December 31, 2021 to the year ended December 31, 2020. The trends and results for the year ended December 31, 2021 may not be indicative of future results due to uncertainty regarding the COVID-19 pandemic. (See </w:t>
      </w:r>
      <w:r>
        <w:rPr>
          <w:rFonts w:ascii="Arial" w:cs="Arial" w:eastAsia="Arial" w:hAnsi="Arial"/>
          <w:sz w:val="18"/>
          <w:szCs w:val="18"/>
          <w:i w:val="1"/>
          <w:iCs w:val="1"/>
          <w:color w:val="auto"/>
        </w:rPr>
        <w:t>Overview</w:t>
      </w:r>
      <w:r>
        <w:rPr>
          <w:rFonts w:ascii="Arial" w:cs="Arial" w:eastAsia="Arial" w:hAnsi="Arial"/>
          <w:sz w:val="18"/>
          <w:szCs w:val="18"/>
          <w:color w:val="auto"/>
        </w:rPr>
        <w:t>.)</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income attributable to ALLETE in 2021 was $169.2 million, or $3.23 per diluted share, compared to $174.2 million, or $3.35 per diluted share, in 2020. Net income in 2021 included South Shore Energy’s sale of a portion of its interest in NTEC to Basin Electric Cooperative. The closing of the transaction between South Shore Energy and Basin resulted in the recognition of an approximately $8.5 million after-tax gain, or $0.16 per share, related to prior development costs and risks incurred. Net income in 2021 also included an approximately $5 million after-tax, or $0.10 per share, negative impact related to ALLETE Clean Energy’s Diamond Spring wind energy facility due to an extreme winter storm event in the southwest United States in February 2021. This winter storm event caused volatility in power prices in the regional power market resulting in losses being incurred under one of the facility’s power sales agreements during portions of the winter storm event. Additionally, net income in 2021 included a $3.6 million after-tax, or $0.07 per share, charge resulting from the MPUC’s decision to order refunds in Minnesota Power’s fuel adjustment clause filing covering the period July 2018 through December 2019. Net income in 2020 included margins of $10.2 million after-tax, or $0.20 per share, in Regulated Operations for sales under a 100 MW PSA which expired in April 2020. Net income in 2020 also included reserves for interim rates of $8.3 million after-tax, or $0.16 per share, for the refund of interim rates collected between January 1, 2020, and April 30, 2020. Earnings per share dilution in 2021 was $0.03 due to additional shares of common stock outstanding as of December 31, 2021.</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$129.1 million in 2021, compared to $136.3 million in 2020. Net income at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 was lower than 2020 primarily due to: lower margins from Other Power Suppliers resulting primarily from the expiration of a PSA; higher operating and maintenance, property tax and depreciation expenses; and a reserve for refunds resulting from the MPUC’s decision to order refunds in Minnesota Power’s fuel adjustment clause filing covering the period July 2018 through December 2019. These negative impacts were partially offset by increased earnings related to the GNTL; and higher kWh sales to retail and municipal customers. Net income in 2020 also included reserves for interim rates of $8.3 million after-tax for the refund of interim rates collected between January 1, 2020, and April 30, 2020. Net income at SWL&amp;P was lower than 2020 primarily due to higher operating expenses. Our after-tax equity earnings in ATC were lower compared to 2020 primarily due to period over period changes in ATC’s estimate of a refund liability related to the FERC decision on MISO return on equity complaints in 2020.</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$26.3 million in 2021 compared to $29.9 million in 2020. Net income in 2021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an approximately $5 million after-tax negative impact related to ALLETE Clean Energy’s Diamond Spring wind energy facility due to an extreme winter storm event in the southwest United States in February 2021 as well as lower wind resources at other wind energy facilities. These negative impacts were partially offset by expense management efforts.</w:t>
      </w:r>
    </w:p>
    <w:p>
      <w:pPr>
        <w:spacing w:after="0" w:line="207"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income attributable to ALLETE was $13.8 million in 2021 compared to $8.0 million in 2020. Net income in 2021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South Shore Energy’s sale of a portion of its interest in NTEC to Basin Electric Cooperative which resulted in the recognition of an approximately $8.5 million after-tax gain related to prior development costs and risks incurred, higher earnings from our investment in Nobles 2 which commenced operations in December 2020 and higher land sales at ALLETE Properties. These increases were partially offset by higher expenses.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2021 Compared to 2020</w:t>
            </w:r>
          </w:p>
        </w:tc>
        <w:tc>
          <w:tcPr>
            <w:tcW w:w="30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color w:val="auto"/>
              </w:rPr>
              <w:t>(See Note 13. Business Segments for financial results by segment.)</w:t>
            </w:r>
          </w:p>
        </w:tc>
        <w:tc>
          <w:tcPr>
            <w:tcW w:w="3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3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$1,227.9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r>
      <w:tr>
        <w:trPr>
          <w:trHeight w:val="229"/>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3040" w:type="dxa"/>
            <w:vAlign w:val="bottom"/>
          </w:tcPr>
          <w:p>
            <w:pPr>
              <w:jc w:val="right"/>
              <w:ind w:right="190"/>
              <w:spacing w:after="0"/>
              <w:rPr>
                <w:sz w:val="20"/>
                <w:szCs w:val="20"/>
                <w:color w:val="auto"/>
              </w:rPr>
            </w:pPr>
            <w:r>
              <w:rPr>
                <w:rFonts w:ascii="Arial" w:cs="Arial" w:eastAsia="Arial" w:hAnsi="Arial"/>
                <w:sz w:val="18"/>
                <w:szCs w:val="18"/>
                <w:color w:val="auto"/>
              </w:rPr>
              <w:t>562.4</w:t>
            </w:r>
          </w:p>
        </w:tc>
        <w:tc>
          <w:tcPr>
            <w:tcW w:w="820" w:type="dxa"/>
            <w:vAlign w:val="bottom"/>
          </w:tcPr>
          <w:p>
            <w:pPr>
              <w:jc w:val="right"/>
              <w:spacing w:after="0"/>
              <w:rPr>
                <w:sz w:val="20"/>
                <w:szCs w:val="20"/>
                <w:color w:val="auto"/>
              </w:rPr>
            </w:pPr>
            <w:r>
              <w:rPr>
                <w:rFonts w:ascii="Arial" w:cs="Arial" w:eastAsia="Arial" w:hAnsi="Arial"/>
                <w:sz w:val="18"/>
                <w:szCs w:val="18"/>
                <w:color w:val="auto"/>
              </w:rPr>
              <w:t>358.6</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3040" w:type="dxa"/>
            <w:vAlign w:val="bottom"/>
          </w:tcPr>
          <w:p>
            <w:pPr>
              <w:jc w:val="right"/>
              <w:ind w:right="190"/>
              <w:spacing w:after="0"/>
              <w:rPr>
                <w:sz w:val="20"/>
                <w:szCs w:val="20"/>
                <w:color w:val="auto"/>
              </w:rPr>
            </w:pPr>
            <w:r>
              <w:rPr>
                <w:rFonts w:ascii="Arial" w:cs="Arial" w:eastAsia="Arial" w:hAnsi="Arial"/>
                <w:sz w:val="18"/>
                <w:szCs w:val="18"/>
                <w:color w:val="auto"/>
              </w:rPr>
              <w:t>216.0</w:t>
            </w:r>
          </w:p>
        </w:tc>
        <w:tc>
          <w:tcPr>
            <w:tcW w:w="82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(57.3)</w:t>
            </w:r>
          </w:p>
        </w:tc>
        <w:tc>
          <w:tcPr>
            <w:tcW w:w="82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3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3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112.5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29"/>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23"/>
        </w:trPr>
        <w:tc>
          <w:tcPr>
            <w:tcW w:w="34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3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$129.1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r>
    </w:tbl>
    <w:p>
      <w:pPr>
        <w:spacing w:after="0" w:line="3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 Utility </w:t>
      </w:r>
      <w:r>
        <w:rPr>
          <w:rFonts w:ascii="Arial" w:cs="Arial" w:eastAsia="Arial" w:hAnsi="Arial"/>
          <w:sz w:val="18"/>
          <w:szCs w:val="18"/>
          <w:color w:val="auto"/>
        </w:rPr>
        <w:t>increased $240.6 million from 2020 primarily due to higher fuel adjustment clause recoveries, higher kWh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transmission-related revenue related to the GNTL, higher cost recovery rider revenue and higher FERC formula-based rates. Revenue in 2020 also included reserves for the refund of interim rates collected between January 1, 2020, and April 30, 2020.</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Fuel adjustment clause revenue increased $121.3 million due to higher fuel and purchased power costs attributable to retail and municipal customers. (See Fuel, Purchased Power and Gas – Utility.) These increases were partially offset by a $5 million charge resulting from the MPUC’s decision to order refunds in Minnesota Power’s fuel adjustment clause filing covering the period July 2018 through December 2019. (See Note 4. Regulatory Matters.)</w:t>
      </w:r>
    </w:p>
    <w:p>
      <w:pPr>
        <w:spacing w:after="0" w:line="214"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Revenue from kWh sales increased $67.6 million from 2020 primarily due to higher sales to commercial and industrial customers as well as other power suppliers. These increases were partially offset by lower revenue related to the expiration of a 100 MW PSA in April 2020. Sales to commercial and industrial customers increased primarily due to improving business conditions related to the COVID-19 pandemic and its impact on customer operations. Many commercial and industrial customers operated at reduced levels or were temporarily closed or idled during 2020 as a result of the COVID-19 pandemic and related governmental responses while business conditions improved in 2021. These higher sales to commercial and industrial customers were partially offset by lower sales to and demand revenue from Verso Corporation which indefinitely idled its paper mill in Duluth, Minnesota in 2020. (See Outlook – Regulated Operations – Industrial Customers and Prospective Additional Load.) Sales to other power suppliers, which are sold at market-based prices into the MISO market on a daily basis or through PSAs of various durations, increased primarily due to additional kWh sales made to mitigate the uncertainty of customers’ energy needs and potential load loss due to the COVID-19 pandemic.</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Quantity</w:t>
            </w: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Variance</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1,135</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1,134</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64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1,359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1,306</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7,196</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6,192</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590</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584</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10,280</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9,216</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5,102</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4,039</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1,063</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15,382</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13,255</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2,127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9"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2021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2021 Compared to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33 percent of regulated operating revenue in 2021 (30 percent in 2020). Revenue from electric sales to paper, pulp and secondary wood product customers accounted for 5 percent of regulated operating revenue in 2021 (5 percent in 2020). Revenue from electric sales to pipelines and other industrial customers accounted for 9 percent of regulated operating revenue in 2021 (9 percent in 2020).</w:t>
      </w:r>
    </w:p>
    <w:p>
      <w:pPr>
        <w:spacing w:after="0" w:line="21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Transmission-related revenue increased $17.7 million primarily due to recovery of GNTL expenses resulting from the GNTL being placed into service in June 2020.</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Revenue in 2020 included reserves of $11.7 million for the refund of interim rates collected between January 1, 2020, and April 30, 2020. (See Note 2. Regulatory Matters.)</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Cost recovery rider revenue increased $9.0 million primarily due to fewer production tax credits recognized by Minnesota Power. If production tax credits are recognized at a level below those assumed in Minnesota Power’s base rates, an increase in cost recovery rider revenue is recognized to offset the impact of lower production tax credits on income tax expense.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wholesale customers under FERC formula-based rates increased $5.2 million primarily due to higher rates.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$241.2 million, or 29 percent, from 2020.</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increased $203.8 million, or 57 percent, from 2020 primarily due to higher purchased power prices,</w:t>
      </w:r>
      <w:r>
        <w:rPr>
          <w:rFonts w:ascii="Arial" w:cs="Arial" w:eastAsia="Arial" w:hAnsi="Arial"/>
          <w:sz w:val="18"/>
          <w:szCs w:val="18"/>
          <w:i w:val="1"/>
          <w:iCs w:val="1"/>
          <w:color w:val="auto"/>
        </w:rPr>
        <w:t xml:space="preserve"> </w:t>
      </w:r>
      <w:r>
        <w:rPr>
          <w:rFonts w:ascii="Arial" w:cs="Arial" w:eastAsia="Arial" w:hAnsi="Arial"/>
          <w:sz w:val="18"/>
          <w:szCs w:val="18"/>
          <w:color w:val="auto"/>
        </w:rPr>
        <w:t>kWh sales and fuel costs. Fuel and purchased power expense related to our retail and municipal customers is recovered through the fuel adjustment clause.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$8.3 million, or 12 percent, from 2020 primarily due to higher MISO-related expense.</w:t>
      </w:r>
    </w:p>
    <w:p>
      <w:pPr>
        <w:spacing w:after="0" w:line="25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$15.1 million, or 8 percent, from 2020 primarily due to an increase in contract and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materials purchased for generation facilities and higher vegetation management expenses. In addition, 2021 included higher labor and benefit expenses as compared to 2020.</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$3.8 million, or 2 percent, from 2020 primarily due to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resulting from the GNTL being placed into service in June 2020.</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$10.2 million, or 20 percent, from 2020 primarily due to higher property tax expense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GNTL being placed into service in June 2020 as well as higher estimated taxable market values.</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$4.0 million from 2020 primarily due to lower pension and other postretirement plan non-service credits. (See Note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Significant Accounting Policies.)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$2.8 million from 2020 primarily due to fewer production tax credits in 2021 compared to 2020, partially offset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pre-tax income.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2021 Compared to 2020 (Continued)</w:t>
            </w:r>
          </w:p>
        </w:tc>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00"/>
        </w:trPr>
        <w:tc>
          <w:tcPr>
            <w:tcW w:w="340" w:type="dxa"/>
            <w:vAlign w:val="bottom"/>
          </w:tcPr>
          <w:p>
            <w:pPr>
              <w:spacing w:after="0"/>
              <w:rPr>
                <w:sz w:val="24"/>
                <w:szCs w:val="24"/>
                <w:color w:val="auto"/>
              </w:rPr>
            </w:pP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34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$75.5</w:t>
            </w:r>
          </w:p>
        </w:tc>
        <w:tc>
          <w:tcPr>
            <w:tcW w:w="76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340" w:type="dxa"/>
            <w:vAlign w:val="bottom"/>
          </w:tcPr>
          <w:p>
            <w:pPr>
              <w:spacing w:after="0"/>
              <w:rPr>
                <w:sz w:val="19"/>
                <w:szCs w:val="19"/>
                <w:color w:val="auto"/>
              </w:rPr>
            </w:pP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34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Cost of Sales – Non-utility</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3.0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340" w:type="dxa"/>
            <w:vAlign w:val="bottom"/>
          </w:tcPr>
          <w:p>
            <w:pPr>
              <w:spacing w:after="0"/>
              <w:rPr>
                <w:sz w:val="19"/>
                <w:szCs w:val="19"/>
                <w:color w:val="auto"/>
              </w:rPr>
            </w:pPr>
          </w:p>
        </w:tc>
        <w:tc>
          <w:tcPr>
            <w:tcW w:w="6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20" w:type="dxa"/>
            <w:vAlign w:val="bottom"/>
          </w:tcPr>
          <w:p>
            <w:pPr>
              <w:jc w:val="right"/>
              <w:ind w:right="250"/>
              <w:spacing w:after="0"/>
              <w:rPr>
                <w:sz w:val="20"/>
                <w:szCs w:val="20"/>
                <w:color w:val="auto"/>
              </w:rPr>
            </w:pPr>
            <w:r>
              <w:rPr>
                <w:rFonts w:ascii="Arial" w:cs="Arial" w:eastAsia="Arial" w:hAnsi="Arial"/>
                <w:sz w:val="18"/>
                <w:szCs w:val="18"/>
                <w:color w:val="auto"/>
              </w:rPr>
              <w:t>49.2</w:t>
            </w: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34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340" w:type="dxa"/>
            <w:vAlign w:val="bottom"/>
          </w:tcPr>
          <w:p>
            <w:pPr>
              <w:spacing w:after="0"/>
              <w:rPr>
                <w:sz w:val="19"/>
                <w:szCs w:val="19"/>
                <w:color w:val="auto"/>
              </w:rPr>
            </w:pPr>
          </w:p>
        </w:tc>
        <w:tc>
          <w:tcPr>
            <w:tcW w:w="650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220" w:type="dxa"/>
            <w:vAlign w:val="bottom"/>
          </w:tcPr>
          <w:p>
            <w:pPr>
              <w:jc w:val="right"/>
              <w:ind w:right="210"/>
              <w:spacing w:after="0"/>
              <w:rPr>
                <w:sz w:val="20"/>
                <w:szCs w:val="20"/>
                <w:color w:val="auto"/>
              </w:rPr>
            </w:pPr>
            <w:r>
              <w:rPr>
                <w:rFonts w:ascii="Arial" w:cs="Arial" w:eastAsia="Arial" w:hAnsi="Arial"/>
                <w:sz w:val="18"/>
                <w:szCs w:val="18"/>
                <w:color w:val="auto"/>
              </w:rPr>
              <w:t>(13.9)</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4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40" w:type="dxa"/>
            <w:vAlign w:val="bottom"/>
          </w:tcPr>
          <w:p>
            <w:pPr>
              <w:spacing w:after="0"/>
              <w:rPr>
                <w:sz w:val="19"/>
                <w:szCs w:val="19"/>
                <w:color w:val="auto"/>
              </w:rPr>
            </w:pP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3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340" w:type="dxa"/>
            <w:vAlign w:val="bottom"/>
          </w:tcPr>
          <w:p>
            <w:pPr>
              <w:spacing w:after="0"/>
              <w:rPr>
                <w:sz w:val="19"/>
                <w:szCs w:val="19"/>
                <w:color w:val="auto"/>
              </w:rPr>
            </w:pPr>
          </w:p>
        </w:tc>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340" w:type="dxa"/>
            <w:vAlign w:val="bottom"/>
          </w:tcPr>
          <w:p>
            <w:pPr>
              <w:spacing w:after="0"/>
              <w:rPr>
                <w:sz w:val="19"/>
                <w:szCs w:val="19"/>
                <w:color w:val="auto"/>
              </w:rPr>
            </w:pPr>
          </w:p>
        </w:tc>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340" w:type="dxa"/>
            <w:vAlign w:val="bottom"/>
          </w:tcPr>
          <w:p>
            <w:pPr>
              <w:spacing w:after="0"/>
              <w:rPr>
                <w:sz w:val="19"/>
                <w:szCs w:val="19"/>
                <w:color w:val="auto"/>
              </w:rPr>
            </w:pPr>
          </w:p>
        </w:tc>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340" w:type="dxa"/>
            <w:vAlign w:val="bottom"/>
          </w:tcPr>
          <w:p>
            <w:pPr>
              <w:spacing w:after="0"/>
              <w:rPr>
                <w:sz w:val="19"/>
                <w:szCs w:val="19"/>
                <w:color w:val="auto"/>
              </w:rPr>
            </w:pPr>
          </w:p>
        </w:tc>
        <w:tc>
          <w:tcPr>
            <w:tcW w:w="6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Net Loss Attributable to Non-Controlling Interest </w:t>
            </w:r>
            <w:r>
              <w:rPr>
                <w:rFonts w:ascii="Arial" w:cs="Arial" w:eastAsia="Arial" w:hAnsi="Arial"/>
                <w:sz w:val="16"/>
                <w:szCs w:val="16"/>
                <w:i w:val="1"/>
                <w:iCs w:val="1"/>
                <w:color w:val="auto"/>
              </w:rPr>
              <w:t>(b)</w:t>
            </w:r>
          </w:p>
        </w:tc>
        <w:tc>
          <w:tcPr>
            <w:tcW w:w="32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340" w:type="dxa"/>
            <w:vAlign w:val="bottom"/>
          </w:tcPr>
          <w:p>
            <w:pPr>
              <w:spacing w:after="0"/>
              <w:rPr>
                <w:sz w:val="19"/>
                <w:szCs w:val="19"/>
                <w:color w:val="auto"/>
              </w:rPr>
            </w:pPr>
          </w:p>
        </w:tc>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3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bl>
    <w:p>
      <w:pPr>
        <w:spacing w:after="0" w:line="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non-cash amortization of differences between contract prices and estimated market prices on assumed PSAs.</w:t>
      </w:r>
    </w:p>
    <w:p>
      <w:pPr>
        <w:spacing w:after="0" w:line="19" w:lineRule="exact"/>
        <w:rPr>
          <w:rFonts w:ascii="Arial" w:cs="Arial" w:eastAsia="Arial" w:hAnsi="Arial"/>
          <w:sz w:val="16"/>
          <w:szCs w:val="16"/>
          <w:i w:val="1"/>
          <w:iCs w:val="1"/>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pacing w:after="0" w:line="230" w:lineRule="exact"/>
        <w:rPr>
          <w:sz w:val="20"/>
          <w:szCs w:val="20"/>
          <w:color w:val="auto"/>
        </w:rPr>
      </w:pPr>
    </w:p>
    <w:p>
      <w:pPr>
        <w:jc w:val="both"/>
        <w:ind w:left="340"/>
        <w:spacing w:after="0" w:line="280"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$7.3 million from 2020 primarily due to revenue from the South Peak and Diamond Spring wind energy facilities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commenced operations in April 2020 and December 2020, respectively, partially offset by the negative impact related to ALLETE Clean Energy’s Diamond Spring wind energy facility due to an extreme winter storm event in the southwest United States in February 2021.</w:t>
      </w:r>
    </w:p>
    <w:tbl>
      <w:tblPr>
        <w:tblLayout w:type="fixed"/>
        <w:tblInd w:w="3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2"/>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kWh</w:t>
            </w: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kWh</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East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236.6</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$21.4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262.2</w:t>
            </w: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Midwest</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882.9</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32.2</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South</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1,009.8</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11.2</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169.1</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West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823.2</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22.1</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777.5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Production and Operating Revenue</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2,952.5</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$86.9</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2,110.8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increased $3.0 million from 2020 due to a reserve for an anticipated loss on sale of ALLETE Clean Energy’s project to repower and sell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Northern Wind project. (See Outlook – ALLETE Clean Energy.)</w:t>
      </w:r>
    </w:p>
    <w:p>
      <w:pPr>
        <w:spacing w:after="0" w:line="19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$4.1 million, or 11 percent, from 2020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South Peak and Diamond Spring wind energy facilities as well as expense related to the Caddo wind energy facility which commenced operations in December 2021. These increases were offset by expense management efforts.</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$11.3 million, or 30 percent, from 2020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South Peak and Diamond Spring wind energy facilities.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$3.8 million from 2020 primarily due to higher property tax expense related to the Diamond Spring wind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facility.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Benefi</w:t>
      </w:r>
      <w:r>
        <w:rPr>
          <w:rFonts w:ascii="Arial" w:cs="Arial" w:eastAsia="Arial" w:hAnsi="Arial"/>
          <w:sz w:val="18"/>
          <w:szCs w:val="18"/>
          <w:b w:val="1"/>
          <w:bCs w:val="1"/>
          <w:color w:val="auto"/>
        </w:rPr>
        <w: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$2.5 million from 2020 primarily due to less production tax credits generated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2021 Compared to 2020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$13.0 million from 2020 primarily due to net losses attributable to non-controlling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for the Diamond Spring wind energy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 million, or 2 percent, from 2020 primarily due to higher land sales at ALLETE Properties in 2021, partially offset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lower revenue at BNI Energy, which operates under cost-plus fixed fee contracts, as a result of lower expenses and fewer tons sold in 2021 compared to 2020.</w:t>
      </w:r>
    </w:p>
    <w:p>
      <w:pPr>
        <w:spacing w:after="0" w:line="197" w:lineRule="exact"/>
        <w:rPr>
          <w:sz w:val="20"/>
          <w:szCs w:val="20"/>
          <w:color w:val="auto"/>
        </w:rPr>
      </w:pPr>
    </w:p>
    <w:p>
      <w:pPr>
        <w:jc w:val="both"/>
        <w:ind w:left="340"/>
        <w:spacing w:after="0" w:line="227" w:lineRule="auto"/>
        <w:rPr>
          <w:sz w:val="20"/>
          <w:szCs w:val="20"/>
          <w:color w:val="auto"/>
        </w:rPr>
      </w:pPr>
      <w:r>
        <w:rPr>
          <w:rFonts w:ascii="Arial" w:cs="Arial" w:eastAsia="Arial" w:hAnsi="Arial"/>
          <w:sz w:val="18"/>
          <w:szCs w:val="18"/>
          <w:b w:val="1"/>
          <w:bCs w:val="1"/>
          <w:i w:val="1"/>
          <w:iCs w:val="1"/>
          <w:color w:val="auto"/>
        </w:rPr>
        <w:t xml:space="preserve">Net Income Attributable to ALLETE </w:t>
      </w:r>
      <w:r>
        <w:rPr>
          <w:rFonts w:ascii="Arial" w:cs="Arial" w:eastAsia="Arial" w:hAnsi="Arial"/>
          <w:sz w:val="18"/>
          <w:szCs w:val="18"/>
          <w:color w:val="auto"/>
        </w:rPr>
        <w:t>was $13.8 million in 2021 compared to $8.0 million in 2020. Net income in 2021 included South Shore Energy’s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a portion of its interest in NTEC to Basin Electric Cooperative which resulted in the recognition of an approximately $8.5 million after-tax gain related to prior development costs and risks incurred, higher earnings from our investment in Nobles 2 which commenced operations in December 2020 and higher land sales at ALLETE Properties. These increases were partially offset by higher expenses. Net income at BNI Energy was $7.5 million in 2021 compared to net income of $7.3 million in 2020. Net income at ALLETE Properties was $1.9 million in 2021 compared to net income of $0.4 million in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ind w:left="340" w:right="180"/>
        <w:spacing w:after="0" w:line="235" w:lineRule="auto"/>
        <w:rPr>
          <w:sz w:val="20"/>
          <w:szCs w:val="20"/>
          <w:color w:val="auto"/>
        </w:rPr>
      </w:pPr>
      <w:r>
        <w:rPr>
          <w:rFonts w:ascii="Arial" w:cs="Arial" w:eastAsia="Arial" w:hAnsi="Arial"/>
          <w:sz w:val="18"/>
          <w:szCs w:val="18"/>
          <w:color w:val="auto"/>
        </w:rPr>
        <w:t>For the year ended December 31, 2021, the effective tax rate was a benefit of 24.3 percent (benefit of 32.4 percent for the year ended December 31, 2020). The effective tax rate for 2021 was a lower benefit primarily due to fewer production tax credits generated in 2021. (See Note 10. Income Tax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Compared to 2019</w:t>
      </w:r>
    </w:p>
    <w:p>
      <w:pPr>
        <w:spacing w:after="0" w:line="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comparison of the results of operations for the years ended December 31, 2020 and 2019 is included in Management's Discussion in the Annual Report on Form 10-K for the year ended December 31, 2020.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subject to accounting standards for the effects of certain types of regulation. These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other postretirement benefit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2021, was approximately 49 percent equity securities, 48 percent fixed income and 3 percent real estate. Our postretirement health and life asset allocation as of December 31, 2021, was approximately 70 percent equity securities, 29 percent fixed income and 1 percent private equity. Equity securities consist of a mix of market capitalization sizes with domestic and international securities. In 2021, we used weighted average expected long-term rates of return of 6.50 percent in our actuarial determination of our pension expense and 5.85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$2.0 million, pre-tax.</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2021, we used weighted average discount rates of 2.87 percent and 2.70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$1.7 million, pre-tax.</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2021, considered a modified PRI-2012 mortality table and MP-2021 mortality projection scale. (See Note 11. Pension and Other Postretirement Benefit Plans.)</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for indicators of impairment in accordance with the accounting standards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on a quarterly basis.</w:t>
      </w:r>
    </w:p>
    <w:p>
      <w:pPr>
        <w:spacing w:after="0" w:line="193"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w:t>
      </w:r>
      <w:r>
        <w:rPr>
          <w:rFonts w:ascii="Arial" w:cs="Arial" w:eastAsia="Arial" w:hAnsi="Arial"/>
          <w:sz w:val="18"/>
          <w:szCs w:val="18"/>
          <w:b w:val="1"/>
          <w:bCs w:val="1"/>
          <w:color w:val="auto"/>
        </w:rPr>
        <w:t xml:space="preserve"> </w:t>
      </w:r>
      <w:r>
        <w:rPr>
          <w:rFonts w:ascii="Arial" w:cs="Arial" w:eastAsia="Arial" w:hAnsi="Arial"/>
          <w:sz w:val="18"/>
          <w:szCs w:val="18"/>
          <w:color w:val="auto"/>
        </w:rPr>
        <w:t>our 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long-term objective of achieving consolidated average annual earnings per share growth within a range of 5 percent to 7 percent.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2022. Over the next several years, the contribution of ALLETE Clean Energy and our Corporate and Other businesses to net income is expected to increase as ALLETE grows these operations. ALLETE expects its businesses to provide regulated, contracted or recurring revenues, and to support sustained growth in net income and cash flow.</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Power Land Sales</w:t>
      </w:r>
      <w:r>
        <w:rPr>
          <w:rFonts w:ascii="Arial" w:cs="Arial" w:eastAsia="Arial" w:hAnsi="Arial"/>
          <w:sz w:val="18"/>
          <w:szCs w:val="18"/>
          <w:color w:val="auto"/>
        </w:rPr>
        <w:t>. 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Wisconsin General Rate Case. </w:t>
      </w:r>
      <w:r>
        <w:rPr>
          <w:rFonts w:ascii="Arial" w:cs="Arial" w:eastAsia="Arial" w:hAnsi="Arial"/>
          <w:sz w:val="18"/>
          <w:szCs w:val="18"/>
          <w:color w:val="auto"/>
        </w:rPr>
        <w:t>SWL&amp;P expects to file its next general rate case in 2022. The PSCW granted an extension request made by SWL&amp;P to</w:t>
      </w:r>
      <w:r>
        <w:rPr>
          <w:rFonts w:ascii="Arial" w:cs="Arial" w:eastAsia="Arial" w:hAnsi="Arial"/>
          <w:sz w:val="18"/>
          <w:szCs w:val="18"/>
          <w:i w:val="1"/>
          <w:iCs w:val="1"/>
          <w:color w:val="auto"/>
        </w:rPr>
        <w:t xml:space="preserve"> </w:t>
      </w:r>
      <w:r>
        <w:rPr>
          <w:rFonts w:ascii="Arial" w:cs="Arial" w:eastAsia="Arial" w:hAnsi="Arial"/>
          <w:sz w:val="18"/>
          <w:szCs w:val="18"/>
          <w:color w:val="auto"/>
        </w:rPr>
        <w:t>delay filing its next general rate case until on or before December 20, 2022. SWL&amp;P requested the extension primarily due to impacts of the COVID-19 pandemic.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Customers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47 percent of our regulated utility kWh sales in 2021 (47 percent in 2020 and 54 percent in 2019) were made to our industrial customers. We expect industrial sales of approximately 6.5 million MWh in 2022 (7.2 million MWh in 2021 and 6.2 million in 2020). (See Item 1. Business – Regulated Operations – Electric Sales / Customers.)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82 percent of capacity in 2021 (68 percent in 2020 and 80 percent in 2019). The World Steel Association, an association of steel producers, national and regional steel industry associations, and steel research institutes representing approximately 85 percent of world steel production, projected U.S. steel consumption in 2022 will increase by approximately 6 percent compared to 2021.</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expect taconite production from our taconite customers of approximately 35 million tons in 2022.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2020, USS Corporation stated it would idle its Keetac facility in Keewatin, Minnesota, in response to the sudden and dramatic</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business conditions resulting from the COVID-19 pandemic. In addition, in May 2020, USS Corporation announced that production was expected to be temporarily reduced at its Minntac Plant in Mountain Iron, Minnesota. USS Corporation resumed normal production at its Minntac Plant beginning in late July 2020 and resumed operations at its Keetac facility in December 2020. In October 2021, USS Corporation announced that it will be increasing its blast furnace operating rates at its Gary, Indiana steel mill through the installation of a 500,000 ton per year pig iron caster. When completed in early 2023, the pig iron produced from Minnesota iron ore would be used at USS Corporation’s Big River steel making facility in Osceola, Arkansas</w:t>
      </w:r>
      <w:r>
        <w:rPr>
          <w:rFonts w:ascii="Arial" w:cs="Arial" w:eastAsia="Arial" w:hAnsi="Arial"/>
          <w:sz w:val="16"/>
          <w:szCs w:val="16"/>
          <w:i w:val="1"/>
          <w:iCs w:val="1"/>
          <w:color w:val="auto"/>
        </w:rPr>
        <w:t>.</w:t>
      </w:r>
      <w:r>
        <w:rPr>
          <w:rFonts w:ascii="Arial" w:cs="Arial" w:eastAsia="Arial" w:hAnsi="Arial"/>
          <w:sz w:val="16"/>
          <w:szCs w:val="16"/>
          <w:color w:val="auto"/>
        </w:rPr>
        <w:t xml:space="preserve"> USS Corporation has the capability to produce approximately 15 million and 5 million tons annually at its Minntac and Keetac plants, respectively.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Cliffs</w:t>
      </w:r>
      <w:r>
        <w:rPr>
          <w:rFonts w:ascii="Arial" w:cs="Arial" w:eastAsia="Arial" w:hAnsi="Arial"/>
          <w:sz w:val="18"/>
          <w:szCs w:val="18"/>
          <w:color w:val="auto"/>
        </w:rPr>
        <w:t>. In December 2020, Cliffs announced that it had completed the previously announced acquisition of substantially all of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now Minnesota Power’s largest customer. The acquisition has increased customer concentration risk for the Company and could lead to further capacity consolidation for both steel blast furnaces and the related Minnesota iron ore production.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w:t>
      </w:r>
      <w:r>
        <w:rPr>
          <w:rFonts w:ascii="Arial" w:cs="Arial" w:eastAsia="Arial" w:hAnsi="Arial"/>
          <w:sz w:val="18"/>
          <w:szCs w:val="18"/>
          <w:i w:val="1"/>
          <w:iCs w:val="1"/>
          <w:color w:val="auto"/>
        </w:rPr>
        <w:t>Northshore Mining</w:t>
      </w:r>
      <w:r>
        <w:rPr>
          <w:rFonts w:ascii="Arial" w:cs="Arial" w:eastAsia="Arial" w:hAnsi="Arial"/>
          <w:sz w:val="18"/>
          <w:szCs w:val="18"/>
          <w:color w:val="auto"/>
        </w:rPr>
        <w: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Northshore Mining</w:t>
      </w:r>
      <w:r>
        <w:rPr>
          <w:rFonts w:ascii="Arial" w:cs="Arial" w:eastAsia="Arial" w:hAnsi="Arial"/>
          <w:sz w:val="17"/>
          <w:szCs w:val="17"/>
          <w:color w:val="auto"/>
        </w:rPr>
        <w:t>. In April 2020, Cliffs announced that, based on market conditions, it would be temporarily idling Northshore Mining. Cliffs idled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production at Northshore Mining in April 2020 and resumed normal production at the facility in August 2020. On February 11, 2022, Cliffs announced that with the use of additional scrap in its basic oxygen furnaces, iron ore needs are not as high as before. When determining where to adjust production, Cliffs decided to idle all production at its Northshore mine. Cliffs anticipated that the Northshore mine will be temporarily idled for approximately four months during 2022. Cliffs also indicated that going forward it will be limiting the tonnage of iron ore pellets sold to third parties. Northshore Mining has the capability to produce approximately 6 million tons annually. Minnesota Power has a PSA through 2031 with Silver Bay Power, which provides the majority of the electric service requirements for Northshore Mining. (See </w:t>
      </w:r>
      <w:r>
        <w:rPr>
          <w:rFonts w:ascii="Arial" w:cs="Arial" w:eastAsia="Arial" w:hAnsi="Arial"/>
          <w:sz w:val="17"/>
          <w:szCs w:val="17"/>
          <w:i w:val="1"/>
          <w:iCs w:val="1"/>
          <w:color w:val="auto"/>
        </w:rPr>
        <w:t>Silver Bay Power</w:t>
      </w:r>
      <w:r>
        <w:rPr>
          <w:rFonts w:ascii="Arial" w:cs="Arial" w:eastAsia="Arial" w:hAnsi="Arial"/>
          <w:sz w:val="17"/>
          <w:szCs w:val="17"/>
          <w:color w:val="auto"/>
        </w:rPr>
        <w:t xml:space="preserve"> and </w:t>
      </w:r>
      <w:r>
        <w:rPr>
          <w:rFonts w:ascii="Arial" w:cs="Arial" w:eastAsia="Arial" w:hAnsi="Arial"/>
          <w:sz w:val="17"/>
          <w:szCs w:val="17"/>
          <w:i w:val="1"/>
          <w:iCs w:val="1"/>
          <w:color w:val="auto"/>
        </w:rPr>
        <w:t>Cliffs</w:t>
      </w:r>
      <w:r>
        <w:rPr>
          <w:rFonts w:ascii="Arial" w:cs="Arial" w:eastAsia="Arial" w:hAnsi="Arial"/>
          <w:sz w:val="17"/>
          <w:szCs w:val="17"/>
          <w:color w:val="auto"/>
        </w:rPr>
        <w:t>.)</w:t>
      </w:r>
    </w:p>
    <w:p>
      <w:pPr>
        <w:spacing w:after="0" w:line="20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Silver Bay Power</w:t>
      </w:r>
      <w:r>
        <w:rPr>
          <w:rFonts w:ascii="Arial" w:cs="Arial" w:eastAsia="Arial" w:hAnsi="Arial"/>
          <w:sz w:val="17"/>
          <w:szCs w:val="17"/>
          <w:color w:val="auto"/>
        </w:rPr>
        <w:t>. In 2016, Minnesota Power and Silver Bay Power entered into a PSA through 2031. Silver Bay Power supplies approximately 90 MW of</w:t>
      </w:r>
      <w:r>
        <w:rPr>
          <w:rFonts w:ascii="Arial" w:cs="Arial" w:eastAsia="Arial" w:hAnsi="Arial"/>
          <w:sz w:val="17"/>
          <w:szCs w:val="17"/>
          <w:i w:val="1"/>
          <w:iCs w:val="1"/>
          <w:color w:val="auto"/>
        </w:rPr>
        <w:t xml:space="preserve"> </w:t>
      </w:r>
      <w:r>
        <w:rPr>
          <w:rFonts w:ascii="Arial" w:cs="Arial" w:eastAsia="Arial" w:hAnsi="Arial"/>
          <w:sz w:val="17"/>
          <w:szCs w:val="17"/>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the third quarter of 2019, Silver Bay Power ceased self-generation and Minnesota Power began supplying the full energy requirements for Silver Bay Power.</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color w:val="auto"/>
        </w:rPr>
        <w:t>. In April 2020, ArcelorMittal announced that Hibbing Taconite in Hibbing, Minnesota, would idle production due to the COVID-19</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Hibbing Taconite resumed normal production in August 2020. Hibbing Taconite’s current mineable ore reserves are expected to be exhausted in 2025. Cliffs, which in December 2020 became majority owner and resumed management of Hibbing Taconite, has stated that it has a plan to extend the mine life of Hibbing Taconite with ore reserves already under control of Cliffs. There are ample ore reserves in northeastern Minnesota that could supply operations for decades to come, and Minnesota Power’s taconite customers routinely develop and extend their mine plans to optimize assets. Hibbing Taconite has the capability to produce approximately 8 million tons annually.</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Minnesota Sulfate Wild Rice Water Quality Standard</w:t>
      </w:r>
      <w:r>
        <w:rPr>
          <w:rFonts w:ascii="Arial" w:cs="Arial" w:eastAsia="Arial" w:hAnsi="Arial"/>
          <w:sz w:val="18"/>
          <w:szCs w:val="18"/>
          <w:color w:val="auto"/>
        </w:rPr>
        <w:t>. On April 29, 2021, the EPA identified rivers and lakes in Minnesota in which wild rice grows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sulfate levels that exceed Minnesota’s sulfate limit for wild rice waters. On September 1, 2021, three additional wild rice waters with sulfate levels that exceed Minnesota’s sulfate limit were identified.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Paper, Pulp and Secondary Wood Products</w:t>
      </w:r>
      <w:r>
        <w:rPr>
          <w:rFonts w:ascii="Arial" w:cs="Arial" w:eastAsia="Arial" w:hAnsi="Arial"/>
          <w:sz w:val="17"/>
          <w:szCs w:val="17"/>
          <w:color w:val="auto"/>
        </w:rPr>
        <w:t>. The North American paper and pulp industry faces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We expect operating levels in 2022 at the major paper and pulp mills we serve to be lower than in 2021 as several customers operated at higher than normal levels in 2021.</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u w:val="single" w:color="auto"/>
          <w:color w:val="auto"/>
        </w:rPr>
        <w:t>Verso Corporation and ST Paper</w:t>
      </w:r>
      <w:r>
        <w:rPr>
          <w:rFonts w:ascii="Arial" w:cs="Arial" w:eastAsia="Arial" w:hAnsi="Arial"/>
          <w:sz w:val="16"/>
          <w:szCs w:val="16"/>
          <w:color w:val="auto"/>
        </w:rPr>
        <w:t>. In June 2020, Verso Corporation indefinitely idled its paper mill in Duluth, Minnesota (Duluth Mill). Verso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stated the decision was due to the accelerated decline in graphic paper demand resulting from the COVID-19 pandemic and has disclosed it is considering options for the Duluth Mill, including marketing for a sale. On January 29, 2021, Verso Corporation provided notice of termination for its contract. Minnesota Power and Verso Corporation mutually agreed to resolve the outstanding commitments under the contract in January 2022. In May 2021, Verso Corporation announced the completion of the sale of the Duluth Mill to ST Paper LLC (ST Paper). ST Paper has stated it plans to convert the Duluth Mill to produce tissue. In January 2022, Minnesota Power entered into an electric service agreement with ST Paper, subject to MPUC approval, that would begin Large Power customer service with a minimum term of 6-years upon start-up of operations, which is anticipated in 2023. The agreement will qualify as a Large Power customer contract as we expect to serve requirements of at least 10 MW of customer load.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u w:val="single" w:color="auto"/>
          <w:color w:val="auto"/>
        </w:rPr>
        <w:t>Cenovus Energy</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2018, a fire at Cenovus Energy’s refinery in Superior, Wisconsin, which was owned by Husky Energy at that time, disrupted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facility. Under normal operating conditions, SWL&amp;P provides approximately 14 MW of average monthly demand to the refinery in addition to water service. The facility remains at minimal operations, and the refinery is not expected to resume normal operations until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PolyMet</w:t>
      </w:r>
      <w:r>
        <w:rPr>
          <w:rFonts w:ascii="Arial" w:cs="Arial" w:eastAsia="Arial" w:hAnsi="Arial"/>
          <w:sz w:val="18"/>
          <w:szCs w:val="18"/>
          <w:color w:val="auto"/>
        </w:rPr>
        <w:t>. PolyMet is planning to start a new copper-nickel and precious metal (non-ferrous) mining operation in northeastern Minnesota. In 2015, PolyMet</w:t>
      </w:r>
      <w:r>
        <w:rPr>
          <w:rFonts w:ascii="Arial" w:cs="Arial" w:eastAsia="Arial" w:hAnsi="Arial"/>
          <w:sz w:val="18"/>
          <w:szCs w:val="18"/>
          <w:i w:val="1"/>
          <w:iCs w:val="1"/>
          <w:color w:val="auto"/>
        </w:rPr>
        <w:t xml:space="preserve"> </w:t>
      </w:r>
      <w:r>
        <w:rPr>
          <w:rFonts w:ascii="Arial" w:cs="Arial" w:eastAsia="Arial" w:hAnsi="Arial"/>
          <w:sz w:val="18"/>
          <w:szCs w:val="18"/>
          <w:color w:val="auto"/>
        </w:rPr>
        <w:t>announced the completion of the final EIS by state and federal agencies, which was subsequently published in the Federal Register and Minnesota Environmental Quality Board Monitor. The Minnesota Department of Natural Resources (DNR) and the U.S. Army Corps of Engineers have both issued final Records of Decision, finding the final EIS adequate.</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PolyMet was issued all necessary permits to construct and operate its new mining operation; however, of the more than 20 permits issued to build and operate the mine, three permits remain on hold pending legal or regulatory action, which is expected to continue during 2022. Minnesota Power could supply between 45 MW and 50 MW of load under a 10-year power supply contract with PolyMet that would begin upon start-up of operations.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its strategy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second half of 2022.</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Nemadji Trail Energy Center. </w:t>
      </w:r>
      <w:r>
        <w:rPr>
          <w:rFonts w:ascii="Arial" w:cs="Arial" w:eastAsia="Arial" w:hAnsi="Arial"/>
          <w:sz w:val="18"/>
          <w:szCs w:val="18"/>
          <w:color w:val="auto"/>
        </w:rPr>
        <w:t>In 2017, Minnesota Power submitted a resource package to the MPUC which included requesting approval of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dedication and other affiliated-interest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2025 pursuant to the capacity dedication agreement.</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Power continues to execute its renewable energy strategy and recently reached its goal of supplying 50 percent of its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renewable energy sources. Minnesota Power also has a goal of delivering 100 percent carbon-free energy by 2050.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Minnesota Power has approved cost recovery riders for certain renewable investments and expenditures as well as investments and expenditures related to compliance with the Minnesota Solar Energy Standard. The cost recovery riders allow Minnesota Power to charge retail customers on a current basis for the costs of certain renewable and solar investments and expenditures plus a return on the capital invested. (See Note 4.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Nobles 2 PPA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Nobles 2 that provides for Minnesota Power to purchase the energy and associated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Arial" w:cs="Arial" w:eastAsia="Arial" w:hAnsi="Arial"/>
          <w:sz w:val="18"/>
          <w:szCs w:val="18"/>
          <w:i w:val="1"/>
          <w:iCs w:val="1"/>
          <w:color w:val="auto"/>
        </w:rPr>
        <w:t>Corporate and Other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Nobles 2</w:t>
      </w:r>
      <w:r>
        <w:rPr>
          <w:rFonts w:ascii="Arial" w:cs="Arial" w:eastAsia="Arial" w:hAnsi="Arial"/>
          <w:sz w:val="18"/>
          <w:szCs w:val="18"/>
          <w:color w:val="auto"/>
        </w:rPr>
        <w: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three long-term PPAs with Manitoba Hydro. Under the first PPA, Minnesota Power is purchasing surplus energy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April 2022. This energy-only agreement primarily consists of surplus hydro energy on Manitoba Hydro’s system that is delivered to Minnesota Power on a non-firm basis. Under this agreement, Minnesota Power will purchase at least one million MWh of energy over the contract term. The second PPA provides for Minnesota Power to purchase 250 MW of capacity and energy from Manitoba Hydro through May 2035. The third PPA provides for Minnesota Power to purchase up to 133 MW of energy from Manitoba Hydro through June 2040. (See Note 8. Commitments, Guarantees and Contingencies.)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in 2022 as part of a community solar garden in Superior, Wisconsin, which was approved by the PSCW in October 2020.</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2020, Minnesota Power filed a proposal with the MPUC to accelerate its plans for purchasing solar energy from approximately 20 MW of solar energy projects in Minnesota which was approved in a June 2021 order. These solar energy projects will be constructed and owned through an ALLETE subsidiary with an estimated investment of $40 million. Construction of these solar energy projects is expected to commence in 2022.</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Item 1. Business – Regulated Operations and Note 8. Commitments, Guarantees and Contingencies.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Duluth Loop Reliability Project</w:t>
      </w:r>
      <w:r>
        <w:rPr>
          <w:rFonts w:ascii="Arial" w:cs="Arial" w:eastAsia="Arial" w:hAnsi="Arial"/>
          <w:sz w:val="18"/>
          <w:szCs w:val="18"/>
          <w:color w:val="auto"/>
        </w:rPr>
        <w:t>. On October 21, 2021, Minnesota Power submitted an application for a certificate of need for the Duluth Loop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The Duluth Loop Reliability Project is expected to be completed and in service by 2025, subject to MPUC approval, with an estimated cost of $50 million to $70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expects acquisitions or development of new facilities will be primarily wind, solar, energy storage or storage ready facilities across North America. ALLETE Clean Energy is also targeting the development of new facilities up to 300 MW each, which will have long-term PSAs in place for the output or may be sold upon completion.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Portions of our ALLETE Clean Energy business are experiencing return pressures that are impacting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production tax credit qualification is important to the economics of project development, and ALLETE Clean Energy has invested in equipment to meet production tax credit safe harbor provisions which provides an opportunity to seek development of its remaining safe harbor production tax credit qualified equipment through 2025 based on the most recent PTC safe harbor extension by the IRS. ALLETE Clean Energy has completed its investment of approximately $80 million for production tax credit requalification of approximately 470 WTGs at its Storm Lake I, Storm Lake II, Lake Benton and Condon wind energy facilities. We anticipate annual production tax credits relating to these projects of approximately $17 million to $22 million annually through 2027 and decreasing thereafter through 2030. Disruptions in our supply chains or a lack of available financing resulting from the ongoing COVID-19 pandemic, if they occur, could jeopardize our ability to complete certain capital projects in time to qualify them for production tax credits. To date we have not experienced disruptions in our supply chains related to the COVID-19 pandemic.</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ALLETE Clean Energy acquired the rights to the approximately 300 MW Caddo wind development project in Oklahoma from Apex Clean Energy. The Caddo wind project is fully contracted to sell wind power under long-term power sales agreements; construction was completed and tax equity funding of $62.0 million of cash, net of issuance costs, was received in the fourth quarter of 2021 with an additional $183.0 million of cash, net of issuance costs, received in January 2022. Also in January 2022, ALLETE Clean Energy acquired a portion of the non-controlling interest for its Caddo wind energy facility for approximately $30 million.</w:t>
      </w:r>
    </w:p>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February 4, 2021, ALLETE Clean Energy entered into a purchase and sale agreement with a subsidiary of Xcel Energy Inc. to sell a 100 MW wind energy facility for approximately $185 million. ALLETE Clean Energy will repower its Northern Wind project, consisting of its 98 MW Chanarambie and Viking wind energy facilities located in southwest Minnesota, as part of the transaction. Construction is expected to begin in 2022 with the Northern Wind project expected to continue operating until the second quarter of 2022. At a hearing in June 2021, the MPUC approved the sale, which is expected to close in late 2022, subject to completion of construction and receipt of permits. ALLETE Clean Energy has experienced inflationary increases and significant cost pressures related to this project and as a result now anticipates a loss on sale of the project, which resulted in an approximately $2 million after-tax charge in the fourth quarter of 2021.</w:t>
      </w:r>
    </w:p>
    <w:p>
      <w:pPr>
        <w:spacing w:after="0" w:line="21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May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At a hearing in January 2022, the PSCW approved the sale of the Red Barn wind project, which is expected to close in 2023, subject to completion of construction and receipt of permits.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40" w:type="dxa"/>
            <w:vAlign w:val="bottom"/>
          </w:tcPr>
          <w:p>
            <w:pPr>
              <w:ind w:left="540"/>
              <w:spacing w:after="0"/>
              <w:rPr>
                <w:sz w:val="20"/>
                <w:szCs w:val="20"/>
                <w:color w:val="auto"/>
              </w:rPr>
            </w:pPr>
            <w:r>
              <w:rPr>
                <w:rFonts w:ascii="Arial" w:cs="Arial" w:eastAsia="Arial" w:hAnsi="Arial"/>
                <w:sz w:val="18"/>
                <w:szCs w:val="18"/>
                <w:color w:val="auto"/>
              </w:rPr>
              <w:t>Chanarambie/Viking</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98</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xml:space="preserve">PSA 1 </w:t>
            </w:r>
            <w:r>
              <w:rPr>
                <w:rFonts w:ascii="Arial" w:cs="Arial" w:eastAsia="Arial" w:hAnsi="Arial"/>
                <w:sz w:val="16"/>
                <w:szCs w:val="16"/>
                <w:i w:val="1"/>
                <w:iCs w:val="1"/>
                <w:color w:val="auto"/>
              </w:rPr>
              <w:t>(a)</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88%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2023</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Lake Benton</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Storm Lake I</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108</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2027</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II</w:t>
            </w:r>
          </w:p>
        </w:tc>
        <w:tc>
          <w:tcPr>
            <w:tcW w:w="29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77</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t>
            </w: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Caddo</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26%</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66%</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2034</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Diamond Spring</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w:t>
            </w: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Condon</w:t>
            </w:r>
          </w:p>
        </w:tc>
        <w:tc>
          <w:tcPr>
            <w:tcW w:w="294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9"/>
              </w:rPr>
              <w:t>50</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2022</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Glen Ullin</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106</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0"/>
              <w:spacing w:after="0"/>
              <w:rPr>
                <w:sz w:val="20"/>
                <w:szCs w:val="20"/>
                <w:color w:val="auto"/>
              </w:rPr>
            </w:pPr>
            <w:r>
              <w:rPr>
                <w:rFonts w:ascii="Arial" w:cs="Arial" w:eastAsia="Arial" w:hAnsi="Arial"/>
                <w:sz w:val="18"/>
                <w:szCs w:val="18"/>
                <w:color w:val="auto"/>
                <w:w w:val="89"/>
              </w:rPr>
              <w:t>2039</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South Peak</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2035</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PSA expiration assumes the exercise of four one-year renewal options that ALLETE Clean Energy has the sole right to exercise.</w:t>
      </w:r>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Non-cash amortization to revenue recognized by ALLETE Clean Energy relates to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 Non-cash amortization is expected to be approximately $7 million in 2022, $5 million in 2023, $6 million annually in 2024 through 2027, and decreasing thereafter through 2032.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BNI Energy. </w:t>
      </w:r>
      <w:r>
        <w:rPr>
          <w:rFonts w:ascii="Arial" w:cs="Arial" w:eastAsia="Arial" w:hAnsi="Arial"/>
          <w:sz w:val="18"/>
          <w:szCs w:val="18"/>
          <w:color w:val="auto"/>
        </w:rPr>
        <w:t>In 2021, BNI Energy sold 3.9 million tons of coal (4.2 million tons in 2020) and anticipates 2022 sales will be similar to 2021. BNI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operates under cost-plus fixed fee agreements extending through December 31, 2037.</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Investment in Nobles 2. </w:t>
      </w:r>
      <w:r>
        <w:rPr>
          <w:rFonts w:ascii="Arial" w:cs="Arial" w:eastAsia="Arial" w:hAnsi="Arial"/>
          <w:sz w:val="18"/>
          <w:szCs w:val="18"/>
          <w:color w:val="auto"/>
        </w:rPr>
        <w:t>Our subsidiary, ALLETE South Wind, owns a 49 percent equity interest in Nobles 2, the entity that owns and operates a 250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(See Note 5. Equity Investments.)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South Shore Energy. </w:t>
      </w:r>
      <w:r>
        <w:rPr>
          <w:rFonts w:ascii="Arial" w:cs="Arial" w:eastAsia="Arial" w:hAnsi="Arial"/>
          <w:sz w:val="17"/>
          <w:szCs w:val="17"/>
          <w:color w:val="auto"/>
        </w:rPr>
        <w:t>South Shore Energy, ALLETE’s non-rate regulated, Wisconsin subsidiary, is developing NTEC, an approximately 600 MW proposed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combined-cycle natural gas-fired generating facility to be built in Superior, Wisconsin, which will be jointly owned by Dairyland Power Cooperative, Basin and South Shore Energy. Minnesota Power is expected to purchase approximately 20 percent of the facility's output starting in 2025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2021, is approximately $5 million.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 2021, South Shore Energy sold a portion of its undivided ownership interest in NTEC for approximately $20 million representing reimbursement of current costs plus a fee for prior development costs and risks incurred. Following the transaction, South Shore Energy now owns a 20 percent undivided ownership interest in NTEC, Basin owns a 30 percent undivided ownership interest in NTEC and Dairyland Power Cooperative continues to own a 50 percent undivided ownership interest in NTEC. The closing of the transaction resulted in the recognition of an approximately $8.5 million after-tax gain recorded in Corporate and Other in the fourth quarter of 2021, related to prior development costs and risks incurred.</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Our strategy incorporates the possibility of a bulk sale of the entire ALLETE Properties portfolio. Proceeds from a bulk sale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ALLETE’s aggregate federal and multi-state statutory tax rate is approximately 28 percent for 2021. ALLETE also has tax credits and other tax adjustments that reduce the combined statutory rate to the effective tax rate. These tax credits and adjustments historically have included items such as production tax credits, excess deferred taxes, non-controlling interests in subsidiaries,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5 percent for 2022 primarily due to federal production tax credits as a result of wind energy generation and non-controlling interests in subsidiaries.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Liquidity Position. </w:t>
      </w:r>
      <w:r>
        <w:rPr>
          <w:rFonts w:ascii="Arial" w:cs="Arial" w:eastAsia="Arial" w:hAnsi="Arial"/>
          <w:sz w:val="17"/>
          <w:szCs w:val="17"/>
          <w:color w:val="auto"/>
        </w:rPr>
        <w:t>ALLETE is well-positioned to meet its liquidity needs; however, the Company is monitoring capital markets and other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sources in light of the ongoing COVID-19 pandemic. (See Item 1A. Risk Factors.) A disruption in capital markets could lead to increased borrowing costs or adversely impact our ability to access capital markets or other financing sources. If we are not able to access capital on acceptable terms in sufficient amounts and when needed, or at all, the ability to maintain our businesses or to implement our business plans would be adversely affected.</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we had cash and cash equivalents of $45.1 million, $240.8 million in available consolidated lines of credit, 2.1 million original issue shares of common stock available for issuance through a distribution agreement with Lampert Capital Markets and a debt-to-capital ratio of 40 percent.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w w:val="96"/>
              </w:rPr>
              <w:t xml:space="preserve">Capital Structure. </w:t>
            </w:r>
            <w:r>
              <w:rPr>
                <w:rFonts w:ascii="Arial" w:cs="Arial" w:eastAsia="Arial" w:hAnsi="Arial"/>
                <w:sz w:val="18"/>
                <w:szCs w:val="18"/>
                <w:color w:val="auto"/>
                <w:w w:val="96"/>
              </w:rPr>
              <w:t>ALLETE’s capital structure for each of the last three years is as follows:</w:t>
            </w:r>
          </w:p>
        </w:tc>
        <w:tc>
          <w:tcPr>
            <w:tcW w:w="1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2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$2,413.1</w:t>
            </w: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49</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$2,294.6</w:t>
            </w: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12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$2,231.9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060" w:type="dxa"/>
            <w:vAlign w:val="bottom"/>
          </w:tcPr>
          <w:p>
            <w:pPr>
              <w:jc w:val="right"/>
              <w:ind w:right="270"/>
              <w:spacing w:after="0"/>
              <w:rPr>
                <w:sz w:val="20"/>
                <w:szCs w:val="20"/>
                <w:color w:val="auto"/>
              </w:rPr>
            </w:pPr>
            <w:r>
              <w:rPr>
                <w:rFonts w:ascii="Arial" w:cs="Arial" w:eastAsia="Arial" w:hAnsi="Arial"/>
                <w:sz w:val="18"/>
                <w:szCs w:val="18"/>
                <w:color w:val="auto"/>
              </w:rPr>
              <w:t>533.2</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505.6</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20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1,986.4</w:t>
            </w: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1,806.4</w:t>
            </w: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1,622.6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40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$4,932.7</w:t>
            </w: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$4,606.6</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$3,958.2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20"/>
                <w:szCs w:val="20"/>
                <w:color w:val="auto"/>
              </w:rPr>
            </w:pPr>
            <w:r>
              <w:rPr>
                <w:rFonts w:ascii="Arial" w:cs="Arial" w:eastAsia="Arial" w:hAnsi="Arial"/>
                <w:sz w:val="16"/>
                <w:szCs w:val="16"/>
                <w:i w:val="1"/>
                <w:iCs w:val="1"/>
                <w:color w:val="auto"/>
              </w:rPr>
              <w:t>(a) Excludes unamortized debt issuance costs.</w:t>
            </w: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32"/>
        </w:trPr>
        <w:tc>
          <w:tcPr>
            <w:tcW w:w="778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$65.2</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(used for)</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263.5</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299.8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(485.2)</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(812.8)</w:t>
            </w:r>
          </w:p>
        </w:tc>
        <w:tc>
          <w:tcPr>
            <w:tcW w:w="960" w:type="dxa"/>
            <w:vAlign w:val="bottom"/>
          </w:tcPr>
          <w:p>
            <w:pPr>
              <w:jc w:val="right"/>
              <w:spacing w:after="0"/>
              <w:rPr>
                <w:sz w:val="20"/>
                <w:szCs w:val="20"/>
                <w:color w:val="auto"/>
              </w:rPr>
            </w:pPr>
            <w:r>
              <w:rPr>
                <w:rFonts w:ascii="Arial" w:cs="Arial" w:eastAsia="Arial" w:hAnsi="Arial"/>
                <w:sz w:val="18"/>
                <w:szCs w:val="18"/>
                <w:color w:val="auto"/>
              </w:rPr>
              <w:t>(342.7)</w:t>
            </w:r>
          </w:p>
        </w:tc>
      </w:tr>
      <w:tr>
        <w:trPr>
          <w:trHeight w:val="230"/>
        </w:trPr>
        <w:tc>
          <w:tcPr>
            <w:tcW w:w="7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204.2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485.7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3"/>
        </w:trPr>
        <w:tc>
          <w:tcPr>
            <w:tcW w:w="7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(17.5)</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$47.7</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operating activities was lower in 2021 compared to 2020. Cash from operating activities in 2021 included lower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higher payments for inventories compared to 2020, and was negatively impacted by the timing of recovery and refund of the fuel adjustment clause.</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from operating activities was higher in 2020 compared to 2019. Cash from operating activities in 2019 included the refund of Minnesota Power’s provisions for interim rates and tax reform, and the impact of U.S. Water Services prior to its sale. Cash from operating activities in 2020 included lower collections of accounts receivable due to timing.</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for investing activities was lower in 2021 compared to 2020. Cash used for investing activities in 2021 reflected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to property, plant and equipment and lower payments for equity method investments compared to 2020.</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for investing activities in 2020 was higher compared to 2019. Cash used for investing activities in 2020 included higher additions to property, plant and equipment and additional payments for equity method investments compared to 2019. Cash used for investing activities in 2019 included proceeds received from the sale of U.S. Water Services.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from financing activities was lower in 2021 compared to 2020 primarily due to lower proceeds from non-controlling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and higher repayments of short-term and long-term debt in 2021. These decreases were partially offset by higher proceeds from the issuance of common stock and higher proceeds from the issuance of short-term and long-term debt in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from financing activities was higher in 2020 compared to 2019 primarily due to higher proceeds from the issuance of long-term debt and proceeds from a tax equity financing (non-controlling interest in subsidiaries) in 2020. These increases were partially offset by higher repayments of long-term debt in 2020.</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December 31, 2021, we had consolidated bank lines of credit aggregating $432.0 million ($407.0 million as of December 31, 2020), most of which expire in January 2025. We had $31.5 million outstanding in standby letters of credit and $159.7 million outstanding draws under our lines of credit as of December 31, 2021 ($22.3 million in standby letters of credit and no outstanding draws as of December 31, 2020). We also have other credit facility agreements in place that provide the ability to issue up to $100.0 million in standby letters of credit. As of December 31, 2021, we had $91.2 million outstanding in standby letters of credit under these agreements.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ALLETE Clean Energy received approximately $183.0 million from final closing of tax equity funding for the Caddo wind energy facility. The proceeds from the funding were used to pay down a portion of outstanding draws on our lines of credit.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as of December 31, 2021, we had 3.1 million original issue shares of our common stock available for issuance through Invest Direct and 2.1 million original issue shares of common stock available for issuance through a distribution agreement with Lampert Capital Markets.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We entered into a distribution agreement with Lampert Capital Markets, in 2008, as amended most recently in 2020,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13.6 million shares of our common stock, without par value, of which 2.1 million shares remain available for issuance as of December 31, 2021. For the year ended December 31, 2021, 0.8 million shares of common stock were issued under this agreement resulting in net proceeds of $51.0 million (none in 2020 and 2019).</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2021, we issued 0.3 million shares of common stock through Invest Direct, the Employee Stock Purchase Plan and the Retirement Savings and Stock Ownership Plan, resulting in net proceeds of $18.9 million (0.4 million shares for net proceeds of $18.1 million in 2020; 0.2 million shares for net proceeds of $1.9 million in 2019). See Note 9. Common Stock and Earnings Per Share for additional detail regarding ALLETE’s equity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7. Short-Term and Long-Term Debt for information regarding our financial covenants.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Pension and Other Postretirement Benefit Plans. </w:t>
      </w:r>
      <w:r>
        <w:rPr>
          <w:rFonts w:ascii="Arial" w:cs="Arial" w:eastAsia="Arial" w:hAnsi="Arial"/>
          <w:sz w:val="17"/>
          <w:szCs w:val="17"/>
          <w:color w:val="auto"/>
        </w:rPr>
        <w:t>Management considers various factors when making funding decisions, such as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actuarially determined minimum contribution requirements and contributions required to avoid benefit restrictions for the defined benefit pension plans. For the year ended December 31, 2021, we contributed $10.3 million in cash to the defined benefit pension plans. We do not expect to make any contributions to our defined benefit pension plans in 2022, and we do not expect to make any contributions to our other postretirement benefit plans in 2022. (See Note 9. Common Stock and Earnings Per Share and Note 11. Pension and Other Postretirement Benefit Plans.)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r>
        <w:rPr>
          <w:rFonts w:ascii="Arial" w:cs="Arial" w:eastAsia="Arial" w:hAnsi="Arial"/>
          <w:sz w:val="17"/>
          <w:szCs w:val="17"/>
          <w:color w:val="auto"/>
        </w:rPr>
        <w:t>. Off-balance sheet arrangements are discussed in Note 8.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Material contractual obligations and other commitments are as follows:</w:t>
      </w:r>
    </w:p>
    <w:p>
      <w:pPr>
        <w:spacing w:after="0" w:line="193"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ALLETE has material long-term debt obligations, including long-term debt due within one year. These obligations include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bonds, notes and loans which are recorded on the Consolidated Balance Sheet, plus interest. (See Note 7. Short-Term and Long</w:t>
      </w:r>
      <w:r>
        <w:rPr>
          <w:rFonts w:ascii="MS PGothic" w:cs="MS PGothic" w:eastAsia="MS PGothic" w:hAnsi="MS PGothic"/>
          <w:sz w:val="16"/>
          <w:szCs w:val="16"/>
          <w:color w:val="auto"/>
        </w:rPr>
        <w:t>‑</w:t>
      </w:r>
      <w:r>
        <w:rPr>
          <w:rFonts w:ascii="Arial" w:cs="Arial" w:eastAsia="Arial" w:hAnsi="Arial"/>
          <w:sz w:val="16"/>
          <w:szCs w:val="16"/>
          <w:color w:val="auto"/>
        </w:rPr>
        <w:t>Term Debt.)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Pension and other postretirement benefit plan obligations include the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Pension contributions are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Our obligations are estimates and will change based on actual market performance, changes in interest rates and any changes in governmental regulations. (See Note 11. Pension and Other Postretirement Benefit Plans.)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Lease Obligations</w:t>
      </w:r>
      <w:r>
        <w:rPr>
          <w:rFonts w:ascii="Arial" w:cs="Arial" w:eastAsia="Arial" w:hAnsi="Arial"/>
          <w:sz w:val="18"/>
          <w:szCs w:val="18"/>
          <w:color w:val="auto"/>
        </w:rPr>
        <w:t>. ALLETE has certain operating lease obligations for the minimum payments required under various lease agreements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on the Consolidated Balance Sheet. (See Note 1. Operations and Significant Accounting Policies.)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Easement Obligations</w:t>
      </w:r>
      <w:r>
        <w:rPr>
          <w:rFonts w:ascii="Arial" w:cs="Arial" w:eastAsia="Arial" w:hAnsi="Arial"/>
          <w:sz w:val="18"/>
          <w:szCs w:val="18"/>
          <w:color w:val="auto"/>
        </w:rPr>
        <w:t>. ALLETE has easement obligations for the minimum payments required under our land easement agreements at our 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(See Note 8. Commitments, Guarantees and Contingencies.)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and other PPAs. (See Note 8. Commitments,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ALLETE has other purchase obligations covering our minimum purchase commitments under coal supply and rail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service agreements for wind energy facilities. (See Note 8. Commitments, Guarantees and Contingencies.)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and by</w:t>
      </w:r>
      <w:r>
        <w:rPr>
          <w:rFonts w:ascii="Arial" w:cs="Arial" w:eastAsia="Arial" w:hAnsi="Arial"/>
          <w:sz w:val="18"/>
          <w:szCs w:val="18"/>
          <w:b w:val="1"/>
          <w:bCs w:val="1"/>
          <w:color w:val="auto"/>
        </w:rPr>
        <w:t xml:space="preserve"> </w:t>
      </w:r>
      <w:r>
        <w:rPr>
          <w:rFonts w:ascii="Arial" w:cs="Arial" w:eastAsia="Arial" w:hAnsi="Arial"/>
          <w:sz w:val="18"/>
          <w:szCs w:val="18"/>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 Ratings</w:t>
            </w:r>
          </w:p>
        </w:tc>
        <w:tc>
          <w:tcPr>
            <w:tcW w:w="4480" w:type="dxa"/>
            <w:vAlign w:val="bottom"/>
            <w:tcBorders>
              <w:bottom w:val="single" w:sz="8" w:color="auto"/>
            </w:tcBorders>
          </w:tcPr>
          <w:p>
            <w:pPr>
              <w:jc w:val="center"/>
              <w:ind w:left="2792"/>
              <w:spacing w:after="0"/>
              <w:rPr>
                <w:sz w:val="20"/>
                <w:szCs w:val="20"/>
                <w:color w:val="auto"/>
              </w:rPr>
            </w:pPr>
            <w:r>
              <w:rPr>
                <w:rFonts w:ascii="Arial" w:cs="Arial" w:eastAsia="Arial" w:hAnsi="Arial"/>
                <w:sz w:val="18"/>
                <w:szCs w:val="18"/>
                <w:b w:val="1"/>
                <w:bCs w:val="1"/>
                <w:color w:val="auto"/>
                <w:w w:val="97"/>
              </w:rPr>
              <w:t>S&amp;P</w:t>
            </w:r>
          </w:p>
        </w:tc>
        <w:tc>
          <w:tcPr>
            <w:tcW w:w="16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0"/>
              </w:rPr>
              <w:t>Moody’s</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480" w:type="dxa"/>
            <w:vAlign w:val="bottom"/>
            <w:shd w:val="clear" w:color="auto" w:fill="CCEEFF"/>
          </w:tcPr>
          <w:p>
            <w:pPr>
              <w:jc w:val="center"/>
              <w:ind w:left="2792"/>
              <w:spacing w:after="0"/>
              <w:rPr>
                <w:sz w:val="20"/>
                <w:szCs w:val="20"/>
                <w:color w:val="auto"/>
              </w:rPr>
            </w:pPr>
            <w:r>
              <w:rPr>
                <w:rFonts w:ascii="Arial" w:cs="Arial" w:eastAsia="Arial" w:hAnsi="Arial"/>
                <w:sz w:val="18"/>
                <w:szCs w:val="18"/>
                <w:color w:val="auto"/>
                <w:w w:val="99"/>
              </w:rPr>
              <w:t>BBB</w:t>
            </w:r>
          </w:p>
        </w:tc>
        <w:tc>
          <w:tcPr>
            <w:tcW w:w="16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5"/>
              </w:rPr>
              <w:t>Baa1</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480" w:type="dxa"/>
            <w:vAlign w:val="bottom"/>
          </w:tcPr>
          <w:p>
            <w:pPr>
              <w:jc w:val="center"/>
              <w:ind w:left="2792"/>
              <w:spacing w:after="0"/>
              <w:rPr>
                <w:sz w:val="20"/>
                <w:szCs w:val="20"/>
                <w:color w:val="auto"/>
              </w:rPr>
            </w:pPr>
            <w:r>
              <w:rPr>
                <w:rFonts w:ascii="Arial" w:cs="Arial" w:eastAsia="Arial" w:hAnsi="Arial"/>
                <w:sz w:val="18"/>
                <w:szCs w:val="18"/>
                <w:color w:val="auto"/>
                <w:w w:val="99"/>
              </w:rPr>
              <w:t>A-2</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85"/>
              </w:rPr>
              <w:t>P-2</w:t>
            </w:r>
          </w:p>
        </w:tc>
      </w:tr>
      <w:tr>
        <w:trPr>
          <w:trHeight w:val="229"/>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480" w:type="dxa"/>
            <w:vAlign w:val="bottom"/>
            <w:tcBorders>
              <w:bottom w:val="single" w:sz="8" w:color="auto"/>
            </w:tcBorders>
            <w:shd w:val="clear" w:color="auto" w:fill="CCEEFF"/>
          </w:tcPr>
          <w:p>
            <w:pPr>
              <w:jc w:val="center"/>
              <w:ind w:left="2792"/>
              <w:spacing w:after="0"/>
              <w:rPr>
                <w:sz w:val="20"/>
                <w:szCs w:val="20"/>
                <w:color w:val="auto"/>
              </w:rPr>
            </w:pPr>
            <w:r>
              <w:rPr>
                <w:rFonts w:ascii="Arial" w:cs="Arial" w:eastAsia="Arial" w:hAnsi="Arial"/>
                <w:sz w:val="16"/>
                <w:szCs w:val="16"/>
                <w:i w:val="1"/>
                <w:iCs w:val="1"/>
                <w:color w:val="auto"/>
              </w:rPr>
              <w:t>(a)</w:t>
            </w:r>
          </w:p>
        </w:tc>
        <w:tc>
          <w:tcPr>
            <w:tcW w:w="16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A2</w:t>
            </w:r>
          </w:p>
        </w:tc>
      </w:tr>
      <w:tr>
        <w:trPr>
          <w:trHeight w:val="285"/>
        </w:trPr>
        <w:tc>
          <w:tcPr>
            <w:tcW w:w="5100" w:type="dxa"/>
            <w:vAlign w:val="bottom"/>
          </w:tcPr>
          <w:p>
            <w:pPr>
              <w:spacing w:after="0"/>
              <w:rPr>
                <w:sz w:val="20"/>
                <w:szCs w:val="20"/>
                <w:color w:val="auto"/>
              </w:rPr>
            </w:pPr>
            <w:r>
              <w:rPr>
                <w:rFonts w:ascii="Arial" w:cs="Arial" w:eastAsia="Arial" w:hAnsi="Arial"/>
                <w:sz w:val="16"/>
                <w:szCs w:val="16"/>
                <w:i w:val="1"/>
                <w:iCs w:val="1"/>
                <w:color w:val="auto"/>
              </w:rPr>
              <w:t>(a)  Not rated by S&amp;P.</w:t>
            </w:r>
          </w:p>
        </w:tc>
        <w:tc>
          <w:tcPr>
            <w:tcW w:w="44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long-term objective is to maintain a dividend payout ratio similar to our peers and provide for future dividend increases. Our targeted payout range is between 60 percent and 70 percent. In 2021, we paid out 78 percent (74 percent in 2020; 65 percent in 2019) of our per share earnings in dividends. On February 3, 2022, our Board of Directors declared a dividend of $0.65 per share, which is payable on March 1, 2022, to shareholders of record at the close of business on February 15,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ALLETE’s projected capital expenditures for the years 2022 through 2026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 Projected capital expenditures exclude amounts for projects that will be sold to third parties upon completion.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$125</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$260</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$370</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$365</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(a)</w:t>
            </w: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3920" w:type="dxa"/>
            <w:vAlign w:val="bottom"/>
          </w:tcPr>
          <w:p>
            <w:pPr>
              <w:ind w:left="900"/>
              <w:spacing w:after="0"/>
              <w:rPr>
                <w:sz w:val="20"/>
                <w:szCs w:val="20"/>
                <w:color w:val="auto"/>
              </w:rPr>
            </w:pPr>
            <w:r>
              <w:rPr>
                <w:rFonts w:ascii="Arial" w:cs="Arial" w:eastAsia="Arial" w:hAnsi="Arial"/>
                <w:sz w:val="18"/>
                <w:szCs w:val="18"/>
                <w:color w:val="auto"/>
              </w:rPr>
              <w:t xml:space="preserve">South Shore Energy </w:t>
            </w:r>
            <w:r>
              <w:rPr>
                <w:rFonts w:ascii="Arial" w:cs="Arial" w:eastAsia="Arial" w:hAnsi="Arial"/>
                <w:sz w:val="16"/>
                <w:szCs w:val="16"/>
                <w:i w:val="1"/>
                <w:iCs w:val="1"/>
                <w:color w:val="auto"/>
              </w:rPr>
              <w:t>(b)</w:t>
            </w: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39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55</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Capital Expenditures</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$210</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$345</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$430</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$385</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r>
    </w:tbl>
    <w:p>
      <w:pPr>
        <w:spacing w:after="0" w:line="85" w:lineRule="exact"/>
        <w:rPr>
          <w:sz w:val="20"/>
          <w:szCs w:val="20"/>
          <w:color w:val="auto"/>
        </w:rPr>
      </w:pPr>
    </w:p>
    <w:p>
      <w:pPr>
        <w:ind w:left="340" w:hanging="332"/>
        <w:spacing w:after="0" w:line="255"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in 2022 do not include costs related to ALLETE Clean Energy’s projects to repower and sell the 100 MW Northern Wind project or to develop and sell the 92 MW Red Barn project as these projects will be sold upon completion. (See Outlook – ALLETE Clean Energy.)</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estimated capital expenditures for construction of NTEC, an approximately 600 MW proposed combined-cycle natural gas-fired generating facility to be built in Superior, Wisconsin, which will be jointly owned by Dairyland Power Cooperative, Basin and South Shore Energy.</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8.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2021,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Rate Sensitive</w:t>
            </w:r>
          </w:p>
        </w:tc>
        <w:tc>
          <w:tcPr>
            <w:tcW w:w="1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Expected Maturity Date</w:t>
            </w: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080" w:type="dxa"/>
            <w:vAlign w:val="bottom"/>
            <w:vMerge w:val="continue"/>
          </w:tcPr>
          <w:p>
            <w:pPr>
              <w:spacing w:after="0"/>
              <w:rPr>
                <w:sz w:val="13"/>
                <w:szCs w:val="13"/>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9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8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1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0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1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Thereafter</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12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 – Millions</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$89.8</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$89.7</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$213.9</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$77.2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$1,143.9</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$1,895.1</w:t>
            </w: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color w:val="auto"/>
              </w:rPr>
              <w:t>Average Interest Rate – %</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5.8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 Millions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$124.7</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$172.8</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$297.5</w:t>
            </w:r>
          </w:p>
        </w:tc>
        <w:tc>
          <w:tcPr>
            <w:tcW w:w="960" w:type="dxa"/>
            <w:vAlign w:val="bottom"/>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Average Interest Rate – %</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2021, an increase of 100 basis points in interest rates would impact the amount of pre-tax interest expense by $3.0 million. This amount was determined by considering the impact of a hypothetical 100 basis point increase to the average variable interest rate on the variable rate debt outstanding as of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2021 and 2020, and for the years ended December 31, 2021, 2020 and 2019, and supplementary data, which are indexed in Item 15(a).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2021,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2021.</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2021,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stated, the information required by this Item is incorporated by reference herein from our Proxy Statement for the 2022 Annual Meeting of Shareholders (2022 Proxy Statement) under the following headings:</w:t>
      </w:r>
    </w:p>
    <w:p>
      <w:pPr>
        <w:spacing w:after="0" w:line="1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52" w:lineRule="exact"/>
        <w:rPr>
          <w:rFonts w:ascii="Arial" w:cs="Arial" w:eastAsia="Arial" w:hAnsi="Arial"/>
          <w:sz w:val="18"/>
          <w:szCs w:val="18"/>
          <w:color w:val="auto"/>
        </w:rPr>
      </w:pPr>
    </w:p>
    <w:p>
      <w:pPr>
        <w:ind w:left="660" w:right="68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88" w:lineRule="exact"/>
        <w:rPr>
          <w:rFonts w:ascii="Arial" w:cs="Arial" w:eastAsia="Arial" w:hAnsi="Arial"/>
          <w:sz w:val="18"/>
          <w:szCs w:val="18"/>
          <w:color w:val="auto"/>
        </w:rPr>
      </w:pPr>
    </w:p>
    <w:p>
      <w:pPr>
        <w:ind w:left="660" w:right="44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Committee Report” section;</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52" w:lineRule="exact"/>
        <w:rPr>
          <w:rFonts w:ascii="Arial" w:cs="Arial" w:eastAsia="Arial" w:hAnsi="Arial"/>
          <w:sz w:val="18"/>
          <w:szCs w:val="18"/>
          <w:color w:val="auto"/>
        </w:rPr>
      </w:pPr>
    </w:p>
    <w:p>
      <w:pPr>
        <w:ind w:left="660" w:right="440" w:hanging="328"/>
        <w:spacing w:after="0" w:line="28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Section 16(a) Delinquency. </w:t>
      </w:r>
      <w:r>
        <w:rPr>
          <w:rFonts w:ascii="Arial" w:cs="Arial" w:eastAsia="Arial" w:hAnsi="Arial"/>
          <w:sz w:val="18"/>
          <w:szCs w:val="18"/>
          <w:color w:val="auto"/>
        </w:rPr>
        <w:t>If applicable, information regarding Section 16(a) delinquencies will be included in a “Delinquent Section 16(a)</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2022 Proxy Statement will be filed with the SEC within 120 days after the end of our 2021 fiscal year.</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have adopted a written Code of Ethics that applies to all of our employees, including our Chief Executive Officer,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Governance. </w:t>
      </w:r>
      <w:r>
        <w:rPr>
          <w:rFonts w:ascii="Arial" w:cs="Arial" w:eastAsia="Arial" w:hAnsi="Arial"/>
          <w:sz w:val="17"/>
          <w:szCs w:val="17"/>
          <w:color w:val="auto"/>
        </w:rPr>
        <w:t>The following documents are available on our website at www.allete.com and print copies are available upon request:</w:t>
      </w:r>
    </w:p>
    <w:p>
      <w:pPr>
        <w:spacing w:after="0" w:line="26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required by this Item is incorporated by reference herein from the “Compensation Discussion and Analysis,” the “Compensation of Executive Officers,” the “Compensation Committee Report” and the “Director Compensation” sections in our 2022 Proxy Statement.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2022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4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4"/>
              </w:rPr>
              <w:t>Weighted-Average Exercise</w:t>
            </w: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Issued Upon Exercise of</w:t>
            </w:r>
          </w:p>
        </w:tc>
        <w:tc>
          <w:tcPr>
            <w:tcW w:w="2460" w:type="dxa"/>
            <w:vAlign w:val="bottom"/>
            <w:vMerge w:val="continue"/>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5"/>
        </w:trPr>
        <w:tc>
          <w:tcPr>
            <w:tcW w:w="388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Plan Category</w:t>
            </w: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46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91"/>
              </w:rPr>
              <w:t>Price of Outstanding Options,</w:t>
            </w: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Equity Compensation Plans</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xml:space="preserve">Warrants, and Rights </w:t>
            </w:r>
            <w:r>
              <w:rPr>
                <w:rFonts w:ascii="Arial" w:cs="Arial" w:eastAsia="Arial" w:hAnsi="Arial"/>
                <w:sz w:val="16"/>
                <w:szCs w:val="16"/>
                <w:i w:val="1"/>
                <w:iCs w:val="1"/>
                <w:color w:val="auto"/>
                <w:w w:val="92"/>
              </w:rPr>
              <w:t>(a)</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xml:space="preserve">Warrants, and Rights </w:t>
            </w:r>
            <w:r>
              <w:rPr>
                <w:rFonts w:ascii="Arial" w:cs="Arial" w:eastAsia="Arial" w:hAnsi="Arial"/>
                <w:sz w:val="16"/>
                <w:szCs w:val="16"/>
                <w:i w:val="1"/>
                <w:iCs w:val="1"/>
                <w:color w:val="auto"/>
              </w:rPr>
              <w:t>(b)</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6"/>
              </w:rPr>
              <w:t>(c)</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Equity Compensation Plans Approved by Security</w:t>
            </w: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127,075</w:t>
            </w:r>
          </w:p>
        </w:tc>
        <w:tc>
          <w:tcPr>
            <w:tcW w:w="24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772,469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520" w:type="dxa"/>
            <w:vAlign w:val="bottom"/>
            <w:vMerge w:val="continue"/>
            <w:shd w:val="clear" w:color="auto" w:fill="CCEEFF"/>
          </w:tcPr>
          <w:p>
            <w:pPr>
              <w:spacing w:after="0"/>
              <w:rPr>
                <w:sz w:val="19"/>
                <w:szCs w:val="19"/>
                <w:color w:val="auto"/>
              </w:rPr>
            </w:pPr>
          </w:p>
        </w:tc>
        <w:tc>
          <w:tcPr>
            <w:tcW w:w="2460" w:type="dxa"/>
            <w:vAlign w:val="bottom"/>
            <w:vMerge w:val="continue"/>
            <w:shd w:val="clear" w:color="auto" w:fill="CCEEFF"/>
          </w:tcPr>
          <w:p>
            <w:pPr>
              <w:spacing w:after="0"/>
              <w:rPr>
                <w:sz w:val="19"/>
                <w:szCs w:val="19"/>
                <w:color w:val="auto"/>
              </w:rPr>
            </w:pPr>
          </w:p>
        </w:tc>
        <w:tc>
          <w:tcPr>
            <w:tcW w:w="2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Security Holders</w:t>
            </w:r>
          </w:p>
        </w:tc>
        <w:tc>
          <w:tcPr>
            <w:tcW w:w="2520" w:type="dxa"/>
            <w:vAlign w:val="bottom"/>
            <w:tcBorders>
              <w:bottom w:val="single" w:sz="8" w:color="auto"/>
            </w:tcBorders>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127,075</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772,469</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50" w:lineRule="auto"/>
        <w:tabs>
          <w:tab w:leader="none" w:pos="432"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following as of December 31, 2021: (i) 52,337 securities representing the target number of performance share awards (including accrued dividends) granted under the executive long-term incentive compensation plan that were unvested; and (ii) 74,738 director deferred stock units (including accrued dividends) under the non-employee director compensation deferral plan.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2022 Proxy Statement.</w:t>
      </w:r>
    </w:p>
    <w:p>
      <w:pPr>
        <w:ind w:left="340" w:hanging="332"/>
        <w:spacing w:after="0" w:line="246" w:lineRule="auto"/>
        <w:tabs>
          <w:tab w:leader="none" w:pos="409"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Earned performance share awards are paid in shares of ALLETE common stock on a one-for-one basis. Accordingly, these awards do not have a weighted-average exercise price.</w:t>
      </w:r>
    </w:p>
    <w:p>
      <w:pPr>
        <w:jc w:val="both"/>
        <w:ind w:left="340" w:hanging="332"/>
        <w:spacing w:after="0" w:line="249" w:lineRule="auto"/>
        <w:tabs>
          <w:tab w:leader="none" w:pos="36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number of securities shown in the first column as to be issued upon exercise of outstanding options, warrants, and rights. The amount shown is comprised of: (i) 686,026 shares available for issuance under the executive long-term incentive compensation plan in the form of options, rights, restricted stock units, performance share awards, and other grants as approved by the Executive Compensation Committee of the Company’s Board of Directors; (ii) 11,442 shares available for issuance under the Non-Employee Director Stock Plan as payment for a portion of the annual retainer payable to non-employee Directors; and (iii) 75,001 shares available for issuance under the ALLETE and Affiliated Companies Employee Stock Purchase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“Corporate Governance” section in our 2022 Proxy Statement.</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PricewaterhouseCoopers LLP, Minneapolis, MN, PCAOB ID: 238.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“Audit Committee Report” section in our 2022 Proxy Statement.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35" w:lineRule="exact"/>
        <w:rPr>
          <w:sz w:val="20"/>
          <w:szCs w:val="20"/>
          <w:color w:val="auto"/>
        </w:rPr>
      </w:pPr>
    </w:p>
    <w:p>
      <w:pPr>
        <w:ind w:left="800" w:hanging="774"/>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(1)</w:t>
            </w: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Financial Statements</w:t>
            </w:r>
          </w:p>
        </w:tc>
        <w:tc>
          <w:tcPr>
            <w:tcW w:w="2660" w:type="dxa"/>
            <w:vAlign w:val="bottom"/>
            <w:gridSpan w:val="4"/>
          </w:tcPr>
          <w:p>
            <w:pPr>
              <w:jc w:val="right"/>
              <w:ind w:right="20"/>
              <w:spacing w:after="0"/>
              <w:rPr>
                <w:sz w:val="20"/>
                <w:szCs w:val="20"/>
                <w:color w:val="auto"/>
              </w:rPr>
            </w:pPr>
            <w:r>
              <w:rPr>
                <w:rFonts w:ascii="Arial" w:cs="Arial" w:eastAsia="Arial" w:hAnsi="Arial"/>
                <w:sz w:val="18"/>
                <w:szCs w:val="18"/>
                <w:color w:val="auto"/>
              </w:rPr>
              <w:t>Page</w:t>
            </w:r>
          </w:p>
        </w:tc>
      </w:tr>
      <w:tr>
        <w:trPr>
          <w:trHeight w:val="229"/>
        </w:trPr>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ALLETE</w:t>
            </w:r>
          </w:p>
        </w:tc>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80" w:type="dxa"/>
            <w:vAlign w:val="bottom"/>
            <w:gridSpan w:val="10"/>
          </w:tcPr>
          <w:p>
            <w:pPr>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Report of Independent Registered Public Accounting Firm</w:t>
              </w:r>
            </w:hyperlink>
          </w:p>
        </w:tc>
        <w:tc>
          <w:tcPr>
            <w:tcW w:w="2640" w:type="dxa"/>
            <w:vAlign w:val="bottom"/>
            <w:gridSpan w:val="3"/>
          </w:tcPr>
          <w:p>
            <w:pPr>
              <w:jc w:val="right"/>
              <w:spacing w:after="0" w:line="189" w:lineRule="exact"/>
              <w:rPr>
                <w:rFonts w:ascii="Arial" w:cs="Arial" w:eastAsia="Arial" w:hAnsi="Arial"/>
                <w:sz w:val="18"/>
                <w:szCs w:val="18"/>
                <w:color w:val="0000FF"/>
              </w:rPr>
            </w:pPr>
            <w:hyperlink w:anchor="page65">
              <w:r>
                <w:rPr>
                  <w:rFonts w:ascii="Arial" w:cs="Arial" w:eastAsia="Arial" w:hAnsi="Arial"/>
                  <w:sz w:val="18"/>
                  <w:szCs w:val="18"/>
                  <w:color w:val="0000FF"/>
                </w:rPr>
                <w:t>66</w:t>
              </w:r>
            </w:hyperlink>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8"/>
            <w:shd w:val="clear" w:color="auto" w:fill="CCEEFF"/>
          </w:tcPr>
          <w:p>
            <w:pPr>
              <w:spacing w:after="0" w:line="189" w:lineRule="exact"/>
              <w:rPr>
                <w:rFonts w:ascii="Arial" w:cs="Arial" w:eastAsia="Arial" w:hAnsi="Arial"/>
                <w:sz w:val="18"/>
                <w:szCs w:val="18"/>
                <w:color w:val="0000FF"/>
                <w:w w:val="88"/>
              </w:rPr>
            </w:pPr>
            <w:hyperlink w:anchor="page68">
              <w:r>
                <w:rPr>
                  <w:rFonts w:ascii="Arial" w:cs="Arial" w:eastAsia="Arial" w:hAnsi="Arial"/>
                  <w:sz w:val="18"/>
                  <w:szCs w:val="18"/>
                  <w:color w:val="0000FF"/>
                  <w:w w:val="88"/>
                </w:rPr>
                <w:t xml:space="preserve">Consolidated Balance Sheet as of December 31, 2021 and </w:t>
              </w:r>
            </w:hyperlink>
            <w:r>
              <w:rPr>
                <w:rFonts w:ascii="Arial" w:cs="Arial" w:eastAsia="Arial" w:hAnsi="Arial"/>
                <w:sz w:val="18"/>
                <w:szCs w:val="18"/>
                <w:color w:val="0000FF"/>
                <w:w w:val="88"/>
              </w:rPr>
              <w:t>2020</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80" w:type="dxa"/>
            <w:vAlign w:val="bottom"/>
            <w:gridSpan w:val="10"/>
          </w:tcPr>
          <w:p>
            <w:pPr>
              <w:spacing w:after="0"/>
              <w:rPr>
                <w:sz w:val="20"/>
                <w:szCs w:val="20"/>
                <w:color w:val="auto"/>
              </w:rPr>
            </w:pPr>
            <w:r>
              <w:rPr>
                <w:rFonts w:ascii="Arial" w:cs="Arial" w:eastAsia="Arial" w:hAnsi="Arial"/>
                <w:sz w:val="18"/>
                <w:szCs w:val="18"/>
                <w:color w:val="auto"/>
              </w:rPr>
              <w:t>For the Years Ended December 31, 2021, 2020 and 2019</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Consolidated Statement of Income</w:t>
              </w:r>
            </w:hyperlink>
          </w:p>
        </w:tc>
        <w:tc>
          <w:tcPr>
            <w:tcW w:w="4840" w:type="dxa"/>
            <w:vAlign w:val="bottom"/>
            <w:tcBorders>
              <w:bottom w:val="single" w:sz="8" w:color="CCEEFF"/>
            </w:tcBorders>
            <w:gridSpan w:val="7"/>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68">
              <w:r>
                <w:rPr>
                  <w:rFonts w:ascii="Arial" w:cs="Arial" w:eastAsia="Arial" w:hAnsi="Arial"/>
                  <w:sz w:val="18"/>
                  <w:szCs w:val="18"/>
                  <w:color w:val="0000FF"/>
                  <w:w w:val="79"/>
                </w:rPr>
                <w:t>69</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Consolidated Statement of Comprehensive Income</w:t>
              </w:r>
            </w:hyperlink>
          </w:p>
        </w:tc>
        <w:tc>
          <w:tcPr>
            <w:tcW w:w="2640" w:type="dxa"/>
            <w:vAlign w:val="bottom"/>
            <w:gridSpan w:val="3"/>
          </w:tcPr>
          <w:p>
            <w:pPr>
              <w:jc w:val="right"/>
              <w:spacing w:after="0" w:line="189" w:lineRule="exact"/>
              <w:rPr>
                <w:rFonts w:ascii="Arial" w:cs="Arial" w:eastAsia="Arial" w:hAnsi="Arial"/>
                <w:sz w:val="18"/>
                <w:szCs w:val="18"/>
                <w:color w:val="0000FF"/>
              </w:rPr>
            </w:pPr>
            <w:hyperlink w:anchor="page69">
              <w:r>
                <w:rPr>
                  <w:rFonts w:ascii="Arial" w:cs="Arial" w:eastAsia="Arial" w:hAnsi="Arial"/>
                  <w:sz w:val="18"/>
                  <w:szCs w:val="18"/>
                  <w:color w:val="0000FF"/>
                </w:rPr>
                <w:t>70</w:t>
              </w:r>
            </w:hyperlink>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0000FF"/>
            </w:tcBorders>
            <w:gridSpan w:val="3"/>
            <w:shd w:val="clear" w:color="auto" w:fill="CCEEFF"/>
          </w:tcPr>
          <w:p>
            <w:pPr>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Consolidated Statement of Cash Flows</w:t>
              </w:r>
            </w:hyperlink>
          </w:p>
        </w:tc>
        <w:tc>
          <w:tcPr>
            <w:tcW w:w="4540" w:type="dxa"/>
            <w:vAlign w:val="bottom"/>
            <w:tcBorders>
              <w:bottom w:val="single" w:sz="8" w:color="CCEEFF"/>
            </w:tcBorders>
            <w:gridSpan w:val="6"/>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70">
              <w:r>
                <w:rPr>
                  <w:rFonts w:ascii="Arial" w:cs="Arial" w:eastAsia="Arial" w:hAnsi="Arial"/>
                  <w:sz w:val="18"/>
                  <w:szCs w:val="18"/>
                  <w:color w:val="0000FF"/>
                  <w:w w:val="79"/>
                </w:rPr>
                <w:t>71</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Consolidated Statement of Equity</w:t>
              </w:r>
            </w:hyperlink>
          </w:p>
        </w:tc>
        <w:tc>
          <w:tcPr>
            <w:tcW w:w="2640" w:type="dxa"/>
            <w:vAlign w:val="bottom"/>
            <w:gridSpan w:val="3"/>
          </w:tcPr>
          <w:p>
            <w:pPr>
              <w:jc w:val="right"/>
              <w:spacing w:after="0" w:line="189" w:lineRule="exact"/>
              <w:rPr>
                <w:rFonts w:ascii="Arial" w:cs="Arial" w:eastAsia="Arial" w:hAnsi="Arial"/>
                <w:sz w:val="18"/>
                <w:szCs w:val="18"/>
                <w:color w:val="0000FF"/>
              </w:rPr>
            </w:pPr>
            <w:hyperlink w:anchor="page71">
              <w:r>
                <w:rPr>
                  <w:rFonts w:ascii="Arial" w:cs="Arial" w:eastAsia="Arial" w:hAnsi="Arial"/>
                  <w:sz w:val="18"/>
                  <w:szCs w:val="18"/>
                  <w:color w:val="0000FF"/>
                </w:rPr>
                <w:t>72</w:t>
              </w:r>
            </w:hyperlink>
          </w:p>
        </w:tc>
        <w:tc>
          <w:tcPr>
            <w:tcW w:w="2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Notes to Consolidated Financial Statements</w:t>
              </w:r>
            </w:hyperlink>
          </w:p>
        </w:tc>
        <w:tc>
          <w:tcPr>
            <w:tcW w:w="26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72">
              <w:r>
                <w:rPr>
                  <w:rFonts w:ascii="Arial" w:cs="Arial" w:eastAsia="Arial" w:hAnsi="Arial"/>
                  <w:sz w:val="18"/>
                  <w:szCs w:val="18"/>
                  <w:color w:val="0000FF"/>
                </w:rPr>
                <w:t>73</w:t>
              </w:r>
            </w:hyperlink>
          </w:p>
        </w:tc>
        <w:tc>
          <w:tcPr>
            <w:tcW w:w="2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(2)</w:t>
            </w: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Financial Statement Schedules</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Schedule II – ALLETE Valuation and Qualifying Accounts and Reserves</w:t>
              </w:r>
            </w:hyperlink>
          </w:p>
        </w:tc>
        <w:tc>
          <w:tcPr>
            <w:tcW w:w="2660" w:type="dxa"/>
            <w:vAlign w:val="bottom"/>
            <w:gridSpan w:val="4"/>
            <w:shd w:val="clear" w:color="auto" w:fill="CCEEFF"/>
          </w:tcPr>
          <w:p>
            <w:pPr>
              <w:jc w:val="right"/>
              <w:ind w:right="20"/>
              <w:spacing w:after="0" w:line="189" w:lineRule="exact"/>
              <w:rPr>
                <w:rFonts w:ascii="Arial" w:cs="Arial" w:eastAsia="Arial" w:hAnsi="Arial"/>
                <w:sz w:val="18"/>
                <w:szCs w:val="18"/>
                <w:color w:val="0000FF"/>
              </w:rPr>
            </w:pPr>
            <w:hyperlink w:anchor="page122">
              <w:r>
                <w:rPr>
                  <w:rFonts w:ascii="Arial" w:cs="Arial" w:eastAsia="Arial" w:hAnsi="Arial"/>
                  <w:sz w:val="18"/>
                  <w:szCs w:val="18"/>
                  <w:color w:val="0000FF"/>
                </w:rPr>
                <w:t>122</w:t>
              </w:r>
            </w:hyperlink>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0720" w:type="dxa"/>
            <w:vAlign w:val="bottom"/>
            <w:gridSpan w:val="15"/>
          </w:tcPr>
          <w:p>
            <w:pPr>
              <w:ind w:left="280"/>
              <w:spacing w:after="0" w:line="176" w:lineRule="exact"/>
              <w:rPr>
                <w:sz w:val="20"/>
                <w:szCs w:val="20"/>
                <w:color w:val="auto"/>
              </w:rPr>
            </w:pPr>
            <w:r>
              <w:rPr>
                <w:rFonts w:ascii="Arial" w:cs="Arial" w:eastAsia="Arial" w:hAnsi="Arial"/>
                <w:sz w:val="18"/>
                <w:szCs w:val="18"/>
                <w:color w:val="auto"/>
                <w:w w:val="92"/>
              </w:rPr>
              <w:t>All other schedules have been omitted either because the information is not required to be reported by ALLETE or because the information is</w:t>
            </w:r>
          </w:p>
        </w:tc>
      </w:tr>
      <w:tr>
        <w:trPr>
          <w:trHeight w:val="230"/>
        </w:trPr>
        <w:tc>
          <w:tcPr>
            <w:tcW w:w="520" w:type="dxa"/>
            <w:vAlign w:val="bottom"/>
          </w:tcPr>
          <w:p>
            <w:pPr>
              <w:spacing w:after="0"/>
              <w:rPr>
                <w:sz w:val="20"/>
                <w:szCs w:val="20"/>
                <w:color w:val="auto"/>
              </w:rPr>
            </w:pP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included in the Consolidated Financial Statements or the notes.</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800" w:hanging="774"/>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5" w:lineRule="exact"/>
        <w:rPr>
          <w:sz w:val="20"/>
          <w:szCs w:val="20"/>
          <w:color w:val="auto"/>
        </w:rPr>
      </w:pPr>
    </w:p>
    <w:p>
      <w:pPr>
        <w:ind w:left="1280" w:right="20" w:hanging="1497"/>
        <w:spacing w:after="0"/>
        <w:tabs>
          <w:tab w:leader="none" w:pos="1260" w:val="left"/>
        </w:tabs>
        <w:rPr>
          <w:rFonts w:ascii="Arial" w:cs="Arial" w:eastAsia="Arial" w:hAnsi="Arial"/>
          <w:sz w:val="16"/>
          <w:szCs w:val="16"/>
          <w:u w:val="single" w:color="auto"/>
          <w:color w:val="0000FF"/>
        </w:rPr>
      </w:pPr>
      <w:hyperlink r:id="rId73">
        <w:r>
          <w:rPr>
            <w:rFonts w:ascii="Arial" w:cs="Arial" w:eastAsia="Arial" w:hAnsi="Arial"/>
            <w:sz w:val="16"/>
            <w:szCs w:val="16"/>
            <w:u w:val="single" w:color="auto"/>
            <w:color w:val="0000FF"/>
          </w:rPr>
          <w:t>*2</w:t>
        </w:r>
      </w:hyperlink>
      <w:r>
        <w:rPr>
          <w:rFonts w:ascii="Arial" w:cs="Arial" w:eastAsia="Arial" w:hAnsi="Arial"/>
          <w:sz w:val="16"/>
          <w:szCs w:val="16"/>
          <w:color w:val="0000FF"/>
        </w:rPr>
        <w:tab/>
        <w:t xml:space="preserve">— </w:t>
      </w:r>
      <w:hyperlink r:id="rId73">
        <w:r>
          <w:rPr>
            <w:rFonts w:ascii="Arial" w:cs="Arial" w:eastAsia="Arial" w:hAnsi="Arial"/>
            <w:sz w:val="16"/>
            <w:szCs w:val="16"/>
            <w:u w:val="single" w:color="auto"/>
            <w:color w:val="0000FF"/>
          </w:rPr>
          <w:t>Stock Purchase Agreement by and among Global Water Services Holding Company, Inc., ALLETE Enterprises, Inc., and Kurita American Holdings</w:t>
        </w:r>
      </w:hyperlink>
      <w:r>
        <w:rPr>
          <w:rFonts w:ascii="Arial" w:cs="Arial" w:eastAsia="Arial" w:hAnsi="Arial"/>
          <w:sz w:val="16"/>
          <w:szCs w:val="16"/>
          <w:color w:val="0000FF"/>
        </w:rPr>
        <w:t xml:space="preserve"> </w:t>
      </w:r>
      <w:hyperlink r:id="rId73">
        <w:r>
          <w:rPr>
            <w:rFonts w:ascii="Arial" w:cs="Arial" w:eastAsia="Arial" w:hAnsi="Arial"/>
            <w:sz w:val="16"/>
            <w:szCs w:val="16"/>
            <w:u w:val="single" w:color="auto"/>
            <w:color w:val="0000FF"/>
          </w:rPr>
          <w:t>Inc., dated February 8, 2019 (filed as Exhibit 2 to the March 31, 2019, Form 10-Q, File No. 1-3548).</w:t>
        </w:r>
      </w:hyperlink>
    </w:p>
    <w:p>
      <w:pPr>
        <w:spacing w:after="0" w:line="10" w:lineRule="exact"/>
        <w:rPr>
          <w:rFonts w:ascii="Arial" w:cs="Arial" w:eastAsia="Arial" w:hAnsi="Arial"/>
          <w:sz w:val="16"/>
          <w:szCs w:val="16"/>
          <w:color w:val="0000FF"/>
        </w:rPr>
      </w:pPr>
    </w:p>
    <w:p>
      <w:pPr>
        <w:ind w:left="20"/>
        <w:spacing w:after="0" w:line="173" w:lineRule="exact"/>
        <w:tabs>
          <w:tab w:leader="none" w:pos="1260" w:val="left"/>
        </w:tabs>
        <w:rPr>
          <w:rFonts w:ascii="Arial" w:cs="Arial" w:eastAsia="Arial" w:hAnsi="Arial"/>
          <w:sz w:val="15"/>
          <w:szCs w:val="15"/>
          <w:color w:val="auto"/>
        </w:rPr>
      </w:pPr>
      <w:r>
        <w:rPr>
          <w:rFonts w:ascii="Arial" w:cs="Arial" w:eastAsia="Arial" w:hAnsi="Arial"/>
          <w:sz w:val="15"/>
          <w:szCs w:val="15"/>
          <w:u w:val="single" w:color="auto"/>
          <w:color w:val="0000FF"/>
        </w:rPr>
        <w:t>*3(a)1</w:t>
      </w:r>
      <w:r>
        <w:rPr>
          <w:sz w:val="20"/>
          <w:szCs w:val="20"/>
          <w:color w:val="auto"/>
        </w:rPr>
        <w:tab/>
      </w:r>
      <w:r>
        <w:rPr>
          <w:rFonts w:ascii="Arial" w:cs="Arial" w:eastAsia="Arial" w:hAnsi="Arial"/>
          <w:sz w:val="15"/>
          <w:szCs w:val="15"/>
          <w:color w:val="auto"/>
        </w:rPr>
        <w:t xml:space="preserve">— </w:t>
      </w:r>
      <w:hyperlink r:id="rId74">
        <w:r>
          <w:rPr>
            <w:rFonts w:ascii="Arial" w:cs="Arial" w:eastAsia="Arial" w:hAnsi="Arial"/>
            <w:sz w:val="15"/>
            <w:szCs w:val="15"/>
            <w:u w:val="single" w:color="auto"/>
            <w:color w:val="0000FF"/>
          </w:rPr>
          <w:t>Articles of Incorporation, amended and restated as of May 8, 2001 (filed as Exhibit 3(b) to the March 31, 2001, Form 10</w:t>
        </w:r>
        <w:r>
          <w:rPr>
            <w:rFonts w:ascii="MS PGothic" w:cs="MS PGothic" w:eastAsia="MS PGothic" w:hAnsi="MS PGothic"/>
            <w:sz w:val="15"/>
            <w:szCs w:val="15"/>
            <w:u w:val="single" w:color="auto"/>
            <w:color w:val="0000FF"/>
          </w:rPr>
          <w:t>‑</w:t>
        </w:r>
        <w:r>
          <w:rPr>
            <w:rFonts w:ascii="Arial" w:cs="Arial" w:eastAsia="Arial" w:hAnsi="Arial"/>
            <w:sz w:val="15"/>
            <w:szCs w:val="15"/>
            <w:u w:val="single" w:color="auto"/>
            <w:color w:val="0000FF"/>
          </w:rPr>
          <w:t>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rFonts w:ascii="Arial" w:cs="Arial" w:eastAsia="Arial" w:hAnsi="Arial"/>
          <w:sz w:val="16"/>
          <w:szCs w:val="16"/>
          <w:color w:val="0000FF"/>
        </w:rPr>
      </w:pPr>
    </w:p>
    <w:p>
      <w:pPr>
        <w:ind w:left="20"/>
        <w:spacing w:after="0"/>
        <w:tabs>
          <w:tab w:leader="none" w:pos="1260" w:val="left"/>
        </w:tabs>
        <w:rPr>
          <w:rFonts w:ascii="Arial" w:cs="Arial" w:eastAsia="Arial" w:hAnsi="Arial"/>
          <w:sz w:val="15"/>
          <w:szCs w:val="15"/>
          <w:color w:val="auto"/>
        </w:rPr>
      </w:pPr>
      <w:r>
        <w:rPr>
          <w:rFonts w:ascii="Arial" w:cs="Arial" w:eastAsia="Arial" w:hAnsi="Arial"/>
          <w:sz w:val="15"/>
          <w:szCs w:val="15"/>
          <w:u w:val="single" w:color="auto"/>
          <w:color w:val="0000FF"/>
        </w:rPr>
        <w:t>*3(a)2</w:t>
      </w:r>
      <w:r>
        <w:rPr>
          <w:sz w:val="20"/>
          <w:szCs w:val="20"/>
          <w:color w:val="auto"/>
        </w:rPr>
        <w:tab/>
      </w:r>
      <w:r>
        <w:rPr>
          <w:rFonts w:ascii="Arial" w:cs="Arial" w:eastAsia="Arial" w:hAnsi="Arial"/>
          <w:sz w:val="15"/>
          <w:szCs w:val="15"/>
          <w:color w:val="auto"/>
        </w:rPr>
        <w:t xml:space="preserve">— </w:t>
      </w:r>
      <w:hyperlink r:id="rId76">
        <w:r>
          <w:rPr>
            <w:rFonts w:ascii="Arial" w:cs="Arial" w:eastAsia="Arial" w:hAnsi="Arial"/>
            <w:sz w:val="15"/>
            <w:szCs w:val="15"/>
            <w:u w:val="single" w:color="auto"/>
            <w:color w:val="0000FF"/>
          </w:rPr>
          <w:t>Amendment to Articles of Incorporation, dated as of September 20, 2004 (filed as Exhibit 3 to the September 21, 2004, Form 8-K, File No. 1-3548).</w:t>
        </w:r>
      </w:hyperlink>
    </w:p>
    <w:p>
      <w:pPr>
        <w:spacing w:after="0" w:line="44" w:lineRule="exact"/>
        <w:rPr>
          <w:rFonts w:ascii="Arial" w:cs="Arial" w:eastAsia="Arial" w:hAnsi="Arial"/>
          <w:sz w:val="16"/>
          <w:szCs w:val="16"/>
          <w:color w:val="0000FF"/>
        </w:rPr>
      </w:pPr>
    </w:p>
    <w:p>
      <w:pPr>
        <w:ind w:left="20"/>
        <w:spacing w:after="0"/>
        <w:tabs>
          <w:tab w:leader="none" w:pos="1260" w:val="left"/>
        </w:tabs>
        <w:rPr>
          <w:rFonts w:ascii="Arial" w:cs="Arial" w:eastAsia="Arial" w:hAnsi="Arial"/>
          <w:sz w:val="16"/>
          <w:szCs w:val="16"/>
          <w:color w:val="auto"/>
        </w:rPr>
      </w:pPr>
      <w:r>
        <w:rPr>
          <w:rFonts w:ascii="Arial" w:cs="Arial" w:eastAsia="Arial" w:hAnsi="Arial"/>
          <w:sz w:val="16"/>
          <w:szCs w:val="16"/>
          <w:u w:val="single" w:color="auto"/>
          <w:color w:val="0000FF"/>
        </w:rPr>
        <w:t>*3(a)3</w:t>
      </w:r>
      <w:r>
        <w:rPr>
          <w:sz w:val="20"/>
          <w:szCs w:val="20"/>
          <w:color w:val="auto"/>
        </w:rPr>
        <w:tab/>
      </w:r>
      <w:r>
        <w:rPr>
          <w:rFonts w:ascii="Arial" w:cs="Arial" w:eastAsia="Arial" w:hAnsi="Arial"/>
          <w:sz w:val="16"/>
          <w:szCs w:val="16"/>
          <w:color w:val="auto"/>
        </w:rPr>
        <w:t xml:space="preserve">— </w:t>
      </w:r>
      <w:hyperlink r:id="rId77">
        <w:r>
          <w:rPr>
            <w:rFonts w:ascii="Arial" w:cs="Arial" w:eastAsia="Arial" w:hAnsi="Arial"/>
            <w:sz w:val="16"/>
            <w:szCs w:val="16"/>
            <w:u w:val="single" w:color="auto"/>
            <w:color w:val="0000FF"/>
          </w:rPr>
          <w:t>Amendment to Articles of Incorporation, dated as of May 12, 2009 (filed as Exhibit 3 to the June 30, 2009, 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Arial" w:cs="Arial" w:eastAsia="Arial" w:hAnsi="Arial"/>
          <w:sz w:val="16"/>
          <w:szCs w:val="16"/>
          <w:color w:val="0000FF"/>
        </w:rPr>
      </w:pPr>
    </w:p>
    <w:p>
      <w:pPr>
        <w:ind w:left="20"/>
        <w:spacing w:after="0"/>
        <w:tabs>
          <w:tab w:leader="none" w:pos="1260" w:val="left"/>
        </w:tabs>
        <w:rPr>
          <w:rFonts w:ascii="Arial" w:cs="Arial" w:eastAsia="Arial" w:hAnsi="Arial"/>
          <w:sz w:val="16"/>
          <w:szCs w:val="16"/>
          <w:color w:val="auto"/>
        </w:rPr>
      </w:pPr>
      <w:r>
        <w:rPr>
          <w:rFonts w:ascii="Arial" w:cs="Arial" w:eastAsia="Arial" w:hAnsi="Arial"/>
          <w:sz w:val="16"/>
          <w:szCs w:val="16"/>
          <w:u w:val="single" w:color="auto"/>
          <w:color w:val="0000FF"/>
        </w:rPr>
        <w:t>*3(a)4</w:t>
      </w:r>
      <w:r>
        <w:rPr>
          <w:sz w:val="20"/>
          <w:szCs w:val="20"/>
          <w:color w:val="auto"/>
        </w:rPr>
        <w:tab/>
      </w:r>
      <w:r>
        <w:rPr>
          <w:rFonts w:ascii="Arial" w:cs="Arial" w:eastAsia="Arial" w:hAnsi="Arial"/>
          <w:sz w:val="16"/>
          <w:szCs w:val="16"/>
          <w:color w:val="auto"/>
        </w:rPr>
        <w:t xml:space="preserve">— </w:t>
      </w:r>
      <w:hyperlink r:id="rId79">
        <w:r>
          <w:rPr>
            <w:rFonts w:ascii="Arial" w:cs="Arial" w:eastAsia="Arial" w:hAnsi="Arial"/>
            <w:sz w:val="16"/>
            <w:szCs w:val="16"/>
            <w:u w:val="single" w:color="auto"/>
            <w:color w:val="0000FF"/>
          </w:rPr>
          <w:t>Amendment to Articles of Incorporation, dated as of May 11, 2010 (filed as Exhibit 3(a) to the May 14, 2010, Form 8-K, File No. 1-3548).</w:t>
        </w:r>
      </w:hyperlink>
    </w:p>
    <w:p>
      <w:pPr>
        <w:spacing w:after="0" w:line="32" w:lineRule="exact"/>
        <w:rPr>
          <w:rFonts w:ascii="Arial" w:cs="Arial" w:eastAsia="Arial" w:hAnsi="Arial"/>
          <w:sz w:val="16"/>
          <w:szCs w:val="16"/>
          <w:color w:val="0000FF"/>
        </w:rPr>
      </w:pPr>
    </w:p>
    <w:p>
      <w:pPr>
        <w:ind w:left="1280" w:right="20" w:hanging="1497"/>
        <w:spacing w:after="0"/>
        <w:tabs>
          <w:tab w:leader="none" w:pos="1260" w:val="left"/>
        </w:tabs>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*3(a)5</w:t>
        </w:r>
      </w:hyperlink>
      <w:r>
        <w:rPr>
          <w:rFonts w:ascii="Arial" w:cs="Arial" w:eastAsia="Arial" w:hAnsi="Arial"/>
          <w:sz w:val="16"/>
          <w:szCs w:val="16"/>
          <w:color w:val="0000FF"/>
        </w:rPr>
        <w:tab/>
        <w:t xml:space="preserve">— </w:t>
      </w:r>
      <w:hyperlink r:id="rId80">
        <w:r>
          <w:rPr>
            <w:rFonts w:ascii="Arial" w:cs="Arial" w:eastAsia="Arial" w:hAnsi="Arial"/>
            <w:sz w:val="16"/>
            <w:szCs w:val="16"/>
            <w:u w:val="single" w:color="auto"/>
            <w:color w:val="0000FF"/>
          </w:rPr>
          <w:t>Amendment to Certificate of Assumed Name, filed with the Minnesota Secretary of State on May 8, 2001 (filed as Exhibit 3(a) to the March 31,</w:t>
        </w:r>
      </w:hyperlink>
      <w:r>
        <w:rPr>
          <w:rFonts w:ascii="Arial" w:cs="Arial" w:eastAsia="Arial" w:hAnsi="Arial"/>
          <w:sz w:val="16"/>
          <w:szCs w:val="16"/>
          <w:color w:val="0000FF"/>
        </w:rPr>
        <w:t xml:space="preserve"> </w:t>
      </w:r>
      <w:hyperlink r:id="rId80">
        <w:r>
          <w:rPr>
            <w:rFonts w:ascii="Arial" w:cs="Arial" w:eastAsia="Arial" w:hAnsi="Arial"/>
            <w:sz w:val="16"/>
            <w:szCs w:val="16"/>
            <w:u w:val="single" w:color="auto"/>
            <w:color w:val="0000FF"/>
          </w:rPr>
          <w:t>2001, 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1500" w:val="left"/>
        </w:tabs>
        <w:rPr>
          <w:rFonts w:ascii="Arial" w:cs="Arial" w:eastAsia="Arial" w:hAnsi="Arial"/>
          <w:sz w:val="16"/>
          <w:szCs w:val="16"/>
          <w:u w:val="single" w:color="auto"/>
          <w:color w:val="0000FF"/>
        </w:rPr>
      </w:pPr>
      <w:r>
        <w:rPr>
          <w:rFonts w:ascii="Arial" w:cs="Arial" w:eastAsia="Arial" w:hAnsi="Arial"/>
          <w:sz w:val="16"/>
          <w:szCs w:val="16"/>
          <w:u w:val="single" w:color="auto"/>
          <w:color w:val="0000FF"/>
        </w:rPr>
        <w:t>*3(b)</w:t>
      </w:r>
      <w:r>
        <w:rPr>
          <w:sz w:val="20"/>
          <w:szCs w:val="20"/>
          <w:color w:val="auto"/>
        </w:rPr>
        <w:tab/>
      </w:r>
      <w:hyperlink r:id="rId82">
        <w:r>
          <w:rPr>
            <w:rFonts w:ascii="Arial" w:cs="Arial" w:eastAsia="Arial" w:hAnsi="Arial"/>
            <w:sz w:val="16"/>
            <w:szCs w:val="16"/>
            <w:u w:val="single" w:color="auto"/>
            <w:color w:val="0000FF"/>
          </w:rPr>
          <w:t>Bylaws, as amended effective April 13, 2020 (filed as Exhibit 3 to the April 14, 2020, Form 8-K, File No. 1-3548).</w:t>
        </w:r>
      </w:hyperlink>
    </w:p>
    <w:p>
      <w:pPr>
        <w:spacing w:after="0" w:line="32" w:lineRule="exact"/>
        <w:rPr>
          <w:rFonts w:ascii="Arial" w:cs="Arial" w:eastAsia="Arial" w:hAnsi="Arial"/>
          <w:sz w:val="16"/>
          <w:szCs w:val="16"/>
          <w:color w:val="0000FF"/>
        </w:rPr>
      </w:pPr>
    </w:p>
    <w:p>
      <w:pPr>
        <w:ind w:left="1280" w:right="20" w:hanging="1497"/>
        <w:spacing w:after="0" w:line="262" w:lineRule="auto"/>
        <w:tabs>
          <w:tab w:leader="none" w:pos="1260" w:val="left"/>
        </w:tabs>
        <w:rPr>
          <w:sz w:val="20"/>
          <w:szCs w:val="20"/>
          <w:color w:val="auto"/>
        </w:rPr>
      </w:pPr>
      <w:r>
        <w:rPr>
          <w:rFonts w:ascii="Arial" w:cs="Arial" w:eastAsia="Arial" w:hAnsi="Arial"/>
          <w:sz w:val="16"/>
          <w:szCs w:val="16"/>
          <w:color w:val="auto"/>
        </w:rPr>
        <w:t>*4(a)1</w:t>
      </w:r>
      <w:r>
        <w:rPr>
          <w:sz w:val="20"/>
          <w:szCs w:val="20"/>
          <w:color w:val="auto"/>
        </w:rPr>
        <w:tab/>
      </w:r>
      <w:r>
        <w:rPr>
          <w:rFonts w:ascii="Arial" w:cs="Arial" w:eastAsia="Arial" w:hAnsi="Arial"/>
          <w:sz w:val="15"/>
          <w:szCs w:val="15"/>
          <w:color w:val="auto"/>
        </w:rPr>
        <w:t>— Mortgage and Deed of Trust, dated as of September 1, 1945, between Minnesota Power &amp; Light Company (now ALLETE) and The Bank of New York Mellon (formerly Irving Trust Company) and Eva Waite (successor to Richard H. West), Trustees (filed as Exhibit 7(c), File No. 2-5865).</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1260" w:val="left"/>
        </w:tabs>
        <w:rPr>
          <w:sz w:val="20"/>
          <w:szCs w:val="20"/>
          <w:color w:val="auto"/>
        </w:rPr>
      </w:pPr>
      <w:r>
        <w:rPr>
          <w:rFonts w:ascii="Arial" w:cs="Arial" w:eastAsia="Arial" w:hAnsi="Arial"/>
          <w:sz w:val="16"/>
          <w:szCs w:val="16"/>
          <w:color w:val="auto"/>
        </w:rPr>
        <w:t>*4(a)2</w:t>
      </w:r>
      <w:r>
        <w:rPr>
          <w:sz w:val="20"/>
          <w:szCs w:val="20"/>
          <w:color w:val="auto"/>
        </w:rPr>
        <w:tab/>
      </w:r>
      <w:r>
        <w:rPr>
          <w:rFonts w:ascii="Arial" w:cs="Arial" w:eastAsia="Arial" w:hAnsi="Arial"/>
          <w:sz w:val="16"/>
          <w:szCs w:val="16"/>
          <w:color w:val="auto"/>
        </w:rPr>
        <w:t>— Supplemental Indentures to ALLETE’s Mortgage and Deed of Trust:</w:t>
      </w:r>
    </w:p>
    <w:p>
      <w:pPr>
        <w:spacing w:after="0" w:line="28" w:lineRule="exact"/>
        <w:rPr>
          <w:rFonts w:ascii="Arial" w:cs="Arial" w:eastAsia="Arial" w:hAnsi="Arial"/>
          <w:sz w:val="16"/>
          <w:szCs w:val="16"/>
          <w:color w:val="0000FF"/>
        </w:rPr>
      </w:pPr>
    </w:p>
    <w:tbl>
      <w:tblPr>
        <w:tblLayout w:type="fixed"/>
        <w:tblInd w:w="0" w:type="dxa"/>
        <w:tblCellMar>
          <w:top w:w="0" w:type="dxa"/>
          <w:left w:w="0" w:type="dxa"/>
          <w:bottom w:w="0" w:type="dxa"/>
          <w:right w:w="0" w:type="dxa"/>
        </w:tblCellMar>
      </w:tblPr>
      <w:tr>
        <w:trPr>
          <w:trHeight w:val="213"/>
        </w:trPr>
        <w:tc>
          <w:tcPr>
            <w:tcW w:w="2720" w:type="dxa"/>
            <w:vAlign w:val="bottom"/>
          </w:tcPr>
          <w:p>
            <w:pPr>
              <w:ind w:left="1520"/>
              <w:spacing w:after="0"/>
              <w:rPr>
                <w:sz w:val="20"/>
                <w:szCs w:val="20"/>
                <w:color w:val="auto"/>
              </w:rPr>
            </w:pPr>
            <w:r>
              <w:rPr>
                <w:rFonts w:ascii="Arial" w:cs="Arial" w:eastAsia="Arial" w:hAnsi="Arial"/>
                <w:sz w:val="16"/>
                <w:szCs w:val="16"/>
                <w:b w:val="1"/>
                <w:bCs w:val="1"/>
                <w:color w:val="auto"/>
              </w:rPr>
              <w:t>Number</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Dated as of</w:t>
            </w:r>
          </w:p>
        </w:tc>
        <w:tc>
          <w:tcPr>
            <w:tcW w:w="2980" w:type="dxa"/>
            <w:vAlign w:val="bottom"/>
          </w:tcPr>
          <w:p>
            <w:pPr>
              <w:ind w:left="380"/>
              <w:spacing w:after="0"/>
              <w:rPr>
                <w:sz w:val="20"/>
                <w:szCs w:val="20"/>
                <w:color w:val="auto"/>
              </w:rPr>
            </w:pPr>
            <w:r>
              <w:rPr>
                <w:rFonts w:ascii="Arial" w:cs="Arial" w:eastAsia="Arial" w:hAnsi="Arial"/>
                <w:sz w:val="16"/>
                <w:szCs w:val="16"/>
                <w:b w:val="1"/>
                <w:bCs w:val="1"/>
                <w:color w:val="auto"/>
              </w:rPr>
              <w:t>Reference File</w:t>
            </w: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Exhibit</w:t>
            </w:r>
          </w:p>
        </w:tc>
      </w:tr>
      <w:tr>
        <w:trPr>
          <w:trHeight w:val="219"/>
        </w:trPr>
        <w:tc>
          <w:tcPr>
            <w:tcW w:w="272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First</w:t>
            </w:r>
          </w:p>
        </w:tc>
        <w:tc>
          <w:tcPr>
            <w:tcW w:w="2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March 1, 1949</w:t>
            </w:r>
          </w:p>
        </w:tc>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2-7826</w:t>
            </w:r>
          </w:p>
        </w:tc>
        <w:tc>
          <w:tcPr>
            <w:tcW w:w="34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7(b)</w:t>
            </w:r>
          </w:p>
        </w:tc>
      </w:tr>
      <w:tr>
        <w:trPr>
          <w:trHeight w:val="213"/>
        </w:trPr>
        <w:tc>
          <w:tcPr>
            <w:tcW w:w="2720" w:type="dxa"/>
            <w:vAlign w:val="bottom"/>
          </w:tcPr>
          <w:p>
            <w:pPr>
              <w:ind w:left="1520"/>
              <w:spacing w:after="0"/>
              <w:rPr>
                <w:sz w:val="20"/>
                <w:szCs w:val="20"/>
                <w:color w:val="auto"/>
              </w:rPr>
            </w:pPr>
            <w:r>
              <w:rPr>
                <w:rFonts w:ascii="Arial" w:cs="Arial" w:eastAsia="Arial" w:hAnsi="Arial"/>
                <w:sz w:val="16"/>
                <w:szCs w:val="16"/>
                <w:color w:val="auto"/>
              </w:rPr>
              <w:t>Second</w:t>
            </w:r>
          </w:p>
        </w:tc>
        <w:tc>
          <w:tcPr>
            <w:tcW w:w="2060" w:type="dxa"/>
            <w:vAlign w:val="bottom"/>
          </w:tcPr>
          <w:p>
            <w:pPr>
              <w:ind w:left="620"/>
              <w:spacing w:after="0"/>
              <w:rPr>
                <w:sz w:val="20"/>
                <w:szCs w:val="20"/>
                <w:color w:val="auto"/>
              </w:rPr>
            </w:pPr>
            <w:r>
              <w:rPr>
                <w:rFonts w:ascii="Arial" w:cs="Arial" w:eastAsia="Arial" w:hAnsi="Arial"/>
                <w:sz w:val="16"/>
                <w:szCs w:val="16"/>
                <w:color w:val="auto"/>
              </w:rPr>
              <w:t>July 1, 1951</w:t>
            </w:r>
          </w:p>
        </w:tc>
        <w:tc>
          <w:tcPr>
            <w:tcW w:w="2980" w:type="dxa"/>
            <w:vAlign w:val="bottom"/>
          </w:tcPr>
          <w:p>
            <w:pPr>
              <w:ind w:left="380"/>
              <w:spacing w:after="0"/>
              <w:rPr>
                <w:sz w:val="20"/>
                <w:szCs w:val="20"/>
                <w:color w:val="auto"/>
              </w:rPr>
            </w:pPr>
            <w:r>
              <w:rPr>
                <w:rFonts w:ascii="Arial" w:cs="Arial" w:eastAsia="Arial" w:hAnsi="Arial"/>
                <w:sz w:val="16"/>
                <w:szCs w:val="16"/>
                <w:color w:val="auto"/>
              </w:rPr>
              <w:t>2-9036</w:t>
            </w:r>
          </w:p>
        </w:tc>
        <w:tc>
          <w:tcPr>
            <w:tcW w:w="3480" w:type="dxa"/>
            <w:vAlign w:val="bottom"/>
          </w:tcPr>
          <w:p>
            <w:pPr>
              <w:ind w:left="1600"/>
              <w:spacing w:after="0"/>
              <w:rPr>
                <w:sz w:val="20"/>
                <w:szCs w:val="20"/>
                <w:color w:val="auto"/>
              </w:rPr>
            </w:pPr>
            <w:r>
              <w:rPr>
                <w:rFonts w:ascii="Arial" w:cs="Arial" w:eastAsia="Arial" w:hAnsi="Arial"/>
                <w:sz w:val="16"/>
                <w:szCs w:val="16"/>
                <w:color w:val="auto"/>
              </w:rPr>
              <w:t>7(c)</w:t>
            </w:r>
          </w:p>
        </w:tc>
      </w:tr>
      <w:tr>
        <w:trPr>
          <w:trHeight w:val="219"/>
        </w:trPr>
        <w:tc>
          <w:tcPr>
            <w:tcW w:w="272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Third</w:t>
            </w:r>
          </w:p>
        </w:tc>
        <w:tc>
          <w:tcPr>
            <w:tcW w:w="2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March 1, 1957</w:t>
            </w:r>
          </w:p>
        </w:tc>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2-13075</w:t>
            </w:r>
          </w:p>
        </w:tc>
        <w:tc>
          <w:tcPr>
            <w:tcW w:w="34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2(c)</w:t>
            </w:r>
          </w:p>
        </w:tc>
      </w:tr>
      <w:tr>
        <w:trPr>
          <w:trHeight w:val="213"/>
        </w:trPr>
        <w:tc>
          <w:tcPr>
            <w:tcW w:w="2720" w:type="dxa"/>
            <w:vAlign w:val="bottom"/>
          </w:tcPr>
          <w:p>
            <w:pPr>
              <w:ind w:left="1520"/>
              <w:spacing w:after="0"/>
              <w:rPr>
                <w:sz w:val="20"/>
                <w:szCs w:val="20"/>
                <w:color w:val="auto"/>
              </w:rPr>
            </w:pPr>
            <w:r>
              <w:rPr>
                <w:rFonts w:ascii="Arial" w:cs="Arial" w:eastAsia="Arial" w:hAnsi="Arial"/>
                <w:sz w:val="16"/>
                <w:szCs w:val="16"/>
                <w:color w:val="auto"/>
              </w:rPr>
              <w:t>Fourth</w:t>
            </w:r>
          </w:p>
        </w:tc>
        <w:tc>
          <w:tcPr>
            <w:tcW w:w="2060" w:type="dxa"/>
            <w:vAlign w:val="bottom"/>
          </w:tcPr>
          <w:p>
            <w:pPr>
              <w:ind w:left="620"/>
              <w:spacing w:after="0"/>
              <w:rPr>
                <w:sz w:val="20"/>
                <w:szCs w:val="20"/>
                <w:color w:val="auto"/>
              </w:rPr>
            </w:pPr>
            <w:r>
              <w:rPr>
                <w:rFonts w:ascii="Arial" w:cs="Arial" w:eastAsia="Arial" w:hAnsi="Arial"/>
                <w:sz w:val="16"/>
                <w:szCs w:val="16"/>
                <w:color w:val="auto"/>
              </w:rPr>
              <w:t>January 1, 1968</w:t>
            </w:r>
          </w:p>
        </w:tc>
        <w:tc>
          <w:tcPr>
            <w:tcW w:w="2980" w:type="dxa"/>
            <w:vAlign w:val="bottom"/>
          </w:tcPr>
          <w:p>
            <w:pPr>
              <w:ind w:left="380"/>
              <w:spacing w:after="0"/>
              <w:rPr>
                <w:sz w:val="20"/>
                <w:szCs w:val="20"/>
                <w:color w:val="auto"/>
              </w:rPr>
            </w:pPr>
            <w:r>
              <w:rPr>
                <w:rFonts w:ascii="Arial" w:cs="Arial" w:eastAsia="Arial" w:hAnsi="Arial"/>
                <w:sz w:val="16"/>
                <w:szCs w:val="16"/>
                <w:color w:val="auto"/>
              </w:rPr>
              <w:t>2-27794</w:t>
            </w:r>
          </w:p>
        </w:tc>
        <w:tc>
          <w:tcPr>
            <w:tcW w:w="3480" w:type="dxa"/>
            <w:vAlign w:val="bottom"/>
          </w:tcPr>
          <w:p>
            <w:pPr>
              <w:ind w:left="1600"/>
              <w:spacing w:after="0"/>
              <w:rPr>
                <w:sz w:val="20"/>
                <w:szCs w:val="20"/>
                <w:color w:val="auto"/>
              </w:rPr>
            </w:pPr>
            <w:r>
              <w:rPr>
                <w:rFonts w:ascii="Arial" w:cs="Arial" w:eastAsia="Arial" w:hAnsi="Arial"/>
                <w:sz w:val="16"/>
                <w:szCs w:val="16"/>
                <w:color w:val="auto"/>
              </w:rPr>
              <w:t>2(c)</w:t>
            </w:r>
          </w:p>
        </w:tc>
      </w:tr>
      <w:tr>
        <w:trPr>
          <w:trHeight w:val="219"/>
        </w:trPr>
        <w:tc>
          <w:tcPr>
            <w:tcW w:w="272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Fifth</w:t>
            </w:r>
          </w:p>
        </w:tc>
        <w:tc>
          <w:tcPr>
            <w:tcW w:w="2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April 1, 1971</w:t>
            </w:r>
          </w:p>
        </w:tc>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2-39537</w:t>
            </w:r>
          </w:p>
        </w:tc>
        <w:tc>
          <w:tcPr>
            <w:tcW w:w="3480" w:type="dxa"/>
            <w:vAlign w:val="bottom"/>
            <w:shd w:val="clear" w:color="auto" w:fill="CCEEFF"/>
          </w:tcPr>
          <w:p>
            <w:pPr>
              <w:ind w:left="1600"/>
              <w:spacing w:after="0"/>
              <w:rPr>
                <w:sz w:val="20"/>
                <w:szCs w:val="20"/>
                <w:color w:val="auto"/>
              </w:rPr>
            </w:pPr>
            <w:r>
              <w:rPr>
                <w:rFonts w:ascii="Arial" w:cs="Arial" w:eastAsia="Arial" w:hAnsi="Arial"/>
                <w:sz w:val="16"/>
                <w:szCs w:val="16"/>
                <w:color w:val="auto"/>
              </w:rPr>
              <w:t>2(c)</w:t>
            </w:r>
          </w:p>
        </w:tc>
      </w:tr>
      <w:tr>
        <w:trPr>
          <w:trHeight w:val="210"/>
        </w:trPr>
        <w:tc>
          <w:tcPr>
            <w:tcW w:w="2720" w:type="dxa"/>
            <w:vAlign w:val="bottom"/>
          </w:tcPr>
          <w:p>
            <w:pPr>
              <w:ind w:left="1520"/>
              <w:spacing w:after="0"/>
              <w:rPr>
                <w:sz w:val="20"/>
                <w:szCs w:val="20"/>
                <w:color w:val="auto"/>
              </w:rPr>
            </w:pPr>
            <w:r>
              <w:rPr>
                <w:rFonts w:ascii="Arial" w:cs="Arial" w:eastAsia="Arial" w:hAnsi="Arial"/>
                <w:sz w:val="16"/>
                <w:szCs w:val="16"/>
                <w:color w:val="auto"/>
              </w:rPr>
              <w:t>Sixth</w:t>
            </w:r>
          </w:p>
        </w:tc>
        <w:tc>
          <w:tcPr>
            <w:tcW w:w="2060" w:type="dxa"/>
            <w:vAlign w:val="bottom"/>
          </w:tcPr>
          <w:p>
            <w:pPr>
              <w:ind w:left="620"/>
              <w:spacing w:after="0"/>
              <w:rPr>
                <w:sz w:val="20"/>
                <w:szCs w:val="20"/>
                <w:color w:val="auto"/>
              </w:rPr>
            </w:pPr>
            <w:r>
              <w:rPr>
                <w:rFonts w:ascii="Arial" w:cs="Arial" w:eastAsia="Arial" w:hAnsi="Arial"/>
                <w:sz w:val="16"/>
                <w:szCs w:val="16"/>
                <w:color w:val="auto"/>
              </w:rPr>
              <w:t>August 1, 1975</w:t>
            </w:r>
          </w:p>
        </w:tc>
        <w:tc>
          <w:tcPr>
            <w:tcW w:w="2980" w:type="dxa"/>
            <w:vAlign w:val="bottom"/>
          </w:tcPr>
          <w:p>
            <w:pPr>
              <w:ind w:left="380"/>
              <w:spacing w:after="0"/>
              <w:rPr>
                <w:sz w:val="20"/>
                <w:szCs w:val="20"/>
                <w:color w:val="auto"/>
              </w:rPr>
            </w:pPr>
            <w:r>
              <w:rPr>
                <w:rFonts w:ascii="Arial" w:cs="Arial" w:eastAsia="Arial" w:hAnsi="Arial"/>
                <w:sz w:val="16"/>
                <w:szCs w:val="16"/>
                <w:color w:val="auto"/>
              </w:rPr>
              <w:t>2-54116</w:t>
            </w:r>
          </w:p>
        </w:tc>
        <w:tc>
          <w:tcPr>
            <w:tcW w:w="3480" w:type="dxa"/>
            <w:vAlign w:val="bottom"/>
          </w:tcPr>
          <w:p>
            <w:pPr>
              <w:ind w:left="1600"/>
              <w:spacing w:after="0"/>
              <w:rPr>
                <w:sz w:val="20"/>
                <w:szCs w:val="20"/>
                <w:color w:val="auto"/>
              </w:rPr>
            </w:pPr>
            <w:r>
              <w:rPr>
                <w:rFonts w:ascii="Arial" w:cs="Arial" w:eastAsia="Arial" w:hAnsi="Arial"/>
                <w:sz w:val="16"/>
                <w:szCs w:val="16"/>
                <w:color w:val="auto"/>
              </w:rPr>
              <w:t>2(c)</w:t>
            </w:r>
          </w:p>
        </w:tc>
      </w:tr>
    </w:tbl>
    <w:p>
      <w:pPr>
        <w:spacing w:after="0" w:line="200" w:lineRule="exact"/>
        <w:rPr>
          <w:rFonts w:ascii="Arial" w:cs="Arial" w:eastAsia="Arial" w:hAnsi="Arial"/>
          <w:sz w:val="16"/>
          <w:szCs w:val="16"/>
          <w:color w:val="0000FF"/>
        </w:rPr>
      </w:pPr>
    </w:p>
    <w:p>
      <w:pPr>
        <w:spacing w:after="0" w:line="210"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2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gridSpan w:val="18"/>
            <w:shd w:val="clear" w:color="auto" w:fill="CCEEFF"/>
          </w:tcPr>
          <w:p>
            <w:pPr>
              <w:spacing w:after="0"/>
              <w:rPr>
                <w:sz w:val="20"/>
                <w:szCs w:val="20"/>
                <w:color w:val="auto"/>
              </w:rPr>
            </w:pPr>
            <w:r>
              <w:rPr>
                <w:rFonts w:ascii="Arial" w:cs="Arial" w:eastAsia="Arial" w:hAnsi="Arial"/>
                <w:sz w:val="16"/>
                <w:szCs w:val="16"/>
                <w:color w:val="auto"/>
              </w:rPr>
              <w:t>Seventh</w:t>
            </w:r>
          </w:p>
        </w:tc>
        <w:tc>
          <w:tcPr>
            <w:tcW w:w="1520" w:type="dxa"/>
            <w:vAlign w:val="bottom"/>
            <w:tcBorders>
              <w:top w:val="single" w:sz="8" w:color="auto"/>
            </w:tcBorders>
            <w:gridSpan w:val="10"/>
            <w:shd w:val="clear" w:color="auto" w:fill="CCEEFF"/>
          </w:tcPr>
          <w:p>
            <w:pPr>
              <w:spacing w:after="0"/>
              <w:rPr>
                <w:sz w:val="20"/>
                <w:szCs w:val="20"/>
                <w:color w:val="auto"/>
              </w:rPr>
            </w:pPr>
            <w:r>
              <w:rPr>
                <w:rFonts w:ascii="Arial" w:cs="Arial" w:eastAsia="Arial" w:hAnsi="Arial"/>
                <w:sz w:val="16"/>
                <w:szCs w:val="16"/>
                <w:color w:val="auto"/>
              </w:rPr>
              <w:t>September 1, 1976</w:t>
            </w:r>
          </w:p>
        </w:tc>
        <w:tc>
          <w:tcPr>
            <w:tcW w:w="10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6"/>
                <w:szCs w:val="16"/>
                <w:color w:val="auto"/>
              </w:rPr>
              <w:t>2-57014</w:t>
            </w: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Eighth</w:t>
            </w:r>
          </w:p>
        </w:tc>
        <w:tc>
          <w:tcPr>
            <w:tcW w:w="1520" w:type="dxa"/>
            <w:vAlign w:val="bottom"/>
            <w:gridSpan w:val="10"/>
          </w:tcPr>
          <w:p>
            <w:pPr>
              <w:spacing w:after="0"/>
              <w:rPr>
                <w:sz w:val="20"/>
                <w:szCs w:val="20"/>
                <w:color w:val="auto"/>
              </w:rPr>
            </w:pPr>
            <w:r>
              <w:rPr>
                <w:rFonts w:ascii="Arial" w:cs="Arial" w:eastAsia="Arial" w:hAnsi="Arial"/>
                <w:sz w:val="16"/>
                <w:szCs w:val="16"/>
                <w:color w:val="auto"/>
              </w:rPr>
              <w:t>September 1, 1977</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2-59690</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2(c)</w:t>
            </w:r>
          </w:p>
        </w:tc>
      </w:tr>
      <w:tr>
        <w:trPr>
          <w:trHeight w:val="219"/>
        </w:trPr>
        <w:tc>
          <w:tcPr>
            <w:tcW w:w="1520" w:type="dxa"/>
            <w:vAlign w:val="bottom"/>
            <w:shd w:val="clear" w:color="auto" w:fill="CCEEFF"/>
          </w:tcPr>
          <w:p>
            <w:pPr>
              <w:spacing w:after="0"/>
              <w:rPr>
                <w:sz w:val="19"/>
                <w:szCs w:val="19"/>
                <w:color w:val="auto"/>
              </w:rPr>
            </w:pPr>
          </w:p>
        </w:tc>
        <w:tc>
          <w:tcPr>
            <w:tcW w:w="182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Ninth</w:t>
            </w:r>
          </w:p>
        </w:tc>
        <w:tc>
          <w:tcPr>
            <w:tcW w:w="15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April 1, 1978</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2-60866</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2(c)</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Tenth</w:t>
            </w:r>
          </w:p>
        </w:tc>
        <w:tc>
          <w:tcPr>
            <w:tcW w:w="1520" w:type="dxa"/>
            <w:vAlign w:val="bottom"/>
            <w:gridSpan w:val="10"/>
          </w:tcPr>
          <w:p>
            <w:pPr>
              <w:spacing w:after="0"/>
              <w:rPr>
                <w:sz w:val="20"/>
                <w:szCs w:val="20"/>
                <w:color w:val="auto"/>
              </w:rPr>
            </w:pPr>
            <w:r>
              <w:rPr>
                <w:rFonts w:ascii="Arial" w:cs="Arial" w:eastAsia="Arial" w:hAnsi="Arial"/>
                <w:sz w:val="16"/>
                <w:szCs w:val="16"/>
                <w:color w:val="auto"/>
              </w:rPr>
              <w:t>August 1, 1978</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2-62852</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2(d)2</w:t>
            </w:r>
          </w:p>
        </w:tc>
      </w:tr>
      <w:tr>
        <w:trPr>
          <w:trHeight w:val="219"/>
        </w:trPr>
        <w:tc>
          <w:tcPr>
            <w:tcW w:w="1520" w:type="dxa"/>
            <w:vAlign w:val="bottom"/>
            <w:shd w:val="clear" w:color="auto" w:fill="CCEEFF"/>
          </w:tcPr>
          <w:p>
            <w:pPr>
              <w:spacing w:after="0"/>
              <w:rPr>
                <w:sz w:val="19"/>
                <w:szCs w:val="19"/>
                <w:color w:val="auto"/>
              </w:rPr>
            </w:pPr>
          </w:p>
        </w:tc>
        <w:tc>
          <w:tcPr>
            <w:tcW w:w="182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Eleventh</w:t>
            </w:r>
          </w:p>
        </w:tc>
        <w:tc>
          <w:tcPr>
            <w:tcW w:w="15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December 1, 1982</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2-56649</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4(a)3</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Twelfth</w:t>
            </w:r>
          </w:p>
        </w:tc>
        <w:tc>
          <w:tcPr>
            <w:tcW w:w="1520" w:type="dxa"/>
            <w:vAlign w:val="bottom"/>
            <w:gridSpan w:val="10"/>
          </w:tcPr>
          <w:p>
            <w:pPr>
              <w:spacing w:after="0"/>
              <w:rPr>
                <w:sz w:val="20"/>
                <w:szCs w:val="20"/>
                <w:color w:val="auto"/>
              </w:rPr>
            </w:pPr>
            <w:r>
              <w:rPr>
                <w:rFonts w:ascii="Arial" w:cs="Arial" w:eastAsia="Arial" w:hAnsi="Arial"/>
                <w:sz w:val="16"/>
                <w:szCs w:val="16"/>
                <w:color w:val="auto"/>
              </w:rPr>
              <w:t>April 1, 1987</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33-30224</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4(a)3</w:t>
            </w:r>
          </w:p>
        </w:tc>
      </w:tr>
      <w:tr>
        <w:trPr>
          <w:trHeight w:val="219"/>
        </w:trPr>
        <w:tc>
          <w:tcPr>
            <w:tcW w:w="1520" w:type="dxa"/>
            <w:vAlign w:val="bottom"/>
            <w:shd w:val="clear" w:color="auto" w:fill="CCEEFF"/>
          </w:tcPr>
          <w:p>
            <w:pPr>
              <w:spacing w:after="0"/>
              <w:rPr>
                <w:sz w:val="19"/>
                <w:szCs w:val="19"/>
                <w:color w:val="auto"/>
              </w:rPr>
            </w:pPr>
          </w:p>
        </w:tc>
        <w:tc>
          <w:tcPr>
            <w:tcW w:w="182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Thirteenth</w:t>
            </w:r>
          </w:p>
        </w:tc>
        <w:tc>
          <w:tcPr>
            <w:tcW w:w="15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March 1, 1992</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33-47438</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Fourteenth</w:t>
            </w:r>
          </w:p>
        </w:tc>
        <w:tc>
          <w:tcPr>
            <w:tcW w:w="1520" w:type="dxa"/>
            <w:vAlign w:val="bottom"/>
            <w:gridSpan w:val="10"/>
          </w:tcPr>
          <w:p>
            <w:pPr>
              <w:spacing w:after="0"/>
              <w:rPr>
                <w:sz w:val="20"/>
                <w:szCs w:val="20"/>
                <w:color w:val="auto"/>
              </w:rPr>
            </w:pPr>
            <w:r>
              <w:rPr>
                <w:rFonts w:ascii="Arial" w:cs="Arial" w:eastAsia="Arial" w:hAnsi="Arial"/>
                <w:sz w:val="16"/>
                <w:szCs w:val="16"/>
                <w:color w:val="auto"/>
              </w:rPr>
              <w:t>June 1, 1992</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4(b)</w:t>
            </w:r>
          </w:p>
        </w:tc>
      </w:tr>
      <w:tr>
        <w:trPr>
          <w:trHeight w:val="219"/>
        </w:trPr>
        <w:tc>
          <w:tcPr>
            <w:tcW w:w="1520" w:type="dxa"/>
            <w:vAlign w:val="bottom"/>
            <w:shd w:val="clear" w:color="auto" w:fill="CCEEFF"/>
          </w:tcPr>
          <w:p>
            <w:pPr>
              <w:spacing w:after="0"/>
              <w:rPr>
                <w:sz w:val="19"/>
                <w:szCs w:val="19"/>
                <w:color w:val="auto"/>
              </w:rPr>
            </w:pPr>
          </w:p>
        </w:tc>
        <w:tc>
          <w:tcPr>
            <w:tcW w:w="182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Fifteenth</w:t>
            </w:r>
          </w:p>
        </w:tc>
        <w:tc>
          <w:tcPr>
            <w:tcW w:w="15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July 1, 1992</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33-55240</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4(c)</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Sixteenth</w:t>
            </w:r>
          </w:p>
        </w:tc>
        <w:tc>
          <w:tcPr>
            <w:tcW w:w="1520" w:type="dxa"/>
            <w:vAlign w:val="bottom"/>
            <w:gridSpan w:val="10"/>
          </w:tcPr>
          <w:p>
            <w:pPr>
              <w:spacing w:after="0"/>
              <w:rPr>
                <w:sz w:val="20"/>
                <w:szCs w:val="20"/>
                <w:color w:val="auto"/>
              </w:rPr>
            </w:pPr>
            <w:r>
              <w:rPr>
                <w:rFonts w:ascii="Arial" w:cs="Arial" w:eastAsia="Arial" w:hAnsi="Arial"/>
                <w:sz w:val="16"/>
                <w:szCs w:val="16"/>
                <w:color w:val="auto"/>
              </w:rPr>
              <w:t>July 1, 1992</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33-55240</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4(d)</w:t>
            </w:r>
          </w:p>
        </w:tc>
      </w:tr>
      <w:tr>
        <w:trPr>
          <w:trHeight w:val="219"/>
        </w:trPr>
        <w:tc>
          <w:tcPr>
            <w:tcW w:w="1520" w:type="dxa"/>
            <w:vAlign w:val="bottom"/>
            <w:shd w:val="clear" w:color="auto" w:fill="CCEEFF"/>
          </w:tcPr>
          <w:p>
            <w:pPr>
              <w:spacing w:after="0"/>
              <w:rPr>
                <w:sz w:val="19"/>
                <w:szCs w:val="19"/>
                <w:color w:val="auto"/>
              </w:rPr>
            </w:pPr>
          </w:p>
        </w:tc>
        <w:tc>
          <w:tcPr>
            <w:tcW w:w="1820" w:type="dxa"/>
            <w:vAlign w:val="bottom"/>
            <w:gridSpan w:val="18"/>
            <w:shd w:val="clear" w:color="auto" w:fill="CCEEFF"/>
          </w:tcPr>
          <w:p>
            <w:pPr>
              <w:spacing w:after="0"/>
              <w:rPr>
                <w:sz w:val="20"/>
                <w:szCs w:val="20"/>
                <w:color w:val="auto"/>
              </w:rPr>
            </w:pPr>
            <w:r>
              <w:rPr>
                <w:rFonts w:ascii="Arial" w:cs="Arial" w:eastAsia="Arial" w:hAnsi="Arial"/>
                <w:sz w:val="16"/>
                <w:szCs w:val="16"/>
                <w:color w:val="auto"/>
              </w:rPr>
              <w:t>Seventeenth</w:t>
            </w:r>
          </w:p>
        </w:tc>
        <w:tc>
          <w:tcPr>
            <w:tcW w:w="1520" w:type="dxa"/>
            <w:vAlign w:val="bottom"/>
            <w:gridSpan w:val="10"/>
            <w:shd w:val="clear" w:color="auto" w:fill="CCEEFF"/>
          </w:tcPr>
          <w:p>
            <w:pPr>
              <w:spacing w:after="0"/>
              <w:rPr>
                <w:sz w:val="20"/>
                <w:szCs w:val="20"/>
                <w:color w:val="auto"/>
              </w:rPr>
            </w:pPr>
            <w:r>
              <w:rPr>
                <w:rFonts w:ascii="Arial" w:cs="Arial" w:eastAsia="Arial" w:hAnsi="Arial"/>
                <w:sz w:val="16"/>
                <w:szCs w:val="16"/>
                <w:color w:val="auto"/>
              </w:rPr>
              <w:t>February 1, 1993</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33-50143</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13"/>
        </w:trPr>
        <w:tc>
          <w:tcPr>
            <w:tcW w:w="1520" w:type="dxa"/>
            <w:vAlign w:val="bottom"/>
          </w:tcPr>
          <w:p>
            <w:pPr>
              <w:spacing w:after="0"/>
              <w:rPr>
                <w:sz w:val="18"/>
                <w:szCs w:val="18"/>
                <w:color w:val="auto"/>
              </w:rPr>
            </w:pPr>
          </w:p>
        </w:tc>
        <w:tc>
          <w:tcPr>
            <w:tcW w:w="1820" w:type="dxa"/>
            <w:vAlign w:val="bottom"/>
            <w:gridSpan w:val="18"/>
          </w:tcPr>
          <w:p>
            <w:pPr>
              <w:spacing w:after="0"/>
              <w:rPr>
                <w:sz w:val="20"/>
                <w:szCs w:val="20"/>
                <w:color w:val="auto"/>
              </w:rPr>
            </w:pPr>
            <w:r>
              <w:rPr>
                <w:rFonts w:ascii="Arial" w:cs="Arial" w:eastAsia="Arial" w:hAnsi="Arial"/>
                <w:sz w:val="16"/>
                <w:szCs w:val="16"/>
                <w:color w:val="auto"/>
              </w:rPr>
              <w:t>Eighteenth</w:t>
            </w:r>
          </w:p>
        </w:tc>
        <w:tc>
          <w:tcPr>
            <w:tcW w:w="1520" w:type="dxa"/>
            <w:vAlign w:val="bottom"/>
            <w:gridSpan w:val="10"/>
          </w:tcPr>
          <w:p>
            <w:pPr>
              <w:spacing w:after="0"/>
              <w:rPr>
                <w:sz w:val="20"/>
                <w:szCs w:val="20"/>
                <w:color w:val="auto"/>
              </w:rPr>
            </w:pPr>
            <w:r>
              <w:rPr>
                <w:rFonts w:ascii="Arial" w:cs="Arial" w:eastAsia="Arial" w:hAnsi="Arial"/>
                <w:sz w:val="16"/>
                <w:szCs w:val="16"/>
                <w:color w:val="auto"/>
              </w:rPr>
              <w:t>July 1, 1993</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80" w:type="dxa"/>
            <w:vAlign w:val="bottom"/>
            <w:gridSpan w:val="4"/>
          </w:tcPr>
          <w:p>
            <w:pPr>
              <w:spacing w:after="0"/>
              <w:rPr>
                <w:sz w:val="20"/>
                <w:szCs w:val="20"/>
                <w:color w:val="auto"/>
              </w:rPr>
            </w:pPr>
            <w:r>
              <w:rPr>
                <w:rFonts w:ascii="Arial" w:cs="Arial" w:eastAsia="Arial" w:hAnsi="Arial"/>
                <w:sz w:val="16"/>
                <w:szCs w:val="16"/>
                <w:color w:val="auto"/>
              </w:rPr>
              <w:t>4(c)</w:t>
            </w:r>
          </w:p>
        </w:tc>
      </w:tr>
      <w:tr>
        <w:trPr>
          <w:trHeight w:val="178"/>
        </w:trPr>
        <w:tc>
          <w:tcPr>
            <w:tcW w:w="1520" w:type="dxa"/>
            <w:vAlign w:val="bottom"/>
            <w:shd w:val="clear" w:color="auto" w:fill="CCEEFF"/>
          </w:tcPr>
          <w:p>
            <w:pPr>
              <w:spacing w:after="0"/>
              <w:rPr>
                <w:sz w:val="15"/>
                <w:szCs w:val="15"/>
                <w:color w:val="auto"/>
              </w:rPr>
            </w:pPr>
          </w:p>
        </w:tc>
        <w:tc>
          <w:tcPr>
            <w:tcW w:w="720" w:type="dxa"/>
            <w:vAlign w:val="bottom"/>
            <w:gridSpan w:val="5"/>
            <w:shd w:val="clear" w:color="auto" w:fill="CCEEFF"/>
          </w:tcPr>
          <w:p>
            <w:pPr>
              <w:spacing w:after="0" w:line="178" w:lineRule="exact"/>
              <w:rPr>
                <w:rFonts w:ascii="Arial" w:cs="Arial" w:eastAsia="Arial" w:hAnsi="Arial"/>
                <w:sz w:val="16"/>
                <w:szCs w:val="16"/>
                <w:color w:val="0000FF"/>
                <w:w w:val="90"/>
              </w:rPr>
            </w:pPr>
            <w:hyperlink r:id="rId85">
              <w:r>
                <w:rPr>
                  <w:rFonts w:ascii="Arial" w:cs="Arial" w:eastAsia="Arial" w:hAnsi="Arial"/>
                  <w:sz w:val="16"/>
                  <w:szCs w:val="16"/>
                  <w:color w:val="0000FF"/>
                  <w:w w:val="90"/>
                </w:rPr>
                <w:t>Nineteenth</w:t>
              </w:r>
            </w:hyperlink>
          </w:p>
        </w:tc>
        <w:tc>
          <w:tcPr>
            <w:tcW w:w="1100" w:type="dxa"/>
            <w:vAlign w:val="bottom"/>
            <w:gridSpan w:val="13"/>
            <w:shd w:val="clear" w:color="auto" w:fill="CCEEFF"/>
          </w:tcPr>
          <w:p>
            <w:pPr>
              <w:spacing w:after="0"/>
              <w:rPr>
                <w:sz w:val="15"/>
                <w:szCs w:val="15"/>
                <w:color w:val="auto"/>
              </w:rPr>
            </w:pPr>
          </w:p>
        </w:tc>
        <w:tc>
          <w:tcPr>
            <w:tcW w:w="1120" w:type="dxa"/>
            <w:vAlign w:val="bottom"/>
            <w:gridSpan w:val="8"/>
            <w:shd w:val="clear" w:color="auto" w:fill="CCEEFF"/>
          </w:tcPr>
          <w:p>
            <w:pPr>
              <w:spacing w:after="0" w:line="178" w:lineRule="exact"/>
              <w:rPr>
                <w:rFonts w:ascii="Arial" w:cs="Arial" w:eastAsia="Arial" w:hAnsi="Arial"/>
                <w:sz w:val="16"/>
                <w:szCs w:val="16"/>
                <w:color w:val="0000FF"/>
                <w:w w:val="90"/>
              </w:rPr>
            </w:pPr>
            <w:hyperlink r:id="rId85">
              <w:r>
                <w:rPr>
                  <w:rFonts w:ascii="Arial" w:cs="Arial" w:eastAsia="Arial" w:hAnsi="Arial"/>
                  <w:sz w:val="16"/>
                  <w:szCs w:val="16"/>
                  <w:color w:val="0000FF"/>
                  <w:w w:val="90"/>
                </w:rPr>
                <w:t>February 1, 1997</w:t>
              </w:r>
            </w:hyperlink>
          </w:p>
        </w:tc>
        <w:tc>
          <w:tcPr>
            <w:tcW w:w="400" w:type="dxa"/>
            <w:vAlign w:val="bottom"/>
            <w:gridSpan w:val="2"/>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7"/>
            <w:shd w:val="clear" w:color="auto" w:fill="CCEEFF"/>
          </w:tcPr>
          <w:p>
            <w:pPr>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1-3548 (1996 Form 10-K)</w:t>
              </w:r>
            </w:hyperlink>
          </w:p>
        </w:tc>
        <w:tc>
          <w:tcPr>
            <w:tcW w:w="1880" w:type="dxa"/>
            <w:vAlign w:val="bottom"/>
            <w:gridSpan w:val="4"/>
            <w:shd w:val="clear" w:color="auto" w:fill="CCEEFF"/>
          </w:tcPr>
          <w:p>
            <w:pPr>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720" w:type="dxa"/>
            <w:vAlign w:val="bottom"/>
            <w:gridSpan w:val="5"/>
          </w:tcPr>
          <w:p>
            <w:pPr>
              <w:spacing w:after="0" w:line="175" w:lineRule="exact"/>
              <w:rPr>
                <w:rFonts w:ascii="Arial" w:cs="Arial" w:eastAsia="Arial" w:hAnsi="Arial"/>
                <w:sz w:val="16"/>
                <w:szCs w:val="16"/>
                <w:color w:val="0000FF"/>
              </w:rPr>
            </w:pPr>
            <w:hyperlink r:id="rId86">
              <w:r>
                <w:rPr>
                  <w:rFonts w:ascii="Arial" w:cs="Arial" w:eastAsia="Arial" w:hAnsi="Arial"/>
                  <w:sz w:val="16"/>
                  <w:szCs w:val="16"/>
                  <w:color w:val="0000FF"/>
                </w:rPr>
                <w:t>Twentieth</w:t>
              </w:r>
            </w:hyperlink>
          </w:p>
        </w:tc>
        <w:tc>
          <w:tcPr>
            <w:tcW w:w="1100" w:type="dxa"/>
            <w:vAlign w:val="bottom"/>
            <w:gridSpan w:val="13"/>
          </w:tcPr>
          <w:p>
            <w:pPr>
              <w:spacing w:after="0"/>
              <w:rPr>
                <w:sz w:val="15"/>
                <w:szCs w:val="15"/>
                <w:color w:val="auto"/>
              </w:rPr>
            </w:pPr>
          </w:p>
        </w:tc>
        <w:tc>
          <w:tcPr>
            <w:tcW w:w="1520" w:type="dxa"/>
            <w:vAlign w:val="bottom"/>
            <w:gridSpan w:val="10"/>
          </w:tcPr>
          <w:p>
            <w:pPr>
              <w:spacing w:after="0" w:line="175" w:lineRule="exact"/>
              <w:rPr>
                <w:rFonts w:ascii="Arial" w:cs="Arial" w:eastAsia="Arial" w:hAnsi="Arial"/>
                <w:sz w:val="16"/>
                <w:szCs w:val="16"/>
                <w:color w:val="0000FF"/>
              </w:rPr>
            </w:pPr>
            <w:hyperlink r:id="rId86">
              <w:r>
                <w:rPr>
                  <w:rFonts w:ascii="Arial" w:cs="Arial" w:eastAsia="Arial" w:hAnsi="Arial"/>
                  <w:sz w:val="16"/>
                  <w:szCs w:val="16"/>
                  <w:color w:val="0000FF"/>
                </w:rPr>
                <w:t>November 1, 1997</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86">
              <w:r>
                <w:rPr>
                  <w:rFonts w:ascii="Arial" w:cs="Arial" w:eastAsia="Arial" w:hAnsi="Arial"/>
                  <w:sz w:val="16"/>
                  <w:szCs w:val="16"/>
                  <w:color w:val="0000FF"/>
                </w:rPr>
                <w:t>1-3548 (1997 Form 10-K)</w:t>
              </w:r>
            </w:hyperlink>
          </w:p>
        </w:tc>
        <w:tc>
          <w:tcPr>
            <w:tcW w:w="1880" w:type="dxa"/>
            <w:vAlign w:val="bottom"/>
            <w:gridSpan w:val="4"/>
          </w:tcPr>
          <w:p>
            <w:pPr>
              <w:spacing w:after="0" w:line="175" w:lineRule="exact"/>
              <w:rPr>
                <w:rFonts w:ascii="Arial" w:cs="Arial" w:eastAsia="Arial" w:hAnsi="Arial"/>
                <w:sz w:val="16"/>
                <w:szCs w:val="16"/>
                <w:color w:val="0000FF"/>
              </w:rPr>
            </w:pPr>
            <w:hyperlink r:id="rId86">
              <w:r>
                <w:rPr>
                  <w:rFonts w:ascii="Arial" w:cs="Arial" w:eastAsia="Arial" w:hAnsi="Arial"/>
                  <w:sz w:val="16"/>
                  <w:szCs w:val="16"/>
                  <w:color w:val="0000FF"/>
                </w:rPr>
                <w:t>4(a)3</w:t>
              </w:r>
            </w:hyperlink>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87">
              <w:r>
                <w:rPr>
                  <w:rFonts w:ascii="Arial" w:cs="Arial" w:eastAsia="Arial" w:hAnsi="Arial"/>
                  <w:sz w:val="16"/>
                  <w:szCs w:val="16"/>
                  <w:color w:val="0000FF"/>
                </w:rPr>
                <w:t>Twenty-first</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87">
              <w:r>
                <w:rPr>
                  <w:rFonts w:ascii="Arial" w:cs="Arial" w:eastAsia="Arial" w:hAnsi="Arial"/>
                  <w:sz w:val="16"/>
                  <w:szCs w:val="16"/>
                  <w:color w:val="0000FF"/>
                </w:rPr>
                <w:t>October 1, 2000</w:t>
              </w:r>
            </w:hyperlink>
          </w:p>
        </w:tc>
        <w:tc>
          <w:tcPr>
            <w:tcW w:w="2000" w:type="dxa"/>
            <w:vAlign w:val="bottom"/>
            <w:gridSpan w:val="3"/>
            <w:shd w:val="clear" w:color="auto" w:fill="CCEEFF"/>
          </w:tcPr>
          <w:p>
            <w:pPr>
              <w:ind w:left="300"/>
              <w:spacing w:after="0" w:line="175" w:lineRule="exact"/>
              <w:rPr>
                <w:rFonts w:ascii="Arial" w:cs="Arial" w:eastAsia="Arial" w:hAnsi="Arial"/>
                <w:sz w:val="16"/>
                <w:szCs w:val="16"/>
                <w:color w:val="0000FF"/>
              </w:rPr>
            </w:pPr>
            <w:hyperlink r:id="rId87">
              <w:r>
                <w:rPr>
                  <w:rFonts w:ascii="Arial" w:cs="Arial" w:eastAsia="Arial" w:hAnsi="Arial"/>
                  <w:sz w:val="16"/>
                  <w:szCs w:val="16"/>
                  <w:color w:val="0000FF"/>
                </w:rPr>
                <w:t>333-54330</w:t>
              </w:r>
            </w:hyperlink>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87">
              <w:r>
                <w:rPr>
                  <w:rFonts w:ascii="Arial" w:cs="Arial" w:eastAsia="Arial" w:hAnsi="Arial"/>
                  <w:sz w:val="16"/>
                  <w:szCs w:val="16"/>
                  <w:color w:val="0000FF"/>
                </w:rPr>
                <w:t>4(c)3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88">
              <w:r>
                <w:rPr>
                  <w:rFonts w:ascii="Arial" w:cs="Arial" w:eastAsia="Arial" w:hAnsi="Arial"/>
                  <w:sz w:val="16"/>
                  <w:szCs w:val="16"/>
                  <w:color w:val="0000FF"/>
                </w:rPr>
                <w:t>Twenty-second</w:t>
              </w:r>
            </w:hyperlink>
          </w:p>
        </w:tc>
        <w:tc>
          <w:tcPr>
            <w:tcW w:w="1520" w:type="dxa"/>
            <w:vAlign w:val="bottom"/>
            <w:gridSpan w:val="10"/>
          </w:tcPr>
          <w:p>
            <w:pPr>
              <w:spacing w:after="0" w:line="175" w:lineRule="exact"/>
              <w:rPr>
                <w:rFonts w:ascii="Arial" w:cs="Arial" w:eastAsia="Arial" w:hAnsi="Arial"/>
                <w:sz w:val="16"/>
                <w:szCs w:val="16"/>
                <w:color w:val="0000FF"/>
              </w:rPr>
            </w:pPr>
            <w:hyperlink r:id="rId88">
              <w:r>
                <w:rPr>
                  <w:rFonts w:ascii="Arial" w:cs="Arial" w:eastAsia="Arial" w:hAnsi="Arial"/>
                  <w:sz w:val="16"/>
                  <w:szCs w:val="16"/>
                  <w:color w:val="0000FF"/>
                </w:rPr>
                <w:t>July 1, 2003</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88">
              <w:r>
                <w:rPr>
                  <w:rFonts w:ascii="Arial" w:cs="Arial" w:eastAsia="Arial" w:hAnsi="Arial"/>
                  <w:sz w:val="16"/>
                  <w:szCs w:val="16"/>
                  <w:color w:val="0000FF"/>
                </w:rPr>
                <w:t>1-3548 (June 30, 2003,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88">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89">
              <w:r>
                <w:rPr>
                  <w:rFonts w:ascii="Arial" w:cs="Arial" w:eastAsia="Arial" w:hAnsi="Arial"/>
                  <w:sz w:val="16"/>
                  <w:szCs w:val="16"/>
                  <w:color w:val="0000FF"/>
                </w:rPr>
                <w:t>Twenty-third</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89">
              <w:r>
                <w:rPr>
                  <w:rFonts w:ascii="Arial" w:cs="Arial" w:eastAsia="Arial" w:hAnsi="Arial"/>
                  <w:sz w:val="16"/>
                  <w:szCs w:val="16"/>
                  <w:color w:val="0000FF"/>
                </w:rPr>
                <w:t>August 1, 2004</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89">
              <w:r>
                <w:rPr>
                  <w:rFonts w:ascii="Arial" w:cs="Arial" w:eastAsia="Arial" w:hAnsi="Arial"/>
                  <w:sz w:val="16"/>
                  <w:szCs w:val="16"/>
                  <w:color w:val="0000FF"/>
                </w:rPr>
                <w:t>1-3548 (Sept. 30, 2004, Form 10-Q)</w:t>
              </w:r>
            </w:hyperlink>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89">
              <w:r>
                <w:rPr>
                  <w:rFonts w:ascii="Arial" w:cs="Arial" w:eastAsia="Arial" w:hAnsi="Arial"/>
                  <w:sz w:val="16"/>
                  <w:szCs w:val="16"/>
                  <w:color w:val="0000FF"/>
                </w:rPr>
                <w:t>4(a)</w:t>
              </w:r>
            </w:hyperlink>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90">
              <w:r>
                <w:rPr>
                  <w:rFonts w:ascii="Arial" w:cs="Arial" w:eastAsia="Arial" w:hAnsi="Arial"/>
                  <w:sz w:val="16"/>
                  <w:szCs w:val="16"/>
                  <w:color w:val="0000FF"/>
                </w:rPr>
                <w:t>Twenty-fourth</w:t>
              </w:r>
            </w:hyperlink>
          </w:p>
        </w:tc>
        <w:tc>
          <w:tcPr>
            <w:tcW w:w="1520" w:type="dxa"/>
            <w:vAlign w:val="bottom"/>
            <w:gridSpan w:val="10"/>
          </w:tcPr>
          <w:p>
            <w:pPr>
              <w:spacing w:after="0" w:line="175" w:lineRule="exact"/>
              <w:rPr>
                <w:rFonts w:ascii="Arial" w:cs="Arial" w:eastAsia="Arial" w:hAnsi="Arial"/>
                <w:sz w:val="16"/>
                <w:szCs w:val="16"/>
                <w:color w:val="0000FF"/>
              </w:rPr>
            </w:pPr>
            <w:hyperlink r:id="rId90">
              <w:r>
                <w:rPr>
                  <w:rFonts w:ascii="Arial" w:cs="Arial" w:eastAsia="Arial" w:hAnsi="Arial"/>
                  <w:sz w:val="16"/>
                  <w:szCs w:val="16"/>
                  <w:color w:val="0000FF"/>
                </w:rPr>
                <w:t>March 1, 2005</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90">
              <w:r>
                <w:rPr>
                  <w:rFonts w:ascii="Arial" w:cs="Arial" w:eastAsia="Arial" w:hAnsi="Arial"/>
                  <w:sz w:val="16"/>
                  <w:szCs w:val="16"/>
                  <w:color w:val="0000FF"/>
                </w:rPr>
                <w:t>1-3548 (March 31, 2005,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90">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Twenty-fifth</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December 1, 2005</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1-3548 (March 31, 2006, Form 10-Q)</w:t>
              </w:r>
            </w:hyperlink>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91">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Twenty-sixth</w:t>
              </w:r>
            </w:hyperlink>
          </w:p>
        </w:tc>
        <w:tc>
          <w:tcPr>
            <w:tcW w:w="1520" w:type="dxa"/>
            <w:vAlign w:val="bottom"/>
            <w:gridSpan w:val="10"/>
          </w:tcPr>
          <w:p>
            <w:pPr>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October 1, 2006</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1-3548 (2006 Form 10-K)</w:t>
              </w:r>
            </w:hyperlink>
          </w:p>
        </w:tc>
        <w:tc>
          <w:tcPr>
            <w:tcW w:w="1880" w:type="dxa"/>
            <w:vAlign w:val="bottom"/>
            <w:gridSpan w:val="4"/>
          </w:tcPr>
          <w:p>
            <w:pPr>
              <w:spacing w:after="0" w:line="175" w:lineRule="exact"/>
              <w:rPr>
                <w:rFonts w:ascii="Arial" w:cs="Arial" w:eastAsia="Arial" w:hAnsi="Arial"/>
                <w:sz w:val="16"/>
                <w:szCs w:val="16"/>
                <w:color w:val="0000FF"/>
              </w:rPr>
            </w:pPr>
            <w:hyperlink r:id="rId92">
              <w:r>
                <w:rPr>
                  <w:rFonts w:ascii="Arial" w:cs="Arial" w:eastAsia="Arial" w:hAnsi="Arial"/>
                  <w:sz w:val="16"/>
                  <w:szCs w:val="16"/>
                  <w:color w:val="0000FF"/>
                </w:rPr>
                <w:t>4(a)3</w:t>
              </w:r>
            </w:hyperlink>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040" w:type="dxa"/>
            <w:vAlign w:val="bottom"/>
            <w:gridSpan w:val="17"/>
            <w:shd w:val="clear" w:color="auto" w:fill="CCEEFF"/>
          </w:tcPr>
          <w:p>
            <w:pPr>
              <w:spacing w:after="0" w:line="175" w:lineRule="exact"/>
              <w:rPr>
                <w:rFonts w:ascii="Arial" w:cs="Arial" w:eastAsia="Arial" w:hAnsi="Arial"/>
                <w:sz w:val="16"/>
                <w:szCs w:val="16"/>
                <w:color w:val="0000FF"/>
                <w:w w:val="90"/>
              </w:rPr>
            </w:pPr>
            <w:hyperlink r:id="rId93">
              <w:r>
                <w:rPr>
                  <w:rFonts w:ascii="Arial" w:cs="Arial" w:eastAsia="Arial" w:hAnsi="Arial"/>
                  <w:sz w:val="16"/>
                  <w:szCs w:val="16"/>
                  <w:color w:val="0000FF"/>
                  <w:w w:val="90"/>
                </w:rPr>
                <w:t>Twenty-seventh</w:t>
              </w:r>
            </w:hyperlink>
          </w:p>
        </w:tc>
        <w:tc>
          <w:tcPr>
            <w:tcW w:w="780" w:type="dxa"/>
            <w:vAlign w:val="bottom"/>
            <w:shd w:val="clear" w:color="auto" w:fill="CCEEFF"/>
          </w:tcPr>
          <w:p>
            <w:pPr>
              <w:spacing w:after="0"/>
              <w:rPr>
                <w:sz w:val="15"/>
                <w:szCs w:val="15"/>
                <w:color w:val="auto"/>
              </w:rPr>
            </w:pPr>
          </w:p>
        </w:tc>
        <w:tc>
          <w:tcPr>
            <w:tcW w:w="1120" w:type="dxa"/>
            <w:vAlign w:val="bottom"/>
            <w:gridSpan w:val="8"/>
            <w:shd w:val="clear" w:color="auto" w:fill="CCEEFF"/>
          </w:tcPr>
          <w:p>
            <w:pPr>
              <w:spacing w:after="0" w:line="175" w:lineRule="exact"/>
              <w:rPr>
                <w:rFonts w:ascii="Arial" w:cs="Arial" w:eastAsia="Arial" w:hAnsi="Arial"/>
                <w:sz w:val="16"/>
                <w:szCs w:val="16"/>
                <w:color w:val="0000FF"/>
                <w:w w:val="90"/>
              </w:rPr>
            </w:pPr>
            <w:hyperlink r:id="rId93">
              <w:r>
                <w:rPr>
                  <w:rFonts w:ascii="Arial" w:cs="Arial" w:eastAsia="Arial" w:hAnsi="Arial"/>
                  <w:sz w:val="16"/>
                  <w:szCs w:val="16"/>
                  <w:color w:val="0000FF"/>
                  <w:w w:val="90"/>
                </w:rPr>
                <w:t>February 1, 2008</w:t>
              </w:r>
            </w:hyperlink>
          </w:p>
        </w:tc>
        <w:tc>
          <w:tcPr>
            <w:tcW w:w="400" w:type="dxa"/>
            <w:vAlign w:val="bottom"/>
            <w:gridSpan w:val="2"/>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7"/>
            <w:shd w:val="clear" w:color="auto" w:fill="CCEEFF"/>
          </w:tcPr>
          <w:p>
            <w:pPr>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1-3548 (2007 Form 10-K)</w:t>
              </w:r>
            </w:hyperlink>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1040" w:type="dxa"/>
            <w:vAlign w:val="bottom"/>
            <w:gridSpan w:val="17"/>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Twenty-eighth</w:t>
              </w:r>
            </w:hyperlink>
          </w:p>
        </w:tc>
        <w:tc>
          <w:tcPr>
            <w:tcW w:w="780" w:type="dxa"/>
            <w:vAlign w:val="bottom"/>
          </w:tcPr>
          <w:p>
            <w:pPr>
              <w:spacing w:after="0"/>
              <w:rPr>
                <w:sz w:val="15"/>
                <w:szCs w:val="15"/>
                <w:color w:val="auto"/>
              </w:rPr>
            </w:pPr>
          </w:p>
        </w:tc>
        <w:tc>
          <w:tcPr>
            <w:tcW w:w="1120" w:type="dxa"/>
            <w:vAlign w:val="bottom"/>
            <w:gridSpan w:val="8"/>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May 1, 2008</w:t>
              </w:r>
            </w:hyperlink>
          </w:p>
        </w:tc>
        <w:tc>
          <w:tcPr>
            <w:tcW w:w="4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7"/>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1-3548 (June 30, 2008,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94">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880" w:type="dxa"/>
            <w:vAlign w:val="bottom"/>
            <w:gridSpan w:val="12"/>
            <w:shd w:val="clear" w:color="auto" w:fill="CCEEFF"/>
          </w:tcPr>
          <w:p>
            <w:pPr>
              <w:spacing w:after="0" w:line="175" w:lineRule="exact"/>
              <w:rPr>
                <w:rFonts w:ascii="Arial" w:cs="Arial" w:eastAsia="Arial" w:hAnsi="Arial"/>
                <w:sz w:val="16"/>
                <w:szCs w:val="16"/>
                <w:color w:val="0000FF"/>
                <w:w w:val="93"/>
              </w:rPr>
            </w:pPr>
            <w:hyperlink r:id="rId95">
              <w:r>
                <w:rPr>
                  <w:rFonts w:ascii="Arial" w:cs="Arial" w:eastAsia="Arial" w:hAnsi="Arial"/>
                  <w:sz w:val="16"/>
                  <w:szCs w:val="16"/>
                  <w:color w:val="0000FF"/>
                  <w:w w:val="93"/>
                </w:rPr>
                <w:t>Twenty-ninth</w:t>
              </w:r>
            </w:hyperlink>
          </w:p>
        </w:tc>
        <w:tc>
          <w:tcPr>
            <w:tcW w:w="940" w:type="dxa"/>
            <w:vAlign w:val="bottom"/>
            <w:gridSpan w:val="6"/>
            <w:shd w:val="clear" w:color="auto" w:fill="CCEEFF"/>
          </w:tcPr>
          <w:p>
            <w:pPr>
              <w:spacing w:after="0"/>
              <w:rPr>
                <w:sz w:val="15"/>
                <w:szCs w:val="15"/>
                <w:color w:val="auto"/>
              </w:rPr>
            </w:pPr>
          </w:p>
        </w:tc>
        <w:tc>
          <w:tcPr>
            <w:tcW w:w="1220" w:type="dxa"/>
            <w:vAlign w:val="bottom"/>
            <w:tcBorders>
              <w:right w:val="single" w:sz="8" w:color="CCEEFF"/>
            </w:tcBorders>
            <w:gridSpan w:val="9"/>
            <w:shd w:val="clear" w:color="auto" w:fill="CCEEFF"/>
          </w:tcPr>
          <w:p>
            <w:pPr>
              <w:spacing w:after="0" w:line="175" w:lineRule="exact"/>
              <w:rPr>
                <w:rFonts w:ascii="Arial" w:cs="Arial" w:eastAsia="Arial" w:hAnsi="Arial"/>
                <w:sz w:val="16"/>
                <w:szCs w:val="16"/>
                <w:color w:val="0000FF"/>
                <w:w w:val="89"/>
              </w:rPr>
            </w:pPr>
            <w:hyperlink r:id="rId95">
              <w:r>
                <w:rPr>
                  <w:rFonts w:ascii="Arial" w:cs="Arial" w:eastAsia="Arial" w:hAnsi="Arial"/>
                  <w:sz w:val="16"/>
                  <w:szCs w:val="16"/>
                  <w:color w:val="0000FF"/>
                  <w:w w:val="89"/>
                </w:rPr>
                <w:t>November 1, 2008</w:t>
              </w:r>
            </w:hyperlink>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7"/>
            <w:shd w:val="clear" w:color="auto" w:fill="CCEEFF"/>
          </w:tcPr>
          <w:p>
            <w:pPr>
              <w:spacing w:after="0" w:line="175" w:lineRule="exact"/>
              <w:rPr>
                <w:rFonts w:ascii="Arial" w:cs="Arial" w:eastAsia="Arial" w:hAnsi="Arial"/>
                <w:sz w:val="16"/>
                <w:szCs w:val="16"/>
                <w:color w:val="0000FF"/>
              </w:rPr>
            </w:pPr>
            <w:hyperlink r:id="rId95">
              <w:r>
                <w:rPr>
                  <w:rFonts w:ascii="Arial" w:cs="Arial" w:eastAsia="Arial" w:hAnsi="Arial"/>
                  <w:sz w:val="16"/>
                  <w:szCs w:val="16"/>
                  <w:color w:val="0000FF"/>
                </w:rPr>
                <w:t>1-3548 (2008 Form 10-K)</w:t>
              </w:r>
            </w:hyperlink>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95">
              <w:r>
                <w:rPr>
                  <w:rFonts w:ascii="Arial" w:cs="Arial" w:eastAsia="Arial" w:hAnsi="Arial"/>
                  <w:sz w:val="16"/>
                  <w:szCs w:val="16"/>
                  <w:color w:val="0000FF"/>
                </w:rPr>
                <w:t>4(a)3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880" w:type="dxa"/>
            <w:vAlign w:val="bottom"/>
            <w:gridSpan w:val="12"/>
          </w:tcPr>
          <w:p>
            <w:pPr>
              <w:spacing w:after="0" w:line="175" w:lineRule="exact"/>
              <w:rPr>
                <w:rFonts w:ascii="Arial" w:cs="Arial" w:eastAsia="Arial" w:hAnsi="Arial"/>
                <w:sz w:val="16"/>
                <w:szCs w:val="16"/>
                <w:color w:val="0000FF"/>
              </w:rPr>
            </w:pPr>
            <w:hyperlink r:id="rId96">
              <w:r>
                <w:rPr>
                  <w:rFonts w:ascii="Arial" w:cs="Arial" w:eastAsia="Arial" w:hAnsi="Arial"/>
                  <w:sz w:val="16"/>
                  <w:szCs w:val="16"/>
                  <w:color w:val="0000FF"/>
                </w:rPr>
                <w:t>Thirtieth</w:t>
              </w:r>
            </w:hyperlink>
          </w:p>
        </w:tc>
        <w:tc>
          <w:tcPr>
            <w:tcW w:w="940" w:type="dxa"/>
            <w:vAlign w:val="bottom"/>
            <w:gridSpan w:val="6"/>
          </w:tcPr>
          <w:p>
            <w:pPr>
              <w:spacing w:after="0"/>
              <w:rPr>
                <w:sz w:val="15"/>
                <w:szCs w:val="15"/>
                <w:color w:val="auto"/>
              </w:rPr>
            </w:pPr>
          </w:p>
        </w:tc>
        <w:tc>
          <w:tcPr>
            <w:tcW w:w="1220" w:type="dxa"/>
            <w:vAlign w:val="bottom"/>
            <w:gridSpan w:val="9"/>
          </w:tcPr>
          <w:p>
            <w:pPr>
              <w:spacing w:after="0" w:line="175" w:lineRule="exact"/>
              <w:rPr>
                <w:rFonts w:ascii="Arial" w:cs="Arial" w:eastAsia="Arial" w:hAnsi="Arial"/>
                <w:sz w:val="16"/>
                <w:szCs w:val="16"/>
                <w:color w:val="0000FF"/>
              </w:rPr>
            </w:pPr>
            <w:hyperlink r:id="rId96">
              <w:r>
                <w:rPr>
                  <w:rFonts w:ascii="Arial" w:cs="Arial" w:eastAsia="Arial" w:hAnsi="Arial"/>
                  <w:sz w:val="16"/>
                  <w:szCs w:val="16"/>
                  <w:color w:val="0000FF"/>
                </w:rPr>
                <w:t>January 1, 2009</w:t>
              </w:r>
            </w:hyperlink>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7"/>
          </w:tcPr>
          <w:p>
            <w:pPr>
              <w:spacing w:after="0" w:line="175" w:lineRule="exact"/>
              <w:rPr>
                <w:rFonts w:ascii="Arial" w:cs="Arial" w:eastAsia="Arial" w:hAnsi="Arial"/>
                <w:sz w:val="16"/>
                <w:szCs w:val="16"/>
                <w:color w:val="0000FF"/>
              </w:rPr>
            </w:pPr>
            <w:hyperlink r:id="rId96">
              <w:r>
                <w:rPr>
                  <w:rFonts w:ascii="Arial" w:cs="Arial" w:eastAsia="Arial" w:hAnsi="Arial"/>
                  <w:sz w:val="16"/>
                  <w:szCs w:val="16"/>
                  <w:color w:val="0000FF"/>
                </w:rPr>
                <w:t>1-3548 (2008 Form 10-K)</w:t>
              </w:r>
            </w:hyperlink>
          </w:p>
        </w:tc>
        <w:tc>
          <w:tcPr>
            <w:tcW w:w="1880" w:type="dxa"/>
            <w:vAlign w:val="bottom"/>
            <w:gridSpan w:val="4"/>
          </w:tcPr>
          <w:p>
            <w:pPr>
              <w:spacing w:after="0" w:line="175" w:lineRule="exact"/>
              <w:rPr>
                <w:rFonts w:ascii="Arial" w:cs="Arial" w:eastAsia="Arial" w:hAnsi="Arial"/>
                <w:sz w:val="16"/>
                <w:szCs w:val="16"/>
                <w:color w:val="0000FF"/>
              </w:rPr>
            </w:pPr>
            <w:hyperlink r:id="rId96">
              <w:r>
                <w:rPr>
                  <w:rFonts w:ascii="Arial" w:cs="Arial" w:eastAsia="Arial" w:hAnsi="Arial"/>
                  <w:sz w:val="16"/>
                  <w:szCs w:val="16"/>
                  <w:color w:val="0000FF"/>
                </w:rPr>
                <w:t>4(a)4</w:t>
              </w:r>
            </w:hyperlink>
          </w:p>
        </w:tc>
      </w:tr>
      <w:tr>
        <w:trPr>
          <w:trHeight w:val="21"/>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Thirty-first</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February 1, 2010</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1-3548 (March 31, 2010, Form 10-Q)</w:t>
              </w:r>
            </w:hyperlink>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97">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Thirty-second</w:t>
              </w:r>
            </w:hyperlink>
          </w:p>
        </w:tc>
        <w:tc>
          <w:tcPr>
            <w:tcW w:w="1520" w:type="dxa"/>
            <w:vAlign w:val="bottom"/>
            <w:gridSpan w:val="10"/>
          </w:tcPr>
          <w:p>
            <w:pPr>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August 1, 2010</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1-3548 (Sept. 30, 2010,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Thirty-third</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July 1, 2012</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1-3548 (July 2, 2012, Form 8-K)</w:t>
              </w:r>
            </w:hyperlink>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Thirty-fourth</w:t>
              </w:r>
            </w:hyperlink>
          </w:p>
        </w:tc>
        <w:tc>
          <w:tcPr>
            <w:tcW w:w="1520" w:type="dxa"/>
            <w:vAlign w:val="bottom"/>
            <w:gridSpan w:val="10"/>
          </w:tcPr>
          <w:p>
            <w:pPr>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April 1, 2013</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1-3548 (April 2, 2013, Form 8-K)</w:t>
              </w:r>
            </w:hyperlink>
          </w:p>
        </w:tc>
        <w:tc>
          <w:tcPr>
            <w:tcW w:w="260" w:type="dxa"/>
            <w:vAlign w:val="bottom"/>
            <w:gridSpan w:val="2"/>
          </w:tcPr>
          <w:p>
            <w:pPr>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1820" w:type="dxa"/>
            <w:vAlign w:val="bottom"/>
            <w:gridSpan w:val="18"/>
            <w:shd w:val="clear" w:color="auto" w:fill="CCEEFF"/>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Thirty-fifth</w:t>
              </w:r>
            </w:hyperlink>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March 1, 2014</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1-3548 (March 31, 2014, Form 10-Q)</w:t>
              </w:r>
            </w:hyperlink>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1820" w:type="dxa"/>
            <w:vAlign w:val="bottom"/>
            <w:gridSpan w:val="18"/>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Thirty-sixth</w:t>
              </w:r>
            </w:hyperlink>
          </w:p>
        </w:tc>
        <w:tc>
          <w:tcPr>
            <w:tcW w:w="1520" w:type="dxa"/>
            <w:vAlign w:val="bottom"/>
            <w:gridSpan w:val="10"/>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June 1, 2014</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1-3548 (June 30, 2014,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6"/>
        </w:trPr>
        <w:tc>
          <w:tcPr>
            <w:tcW w:w="1520" w:type="dxa"/>
            <w:vAlign w:val="bottom"/>
            <w:shd w:val="clear" w:color="auto" w:fill="CCEEFF"/>
          </w:tcPr>
          <w:p>
            <w:pPr>
              <w:spacing w:after="0"/>
              <w:rPr>
                <w:sz w:val="15"/>
                <w:szCs w:val="15"/>
                <w:color w:val="auto"/>
              </w:rPr>
            </w:pPr>
          </w:p>
        </w:tc>
        <w:tc>
          <w:tcPr>
            <w:tcW w:w="960" w:type="dxa"/>
            <w:vAlign w:val="bottom"/>
            <w:gridSpan w:val="15"/>
            <w:shd w:val="clear" w:color="auto" w:fill="CCEEFF"/>
          </w:tcPr>
          <w:p>
            <w:pPr>
              <w:spacing w:after="0" w:line="175" w:lineRule="exact"/>
              <w:rPr>
                <w:rFonts w:ascii="Arial" w:cs="Arial" w:eastAsia="Arial" w:hAnsi="Arial"/>
                <w:sz w:val="16"/>
                <w:szCs w:val="16"/>
                <w:color w:val="0000FF"/>
                <w:w w:val="92"/>
              </w:rPr>
            </w:pPr>
            <w:hyperlink r:id="rId103">
              <w:r>
                <w:rPr>
                  <w:rFonts w:ascii="Arial" w:cs="Arial" w:eastAsia="Arial" w:hAnsi="Arial"/>
                  <w:sz w:val="16"/>
                  <w:szCs w:val="16"/>
                  <w:color w:val="0000FF"/>
                  <w:w w:val="92"/>
                </w:rPr>
                <w:t>Thirty-seventh</w:t>
              </w:r>
            </w:hyperlink>
          </w:p>
        </w:tc>
        <w:tc>
          <w:tcPr>
            <w:tcW w:w="860" w:type="dxa"/>
            <w:vAlign w:val="bottom"/>
            <w:gridSpan w:val="3"/>
            <w:shd w:val="clear" w:color="auto" w:fill="CCEEFF"/>
          </w:tcPr>
          <w:p>
            <w:pPr>
              <w:spacing w:after="0"/>
              <w:rPr>
                <w:sz w:val="15"/>
                <w:szCs w:val="15"/>
                <w:color w:val="auto"/>
              </w:rPr>
            </w:pPr>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September 1, 2014</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1-3548 (Sept. 30, 2014, Form 10-Q)</w:t>
              </w:r>
            </w:hyperlink>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960" w:type="dxa"/>
            <w:vAlign w:val="bottom"/>
            <w:gridSpan w:val="15"/>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Thirty-eighth</w:t>
              </w:r>
            </w:hyperlink>
          </w:p>
        </w:tc>
        <w:tc>
          <w:tcPr>
            <w:tcW w:w="860" w:type="dxa"/>
            <w:vAlign w:val="bottom"/>
            <w:gridSpan w:val="3"/>
          </w:tcPr>
          <w:p>
            <w:pPr>
              <w:spacing w:after="0"/>
              <w:rPr>
                <w:sz w:val="15"/>
                <w:szCs w:val="15"/>
                <w:color w:val="auto"/>
              </w:rPr>
            </w:pPr>
          </w:p>
        </w:tc>
        <w:tc>
          <w:tcPr>
            <w:tcW w:w="1520" w:type="dxa"/>
            <w:vAlign w:val="bottom"/>
            <w:gridSpan w:val="10"/>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September 1, 2015</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1-3548 (Sept. 30, 2015, Form 10-Q)</w:t>
              </w:r>
            </w:hyperlink>
          </w:p>
        </w:tc>
        <w:tc>
          <w:tcPr>
            <w:tcW w:w="1880" w:type="dxa"/>
            <w:vAlign w:val="bottom"/>
            <w:gridSpan w:val="4"/>
          </w:tcPr>
          <w:p>
            <w:pPr>
              <w:spacing w:after="0" w:line="175" w:lineRule="exact"/>
              <w:rPr>
                <w:rFonts w:ascii="Arial" w:cs="Arial" w:eastAsia="Arial" w:hAnsi="Arial"/>
                <w:sz w:val="16"/>
                <w:szCs w:val="16"/>
                <w:color w:val="0000FF"/>
              </w:rPr>
            </w:pPr>
            <w:hyperlink r:id="rId104">
              <w:r>
                <w:rPr>
                  <w:rFonts w:ascii="Arial" w:cs="Arial" w:eastAsia="Arial" w:hAnsi="Arial"/>
                  <w:sz w:val="16"/>
                  <w:szCs w:val="16"/>
                  <w:color w:val="0000FF"/>
                </w:rPr>
                <w:t>4(a)</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800" w:type="dxa"/>
            <w:vAlign w:val="bottom"/>
            <w:gridSpan w:val="9"/>
            <w:shd w:val="clear" w:color="auto" w:fill="CCEEFF"/>
          </w:tcPr>
          <w:p>
            <w:pPr>
              <w:spacing w:after="0" w:line="175" w:lineRule="exact"/>
              <w:rPr>
                <w:rFonts w:ascii="Arial" w:cs="Arial" w:eastAsia="Arial" w:hAnsi="Arial"/>
                <w:sz w:val="16"/>
                <w:szCs w:val="16"/>
                <w:color w:val="0000FF"/>
                <w:w w:val="97"/>
              </w:rPr>
            </w:pPr>
            <w:hyperlink r:id="rId105">
              <w:r>
                <w:rPr>
                  <w:rFonts w:ascii="Arial" w:cs="Arial" w:eastAsia="Arial" w:hAnsi="Arial"/>
                  <w:sz w:val="16"/>
                  <w:szCs w:val="16"/>
                  <w:color w:val="0000FF"/>
                  <w:w w:val="97"/>
                </w:rPr>
                <w:t>Thirty-ninth</w:t>
              </w:r>
            </w:hyperlink>
          </w:p>
        </w:tc>
        <w:tc>
          <w:tcPr>
            <w:tcW w:w="1020" w:type="dxa"/>
            <w:vAlign w:val="bottom"/>
            <w:gridSpan w:val="9"/>
            <w:shd w:val="clear" w:color="auto" w:fill="CCEEFF"/>
          </w:tcPr>
          <w:p>
            <w:pPr>
              <w:spacing w:after="0"/>
              <w:rPr>
                <w:sz w:val="15"/>
                <w:szCs w:val="15"/>
                <w:color w:val="auto"/>
              </w:rPr>
            </w:pPr>
          </w:p>
        </w:tc>
        <w:tc>
          <w:tcPr>
            <w:tcW w:w="880" w:type="dxa"/>
            <w:vAlign w:val="bottom"/>
            <w:gridSpan w:val="3"/>
            <w:shd w:val="clear" w:color="auto" w:fill="CCEEFF"/>
          </w:tcPr>
          <w:p>
            <w:pPr>
              <w:spacing w:after="0" w:line="175" w:lineRule="exact"/>
              <w:rPr>
                <w:rFonts w:ascii="Arial" w:cs="Arial" w:eastAsia="Arial" w:hAnsi="Arial"/>
                <w:sz w:val="16"/>
                <w:szCs w:val="16"/>
                <w:color w:val="0000FF"/>
                <w:w w:val="95"/>
              </w:rPr>
            </w:pPr>
            <w:hyperlink r:id="rId105">
              <w:r>
                <w:rPr>
                  <w:rFonts w:ascii="Arial" w:cs="Arial" w:eastAsia="Arial" w:hAnsi="Arial"/>
                  <w:sz w:val="16"/>
                  <w:szCs w:val="16"/>
                  <w:color w:val="0000FF"/>
                  <w:w w:val="95"/>
                </w:rPr>
                <w:t>April 1, 2018</w:t>
              </w:r>
            </w:hyperlink>
          </w:p>
        </w:tc>
        <w:tc>
          <w:tcPr>
            <w:tcW w:w="640" w:type="dxa"/>
            <w:vAlign w:val="bottom"/>
            <w:gridSpan w:val="7"/>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60" w:type="dxa"/>
            <w:vAlign w:val="bottom"/>
            <w:gridSpan w:val="6"/>
            <w:shd w:val="clear" w:color="auto" w:fill="CCEEFF"/>
          </w:tcPr>
          <w:p>
            <w:pPr>
              <w:spacing w:after="0" w:line="175" w:lineRule="exact"/>
              <w:rPr>
                <w:rFonts w:ascii="Arial" w:cs="Arial" w:eastAsia="Arial" w:hAnsi="Arial"/>
                <w:sz w:val="16"/>
                <w:szCs w:val="16"/>
                <w:color w:val="0000FF"/>
                <w:w w:val="92"/>
              </w:rPr>
            </w:pPr>
            <w:hyperlink r:id="rId105">
              <w:r>
                <w:rPr>
                  <w:rFonts w:ascii="Arial" w:cs="Arial" w:eastAsia="Arial" w:hAnsi="Arial"/>
                  <w:sz w:val="16"/>
                  <w:szCs w:val="16"/>
                  <w:color w:val="0000FF"/>
                  <w:w w:val="92"/>
                </w:rPr>
                <w:t>1-3548 (March 31, 2018, Form 10-Q)</w:t>
              </w:r>
            </w:hyperlink>
          </w:p>
        </w:tc>
        <w:tc>
          <w:tcPr>
            <w:tcW w:w="17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5" w:lineRule="exact"/>
              <w:rPr>
                <w:rFonts w:ascii="Arial" w:cs="Arial" w:eastAsia="Arial" w:hAnsi="Arial"/>
                <w:sz w:val="16"/>
                <w:szCs w:val="16"/>
                <w:color w:val="0000FF"/>
              </w:rPr>
            </w:pPr>
            <w:hyperlink r:id="rId105">
              <w:r>
                <w:rPr>
                  <w:rFonts w:ascii="Arial" w:cs="Arial" w:eastAsia="Arial" w:hAnsi="Arial"/>
                  <w:sz w:val="16"/>
                  <w:szCs w:val="16"/>
                  <w:color w:val="0000FF"/>
                </w:rPr>
                <w:t>4</w:t>
              </w:r>
            </w:hyperlink>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800" w:type="dxa"/>
            <w:vAlign w:val="bottom"/>
            <w:gridSpan w:val="9"/>
          </w:tcPr>
          <w:p>
            <w:pPr>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Fortieth</w:t>
              </w:r>
            </w:hyperlink>
          </w:p>
        </w:tc>
        <w:tc>
          <w:tcPr>
            <w:tcW w:w="1020" w:type="dxa"/>
            <w:vAlign w:val="bottom"/>
            <w:gridSpan w:val="9"/>
          </w:tcPr>
          <w:p>
            <w:pPr>
              <w:spacing w:after="0"/>
              <w:rPr>
                <w:sz w:val="15"/>
                <w:szCs w:val="15"/>
                <w:color w:val="auto"/>
              </w:rPr>
            </w:pPr>
          </w:p>
        </w:tc>
        <w:tc>
          <w:tcPr>
            <w:tcW w:w="1520" w:type="dxa"/>
            <w:vAlign w:val="bottom"/>
            <w:gridSpan w:val="10"/>
          </w:tcPr>
          <w:p>
            <w:pPr>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March 1, 2019</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1-3548 (March 31, 2019, Form 10-Q)</w:t>
              </w:r>
            </w:hyperlink>
          </w:p>
        </w:tc>
        <w:tc>
          <w:tcPr>
            <w:tcW w:w="1880" w:type="dxa"/>
            <w:vAlign w:val="bottom"/>
            <w:gridSpan w:val="4"/>
          </w:tcPr>
          <w:p>
            <w:pPr>
              <w:spacing w:after="0" w:line="175" w:lineRule="exact"/>
              <w:rPr>
                <w:rFonts w:ascii="Arial" w:cs="Arial" w:eastAsia="Arial" w:hAnsi="Arial"/>
                <w:sz w:val="16"/>
                <w:szCs w:val="16"/>
                <w:color w:val="0000FF"/>
              </w:rPr>
            </w:pPr>
            <w:hyperlink r:id="rId106">
              <w:r>
                <w:rPr>
                  <w:rFonts w:ascii="Arial" w:cs="Arial" w:eastAsia="Arial" w:hAnsi="Arial"/>
                  <w:sz w:val="16"/>
                  <w:szCs w:val="16"/>
                  <w:color w:val="0000FF"/>
                </w:rPr>
                <w:t>4(a)</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75"/>
        </w:trPr>
        <w:tc>
          <w:tcPr>
            <w:tcW w:w="1520" w:type="dxa"/>
            <w:vAlign w:val="bottom"/>
            <w:shd w:val="clear" w:color="auto" w:fill="CCEEFF"/>
          </w:tcPr>
          <w:p>
            <w:pPr>
              <w:spacing w:after="0"/>
              <w:rPr>
                <w:sz w:val="15"/>
                <w:szCs w:val="15"/>
                <w:color w:val="auto"/>
              </w:rPr>
            </w:pPr>
          </w:p>
        </w:tc>
        <w:tc>
          <w:tcPr>
            <w:tcW w:w="680" w:type="dxa"/>
            <w:vAlign w:val="bottom"/>
            <w:gridSpan w:val="4"/>
            <w:shd w:val="clear" w:color="auto" w:fill="CCEEFF"/>
          </w:tcPr>
          <w:p>
            <w:pPr>
              <w:spacing w:after="0" w:line="175" w:lineRule="exact"/>
              <w:rPr>
                <w:rFonts w:ascii="Arial" w:cs="Arial" w:eastAsia="Arial" w:hAnsi="Arial"/>
                <w:sz w:val="16"/>
                <w:szCs w:val="16"/>
                <w:color w:val="0000FF"/>
                <w:w w:val="97"/>
              </w:rPr>
            </w:pPr>
            <w:hyperlink r:id="rId107">
              <w:r>
                <w:rPr>
                  <w:rFonts w:ascii="Arial" w:cs="Arial" w:eastAsia="Arial" w:hAnsi="Arial"/>
                  <w:sz w:val="16"/>
                  <w:szCs w:val="16"/>
                  <w:color w:val="0000FF"/>
                  <w:w w:val="97"/>
                </w:rPr>
                <w:t>Forty-first</w:t>
              </w:r>
            </w:hyperlink>
          </w:p>
        </w:tc>
        <w:tc>
          <w:tcPr>
            <w:tcW w:w="1140" w:type="dxa"/>
            <w:vAlign w:val="bottom"/>
            <w:gridSpan w:val="14"/>
            <w:shd w:val="clear" w:color="auto" w:fill="CCEEFF"/>
          </w:tcPr>
          <w:p>
            <w:pPr>
              <w:spacing w:after="0"/>
              <w:rPr>
                <w:sz w:val="15"/>
                <w:szCs w:val="15"/>
                <w:color w:val="auto"/>
              </w:rPr>
            </w:pPr>
          </w:p>
        </w:tc>
        <w:tc>
          <w:tcPr>
            <w:tcW w:w="1520" w:type="dxa"/>
            <w:vAlign w:val="bottom"/>
            <w:gridSpan w:val="10"/>
            <w:shd w:val="clear" w:color="auto" w:fill="CCEEFF"/>
          </w:tcPr>
          <w:p>
            <w:pPr>
              <w:spacing w:after="0" w:line="175" w:lineRule="exact"/>
              <w:rPr>
                <w:rFonts w:ascii="Arial" w:cs="Arial" w:eastAsia="Arial" w:hAnsi="Arial"/>
                <w:sz w:val="16"/>
                <w:szCs w:val="16"/>
                <w:color w:val="0000FF"/>
              </w:rPr>
            </w:pPr>
            <w:hyperlink r:id="rId107">
              <w:r>
                <w:rPr>
                  <w:rFonts w:ascii="Arial" w:cs="Arial" w:eastAsia="Arial" w:hAnsi="Arial"/>
                  <w:sz w:val="16"/>
                  <w:szCs w:val="16"/>
                  <w:color w:val="0000FF"/>
                </w:rPr>
                <w:t>August 1, 2020</w:t>
              </w:r>
            </w:hyperlink>
          </w:p>
        </w:tc>
        <w:tc>
          <w:tcPr>
            <w:tcW w:w="4500" w:type="dxa"/>
            <w:vAlign w:val="bottom"/>
            <w:gridSpan w:val="8"/>
            <w:shd w:val="clear" w:color="auto" w:fill="CCEEFF"/>
          </w:tcPr>
          <w:p>
            <w:pPr>
              <w:ind w:left="300"/>
              <w:spacing w:after="0" w:line="175" w:lineRule="exact"/>
              <w:rPr>
                <w:rFonts w:ascii="Arial" w:cs="Arial" w:eastAsia="Arial" w:hAnsi="Arial"/>
                <w:sz w:val="16"/>
                <w:szCs w:val="16"/>
                <w:color w:val="0000FF"/>
              </w:rPr>
            </w:pPr>
            <w:hyperlink r:id="rId107">
              <w:r>
                <w:rPr>
                  <w:rFonts w:ascii="Arial" w:cs="Arial" w:eastAsia="Arial" w:hAnsi="Arial"/>
                  <w:sz w:val="16"/>
                  <w:szCs w:val="16"/>
                  <w:color w:val="0000FF"/>
                </w:rPr>
                <w:t>1-3548 (Sept. 30, 2020, Form 10-Q)</w:t>
              </w:r>
            </w:hyperlink>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107">
              <w:r>
                <w:rPr>
                  <w:rFonts w:ascii="Arial" w:cs="Arial" w:eastAsia="Arial" w:hAnsi="Arial"/>
                  <w:sz w:val="16"/>
                  <w:szCs w:val="16"/>
                  <w:color w:val="0000FF"/>
                </w:rPr>
                <w:t>4(a)</w:t>
              </w:r>
            </w:hyperlink>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860" w:type="dxa"/>
            <w:vAlign w:val="bottom"/>
            <w:gridSpan w:val="11"/>
          </w:tcPr>
          <w:p>
            <w:pPr>
              <w:spacing w:after="0" w:line="175" w:lineRule="exact"/>
              <w:rPr>
                <w:rFonts w:ascii="Arial" w:cs="Arial" w:eastAsia="Arial" w:hAnsi="Arial"/>
                <w:sz w:val="16"/>
                <w:szCs w:val="16"/>
                <w:color w:val="0000FF"/>
                <w:w w:val="87"/>
              </w:rPr>
            </w:pPr>
            <w:hyperlink r:id="rId108">
              <w:r>
                <w:rPr>
                  <w:rFonts w:ascii="Arial" w:cs="Arial" w:eastAsia="Arial" w:hAnsi="Arial"/>
                  <w:sz w:val="16"/>
                  <w:szCs w:val="16"/>
                  <w:color w:val="0000FF"/>
                  <w:w w:val="87"/>
                </w:rPr>
                <w:t>Forty-second</w:t>
              </w:r>
            </w:hyperlink>
          </w:p>
        </w:tc>
        <w:tc>
          <w:tcPr>
            <w:tcW w:w="960" w:type="dxa"/>
            <w:vAlign w:val="bottom"/>
            <w:gridSpan w:val="7"/>
          </w:tcPr>
          <w:p>
            <w:pPr>
              <w:spacing w:after="0"/>
              <w:rPr>
                <w:sz w:val="15"/>
                <w:szCs w:val="15"/>
                <w:color w:val="auto"/>
              </w:rPr>
            </w:pPr>
          </w:p>
        </w:tc>
        <w:tc>
          <w:tcPr>
            <w:tcW w:w="1520" w:type="dxa"/>
            <w:vAlign w:val="bottom"/>
            <w:gridSpan w:val="10"/>
          </w:tcPr>
          <w:p>
            <w:pPr>
              <w:spacing w:after="0" w:line="175" w:lineRule="exact"/>
              <w:rPr>
                <w:rFonts w:ascii="Arial" w:cs="Arial" w:eastAsia="Arial" w:hAnsi="Arial"/>
                <w:sz w:val="16"/>
                <w:szCs w:val="16"/>
                <w:color w:val="0000FF"/>
              </w:rPr>
            </w:pPr>
            <w:hyperlink r:id="rId108">
              <w:r>
                <w:rPr>
                  <w:rFonts w:ascii="Arial" w:cs="Arial" w:eastAsia="Arial" w:hAnsi="Arial"/>
                  <w:sz w:val="16"/>
                  <w:szCs w:val="16"/>
                  <w:color w:val="0000FF"/>
                </w:rPr>
                <w:t>September 1, 2021</w:t>
              </w:r>
            </w:hyperlink>
          </w:p>
        </w:tc>
        <w:tc>
          <w:tcPr>
            <w:tcW w:w="4500" w:type="dxa"/>
            <w:vAlign w:val="bottom"/>
            <w:gridSpan w:val="8"/>
          </w:tcPr>
          <w:p>
            <w:pPr>
              <w:ind w:left="300"/>
              <w:spacing w:after="0" w:line="175" w:lineRule="exact"/>
              <w:rPr>
                <w:rFonts w:ascii="Arial" w:cs="Arial" w:eastAsia="Arial" w:hAnsi="Arial"/>
                <w:sz w:val="16"/>
                <w:szCs w:val="16"/>
                <w:color w:val="0000FF"/>
              </w:rPr>
            </w:pPr>
            <w:hyperlink r:id="rId108">
              <w:r>
                <w:rPr>
                  <w:rFonts w:ascii="Arial" w:cs="Arial" w:eastAsia="Arial" w:hAnsi="Arial"/>
                  <w:sz w:val="16"/>
                  <w:szCs w:val="16"/>
                  <w:color w:val="0000FF"/>
                </w:rPr>
                <w:t>1-3548 (Sept. 30, 2021, Form 10-Q)</w:t>
              </w:r>
            </w:hyperlink>
          </w:p>
        </w:tc>
        <w:tc>
          <w:tcPr>
            <w:tcW w:w="260" w:type="dxa"/>
            <w:vAlign w:val="bottom"/>
            <w:gridSpan w:val="2"/>
          </w:tcPr>
          <w:p>
            <w:pPr>
              <w:spacing w:after="0" w:line="175" w:lineRule="exact"/>
              <w:rPr>
                <w:rFonts w:ascii="Arial" w:cs="Arial" w:eastAsia="Arial" w:hAnsi="Arial"/>
                <w:sz w:val="16"/>
                <w:szCs w:val="16"/>
                <w:color w:val="0000FF"/>
              </w:rPr>
            </w:pPr>
            <w:hyperlink r:id="rId108">
              <w:r>
                <w:rPr>
                  <w:rFonts w:ascii="Arial" w:cs="Arial" w:eastAsia="Arial" w:hAnsi="Arial"/>
                  <w:sz w:val="16"/>
                  <w:szCs w:val="16"/>
                  <w:color w:val="0000FF"/>
                </w:rPr>
                <w:t>4</w:t>
              </w:r>
            </w:hyperlink>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*4(b)1</w:t>
            </w:r>
          </w:p>
        </w:tc>
        <w:tc>
          <w:tcPr>
            <w:tcW w:w="6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9720" w:type="dxa"/>
            <w:vAlign w:val="bottom"/>
            <w:gridSpan w:val="16"/>
            <w:shd w:val="clear" w:color="auto" w:fill="CCEEFF"/>
          </w:tcPr>
          <w:p>
            <w:pPr>
              <w:spacing w:after="0"/>
              <w:rPr>
                <w:sz w:val="20"/>
                <w:szCs w:val="20"/>
                <w:color w:val="auto"/>
              </w:rPr>
            </w:pPr>
            <w:r>
              <w:rPr>
                <w:rFonts w:ascii="Arial" w:cs="Arial" w:eastAsia="Arial" w:hAnsi="Arial"/>
                <w:sz w:val="16"/>
                <w:szCs w:val="16"/>
                <w:color w:val="auto"/>
                <w:w w:val="92"/>
              </w:rPr>
              <w:t>Mortgage and Deed of Trust, dated as of March 1, 1943, between Superior Water, Light and Power Company and Chemical Bank &amp; Trust Company</w:t>
            </w:r>
          </w:p>
        </w:tc>
      </w:tr>
      <w:tr>
        <w:trPr>
          <w:trHeight w:val="212"/>
        </w:trPr>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720" w:type="dxa"/>
            <w:vAlign w:val="bottom"/>
            <w:gridSpan w:val="16"/>
            <w:shd w:val="clear" w:color="auto" w:fill="CCEEFF"/>
          </w:tcPr>
          <w:p>
            <w:pPr>
              <w:spacing w:after="0"/>
              <w:rPr>
                <w:sz w:val="20"/>
                <w:szCs w:val="20"/>
                <w:color w:val="auto"/>
              </w:rPr>
            </w:pPr>
            <w:r>
              <w:rPr>
                <w:rFonts w:ascii="Arial" w:cs="Arial" w:eastAsia="Arial" w:hAnsi="Arial"/>
                <w:sz w:val="16"/>
                <w:szCs w:val="16"/>
                <w:color w:val="auto"/>
                <w:w w:val="99"/>
              </w:rPr>
              <w:t>and Howard B. Smith, as Trustees, both succeeded by U.S. Bank National Association, as Trustee (filed as Exhibit 7(c), File No. 2-8668).</w:t>
            </w:r>
          </w:p>
        </w:tc>
      </w:tr>
      <w:tr>
        <w:trPr>
          <w:trHeight w:val="213"/>
        </w:trPr>
        <w:tc>
          <w:tcPr>
            <w:tcW w:w="860" w:type="dxa"/>
            <w:vAlign w:val="bottom"/>
          </w:tcPr>
          <w:p>
            <w:pPr>
              <w:ind w:left="20"/>
              <w:spacing w:after="0"/>
              <w:rPr>
                <w:sz w:val="20"/>
                <w:szCs w:val="20"/>
                <w:color w:val="auto"/>
              </w:rPr>
            </w:pPr>
            <w:r>
              <w:rPr>
                <w:rFonts w:ascii="Arial" w:cs="Arial" w:eastAsia="Arial" w:hAnsi="Arial"/>
                <w:sz w:val="16"/>
                <w:szCs w:val="16"/>
                <w:color w:val="auto"/>
              </w:rPr>
              <w:t>*4(b)2</w:t>
            </w: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c>
          <w:tcPr>
            <w:tcW w:w="7840" w:type="dxa"/>
            <w:vAlign w:val="bottom"/>
            <w:gridSpan w:val="13"/>
          </w:tcPr>
          <w:p>
            <w:pPr>
              <w:spacing w:after="0"/>
              <w:rPr>
                <w:sz w:val="20"/>
                <w:szCs w:val="20"/>
                <w:color w:val="auto"/>
              </w:rPr>
            </w:pPr>
            <w:r>
              <w:rPr>
                <w:rFonts w:ascii="Arial" w:cs="Arial" w:eastAsia="Arial" w:hAnsi="Arial"/>
                <w:sz w:val="16"/>
                <w:szCs w:val="16"/>
                <w:color w:val="auto"/>
              </w:rPr>
              <w:t>Supplemental Indentures to Superior Water, Light and Power Company’s Mortgage and Deed of Trust: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2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Dated as of</w:t>
            </w:r>
          </w:p>
        </w:tc>
        <w:tc>
          <w:tcPr>
            <w:tcW w:w="4500" w:type="dxa"/>
            <w:vAlign w:val="bottom"/>
            <w:gridSpan w:val="3"/>
            <w:shd w:val="clear" w:color="auto" w:fill="CCEEFF"/>
          </w:tcPr>
          <w:p>
            <w:pPr>
              <w:ind w:left="300"/>
              <w:spacing w:after="0"/>
              <w:rPr>
                <w:sz w:val="20"/>
                <w:szCs w:val="20"/>
                <w:color w:val="auto"/>
              </w:rPr>
            </w:pPr>
            <w:r>
              <w:rPr>
                <w:rFonts w:ascii="Arial" w:cs="Arial" w:eastAsia="Arial" w:hAnsi="Arial"/>
                <w:sz w:val="16"/>
                <w:szCs w:val="16"/>
                <w:b w:val="1"/>
                <w:bCs w:val="1"/>
                <w:color w:val="auto"/>
              </w:rPr>
              <w:t>Reference File</w:t>
            </w: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Exhibit</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color w:val="auto"/>
              </w:rPr>
              <w:t>First</w:t>
            </w:r>
          </w:p>
        </w:tc>
        <w:tc>
          <w:tcPr>
            <w:tcW w:w="1520" w:type="dxa"/>
            <w:vAlign w:val="bottom"/>
            <w:gridSpan w:val="5"/>
          </w:tcPr>
          <w:p>
            <w:pPr>
              <w:spacing w:after="0"/>
              <w:rPr>
                <w:sz w:val="20"/>
                <w:szCs w:val="20"/>
                <w:color w:val="auto"/>
              </w:rPr>
            </w:pPr>
            <w:r>
              <w:rPr>
                <w:rFonts w:ascii="Arial" w:cs="Arial" w:eastAsia="Arial" w:hAnsi="Arial"/>
                <w:sz w:val="16"/>
                <w:szCs w:val="16"/>
                <w:color w:val="auto"/>
              </w:rPr>
              <w:t>March 1, 1951</w:t>
            </w:r>
          </w:p>
        </w:tc>
        <w:tc>
          <w:tcPr>
            <w:tcW w:w="2000" w:type="dxa"/>
            <w:vAlign w:val="bottom"/>
            <w:gridSpan w:val="2"/>
          </w:tcPr>
          <w:p>
            <w:pPr>
              <w:ind w:left="300"/>
              <w:spacing w:after="0"/>
              <w:rPr>
                <w:sz w:val="20"/>
                <w:szCs w:val="20"/>
                <w:color w:val="auto"/>
              </w:rPr>
            </w:pPr>
            <w:r>
              <w:rPr>
                <w:rFonts w:ascii="Arial" w:cs="Arial" w:eastAsia="Arial" w:hAnsi="Arial"/>
                <w:sz w:val="16"/>
                <w:szCs w:val="16"/>
                <w:color w:val="auto"/>
              </w:rPr>
              <w:t>2-59690</w:t>
            </w:r>
          </w:p>
        </w:tc>
        <w:tc>
          <w:tcPr>
            <w:tcW w:w="250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2(d)(1)</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Second</w:t>
            </w: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March 1, 1962</w:t>
            </w: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2-27794</w:t>
            </w:r>
          </w:p>
        </w:tc>
        <w:tc>
          <w:tcPr>
            <w:tcW w:w="25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2(d)1</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color w:val="auto"/>
              </w:rPr>
              <w:t>Third</w:t>
            </w:r>
          </w:p>
        </w:tc>
        <w:tc>
          <w:tcPr>
            <w:tcW w:w="1520" w:type="dxa"/>
            <w:vAlign w:val="bottom"/>
            <w:gridSpan w:val="5"/>
          </w:tcPr>
          <w:p>
            <w:pPr>
              <w:spacing w:after="0"/>
              <w:rPr>
                <w:sz w:val="20"/>
                <w:szCs w:val="20"/>
                <w:color w:val="auto"/>
              </w:rPr>
            </w:pPr>
            <w:r>
              <w:rPr>
                <w:rFonts w:ascii="Arial" w:cs="Arial" w:eastAsia="Arial" w:hAnsi="Arial"/>
                <w:sz w:val="16"/>
                <w:szCs w:val="16"/>
                <w:color w:val="auto"/>
              </w:rPr>
              <w:t>July 1, 1976</w:t>
            </w:r>
          </w:p>
        </w:tc>
        <w:tc>
          <w:tcPr>
            <w:tcW w:w="2000" w:type="dxa"/>
            <w:vAlign w:val="bottom"/>
            <w:gridSpan w:val="2"/>
          </w:tcPr>
          <w:p>
            <w:pPr>
              <w:ind w:left="300"/>
              <w:spacing w:after="0"/>
              <w:rPr>
                <w:sz w:val="20"/>
                <w:szCs w:val="20"/>
                <w:color w:val="auto"/>
              </w:rPr>
            </w:pPr>
            <w:r>
              <w:rPr>
                <w:rFonts w:ascii="Arial" w:cs="Arial" w:eastAsia="Arial" w:hAnsi="Arial"/>
                <w:sz w:val="16"/>
                <w:szCs w:val="16"/>
                <w:color w:val="auto"/>
              </w:rPr>
              <w:t>2-57478</w:t>
            </w:r>
          </w:p>
        </w:tc>
        <w:tc>
          <w:tcPr>
            <w:tcW w:w="250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2(e)1</w:t>
            </w:r>
          </w:p>
        </w:tc>
      </w:tr>
      <w:tr>
        <w:trPr>
          <w:trHeight w:val="219"/>
        </w:trPr>
        <w:tc>
          <w:tcPr>
            <w:tcW w:w="8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Fourth</w:t>
            </w: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March 1, 1985</w:t>
            </w:r>
          </w:p>
        </w:tc>
        <w:tc>
          <w:tcPr>
            <w:tcW w:w="20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2-78641</w:t>
            </w:r>
          </w:p>
        </w:tc>
        <w:tc>
          <w:tcPr>
            <w:tcW w:w="250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4(b)</w:t>
            </w:r>
          </w:p>
        </w:tc>
      </w:tr>
      <w:tr>
        <w:trPr>
          <w:trHeight w:val="213"/>
        </w:trPr>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color w:val="auto"/>
              </w:rPr>
              <w:t>Fifth</w:t>
            </w:r>
          </w:p>
        </w:tc>
        <w:tc>
          <w:tcPr>
            <w:tcW w:w="1520" w:type="dxa"/>
            <w:vAlign w:val="bottom"/>
            <w:gridSpan w:val="5"/>
          </w:tcPr>
          <w:p>
            <w:pPr>
              <w:spacing w:after="0"/>
              <w:rPr>
                <w:sz w:val="20"/>
                <w:szCs w:val="20"/>
                <w:color w:val="auto"/>
              </w:rPr>
            </w:pPr>
            <w:r>
              <w:rPr>
                <w:rFonts w:ascii="Arial" w:cs="Arial" w:eastAsia="Arial" w:hAnsi="Arial"/>
                <w:sz w:val="16"/>
                <w:szCs w:val="16"/>
                <w:color w:val="auto"/>
              </w:rPr>
              <w:t>December 1, 1992</w:t>
            </w:r>
          </w:p>
        </w:tc>
        <w:tc>
          <w:tcPr>
            <w:tcW w:w="4500" w:type="dxa"/>
            <w:vAlign w:val="bottom"/>
            <w:gridSpan w:val="3"/>
          </w:tcPr>
          <w:p>
            <w:pPr>
              <w:ind w:left="300"/>
              <w:spacing w:after="0"/>
              <w:rPr>
                <w:sz w:val="20"/>
                <w:szCs w:val="20"/>
                <w:color w:val="auto"/>
              </w:rPr>
            </w:pPr>
            <w:r>
              <w:rPr>
                <w:rFonts w:ascii="Arial" w:cs="Arial" w:eastAsia="Arial" w:hAnsi="Arial"/>
                <w:sz w:val="16"/>
                <w:szCs w:val="16"/>
                <w:color w:val="auto"/>
              </w:rPr>
              <w:t>1-3548 (1992 Form 10-K)</w:t>
            </w:r>
          </w:p>
        </w:tc>
        <w:tc>
          <w:tcPr>
            <w:tcW w:w="1880" w:type="dxa"/>
            <w:vAlign w:val="bottom"/>
            <w:gridSpan w:val="3"/>
          </w:tcPr>
          <w:p>
            <w:pPr>
              <w:spacing w:after="0"/>
              <w:rPr>
                <w:sz w:val="20"/>
                <w:szCs w:val="20"/>
                <w:color w:val="auto"/>
              </w:rPr>
            </w:pPr>
            <w:r>
              <w:rPr>
                <w:rFonts w:ascii="Arial" w:cs="Arial" w:eastAsia="Arial" w:hAnsi="Arial"/>
                <w:sz w:val="16"/>
                <w:szCs w:val="16"/>
                <w:color w:val="auto"/>
              </w:rPr>
              <w:t>4(b)1</w:t>
            </w:r>
          </w:p>
        </w:tc>
      </w:tr>
      <w:tr>
        <w:trPr>
          <w:trHeight w:val="178"/>
        </w:trPr>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20" w:type="dxa"/>
            <w:vAlign w:val="bottom"/>
            <w:gridSpan w:val="5"/>
            <w:shd w:val="clear" w:color="auto" w:fill="CCEEFF"/>
          </w:tcPr>
          <w:p>
            <w:pPr>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Sixth</w:t>
              </w:r>
            </w:hyperlink>
          </w:p>
        </w:tc>
        <w:tc>
          <w:tcPr>
            <w:tcW w:w="1520" w:type="dxa"/>
            <w:vAlign w:val="bottom"/>
            <w:gridSpan w:val="5"/>
            <w:shd w:val="clear" w:color="auto" w:fill="CCEEFF"/>
          </w:tcPr>
          <w:p>
            <w:pPr>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March 24, 1994</w:t>
              </w:r>
            </w:hyperlink>
          </w:p>
        </w:tc>
        <w:tc>
          <w:tcPr>
            <w:tcW w:w="4500" w:type="dxa"/>
            <w:vAlign w:val="bottom"/>
            <w:gridSpan w:val="3"/>
            <w:shd w:val="clear" w:color="auto" w:fill="CCEEFF"/>
          </w:tcPr>
          <w:p>
            <w:pPr>
              <w:ind w:left="300"/>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1-3548 (1996 Form 10-K)</w:t>
              </w:r>
            </w:hyperlink>
          </w:p>
        </w:tc>
        <w:tc>
          <w:tcPr>
            <w:tcW w:w="1880" w:type="dxa"/>
            <w:vAlign w:val="bottom"/>
            <w:gridSpan w:val="3"/>
            <w:shd w:val="clear" w:color="auto" w:fill="CCEEFF"/>
          </w:tcPr>
          <w:p>
            <w:pPr>
              <w:spacing w:after="0" w:line="178" w:lineRule="exact"/>
              <w:rPr>
                <w:rFonts w:ascii="Arial" w:cs="Arial" w:eastAsia="Arial" w:hAnsi="Arial"/>
                <w:sz w:val="16"/>
                <w:szCs w:val="16"/>
                <w:color w:val="0000FF"/>
              </w:rPr>
            </w:pPr>
            <w:hyperlink r:id="rId85">
              <w:r>
                <w:rPr>
                  <w:rFonts w:ascii="Arial" w:cs="Arial" w:eastAsia="Arial" w:hAnsi="Arial"/>
                  <w:sz w:val="16"/>
                  <w:szCs w:val="16"/>
                  <w:color w:val="0000FF"/>
                </w:rPr>
                <w:t>4(b)</w:t>
              </w:r>
              <w:r>
                <w:rPr>
                  <w:rFonts w:ascii="Arial" w:cs="Arial" w:eastAsia="Arial" w:hAnsi="Arial"/>
                  <w:sz w:val="16"/>
                  <w:szCs w:val="16"/>
                  <w:u w:val="single" w:color="auto"/>
                  <w:color w:val="0000FF"/>
                </w:rPr>
                <w:t>1</w:t>
              </w:r>
            </w:hyperlink>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5"/>
          </w:tcPr>
          <w:p>
            <w:pPr>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Seventh</w:t>
              </w:r>
            </w:hyperlink>
          </w:p>
        </w:tc>
        <w:tc>
          <w:tcPr>
            <w:tcW w:w="1520" w:type="dxa"/>
            <w:vAlign w:val="bottom"/>
            <w:gridSpan w:val="5"/>
          </w:tcPr>
          <w:p>
            <w:pPr>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November 1, 1994</w:t>
              </w:r>
            </w:hyperlink>
          </w:p>
        </w:tc>
        <w:tc>
          <w:tcPr>
            <w:tcW w:w="4500" w:type="dxa"/>
            <w:vAlign w:val="bottom"/>
            <w:gridSpan w:val="3"/>
          </w:tcPr>
          <w:p>
            <w:pPr>
              <w:ind w:left="300"/>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1-3548 (1996 Form 10-K)</w:t>
              </w:r>
            </w:hyperlink>
          </w:p>
        </w:tc>
        <w:tc>
          <w:tcPr>
            <w:tcW w:w="1880" w:type="dxa"/>
            <w:vAlign w:val="bottom"/>
            <w:gridSpan w:val="3"/>
          </w:tcPr>
          <w:p>
            <w:pPr>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4(b)</w:t>
              </w:r>
              <w:r>
                <w:rPr>
                  <w:rFonts w:ascii="Arial" w:cs="Arial" w:eastAsia="Arial" w:hAnsi="Arial"/>
                  <w:sz w:val="16"/>
                  <w:szCs w:val="16"/>
                  <w:u w:val="single" w:color="auto"/>
                  <w:color w:val="0000FF"/>
                </w:rPr>
                <w:t>2</w:t>
              </w:r>
            </w:hyperlink>
          </w:p>
        </w:tc>
      </w:tr>
      <w:tr>
        <w:trPr>
          <w:trHeight w:val="20"/>
        </w:trPr>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gridSpan w:val="3"/>
            <w:shd w:val="clear" w:color="auto" w:fill="CCEEFF"/>
          </w:tcPr>
          <w:p>
            <w:pPr>
              <w:spacing w:after="0" w:line="175" w:lineRule="exact"/>
              <w:rPr>
                <w:rFonts w:ascii="Arial" w:cs="Arial" w:eastAsia="Arial" w:hAnsi="Arial"/>
                <w:sz w:val="16"/>
                <w:szCs w:val="16"/>
                <w:color w:val="0000FF"/>
                <w:w w:val="92"/>
              </w:rPr>
            </w:pPr>
            <w:hyperlink r:id="rId85">
              <w:r>
                <w:rPr>
                  <w:rFonts w:ascii="Arial" w:cs="Arial" w:eastAsia="Arial" w:hAnsi="Arial"/>
                  <w:sz w:val="16"/>
                  <w:szCs w:val="16"/>
                  <w:color w:val="0000FF"/>
                  <w:w w:val="92"/>
                </w:rPr>
                <w:t>Eighth</w:t>
              </w:r>
            </w:hyperlink>
          </w:p>
        </w:tc>
        <w:tc>
          <w:tcPr>
            <w:tcW w:w="1380" w:type="dxa"/>
            <w:vAlign w:val="bottom"/>
            <w:gridSpan w:val="2"/>
            <w:shd w:val="clear" w:color="auto" w:fill="CCEEFF"/>
          </w:tcPr>
          <w:p>
            <w:pPr>
              <w:spacing w:after="0"/>
              <w:rPr>
                <w:sz w:val="15"/>
                <w:szCs w:val="15"/>
                <w:color w:val="auto"/>
              </w:rPr>
            </w:pPr>
          </w:p>
        </w:tc>
        <w:tc>
          <w:tcPr>
            <w:tcW w:w="1040" w:type="dxa"/>
            <w:vAlign w:val="bottom"/>
            <w:shd w:val="clear" w:color="auto" w:fill="CCEEFF"/>
          </w:tcPr>
          <w:p>
            <w:pPr>
              <w:spacing w:after="0" w:line="175" w:lineRule="exact"/>
              <w:rPr>
                <w:rFonts w:ascii="Arial" w:cs="Arial" w:eastAsia="Arial" w:hAnsi="Arial"/>
                <w:sz w:val="16"/>
                <w:szCs w:val="16"/>
                <w:color w:val="0000FF"/>
                <w:w w:val="88"/>
              </w:rPr>
            </w:pPr>
            <w:hyperlink r:id="rId85">
              <w:r>
                <w:rPr>
                  <w:rFonts w:ascii="Arial" w:cs="Arial" w:eastAsia="Arial" w:hAnsi="Arial"/>
                  <w:sz w:val="16"/>
                  <w:szCs w:val="16"/>
                  <w:color w:val="0000FF"/>
                  <w:w w:val="88"/>
                </w:rPr>
                <w:t>January 1, 1997</w:t>
              </w:r>
            </w:hyperlink>
          </w:p>
        </w:tc>
        <w:tc>
          <w:tcPr>
            <w:tcW w:w="480" w:type="dxa"/>
            <w:vAlign w:val="bottom"/>
            <w:gridSpan w:val="4"/>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1-3548 (1996 Form 10-K)</w:t>
              </w:r>
            </w:hyperlink>
          </w:p>
        </w:tc>
        <w:tc>
          <w:tcPr>
            <w:tcW w:w="1880" w:type="dxa"/>
            <w:vAlign w:val="bottom"/>
            <w:gridSpan w:val="3"/>
            <w:shd w:val="clear" w:color="auto" w:fill="CCEEFF"/>
          </w:tcPr>
          <w:p>
            <w:pPr>
              <w:spacing w:after="0" w:line="175" w:lineRule="exact"/>
              <w:rPr>
                <w:rFonts w:ascii="Arial" w:cs="Arial" w:eastAsia="Arial" w:hAnsi="Arial"/>
                <w:sz w:val="16"/>
                <w:szCs w:val="16"/>
                <w:color w:val="0000FF"/>
              </w:rPr>
            </w:pPr>
            <w:hyperlink r:id="rId85">
              <w:r>
                <w:rPr>
                  <w:rFonts w:ascii="Arial" w:cs="Arial" w:eastAsia="Arial" w:hAnsi="Arial"/>
                  <w:sz w:val="16"/>
                  <w:szCs w:val="16"/>
                  <w:color w:val="0000FF"/>
                </w:rPr>
                <w:t>4(b)</w:t>
              </w:r>
              <w:r>
                <w:rPr>
                  <w:rFonts w:ascii="Arial" w:cs="Arial" w:eastAsia="Arial" w:hAnsi="Arial"/>
                  <w:sz w:val="16"/>
                  <w:szCs w:val="16"/>
                  <w:u w:val="single" w:color="auto"/>
                  <w:color w:val="0000FF"/>
                </w:rPr>
                <w:t>3</w:t>
              </w:r>
            </w:hyperlink>
          </w:p>
        </w:tc>
      </w:tr>
      <w:tr>
        <w:trPr>
          <w:trHeight w:val="21"/>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gridSpan w:val="3"/>
          </w:tcPr>
          <w:p>
            <w:pPr>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Ninth</w:t>
              </w:r>
            </w:hyperlink>
          </w:p>
        </w:tc>
        <w:tc>
          <w:tcPr>
            <w:tcW w:w="1380" w:type="dxa"/>
            <w:vAlign w:val="bottom"/>
            <w:gridSpan w:val="2"/>
          </w:tcPr>
          <w:p>
            <w:pPr>
              <w:spacing w:after="0"/>
              <w:rPr>
                <w:sz w:val="15"/>
                <w:szCs w:val="15"/>
                <w:color w:val="auto"/>
              </w:rPr>
            </w:pPr>
          </w:p>
        </w:tc>
        <w:tc>
          <w:tcPr>
            <w:tcW w:w="1520" w:type="dxa"/>
            <w:vAlign w:val="bottom"/>
            <w:gridSpan w:val="5"/>
          </w:tcPr>
          <w:p>
            <w:pPr>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October 1, 2007</w:t>
              </w:r>
            </w:hyperlink>
          </w:p>
        </w:tc>
        <w:tc>
          <w:tcPr>
            <w:tcW w:w="4500" w:type="dxa"/>
            <w:vAlign w:val="bottom"/>
            <w:gridSpan w:val="3"/>
          </w:tcPr>
          <w:p>
            <w:pPr>
              <w:ind w:left="300"/>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1-3548 (2007 Form 10-K)</w:t>
              </w:r>
            </w:hyperlink>
          </w:p>
        </w:tc>
        <w:tc>
          <w:tcPr>
            <w:tcW w:w="1880" w:type="dxa"/>
            <w:vAlign w:val="bottom"/>
            <w:gridSpan w:val="3"/>
          </w:tcPr>
          <w:p>
            <w:pPr>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1"/>
        </w:trPr>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0000FF"/>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6"/>
        </w:trPr>
        <w:tc>
          <w:tcPr>
            <w:tcW w:w="8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line="175" w:lineRule="exact"/>
              <w:rPr>
                <w:rFonts w:ascii="Arial" w:cs="Arial" w:eastAsia="Arial" w:hAnsi="Arial"/>
                <w:sz w:val="16"/>
                <w:szCs w:val="16"/>
                <w:color w:val="0000FF"/>
                <w:w w:val="87"/>
              </w:rPr>
            </w:pPr>
            <w:hyperlink r:id="rId110">
              <w:r>
                <w:rPr>
                  <w:rFonts w:ascii="Arial" w:cs="Arial" w:eastAsia="Arial" w:hAnsi="Arial"/>
                  <w:sz w:val="16"/>
                  <w:szCs w:val="16"/>
                  <w:color w:val="0000FF"/>
                  <w:w w:val="87"/>
                </w:rPr>
                <w:t>Tenth</w:t>
              </w:r>
            </w:hyperlink>
          </w:p>
        </w:tc>
        <w:tc>
          <w:tcPr>
            <w:tcW w:w="1440" w:type="dxa"/>
            <w:vAlign w:val="bottom"/>
            <w:gridSpan w:val="3"/>
            <w:shd w:val="clear" w:color="auto" w:fill="CCEEFF"/>
          </w:tcPr>
          <w:p>
            <w:pPr>
              <w:spacing w:after="0"/>
              <w:rPr>
                <w:sz w:val="15"/>
                <w:szCs w:val="15"/>
                <w:color w:val="auto"/>
              </w:rPr>
            </w:pPr>
          </w:p>
        </w:tc>
        <w:tc>
          <w:tcPr>
            <w:tcW w:w="1060" w:type="dxa"/>
            <w:vAlign w:val="bottom"/>
            <w:gridSpan w:val="2"/>
            <w:shd w:val="clear" w:color="auto" w:fill="CCEEFF"/>
          </w:tcPr>
          <w:p>
            <w:pPr>
              <w:spacing w:after="0" w:line="175" w:lineRule="exact"/>
              <w:rPr>
                <w:rFonts w:ascii="Arial" w:cs="Arial" w:eastAsia="Arial" w:hAnsi="Arial"/>
                <w:sz w:val="16"/>
                <w:szCs w:val="16"/>
                <w:color w:val="0000FF"/>
                <w:w w:val="90"/>
              </w:rPr>
            </w:pPr>
            <w:hyperlink r:id="rId110">
              <w:r>
                <w:rPr>
                  <w:rFonts w:ascii="Arial" w:cs="Arial" w:eastAsia="Arial" w:hAnsi="Arial"/>
                  <w:sz w:val="16"/>
                  <w:szCs w:val="16"/>
                  <w:color w:val="0000FF"/>
                  <w:w w:val="90"/>
                </w:rPr>
                <w:t>October 1, 2007</w:t>
              </w:r>
            </w:hyperlink>
          </w:p>
        </w:tc>
        <w:tc>
          <w:tcPr>
            <w:tcW w:w="460" w:type="dxa"/>
            <w:vAlign w:val="bottom"/>
            <w:gridSpan w:val="3"/>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0" w:type="dxa"/>
            <w:vAlign w:val="bottom"/>
            <w:gridSpan w:val="2"/>
            <w:shd w:val="clear" w:color="auto" w:fill="CCEEFF"/>
          </w:tcPr>
          <w:p>
            <w:pPr>
              <w:spacing w:after="0" w:line="175" w:lineRule="exact"/>
              <w:rPr>
                <w:rFonts w:ascii="Arial" w:cs="Arial" w:eastAsia="Arial" w:hAnsi="Arial"/>
                <w:sz w:val="16"/>
                <w:szCs w:val="16"/>
                <w:color w:val="0000FF"/>
              </w:rPr>
            </w:pPr>
            <w:hyperlink r:id="rId110">
              <w:r>
                <w:rPr>
                  <w:rFonts w:ascii="Arial" w:cs="Arial" w:eastAsia="Arial" w:hAnsi="Arial"/>
                  <w:sz w:val="16"/>
                  <w:szCs w:val="16"/>
                  <w:color w:val="0000FF"/>
                </w:rPr>
                <w:t>1-3548 (2007 Form 10-K)</w:t>
              </w:r>
            </w:hyperlink>
          </w:p>
        </w:tc>
        <w:tc>
          <w:tcPr>
            <w:tcW w:w="1880" w:type="dxa"/>
            <w:vAlign w:val="bottom"/>
            <w:gridSpan w:val="3"/>
            <w:shd w:val="clear" w:color="auto" w:fill="CCEEFF"/>
          </w:tcPr>
          <w:p>
            <w:pPr>
              <w:spacing w:after="0" w:line="175" w:lineRule="exact"/>
              <w:rPr>
                <w:rFonts w:ascii="Arial" w:cs="Arial" w:eastAsia="Arial" w:hAnsi="Arial"/>
                <w:sz w:val="16"/>
                <w:szCs w:val="16"/>
                <w:color w:val="0000FF"/>
              </w:rPr>
            </w:pPr>
            <w:hyperlink r:id="rId110">
              <w:r>
                <w:rPr>
                  <w:rFonts w:ascii="Arial" w:cs="Arial" w:eastAsia="Arial" w:hAnsi="Arial"/>
                  <w:sz w:val="16"/>
                  <w:szCs w:val="16"/>
                  <w:color w:val="0000FF"/>
                </w:rPr>
                <w:t>4(c)</w:t>
              </w:r>
              <w:r>
                <w:rPr>
                  <w:rFonts w:ascii="Arial" w:cs="Arial" w:eastAsia="Arial" w:hAnsi="Arial"/>
                  <w:sz w:val="16"/>
                  <w:szCs w:val="16"/>
                  <w:u w:val="single" w:color="auto"/>
                  <w:color w:val="0000FF"/>
                </w:rPr>
                <w:t>4</w:t>
              </w:r>
            </w:hyperlink>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5"/>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Eleventh</w:t>
              </w:r>
            </w:hyperlink>
          </w:p>
        </w:tc>
        <w:tc>
          <w:tcPr>
            <w:tcW w:w="1520" w:type="dxa"/>
            <w:vAlign w:val="bottom"/>
            <w:gridSpan w:val="5"/>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December 1, 2008</w:t>
              </w:r>
            </w:hyperlink>
          </w:p>
        </w:tc>
        <w:tc>
          <w:tcPr>
            <w:tcW w:w="4500" w:type="dxa"/>
            <w:vAlign w:val="bottom"/>
            <w:gridSpan w:val="3"/>
          </w:tcPr>
          <w:p>
            <w:pPr>
              <w:ind w:left="300"/>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1-3548 (2008 Form 10-K)</w:t>
              </w:r>
            </w:hyperlink>
          </w:p>
        </w:tc>
        <w:tc>
          <w:tcPr>
            <w:tcW w:w="1880" w:type="dxa"/>
            <w:vAlign w:val="bottom"/>
            <w:gridSpan w:val="3"/>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0"/>
        </w:trPr>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20" w:type="dxa"/>
            <w:vAlign w:val="bottom"/>
            <w:tcBorders>
              <w:top w:val="single" w:sz="8" w:color="auto"/>
            </w:tcBorders>
            <w:shd w:val="clear" w:color="auto" w:fill="CCEEFF"/>
          </w:tcPr>
          <w:p>
            <w:pPr>
              <w:spacing w:after="0"/>
              <w:rPr>
                <w:sz w:val="14"/>
                <w:szCs w:val="14"/>
                <w:color w:val="auto"/>
              </w:rPr>
            </w:pPr>
          </w:p>
        </w:tc>
        <w:tc>
          <w:tcPr>
            <w:tcW w:w="1820" w:type="dxa"/>
            <w:vAlign w:val="bottom"/>
            <w:tcBorders>
              <w:top w:val="single" w:sz="8" w:color="auto"/>
            </w:tcBorders>
            <w:gridSpan w:val="5"/>
            <w:shd w:val="clear" w:color="auto" w:fill="CCEEFF"/>
          </w:tcPr>
          <w:p>
            <w:pPr>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Twelfth</w:t>
              </w:r>
            </w:hyperlink>
          </w:p>
        </w:tc>
        <w:tc>
          <w:tcPr>
            <w:tcW w:w="1520" w:type="dxa"/>
            <w:vAlign w:val="bottom"/>
            <w:tcBorders>
              <w:top w:val="single" w:sz="8" w:color="auto"/>
            </w:tcBorders>
            <w:gridSpan w:val="3"/>
            <w:shd w:val="clear" w:color="auto" w:fill="CCEEFF"/>
          </w:tcPr>
          <w:p>
            <w:pPr>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December 2, 2013</w:t>
              </w:r>
            </w:hyperlink>
          </w:p>
        </w:tc>
        <w:tc>
          <w:tcPr>
            <w:tcW w:w="780" w:type="dxa"/>
            <w:vAlign w:val="bottom"/>
            <w:tcBorders>
              <w:top w:val="single" w:sz="8" w:color="auto"/>
            </w:tcBorders>
            <w:gridSpan w:val="2"/>
            <w:shd w:val="clear" w:color="auto" w:fill="CCEEFF"/>
          </w:tcPr>
          <w:p>
            <w:pPr>
              <w:jc w:val="right"/>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1-3548</w:t>
              </w:r>
            </w:hyperlink>
          </w:p>
        </w:tc>
        <w:tc>
          <w:tcPr>
            <w:tcW w:w="3720" w:type="dxa"/>
            <w:vAlign w:val="bottom"/>
            <w:tcBorders>
              <w:top w:val="single" w:sz="8" w:color="auto"/>
            </w:tcBorders>
            <w:gridSpan w:val="3"/>
            <w:shd w:val="clear" w:color="auto" w:fill="CCEEFF"/>
          </w:tcPr>
          <w:p>
            <w:pPr>
              <w:ind w:left="20"/>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(2013 Form 10-K)</w:t>
              </w:r>
            </w:hyperlink>
          </w:p>
        </w:tc>
        <w:tc>
          <w:tcPr>
            <w:tcW w:w="1880" w:type="dxa"/>
            <w:vAlign w:val="bottom"/>
            <w:tcBorders>
              <w:top w:val="single" w:sz="8" w:color="auto"/>
            </w:tcBorders>
            <w:gridSpan w:val="4"/>
            <w:shd w:val="clear" w:color="auto" w:fill="CCEEFF"/>
          </w:tcPr>
          <w:p>
            <w:pPr>
              <w:spacing w:after="0" w:line="169" w:lineRule="exact"/>
              <w:rPr>
                <w:rFonts w:ascii="Arial" w:cs="Arial" w:eastAsia="Arial" w:hAnsi="Arial"/>
                <w:sz w:val="16"/>
                <w:szCs w:val="16"/>
                <w:color w:val="0000FF"/>
              </w:rPr>
            </w:pPr>
            <w:hyperlink r:id="rId113">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70"/>
        </w:trPr>
        <w:tc>
          <w:tcPr>
            <w:tcW w:w="1520" w:type="dxa"/>
            <w:vAlign w:val="bottom"/>
          </w:tcPr>
          <w:p>
            <w:pPr>
              <w:spacing w:after="0"/>
              <w:rPr>
                <w:sz w:val="23"/>
                <w:szCs w:val="23"/>
                <w:color w:val="auto"/>
              </w:rPr>
            </w:pPr>
          </w:p>
        </w:tc>
        <w:tc>
          <w:tcPr>
            <w:tcW w:w="1820" w:type="dxa"/>
            <w:vAlign w:val="bottom"/>
            <w:gridSpan w:val="5"/>
          </w:tcPr>
          <w:p>
            <w:pPr>
              <w:spacing w:after="0"/>
              <w:rPr>
                <w:rFonts w:ascii="Arial" w:cs="Arial" w:eastAsia="Arial" w:hAnsi="Arial"/>
                <w:sz w:val="16"/>
                <w:szCs w:val="16"/>
                <w:color w:val="0000FF"/>
              </w:rPr>
            </w:pPr>
            <w:hyperlink r:id="rId114">
              <w:r>
                <w:rPr>
                  <w:rFonts w:ascii="Arial" w:cs="Arial" w:eastAsia="Arial" w:hAnsi="Arial"/>
                  <w:sz w:val="16"/>
                  <w:szCs w:val="16"/>
                  <w:color w:val="0000FF"/>
                </w:rPr>
                <w:t>Thirteenth</w:t>
              </w:r>
            </w:hyperlink>
          </w:p>
        </w:tc>
        <w:tc>
          <w:tcPr>
            <w:tcW w:w="1520" w:type="dxa"/>
            <w:vAlign w:val="bottom"/>
            <w:gridSpan w:val="3"/>
          </w:tcPr>
          <w:p>
            <w:pPr>
              <w:spacing w:after="0"/>
              <w:rPr>
                <w:rFonts w:ascii="Arial" w:cs="Arial" w:eastAsia="Arial" w:hAnsi="Arial"/>
                <w:sz w:val="16"/>
                <w:szCs w:val="16"/>
                <w:color w:val="0000FF"/>
              </w:rPr>
            </w:pPr>
            <w:hyperlink r:id="rId114">
              <w:r>
                <w:rPr>
                  <w:rFonts w:ascii="Arial" w:cs="Arial" w:eastAsia="Arial" w:hAnsi="Arial"/>
                  <w:sz w:val="16"/>
                  <w:szCs w:val="16"/>
                  <w:color w:val="0000FF"/>
                </w:rPr>
                <w:t>May 29, 2018</w:t>
              </w:r>
            </w:hyperlink>
          </w:p>
        </w:tc>
        <w:tc>
          <w:tcPr>
            <w:tcW w:w="780" w:type="dxa"/>
            <w:vAlign w:val="bottom"/>
            <w:gridSpan w:val="2"/>
          </w:tcPr>
          <w:p>
            <w:pPr>
              <w:jc w:val="right"/>
              <w:spacing w:after="0"/>
              <w:rPr>
                <w:rFonts w:ascii="Arial" w:cs="Arial" w:eastAsia="Arial" w:hAnsi="Arial"/>
                <w:sz w:val="16"/>
                <w:szCs w:val="16"/>
                <w:color w:val="0000FF"/>
              </w:rPr>
            </w:pPr>
            <w:hyperlink r:id="rId114">
              <w:r>
                <w:rPr>
                  <w:rFonts w:ascii="Arial" w:cs="Arial" w:eastAsia="Arial" w:hAnsi="Arial"/>
                  <w:sz w:val="16"/>
                  <w:szCs w:val="16"/>
                  <w:color w:val="0000FF"/>
                </w:rPr>
                <w:t>1-3548</w:t>
              </w:r>
            </w:hyperlink>
          </w:p>
        </w:tc>
        <w:tc>
          <w:tcPr>
            <w:tcW w:w="3720" w:type="dxa"/>
            <w:vAlign w:val="bottom"/>
            <w:gridSpan w:val="3"/>
          </w:tcPr>
          <w:p>
            <w:pPr>
              <w:ind w:left="20"/>
              <w:spacing w:after="0"/>
              <w:rPr>
                <w:rFonts w:ascii="Arial" w:cs="Arial" w:eastAsia="Arial" w:hAnsi="Arial"/>
                <w:sz w:val="16"/>
                <w:szCs w:val="16"/>
                <w:color w:val="0000FF"/>
              </w:rPr>
            </w:pPr>
            <w:hyperlink r:id="rId114">
              <w:r>
                <w:rPr>
                  <w:rFonts w:ascii="Arial" w:cs="Arial" w:eastAsia="Arial" w:hAnsi="Arial"/>
                  <w:sz w:val="16"/>
                  <w:szCs w:val="16"/>
                  <w:color w:val="0000FF"/>
                </w:rPr>
                <w:t>(June 30, 2018, Form 10-Q)</w:t>
              </w:r>
            </w:hyperlink>
          </w:p>
        </w:tc>
        <w:tc>
          <w:tcPr>
            <w:tcW w:w="280" w:type="dxa"/>
            <w:vAlign w:val="bottom"/>
            <w:gridSpan w:val="2"/>
          </w:tcPr>
          <w:p>
            <w:pPr>
              <w:spacing w:after="0"/>
              <w:rPr>
                <w:rFonts w:ascii="Arial" w:cs="Arial" w:eastAsia="Arial" w:hAnsi="Arial"/>
                <w:sz w:val="16"/>
                <w:szCs w:val="16"/>
                <w:color w:val="0000FF"/>
              </w:rPr>
            </w:pPr>
            <w:hyperlink r:id="rId114">
              <w:r>
                <w:rPr>
                  <w:rFonts w:ascii="Arial" w:cs="Arial" w:eastAsia="Arial" w:hAnsi="Arial"/>
                  <w:sz w:val="16"/>
                  <w:szCs w:val="16"/>
                  <w:color w:val="0000FF"/>
                </w:rPr>
                <w:t>4</w:t>
              </w:r>
            </w:hyperlink>
          </w:p>
        </w:tc>
        <w:tc>
          <w:tcPr>
            <w:tcW w:w="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01"/>
        </w:trPr>
        <w:tc>
          <w:tcPr>
            <w:tcW w:w="1520" w:type="dxa"/>
            <w:vAlign w:val="bottom"/>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Borders>
              <w:top w:val="single" w:sz="8" w:color="0000FF"/>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0000FF"/>
            </w:tcBorders>
          </w:tcPr>
          <w:p>
            <w:pPr>
              <w:spacing w:after="0"/>
              <w:rPr>
                <w:sz w:val="8"/>
                <w:szCs w:val="8"/>
                <w:color w:val="auto"/>
              </w:rPr>
            </w:pPr>
          </w:p>
        </w:tc>
        <w:tc>
          <w:tcPr>
            <w:tcW w:w="122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176"/>
        </w:trPr>
        <w:tc>
          <w:tcPr>
            <w:tcW w:w="1520" w:type="dxa"/>
            <w:vAlign w:val="bottom"/>
            <w:shd w:val="clear" w:color="auto" w:fill="CCEEFF"/>
          </w:tcPr>
          <w:p>
            <w:pPr>
              <w:spacing w:after="0"/>
              <w:rPr>
                <w:sz w:val="15"/>
                <w:szCs w:val="15"/>
                <w:color w:val="auto"/>
              </w:rPr>
            </w:pPr>
          </w:p>
        </w:tc>
        <w:tc>
          <w:tcPr>
            <w:tcW w:w="1820" w:type="dxa"/>
            <w:vAlign w:val="bottom"/>
            <w:gridSpan w:val="5"/>
            <w:shd w:val="clear" w:color="auto" w:fill="CCEEFF"/>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Fourteenth</w:t>
              </w:r>
            </w:hyperlink>
          </w:p>
        </w:tc>
        <w:tc>
          <w:tcPr>
            <w:tcW w:w="1520" w:type="dxa"/>
            <w:vAlign w:val="bottom"/>
            <w:gridSpan w:val="3"/>
            <w:shd w:val="clear" w:color="auto" w:fill="CCEEFF"/>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June 14, 2021</w:t>
              </w:r>
            </w:hyperlink>
          </w:p>
        </w:tc>
        <w:tc>
          <w:tcPr>
            <w:tcW w:w="780" w:type="dxa"/>
            <w:vAlign w:val="bottom"/>
            <w:gridSpan w:val="2"/>
            <w:shd w:val="clear" w:color="auto" w:fill="CCEEFF"/>
          </w:tcPr>
          <w:p>
            <w:pPr>
              <w:jc w:val="right"/>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1-3548</w:t>
              </w:r>
            </w:hyperlink>
          </w:p>
        </w:tc>
        <w:tc>
          <w:tcPr>
            <w:tcW w:w="372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(June 30, 2021, Form 10-Q)</w:t>
              </w:r>
            </w:hyperlink>
          </w:p>
        </w:tc>
        <w:tc>
          <w:tcPr>
            <w:tcW w:w="1880" w:type="dxa"/>
            <w:vAlign w:val="bottom"/>
            <w:gridSpan w:val="4"/>
            <w:shd w:val="clear" w:color="auto" w:fill="CCEEFF"/>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4(a)</w:t>
              </w:r>
            </w:hyperlink>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520" w:type="dxa"/>
            <w:vAlign w:val="bottom"/>
          </w:tcPr>
          <w:p>
            <w:pPr>
              <w:spacing w:after="0"/>
              <w:rPr>
                <w:sz w:val="15"/>
                <w:szCs w:val="15"/>
                <w:color w:val="auto"/>
              </w:rPr>
            </w:pPr>
          </w:p>
        </w:tc>
        <w:tc>
          <w:tcPr>
            <w:tcW w:w="700" w:type="dxa"/>
            <w:vAlign w:val="bottom"/>
            <w:gridSpan w:val="4"/>
          </w:tcPr>
          <w:p>
            <w:pPr>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Fifteenth</w:t>
              </w:r>
            </w:hyperlink>
          </w:p>
        </w:tc>
        <w:tc>
          <w:tcPr>
            <w:tcW w:w="1120" w:type="dxa"/>
            <w:vAlign w:val="bottom"/>
          </w:tcPr>
          <w:p>
            <w:pPr>
              <w:spacing w:after="0"/>
              <w:rPr>
                <w:sz w:val="15"/>
                <w:szCs w:val="15"/>
                <w:color w:val="auto"/>
              </w:rPr>
            </w:pPr>
          </w:p>
        </w:tc>
        <w:tc>
          <w:tcPr>
            <w:tcW w:w="920" w:type="dxa"/>
            <w:vAlign w:val="bottom"/>
          </w:tcPr>
          <w:p>
            <w:pPr>
              <w:spacing w:after="0" w:line="175" w:lineRule="exact"/>
              <w:rPr>
                <w:rFonts w:ascii="Arial" w:cs="Arial" w:eastAsia="Arial" w:hAnsi="Arial"/>
                <w:sz w:val="16"/>
                <w:szCs w:val="16"/>
                <w:color w:val="0000FF"/>
                <w:w w:val="88"/>
              </w:rPr>
            </w:pPr>
            <w:hyperlink r:id="rId116">
              <w:r>
                <w:rPr>
                  <w:rFonts w:ascii="Arial" w:cs="Arial" w:eastAsia="Arial" w:hAnsi="Arial"/>
                  <w:sz w:val="16"/>
                  <w:szCs w:val="16"/>
                  <w:color w:val="0000FF"/>
                  <w:w w:val="88"/>
                </w:rPr>
                <w:t>June 14, 2021</w:t>
              </w:r>
            </w:hyperlink>
          </w:p>
        </w:tc>
        <w:tc>
          <w:tcPr>
            <w:tcW w:w="6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jc w:val="right"/>
              <w:spacing w:after="0" w:line="175" w:lineRule="exact"/>
              <w:rPr>
                <w:rFonts w:ascii="Arial" w:cs="Arial" w:eastAsia="Arial" w:hAnsi="Arial"/>
                <w:sz w:val="16"/>
                <w:szCs w:val="16"/>
                <w:color w:val="0000FF"/>
                <w:w w:val="88"/>
              </w:rPr>
            </w:pPr>
            <w:hyperlink r:id="rId116">
              <w:r>
                <w:rPr>
                  <w:rFonts w:ascii="Arial" w:cs="Arial" w:eastAsia="Arial" w:hAnsi="Arial"/>
                  <w:sz w:val="16"/>
                  <w:szCs w:val="16"/>
                  <w:color w:val="0000FF"/>
                  <w:w w:val="88"/>
                </w:rPr>
                <w:t>1-3548</w:t>
              </w:r>
            </w:hyperlink>
          </w:p>
        </w:tc>
        <w:tc>
          <w:tcPr>
            <w:tcW w:w="3720" w:type="dxa"/>
            <w:vAlign w:val="bottom"/>
            <w:gridSpan w:val="3"/>
          </w:tcPr>
          <w:p>
            <w:pPr>
              <w:ind w:left="20"/>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(June 30, 2021, Form 10-Q)</w:t>
              </w:r>
            </w:hyperlink>
          </w:p>
        </w:tc>
        <w:tc>
          <w:tcPr>
            <w:tcW w:w="1880" w:type="dxa"/>
            <w:vAlign w:val="bottom"/>
            <w:gridSpan w:val="4"/>
          </w:tcPr>
          <w:p>
            <w:pPr>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4(b)</w:t>
              </w:r>
            </w:hyperlink>
          </w:p>
        </w:tc>
      </w:tr>
      <w:tr>
        <w:trPr>
          <w:trHeight w:val="20"/>
        </w:trPr>
        <w:tc>
          <w:tcPr>
            <w:tcW w:w="1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p>
      <w:pPr>
        <w:spacing w:after="0" w:line="31" w:lineRule="exact"/>
        <w:rPr>
          <w:sz w:val="20"/>
          <w:szCs w:val="20"/>
          <w:color w:val="auto"/>
        </w:rPr>
      </w:pPr>
    </w:p>
    <w:p>
      <w:pPr>
        <w:ind w:left="20"/>
        <w:spacing w:after="0"/>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*4(c)</w:t>
        </w:r>
      </w:hyperlink>
    </w:p>
    <w:p>
      <w:pPr>
        <w:spacing w:after="0" w:line="194" w:lineRule="exact"/>
        <w:rPr>
          <w:sz w:val="20"/>
          <w:szCs w:val="20"/>
          <w:color w:val="auto"/>
        </w:rPr>
      </w:pPr>
    </w:p>
    <w:p>
      <w:pPr>
        <w:ind w:left="20"/>
        <w:spacing w:after="0"/>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*4(d)</w:t>
        </w:r>
      </w:hyperlink>
    </w:p>
    <w:p>
      <w:pPr>
        <w:spacing w:after="0" w:line="200" w:lineRule="exact"/>
        <w:rPr>
          <w:sz w:val="20"/>
          <w:szCs w:val="20"/>
          <w:color w:val="auto"/>
        </w:rPr>
      </w:pPr>
    </w:p>
    <w:p>
      <w:pPr>
        <w:spacing w:after="0" w:line="332" w:lineRule="exact"/>
        <w:rPr>
          <w:sz w:val="20"/>
          <w:szCs w:val="20"/>
          <w:color w:val="auto"/>
        </w:rPr>
      </w:pPr>
    </w:p>
    <w:p>
      <w:pPr>
        <w:ind w:left="20"/>
        <w:spacing w:after="0"/>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*4(f)</w:t>
        </w:r>
      </w:hyperlink>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hanging="247"/>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FF"/>
          </w:rPr>
          <w:t>Note Purchase and Guarantee Agreement dated as of November 5, 2015, among Armenia Mountain Wind LLC, AMW I Holding, LLC and the</w:t>
        </w:r>
      </w:hyperlink>
      <w:r>
        <w:rPr>
          <w:rFonts w:ascii="Arial" w:cs="Arial" w:eastAsia="Arial" w:hAnsi="Arial"/>
          <w:sz w:val="16"/>
          <w:szCs w:val="16"/>
          <w:color w:val="auto"/>
        </w:rPr>
        <w:t xml:space="preserve"> </w:t>
      </w:r>
      <w:hyperlink r:id="rId118">
        <w:r>
          <w:rPr>
            <w:rFonts w:ascii="Arial" w:cs="Arial" w:eastAsia="Arial" w:hAnsi="Arial"/>
            <w:sz w:val="16"/>
            <w:szCs w:val="16"/>
            <w:u w:val="single" w:color="auto"/>
            <w:color w:val="0000FF"/>
          </w:rPr>
          <w:t>purchasers named therein (filed as Exhibit 4 to the November 12, 2015, Form 8-K, File No. 1-3548).</w:t>
        </w:r>
      </w:hyperlink>
    </w:p>
    <w:p>
      <w:pPr>
        <w:spacing w:after="0" w:line="10" w:lineRule="exact"/>
        <w:rPr>
          <w:rFonts w:ascii="Arial" w:cs="Arial" w:eastAsia="Arial" w:hAnsi="Arial"/>
          <w:sz w:val="16"/>
          <w:szCs w:val="16"/>
          <w:u w:val="single" w:color="auto"/>
          <w:color w:val="0000FF"/>
        </w:rPr>
      </w:pPr>
    </w:p>
    <w:p>
      <w:pPr>
        <w:ind w:right="20" w:hanging="247"/>
        <w:spacing w:after="0" w:line="203" w:lineRule="auto"/>
        <w:rPr>
          <w:rFonts w:ascii="Arial" w:cs="Arial" w:eastAsia="Arial" w:hAnsi="Arial"/>
          <w:sz w:val="16"/>
          <w:szCs w:val="16"/>
          <w:u w:val="single" w:color="auto"/>
          <w:color w:val="0000FF"/>
        </w:rPr>
      </w:pPr>
      <w:hyperlink r:id="rId119"/>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119">
        <w:r>
          <w:rPr>
            <w:rFonts w:ascii="Arial" w:cs="Arial" w:eastAsia="Arial" w:hAnsi="Arial"/>
            <w:sz w:val="16"/>
            <w:szCs w:val="16"/>
            <w:u w:val="single" w:color="auto"/>
            <w:color w:val="0000FF"/>
          </w:rPr>
          <w:t>Note Purchase Agreement, dated December 8, 2016, between ALLETE and Hartford Investment Management Company, Northwestern Mutual</w:t>
        </w:r>
      </w:hyperlink>
      <w:r>
        <w:rPr>
          <w:rFonts w:ascii="Arial" w:cs="Arial" w:eastAsia="Arial" w:hAnsi="Arial"/>
          <w:sz w:val="16"/>
          <w:szCs w:val="16"/>
          <w:color w:val="0000FF"/>
        </w:rPr>
        <w:t xml:space="preserve"> </w:t>
      </w:r>
      <w:hyperlink r:id="rId119">
        <w:r>
          <w:rPr>
            <w:rFonts w:ascii="Arial" w:cs="Arial" w:eastAsia="Arial" w:hAnsi="Arial"/>
            <w:sz w:val="16"/>
            <w:szCs w:val="16"/>
            <w:u w:val="single" w:color="auto"/>
            <w:color w:val="0000FF"/>
          </w:rPr>
          <w:t>Investment Management Company, The Northwestern Mutual Life Insurance Company and Nationwide Life insurance Company (filed as Exhibit 4</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to the December 12, 2016, Form 8-K, File No. 1-3548).</w:t>
        </w:r>
      </w:hyperlink>
    </w:p>
    <w:p>
      <w:pPr>
        <w:spacing w:after="0" w:line="93" w:lineRule="exact"/>
        <w:rPr>
          <w:rFonts w:ascii="Arial" w:cs="Arial" w:eastAsia="Arial" w:hAnsi="Arial"/>
          <w:sz w:val="16"/>
          <w:szCs w:val="16"/>
          <w:u w:val="single" w:color="auto"/>
          <w:color w:val="0000FF"/>
        </w:rPr>
      </w:pPr>
    </w:p>
    <w:p>
      <w:pPr>
        <w:ind w:right="20" w:hanging="247"/>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120">
        <w:r>
          <w:rPr>
            <w:rFonts w:ascii="Arial" w:cs="Arial" w:eastAsia="Arial" w:hAnsi="Arial"/>
            <w:sz w:val="16"/>
            <w:szCs w:val="16"/>
            <w:u w:val="single" w:color="auto"/>
            <w:color w:val="0000FF"/>
          </w:rPr>
          <w:t>Description of Securities Registered Pursuant to Section 12 of the Securities Exchange Act of 1934 (filed as Exhibit 4(h) to the 2019 Form 10-K, File</w:t>
        </w:r>
      </w:hyperlink>
      <w:r>
        <w:rPr>
          <w:rFonts w:ascii="Arial" w:cs="Arial" w:eastAsia="Arial" w:hAnsi="Arial"/>
          <w:sz w:val="16"/>
          <w:szCs w:val="16"/>
          <w:color w:val="auto"/>
        </w:rPr>
        <w:t xml:space="preserve"> </w:t>
      </w:r>
      <w:hyperlink r:id="rId120">
        <w:r>
          <w:rPr>
            <w:rFonts w:ascii="Arial" w:cs="Arial" w:eastAsia="Arial" w:hAnsi="Arial"/>
            <w:sz w:val="16"/>
            <w:szCs w:val="16"/>
            <w:u w:val="single" w:color="auto"/>
            <w:color w:val="0000FF"/>
          </w:rPr>
          <w:t>No. 1-3548).</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-959485</wp:posOffset>
            </wp:positionH>
            <wp:positionV relativeFrom="paragraph">
              <wp:posOffset>-235585</wp:posOffset>
            </wp:positionV>
            <wp:extent cx="7132320"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 w:lineRule="exact"/>
        <w:rPr>
          <w:rFonts w:ascii="Arial" w:cs="Arial" w:eastAsia="Arial" w:hAnsi="Arial"/>
          <w:sz w:val="16"/>
          <w:szCs w:val="16"/>
          <w:u w:val="single" w:color="auto"/>
          <w:color w:val="0000FF"/>
        </w:rPr>
      </w:pPr>
    </w:p>
    <w:p>
      <w:pPr>
        <w:sectPr>
          <w:pgSz w:w="11900" w:h="16838" w:orient="portrait"/>
          <w:cols w:equalWidth="0" w:num="2">
            <w:col w:w="800" w:space="720"/>
            <w:col w:w="9720"/>
          </w:cols>
          <w:pgMar w:left="320" w:top="758"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920" w:type="dxa"/>
            <w:vAlign w:val="bottom"/>
            <w:gridSpan w:val="10"/>
          </w:tcPr>
          <w:p>
            <w:pPr>
              <w:spacing w:after="0" w:line="182" w:lineRule="exact"/>
              <w:rPr>
                <w:rFonts w:ascii="Arial" w:cs="Arial" w:eastAsia="Arial" w:hAnsi="Arial"/>
                <w:sz w:val="16"/>
                <w:szCs w:val="16"/>
                <w:color w:val="0000FF"/>
              </w:rPr>
            </w:pPr>
            <w:hyperlink r:id="rId122">
              <w:r>
                <w:rPr>
                  <w:rFonts w:ascii="Arial" w:cs="Arial" w:eastAsia="Arial" w:hAnsi="Arial"/>
                  <w:sz w:val="16"/>
                  <w:szCs w:val="16"/>
                  <w:color w:val="0000FF"/>
                </w:rPr>
                <w:t>*4(h)</w:t>
              </w:r>
            </w:hyperlink>
          </w:p>
        </w:tc>
        <w:tc>
          <w:tcPr>
            <w:tcW w:w="10540" w:type="dxa"/>
            <w:vAlign w:val="bottom"/>
            <w:gridSpan w:val="32"/>
          </w:tcPr>
          <w:p>
            <w:pPr>
              <w:ind w:left="340"/>
              <w:spacing w:after="0" w:line="182"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22">
              <w:r>
                <w:rPr>
                  <w:rFonts w:ascii="Arial" w:cs="Arial" w:eastAsia="Arial" w:hAnsi="Arial"/>
                  <w:sz w:val="16"/>
                  <w:szCs w:val="16"/>
                  <w:color w:val="0000FF"/>
                  <w:w w:val="95"/>
                </w:rPr>
                <w:t>Note Purchase Agreement, dated September 10, 2020, between ALLETE and the purchasers named therein (filed as Exhibit 4 to the September 30,</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22">
              <w:r>
                <w:rPr>
                  <w:rFonts w:ascii="Arial" w:cs="Arial" w:eastAsia="Arial" w:hAnsi="Arial"/>
                  <w:sz w:val="16"/>
                  <w:szCs w:val="16"/>
                  <w:color w:val="0000FF"/>
                </w:rPr>
                <w:t>2020, Form 10-Q,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23">
              <w:r>
                <w:rPr>
                  <w:rFonts w:ascii="Arial" w:cs="Arial" w:eastAsia="Arial" w:hAnsi="Arial"/>
                  <w:sz w:val="16"/>
                  <w:szCs w:val="16"/>
                  <w:color w:val="0000FF"/>
                </w:rPr>
                <w:t>*10(a)</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23">
              <w:r>
                <w:rPr>
                  <w:rFonts w:ascii="Arial" w:cs="Arial" w:eastAsia="Arial" w:hAnsi="Arial"/>
                  <w:sz w:val="16"/>
                  <w:szCs w:val="16"/>
                  <w:color w:val="0000FF"/>
                </w:rPr>
                <w:t>Power Purchase and Sale Agreement, dated as of May 29, 1998, between Minnesota Power, Inc. (now ALLETE) and Square Butte Electric</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8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123">
              <w:r>
                <w:rPr>
                  <w:rFonts w:ascii="Arial" w:cs="Arial" w:eastAsia="Arial" w:hAnsi="Arial"/>
                  <w:sz w:val="16"/>
                  <w:szCs w:val="16"/>
                  <w:color w:val="0000FF"/>
                </w:rPr>
                <w:t>Cooperative (filed as Exhibit 10 to the June 30, 1998,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24">
              <w:r>
                <w:rPr>
                  <w:rFonts w:ascii="Arial" w:cs="Arial" w:eastAsia="Arial" w:hAnsi="Arial"/>
                  <w:sz w:val="16"/>
                  <w:szCs w:val="16"/>
                  <w:color w:val="0000FF"/>
                </w:rPr>
                <w:t>*10(b)1</w:t>
              </w:r>
            </w:hyperlink>
          </w:p>
        </w:tc>
        <w:tc>
          <w:tcPr>
            <w:tcW w:w="10540" w:type="dxa"/>
            <w:vAlign w:val="bottom"/>
            <w:gridSpan w:val="32"/>
          </w:tcPr>
          <w:p>
            <w:pPr>
              <w:ind w:left="34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24">
              <w:r>
                <w:rPr>
                  <w:rFonts w:ascii="Arial" w:cs="Arial" w:eastAsia="Arial" w:hAnsi="Arial"/>
                  <w:sz w:val="16"/>
                  <w:szCs w:val="16"/>
                  <w:color w:val="0000FF"/>
                  <w:w w:val="96"/>
                </w:rPr>
                <w:t>Amended and Restated Credit Agreement dated as of January 10, 2019 among ALLETE, as Borrower, the lenders party thereto, JPMorgan Chase</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5"/>
          </w:tcPr>
          <w:p>
            <w:pPr>
              <w:spacing w:after="0" w:line="142" w:lineRule="exact"/>
              <w:rPr>
                <w:rFonts w:ascii="Arial" w:cs="Arial" w:eastAsia="Arial" w:hAnsi="Arial"/>
                <w:sz w:val="16"/>
                <w:szCs w:val="16"/>
                <w:color w:val="0000FF"/>
                <w:w w:val="95"/>
              </w:rPr>
            </w:pPr>
            <w:hyperlink r:id="rId124">
              <w:r>
                <w:rPr>
                  <w:rFonts w:ascii="Arial" w:cs="Arial" w:eastAsia="Arial" w:hAnsi="Arial"/>
                  <w:sz w:val="16"/>
                  <w:szCs w:val="16"/>
                  <w:color w:val="0000FF"/>
                  <w:w w:val="95"/>
                </w:rPr>
                <w:t>Bank, N.A., as Administrative Agent, and J.P. Morgan Chase Bank, N.A., as Sole Lead Arranger and Sole Book Runner (filed as Exhibit 10(b)2 to</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24">
              <w:r>
                <w:rPr>
                  <w:rFonts w:ascii="Arial" w:cs="Arial" w:eastAsia="Arial" w:hAnsi="Arial"/>
                  <w:sz w:val="16"/>
                  <w:szCs w:val="16"/>
                  <w:color w:val="0000FF"/>
                </w:rPr>
                <w:t>the 2018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25">
              <w:r>
                <w:rPr>
                  <w:rFonts w:ascii="Arial" w:cs="Arial" w:eastAsia="Arial" w:hAnsi="Arial"/>
                  <w:sz w:val="16"/>
                  <w:szCs w:val="16"/>
                  <w:color w:val="0000FF"/>
                </w:rPr>
                <w:t>*10(b)2</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25">
              <w:r>
                <w:rPr>
                  <w:rFonts w:ascii="Arial" w:cs="Arial" w:eastAsia="Arial" w:hAnsi="Arial"/>
                  <w:sz w:val="16"/>
                  <w:szCs w:val="16"/>
                  <w:color w:val="0000FF"/>
                  <w:w w:val="97"/>
                </w:rPr>
                <w:t>First Amendment to Credit Agreement dated May 15, 2019, among ALLETE, as Borrower, the Lenders party thereto, and JPMorgan Chase Bank,</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540" w:type="dxa"/>
            <w:vAlign w:val="bottom"/>
            <w:tcBorders>
              <w:top w:val="single" w:sz="8" w:color="0000FF"/>
              <w:bottom w:val="single" w:sz="8" w:color="0000FF"/>
            </w:tcBorders>
            <w:gridSpan w:val="12"/>
            <w:shd w:val="clear" w:color="auto" w:fill="CCEEFF"/>
          </w:tcPr>
          <w:p>
            <w:pPr>
              <w:spacing w:after="0" w:line="142"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N.A., as Administrative Agent (filed as Exhibit 4 to the June 30, 2019, Form 10-Q, File No. 1-3548).</w:t>
              </w:r>
            </w:hyperlink>
          </w:p>
        </w:tc>
        <w:tc>
          <w:tcPr>
            <w:tcW w:w="324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w:anchor="page123">
              <w:r>
                <w:rPr>
                  <w:rFonts w:ascii="Arial" w:cs="Arial" w:eastAsia="Arial" w:hAnsi="Arial"/>
                  <w:sz w:val="16"/>
                  <w:szCs w:val="16"/>
                  <w:color w:val="0000FF"/>
                </w:rPr>
                <w:t>10(b)3</w:t>
              </w:r>
            </w:hyperlink>
          </w:p>
        </w:tc>
        <w:tc>
          <w:tcPr>
            <w:tcW w:w="10540" w:type="dxa"/>
            <w:vAlign w:val="bottom"/>
            <w:gridSpan w:val="32"/>
          </w:tcPr>
          <w:p>
            <w:pPr>
              <w:ind w:left="34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w:anchor="page123">
              <w:r>
                <w:rPr>
                  <w:rFonts w:ascii="Arial" w:cs="Arial" w:eastAsia="Arial" w:hAnsi="Arial"/>
                  <w:sz w:val="16"/>
                  <w:szCs w:val="16"/>
                  <w:color w:val="0000FF"/>
                  <w:w w:val="95"/>
                </w:rPr>
                <w:t>Second Amendment to Credit Agreement dated November 23, 2021, among ALLETE, as Borrower, the Lenders party thereto, and JPMorgan Chase</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w:anchor="page123">
              <w:r>
                <w:rPr>
                  <w:rFonts w:ascii="Arial" w:cs="Arial" w:eastAsia="Arial" w:hAnsi="Arial"/>
                  <w:sz w:val="16"/>
                  <w:szCs w:val="16"/>
                  <w:color w:val="0000FF"/>
                </w:rPr>
                <w:t>Bank, N.A., as Administrative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26">
              <w:r>
                <w:rPr>
                  <w:rFonts w:ascii="Arial" w:cs="Arial" w:eastAsia="Arial" w:hAnsi="Arial"/>
                  <w:sz w:val="16"/>
                  <w:szCs w:val="16"/>
                  <w:color w:val="0000FF"/>
                </w:rPr>
                <w:t>*10(c)1</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26">
              <w:r>
                <w:rPr>
                  <w:rFonts w:ascii="Arial" w:cs="Arial" w:eastAsia="Arial" w:hAnsi="Arial"/>
                  <w:sz w:val="16"/>
                  <w:szCs w:val="16"/>
                  <w:color w:val="0000FF"/>
                  <w:w w:val="98"/>
                </w:rPr>
                <w:t>Financing Agreement between Collier County Industrial Development Authority and ALLETE dated as of July 1, 2006 (filed as Exhibit 10(b)1 to</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14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w w:val="91"/>
              </w:rPr>
            </w:pPr>
            <w:hyperlink r:id="rId126">
              <w:r>
                <w:rPr>
                  <w:rFonts w:ascii="Arial" w:cs="Arial" w:eastAsia="Arial" w:hAnsi="Arial"/>
                  <w:sz w:val="16"/>
                  <w:szCs w:val="16"/>
                  <w:color w:val="0000FF"/>
                  <w:w w:val="91"/>
                </w:rPr>
                <w:t>the June 30, 2006, Form 10-Q, File No. 1-3548).</w:t>
              </w:r>
            </w:hyperlink>
          </w:p>
        </w:tc>
        <w:tc>
          <w:tcPr>
            <w:tcW w:w="6540" w:type="dxa"/>
            <w:vAlign w:val="bottom"/>
            <w:tcBorders>
              <w:top w:val="single" w:sz="8" w:color="0000FF"/>
              <w:bottom w:val="single" w:sz="8" w:color="CCEEFF"/>
            </w:tcBorders>
            <w:gridSpan w:val="1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27">
              <w:r>
                <w:rPr>
                  <w:rFonts w:ascii="Arial" w:cs="Arial" w:eastAsia="Arial" w:hAnsi="Arial"/>
                  <w:sz w:val="16"/>
                  <w:szCs w:val="16"/>
                  <w:color w:val="0000FF"/>
                </w:rPr>
                <w:t>*10(c)2</w:t>
              </w:r>
            </w:hyperlink>
          </w:p>
        </w:tc>
        <w:tc>
          <w:tcPr>
            <w:tcW w:w="10540" w:type="dxa"/>
            <w:vAlign w:val="bottom"/>
            <w:gridSpan w:val="32"/>
          </w:tcPr>
          <w:p>
            <w:pPr>
              <w:ind w:left="340"/>
              <w:spacing w:after="0" w:line="175"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27">
              <w:r>
                <w:rPr>
                  <w:rFonts w:ascii="Arial" w:cs="Arial" w:eastAsia="Arial" w:hAnsi="Arial"/>
                  <w:sz w:val="16"/>
                  <w:szCs w:val="16"/>
                  <w:color w:val="0000FF"/>
                  <w:w w:val="99"/>
                </w:rPr>
                <w:t>Amended and Restated Letter of Credit Agreement, dated as of June 3, 2011, among ALLETE, the participating banks and Wells Fargo Bank,</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8"/>
          </w:tcPr>
          <w:p>
            <w:pPr>
              <w:spacing w:after="0" w:line="142" w:lineRule="exact"/>
              <w:rPr>
                <w:rFonts w:ascii="Arial" w:cs="Arial" w:eastAsia="Arial" w:hAnsi="Arial"/>
                <w:sz w:val="16"/>
                <w:szCs w:val="16"/>
                <w:color w:val="0000FF"/>
                <w:w w:val="99"/>
              </w:rPr>
            </w:pPr>
            <w:hyperlink r:id="rId127">
              <w:r>
                <w:rPr>
                  <w:rFonts w:ascii="Arial" w:cs="Arial" w:eastAsia="Arial" w:hAnsi="Arial"/>
                  <w:sz w:val="16"/>
                  <w:szCs w:val="16"/>
                  <w:color w:val="0000FF"/>
                  <w:w w:val="99"/>
                </w:rPr>
                <w:t>National Association, as Administrative Agent and Issuing Bank (filed as Exhibit 10(b) to the June 30, 2011, Form 10-Q,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28">
              <w:r>
                <w:rPr>
                  <w:rFonts w:ascii="Arial" w:cs="Arial" w:eastAsia="Arial" w:hAnsi="Arial"/>
                  <w:sz w:val="16"/>
                  <w:szCs w:val="16"/>
                  <w:color w:val="0000FF"/>
                </w:rPr>
                <w:t>*10(c)3</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28">
              <w:r>
                <w:rPr>
                  <w:rFonts w:ascii="Arial" w:cs="Arial" w:eastAsia="Arial" w:hAnsi="Arial"/>
                  <w:sz w:val="16"/>
                  <w:szCs w:val="16"/>
                  <w:color w:val="0000FF"/>
                  <w:w w:val="94"/>
                </w:rPr>
                <w:t>First Amendment to Amended and Restated Letter of Credit Agreement, dated as of June 1, 2013, between ALLETE and Wells Fargo Bank, National</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w w:val="94"/>
              </w:rPr>
            </w:pPr>
            <w:hyperlink r:id="rId128">
              <w:r>
                <w:rPr>
                  <w:rFonts w:ascii="Arial" w:cs="Arial" w:eastAsia="Arial" w:hAnsi="Arial"/>
                  <w:sz w:val="16"/>
                  <w:szCs w:val="16"/>
                  <w:color w:val="0000FF"/>
                  <w:w w:val="94"/>
                </w:rPr>
                <w:t>Association, as Issuing Bank, Administrative Agent and Sole Participating Bank (filed as Exhibit 10(b) to the June 30, 2013, Form 10-Q, File No. 1-</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0000FF"/>
            </w:tcBorders>
            <w:gridSpan w:val="3"/>
            <w:shd w:val="clear" w:color="auto" w:fill="CCEEFF"/>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3548).</w:t>
              </w:r>
            </w:hyperlink>
          </w:p>
        </w:tc>
        <w:tc>
          <w:tcPr>
            <w:tcW w:w="110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102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1120" w:type="dxa"/>
            <w:vAlign w:val="bottom"/>
            <w:tcBorders>
              <w:top w:val="single" w:sz="8" w:color="0000FF"/>
            </w:tcBorders>
            <w:shd w:val="clear" w:color="auto" w:fill="CCEEFF"/>
          </w:tcPr>
          <w:p>
            <w:pPr>
              <w:spacing w:after="0"/>
              <w:rPr>
                <w:sz w:val="12"/>
                <w:szCs w:val="12"/>
                <w:color w:val="auto"/>
              </w:rPr>
            </w:pPr>
          </w:p>
        </w:tc>
        <w:tc>
          <w:tcPr>
            <w:tcW w:w="246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29">
              <w:r>
                <w:rPr>
                  <w:rFonts w:ascii="Arial" w:cs="Arial" w:eastAsia="Arial" w:hAnsi="Arial"/>
                  <w:sz w:val="16"/>
                  <w:szCs w:val="16"/>
                  <w:color w:val="0000FF"/>
                </w:rPr>
                <w:t>*10(d)</w:t>
              </w:r>
            </w:hyperlink>
          </w:p>
        </w:tc>
        <w:tc>
          <w:tcPr>
            <w:tcW w:w="10540" w:type="dxa"/>
            <w:vAlign w:val="bottom"/>
            <w:gridSpan w:val="32"/>
          </w:tcPr>
          <w:p>
            <w:pPr>
              <w:ind w:left="34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29">
              <w:r>
                <w:rPr>
                  <w:rFonts w:ascii="Arial" w:cs="Arial" w:eastAsia="Arial" w:hAnsi="Arial"/>
                  <w:sz w:val="16"/>
                  <w:szCs w:val="16"/>
                  <w:color w:val="0000FF"/>
                  <w:w w:val="96"/>
                </w:rPr>
                <w:t>Agreement dated December 16, 2005, among ALLETE, Wisconsin Public Service Corporation and WPS Investments, LLC (filed as Exhibit 10(g) to</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29">
              <w:r>
                <w:rPr>
                  <w:rFonts w:ascii="Arial" w:cs="Arial" w:eastAsia="Arial" w:hAnsi="Arial"/>
                  <w:sz w:val="16"/>
                  <w:szCs w:val="16"/>
                  <w:color w:val="0000FF"/>
                </w:rPr>
                <w:t>the 2009 Form 10-K, File No. 1-3548).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30">
              <w:r>
                <w:rPr>
                  <w:rFonts w:ascii="Arial" w:cs="Arial" w:eastAsia="Arial" w:hAnsi="Arial"/>
                  <w:sz w:val="16"/>
                  <w:szCs w:val="16"/>
                  <w:color w:val="0000FF"/>
                </w:rPr>
                <w:t>*+10(e)1</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30">
              <w:r>
                <w:rPr>
                  <w:rFonts w:ascii="Arial" w:cs="Arial" w:eastAsia="Arial" w:hAnsi="Arial"/>
                  <w:sz w:val="16"/>
                  <w:szCs w:val="16"/>
                  <w:color w:val="0000FF"/>
                  <w:w w:val="96"/>
                </w:rPr>
                <w:t>ALLETE Executive Annual Incentive Plan, as amended and restated, effective January 1, 2011 (filed as Exhibit 10(h)1 to the 2010 Form 10-K, File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2"/>
            <w:shd w:val="clear" w:color="auto" w:fill="CCEEFF"/>
          </w:tcPr>
          <w:p>
            <w:pPr>
              <w:spacing w:after="0" w:line="142" w:lineRule="exact"/>
              <w:rPr>
                <w:rFonts w:ascii="Arial" w:cs="Arial" w:eastAsia="Arial" w:hAnsi="Arial"/>
                <w:sz w:val="16"/>
                <w:szCs w:val="16"/>
                <w:color w:val="0000FF"/>
              </w:rPr>
            </w:pPr>
            <w:hyperlink r:id="rId130">
              <w:r>
                <w:rPr>
                  <w:rFonts w:ascii="Arial" w:cs="Arial" w:eastAsia="Arial" w:hAnsi="Arial"/>
                  <w:sz w:val="16"/>
                  <w:szCs w:val="16"/>
                  <w:color w:val="0000FF"/>
                </w:rPr>
                <w:t>No. 1-3548).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110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2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31">
              <w:r>
                <w:rPr>
                  <w:rFonts w:ascii="Arial" w:cs="Arial" w:eastAsia="Arial" w:hAnsi="Arial"/>
                  <w:sz w:val="16"/>
                  <w:szCs w:val="16"/>
                  <w:color w:val="0000FF"/>
                </w:rPr>
                <w:t>*+10(e)2</w:t>
              </w:r>
            </w:hyperlink>
          </w:p>
        </w:tc>
        <w:tc>
          <w:tcPr>
            <w:tcW w:w="10540" w:type="dxa"/>
            <w:vAlign w:val="bottom"/>
            <w:gridSpan w:val="32"/>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1">
              <w:r>
                <w:rPr>
                  <w:rFonts w:ascii="Arial" w:cs="Arial" w:eastAsia="Arial" w:hAnsi="Arial"/>
                  <w:sz w:val="16"/>
                  <w:szCs w:val="16"/>
                  <w:color w:val="0000FF"/>
                </w:rPr>
                <w:t>ALLETE Executive Annual Incentive Plan Form of Award Effective 2017 (filed as Exhibit 10(e)6 to the 2016 Form 10-K, File No. 1-3548).</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32">
              <w:r>
                <w:rPr>
                  <w:rFonts w:ascii="Arial" w:cs="Arial" w:eastAsia="Arial" w:hAnsi="Arial"/>
                  <w:sz w:val="16"/>
                  <w:szCs w:val="16"/>
                  <w:color w:val="0000FF"/>
                </w:rPr>
                <w:t>*+10(e)3</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2">
              <w:r>
                <w:rPr>
                  <w:rFonts w:ascii="Arial" w:cs="Arial" w:eastAsia="Arial" w:hAnsi="Arial"/>
                  <w:sz w:val="16"/>
                  <w:szCs w:val="16"/>
                  <w:color w:val="0000FF"/>
                </w:rPr>
                <w:t>ALLETE Executive Annual Incentive Plan Form of Award Superior Water, Light and Power Effective 2017 (filed as Exhibit 10(e)7 to the 2016</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w w:val="93"/>
              </w:rPr>
            </w:pPr>
            <w:hyperlink r:id="rId132">
              <w:r>
                <w:rPr>
                  <w:rFonts w:ascii="Arial" w:cs="Arial" w:eastAsia="Arial" w:hAnsi="Arial"/>
                  <w:sz w:val="16"/>
                  <w:szCs w:val="16"/>
                  <w:color w:val="0000FF"/>
                  <w:w w:val="93"/>
                </w:rPr>
                <w:t>Form 10-K, File No. 1-3548).</w:t>
              </w:r>
            </w:hyperlink>
          </w:p>
        </w:tc>
        <w:tc>
          <w:tcPr>
            <w:tcW w:w="782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33">
              <w:r>
                <w:rPr>
                  <w:rFonts w:ascii="Arial" w:cs="Arial" w:eastAsia="Arial" w:hAnsi="Arial"/>
                  <w:sz w:val="16"/>
                  <w:szCs w:val="16"/>
                  <w:color w:val="0000FF"/>
                </w:rPr>
                <w:t>*+10(e)4</w:t>
              </w:r>
            </w:hyperlink>
          </w:p>
        </w:tc>
        <w:tc>
          <w:tcPr>
            <w:tcW w:w="10540" w:type="dxa"/>
            <w:vAlign w:val="bottom"/>
            <w:gridSpan w:val="32"/>
          </w:tcPr>
          <w:p>
            <w:pPr>
              <w:ind w:left="340"/>
              <w:spacing w:after="0" w:line="175"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33">
              <w:r>
                <w:rPr>
                  <w:rFonts w:ascii="Arial" w:cs="Arial" w:eastAsia="Arial" w:hAnsi="Arial"/>
                  <w:sz w:val="16"/>
                  <w:szCs w:val="16"/>
                  <w:color w:val="0000FF"/>
                  <w:w w:val="99"/>
                </w:rPr>
                <w:t>ALLETE Executive Annual Incentive Plan Form of Award Effective 2018 (filed as Exhibit 10(a)1 to the March 31, 2018, Form 10-Q, File No. 1-</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8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33">
              <w:r>
                <w:rPr>
                  <w:rFonts w:ascii="Arial" w:cs="Arial" w:eastAsia="Arial" w:hAnsi="Arial"/>
                  <w:sz w:val="16"/>
                  <w:szCs w:val="16"/>
                  <w:color w:val="0000FF"/>
                </w:rPr>
                <w:t>3548).</w:t>
              </w:r>
            </w:hyperlink>
          </w:p>
        </w:tc>
        <w:tc>
          <w:tcPr>
            <w:tcW w:w="110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34">
              <w:r>
                <w:rPr>
                  <w:rFonts w:ascii="Arial" w:cs="Arial" w:eastAsia="Arial" w:hAnsi="Arial"/>
                  <w:sz w:val="16"/>
                  <w:szCs w:val="16"/>
                  <w:color w:val="0000FF"/>
                </w:rPr>
                <w:t>*+10(e)5</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34">
              <w:r>
                <w:rPr>
                  <w:rFonts w:ascii="Arial" w:cs="Arial" w:eastAsia="Arial" w:hAnsi="Arial"/>
                  <w:sz w:val="16"/>
                  <w:szCs w:val="16"/>
                  <w:color w:val="0000FF"/>
                  <w:w w:val="97"/>
                </w:rPr>
                <w:t>ALLETE Executive Annual Incentive Plan Form of Award Superior Water, Light and Power Effective 2018 (filed as Exhibit 10(a)2 to the March 31,</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20" w:type="dxa"/>
            <w:vAlign w:val="bottom"/>
            <w:tcBorders>
              <w:top w:val="single" w:sz="8" w:color="0000FF"/>
              <w:bottom w:val="single" w:sz="8" w:color="0000FF"/>
            </w:tcBorders>
            <w:gridSpan w:val="4"/>
            <w:shd w:val="clear" w:color="auto" w:fill="CCEEFF"/>
          </w:tcPr>
          <w:p>
            <w:pPr>
              <w:spacing w:after="0" w:line="142" w:lineRule="exact"/>
              <w:rPr>
                <w:rFonts w:ascii="Arial" w:cs="Arial" w:eastAsia="Arial" w:hAnsi="Arial"/>
                <w:sz w:val="16"/>
                <w:szCs w:val="16"/>
                <w:color w:val="0000FF"/>
                <w:w w:val="92"/>
              </w:rPr>
            </w:pPr>
            <w:hyperlink r:id="rId134">
              <w:r>
                <w:rPr>
                  <w:rFonts w:ascii="Arial" w:cs="Arial" w:eastAsia="Arial" w:hAnsi="Arial"/>
                  <w:sz w:val="16"/>
                  <w:szCs w:val="16"/>
                  <w:color w:val="0000FF"/>
                  <w:w w:val="92"/>
                </w:rPr>
                <w:t>2018, Form 10-Q, File No. 1-3548).</w:t>
              </w:r>
            </w:hyperlink>
          </w:p>
        </w:tc>
        <w:tc>
          <w:tcPr>
            <w:tcW w:w="750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35">
              <w:r>
                <w:rPr>
                  <w:rFonts w:ascii="Arial" w:cs="Arial" w:eastAsia="Arial" w:hAnsi="Arial"/>
                  <w:sz w:val="16"/>
                  <w:szCs w:val="16"/>
                  <w:color w:val="0000FF"/>
                </w:rPr>
                <w:t>*+10(e)6</w:t>
              </w:r>
            </w:hyperlink>
          </w:p>
        </w:tc>
        <w:tc>
          <w:tcPr>
            <w:tcW w:w="10540" w:type="dxa"/>
            <w:vAlign w:val="bottom"/>
            <w:gridSpan w:val="32"/>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5">
              <w:r>
                <w:rPr>
                  <w:rFonts w:ascii="Arial" w:cs="Arial" w:eastAsia="Arial" w:hAnsi="Arial"/>
                  <w:sz w:val="16"/>
                  <w:szCs w:val="16"/>
                  <w:color w:val="0000FF"/>
                </w:rPr>
                <w:t>ALLETE Executive Annual Incentive Plan Form of Award Effective 2019 (filed as Exhibit 10(e)7 to the 2018 Form 10-K, File No. 1-3548).</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36">
              <w:r>
                <w:rPr>
                  <w:rFonts w:ascii="Arial" w:cs="Arial" w:eastAsia="Arial" w:hAnsi="Arial"/>
                  <w:sz w:val="16"/>
                  <w:szCs w:val="16"/>
                  <w:color w:val="0000FF"/>
                </w:rPr>
                <w:t>*+10(e)7</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6">
              <w:r>
                <w:rPr>
                  <w:rFonts w:ascii="Arial" w:cs="Arial" w:eastAsia="Arial" w:hAnsi="Arial"/>
                  <w:sz w:val="16"/>
                  <w:szCs w:val="16"/>
                  <w:color w:val="0000FF"/>
                </w:rPr>
                <w:t>ALLETE Executive Annual Incentive Plan Form of Award Effective 2020 (filed as Exhibit 10(e)8 to the 2019 Form 10-K, File No. 1-3548).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37">
              <w:r>
                <w:rPr>
                  <w:rFonts w:ascii="Arial" w:cs="Arial" w:eastAsia="Arial" w:hAnsi="Arial"/>
                  <w:sz w:val="16"/>
                  <w:szCs w:val="16"/>
                  <w:color w:val="0000FF"/>
                </w:rPr>
                <w:t>*+10(e)8</w:t>
              </w:r>
            </w:hyperlink>
          </w:p>
        </w:tc>
        <w:tc>
          <w:tcPr>
            <w:tcW w:w="10540" w:type="dxa"/>
            <w:vAlign w:val="bottom"/>
            <w:gridSpan w:val="32"/>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7">
              <w:r>
                <w:rPr>
                  <w:rFonts w:ascii="Arial" w:cs="Arial" w:eastAsia="Arial" w:hAnsi="Arial"/>
                  <w:sz w:val="16"/>
                  <w:szCs w:val="16"/>
                  <w:color w:val="0000FF"/>
                </w:rPr>
                <w:t>ALLETE Executive Annual Incentive Plan Form of Award Effective 2021 (filed as Exhibit 10(e)8 to the 2020 Form 10-K, File No. 1-3548).</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ind w:left="40"/>
              <w:spacing w:after="0" w:line="175" w:lineRule="exact"/>
              <w:rPr>
                <w:rFonts w:ascii="Arial" w:cs="Arial" w:eastAsia="Arial" w:hAnsi="Arial"/>
                <w:sz w:val="16"/>
                <w:szCs w:val="16"/>
                <w:color w:val="0000FF"/>
              </w:rPr>
            </w:pPr>
            <w:hyperlink w:anchor="page229">
              <w:r>
                <w:rPr>
                  <w:rFonts w:ascii="Arial" w:cs="Arial" w:eastAsia="Arial" w:hAnsi="Arial"/>
                  <w:sz w:val="16"/>
                  <w:szCs w:val="16"/>
                  <w:color w:val="0000FF"/>
                </w:rPr>
                <w:t>+10(e)9</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229">
              <w:r>
                <w:rPr>
                  <w:rFonts w:ascii="Arial" w:cs="Arial" w:eastAsia="Arial" w:hAnsi="Arial"/>
                  <w:sz w:val="16"/>
                  <w:szCs w:val="16"/>
                  <w:color w:val="0000FF"/>
                </w:rPr>
                <w:t>ALLETE Executive Annual Incentive Plan Form of Award Effective 2022.</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38">
              <w:r>
                <w:rPr>
                  <w:rFonts w:ascii="Arial" w:cs="Arial" w:eastAsia="Arial" w:hAnsi="Arial"/>
                  <w:sz w:val="16"/>
                  <w:szCs w:val="16"/>
                  <w:color w:val="0000FF"/>
                </w:rPr>
                <w:t>*+10(f)1</w:t>
              </w:r>
            </w:hyperlink>
          </w:p>
        </w:tc>
        <w:tc>
          <w:tcPr>
            <w:tcW w:w="10540" w:type="dxa"/>
            <w:vAlign w:val="bottom"/>
            <w:gridSpan w:val="32"/>
          </w:tcPr>
          <w:p>
            <w:pPr>
              <w:ind w:left="34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38">
              <w:r>
                <w:rPr>
                  <w:rFonts w:ascii="Arial" w:cs="Arial" w:eastAsia="Arial" w:hAnsi="Arial"/>
                  <w:sz w:val="16"/>
                  <w:szCs w:val="16"/>
                  <w:color w:val="0000FF"/>
                  <w:w w:val="95"/>
                </w:rPr>
                <w:t>ALLETE and Affiliated Companies Supplemental Executive Retirement Plan (SERP I), as amended and restated, effective January 1, 2009 (filed as</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38">
              <w:r>
                <w:rPr>
                  <w:rFonts w:ascii="Arial" w:cs="Arial" w:eastAsia="Arial" w:hAnsi="Arial"/>
                  <w:sz w:val="16"/>
                  <w:szCs w:val="16"/>
                  <w:color w:val="0000FF"/>
                </w:rPr>
                <w:t>Exhibit 10(i)4 to the 2008 Form 10-K, File No. 1-3548).</w:t>
              </w:r>
            </w:hyperlink>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spacing w:after="0" w:line="175" w:lineRule="exact"/>
              <w:rPr>
                <w:rFonts w:ascii="Arial" w:cs="Arial" w:eastAsia="Arial" w:hAnsi="Arial"/>
                <w:sz w:val="16"/>
                <w:szCs w:val="16"/>
                <w:color w:val="0000FF"/>
              </w:rPr>
            </w:pPr>
            <w:hyperlink r:id="rId139">
              <w:r>
                <w:rPr>
                  <w:rFonts w:ascii="Arial" w:cs="Arial" w:eastAsia="Arial" w:hAnsi="Arial"/>
                  <w:sz w:val="16"/>
                  <w:szCs w:val="16"/>
                  <w:color w:val="0000FF"/>
                </w:rPr>
                <w:t>*+10(f)2</w:t>
              </w:r>
            </w:hyperlink>
          </w:p>
        </w:tc>
        <w:tc>
          <w:tcPr>
            <w:tcW w:w="10540" w:type="dxa"/>
            <w:vAlign w:val="bottom"/>
            <w:gridSpan w:val="32"/>
            <w:shd w:val="clear" w:color="auto" w:fill="CCEEFF"/>
          </w:tcPr>
          <w:p>
            <w:pPr>
              <w:ind w:left="34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39">
              <w:r>
                <w:rPr>
                  <w:rFonts w:ascii="Arial" w:cs="Arial" w:eastAsia="Arial" w:hAnsi="Arial"/>
                  <w:sz w:val="16"/>
                  <w:szCs w:val="16"/>
                  <w:color w:val="0000FF"/>
                </w:rPr>
                <w:t>Amendment to the ALLETE and Affiliated Companies Supplemental Executive Retirement Plan (SERP I), effective January 1, 2011 (filed as</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4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39">
              <w:r>
                <w:rPr>
                  <w:rFonts w:ascii="Arial" w:cs="Arial" w:eastAsia="Arial" w:hAnsi="Arial"/>
                  <w:sz w:val="16"/>
                  <w:szCs w:val="16"/>
                  <w:color w:val="0000FF"/>
                  <w:w w:val="93"/>
                </w:rPr>
                <w:t>Exhibit 10(i)2 to the 2010 Form 10-K, File No. 1-3548).</w:t>
              </w:r>
            </w:hyperlink>
          </w:p>
        </w:tc>
        <w:tc>
          <w:tcPr>
            <w:tcW w:w="62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20" w:type="dxa"/>
            <w:vAlign w:val="bottom"/>
            <w:gridSpan w:val="10"/>
          </w:tcPr>
          <w:p>
            <w:pPr>
              <w:spacing w:after="0" w:line="175" w:lineRule="exact"/>
              <w:rPr>
                <w:rFonts w:ascii="Arial" w:cs="Arial" w:eastAsia="Arial" w:hAnsi="Arial"/>
                <w:sz w:val="16"/>
                <w:szCs w:val="16"/>
                <w:color w:val="0000FF"/>
              </w:rPr>
            </w:pPr>
            <w:hyperlink r:id="rId140">
              <w:r>
                <w:rPr>
                  <w:rFonts w:ascii="Arial" w:cs="Arial" w:eastAsia="Arial" w:hAnsi="Arial"/>
                  <w:sz w:val="16"/>
                  <w:szCs w:val="16"/>
                  <w:color w:val="0000FF"/>
                </w:rPr>
                <w:t>*+10(f)4</w:t>
              </w:r>
            </w:hyperlink>
          </w:p>
        </w:tc>
        <w:tc>
          <w:tcPr>
            <w:tcW w:w="10540" w:type="dxa"/>
            <w:vAlign w:val="bottom"/>
            <w:gridSpan w:val="32"/>
          </w:tcPr>
          <w:p>
            <w:pPr>
              <w:ind w:left="34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40">
              <w:r>
                <w:rPr>
                  <w:rFonts w:ascii="Arial" w:cs="Arial" w:eastAsia="Arial" w:hAnsi="Arial"/>
                  <w:sz w:val="16"/>
                  <w:szCs w:val="16"/>
                  <w:color w:val="0000FF"/>
                  <w:w w:val="96"/>
                </w:rPr>
                <w:t>ALLETE and Affiliated Companies Supplemental Executive Retirement Plan II (SERP II), as amended and restated, effective January 1, 2019 (filed</w:t>
              </w:r>
            </w:hyperlink>
          </w:p>
        </w:tc>
      </w:tr>
      <w:tr>
        <w:trPr>
          <w:trHeight w:val="142"/>
        </w:trPr>
        <w:tc>
          <w:tcPr>
            <w:tcW w:w="2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as Exhibit 10(f)4 to the 2018 Form 10-K, File No. 1-3548).</w:t>
              </w:r>
            </w:hyperlink>
          </w:p>
        </w:tc>
        <w:tc>
          <w:tcPr>
            <w:tcW w:w="40" w:type="dxa"/>
            <w:vAlign w:val="bottom"/>
            <w:gridSpan w:val="2"/>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20" w:type="dxa"/>
            <w:vAlign w:val="bottom"/>
            <w:gridSpan w:val="10"/>
            <w:shd w:val="clear" w:color="auto" w:fill="CCEEFF"/>
          </w:tcPr>
          <w:p>
            <w:pPr>
              <w:ind w:left="40"/>
              <w:spacing w:after="0" w:line="175" w:lineRule="exact"/>
              <w:rPr>
                <w:rFonts w:ascii="Arial" w:cs="Arial" w:eastAsia="Arial" w:hAnsi="Arial"/>
                <w:sz w:val="16"/>
                <w:szCs w:val="16"/>
                <w:color w:val="0000FF"/>
              </w:rPr>
            </w:pPr>
            <w:hyperlink w:anchor="page230">
              <w:r>
                <w:rPr>
                  <w:rFonts w:ascii="Arial" w:cs="Arial" w:eastAsia="Arial" w:hAnsi="Arial"/>
                  <w:sz w:val="16"/>
                  <w:szCs w:val="16"/>
                  <w:color w:val="0000FF"/>
                </w:rPr>
                <w:t>+10(f)5</w:t>
              </w:r>
            </w:hyperlink>
          </w:p>
        </w:tc>
        <w:tc>
          <w:tcPr>
            <w:tcW w:w="580" w:type="dxa"/>
            <w:vAlign w:val="bottom"/>
            <w:shd w:val="clear" w:color="auto" w:fill="CCEEFF"/>
          </w:tcPr>
          <w:p>
            <w:pPr>
              <w:spacing w:after="0"/>
              <w:rPr>
                <w:sz w:val="15"/>
                <w:szCs w:val="15"/>
                <w:color w:val="auto"/>
              </w:rPr>
            </w:pPr>
          </w:p>
        </w:tc>
        <w:tc>
          <w:tcPr>
            <w:tcW w:w="9960" w:type="dxa"/>
            <w:vAlign w:val="bottom"/>
            <w:gridSpan w:val="31"/>
            <w:shd w:val="clear" w:color="auto" w:fill="CCEEFF"/>
          </w:tcPr>
          <w:p>
            <w:pPr>
              <w:spacing w:after="0" w:line="175" w:lineRule="exact"/>
              <w:rPr>
                <w:rFonts w:ascii="Arial" w:cs="Arial" w:eastAsia="Arial" w:hAnsi="Arial"/>
                <w:sz w:val="16"/>
                <w:szCs w:val="16"/>
                <w:color w:val="0000FF"/>
                <w:w w:val="98"/>
              </w:rPr>
            </w:pPr>
            <w:hyperlink w:anchor="page230">
              <w:r>
                <w:rPr>
                  <w:rFonts w:ascii="Arial" w:cs="Arial" w:eastAsia="Arial" w:hAnsi="Arial"/>
                  <w:sz w:val="16"/>
                  <w:szCs w:val="16"/>
                  <w:color w:val="0000FF"/>
                  <w:w w:val="98"/>
                </w:rPr>
                <w:t xml:space="preserve">ALLETE and Affiliated Companies Supplemental Executive Retirement Plan II (SERP II), as amended and restated, effective January 1, </w:t>
              </w:r>
            </w:hyperlink>
            <w:r>
              <w:rPr>
                <w:rFonts w:ascii="Arial" w:cs="Arial" w:eastAsia="Arial" w:hAnsi="Arial"/>
                <w:sz w:val="16"/>
                <w:szCs w:val="16"/>
                <w:color w:val="0000FF"/>
                <w:w w:val="98"/>
              </w:rPr>
              <w:t>2021</w:t>
            </w:r>
            <w:r>
              <w:rPr>
                <w:rFonts w:ascii="Arial" w:cs="Arial" w:eastAsia="Arial" w:hAnsi="Arial"/>
                <w:sz w:val="16"/>
                <w:szCs w:val="16"/>
                <w:color w:val="000000"/>
                <w:w w:val="98"/>
              </w:rPr>
              <w: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w:t>
      </w: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ind w:left="1260" w:hanging="1497"/>
        <w:spacing w:after="0"/>
        <w:tabs>
          <w:tab w:leader="none" w:pos="1240" w:val="left"/>
        </w:tabs>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*+10(g)</w:t>
        </w:r>
      </w:hyperlink>
      <w:r>
        <w:rPr>
          <w:rFonts w:ascii="Arial" w:cs="Arial" w:eastAsia="Arial" w:hAnsi="Arial"/>
          <w:sz w:val="16"/>
          <w:szCs w:val="16"/>
          <w:color w:val="0000FF"/>
        </w:rPr>
        <w:tab/>
        <w:t xml:space="preserve">— </w:t>
      </w:r>
      <w:hyperlink r:id="rId143">
        <w:r>
          <w:rPr>
            <w:rFonts w:ascii="Arial" w:cs="Arial" w:eastAsia="Arial" w:hAnsi="Arial"/>
            <w:sz w:val="16"/>
            <w:szCs w:val="16"/>
            <w:u w:val="single" w:color="auto"/>
            <w:color w:val="0000FF"/>
          </w:rPr>
          <w:t>ALLETE Deferred Compensation Trust Agreement, as amended and restated, effective December 15, 2012 (filed as Exhibit 10(j) to the 2012 Form</w:t>
        </w:r>
      </w:hyperlink>
      <w:r>
        <w:rPr>
          <w:rFonts w:ascii="Arial" w:cs="Arial" w:eastAsia="Arial" w:hAnsi="Arial"/>
          <w:sz w:val="16"/>
          <w:szCs w:val="16"/>
          <w:color w:val="0000FF"/>
        </w:rPr>
        <w:t xml:space="preserve"> </w:t>
      </w:r>
      <w:hyperlink r:id="rId143">
        <w:r>
          <w:rPr>
            <w:rFonts w:ascii="Arial" w:cs="Arial" w:eastAsia="Arial" w:hAnsi="Arial"/>
            <w:sz w:val="16"/>
            <w:szCs w:val="16"/>
            <w:u w:val="single" w:color="auto"/>
            <w:color w:val="0000FF"/>
          </w:rPr>
          <w:t>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45">
        <w:r>
          <w:rPr>
            <w:rFonts w:ascii="Arial" w:cs="Arial" w:eastAsia="Arial" w:hAnsi="Arial"/>
            <w:sz w:val="16"/>
            <w:szCs w:val="16"/>
            <w:u w:val="single" w:color="auto"/>
            <w:color w:val="0000FF"/>
          </w:rPr>
          <w:t>*+10(i)1</w:t>
        </w:r>
      </w:hyperlink>
      <w:r>
        <w:rPr>
          <w:rFonts w:ascii="Arial" w:cs="Arial" w:eastAsia="Arial" w:hAnsi="Arial"/>
          <w:sz w:val="16"/>
          <w:szCs w:val="16"/>
          <w:color w:val="0000FF"/>
        </w:rPr>
        <w:tab/>
        <w:t xml:space="preserve">— </w:t>
      </w:r>
      <w:hyperlink r:id="rId145">
        <w:r>
          <w:rPr>
            <w:rFonts w:ascii="Arial" w:cs="Arial" w:eastAsia="Arial" w:hAnsi="Arial"/>
            <w:sz w:val="16"/>
            <w:szCs w:val="16"/>
            <w:u w:val="single" w:color="auto"/>
            <w:color w:val="0000FF"/>
          </w:rPr>
          <w:t>ALLETE Executive Long-Term Incentive Compensation Plan effective January 1, 2016 (filed November 6, 2015, as Exhibit 99 to Form S-8, File</w:t>
        </w:r>
      </w:hyperlink>
      <w:r>
        <w:rPr>
          <w:rFonts w:ascii="Arial" w:cs="Arial" w:eastAsia="Arial" w:hAnsi="Arial"/>
          <w:sz w:val="16"/>
          <w:szCs w:val="16"/>
          <w:color w:val="0000FF"/>
        </w:rPr>
        <w:t xml:space="preserve"> </w:t>
      </w:r>
      <w:hyperlink r:id="rId145">
        <w:r>
          <w:rPr>
            <w:rFonts w:ascii="Arial" w:cs="Arial" w:eastAsia="Arial" w:hAnsi="Arial"/>
            <w:sz w:val="16"/>
            <w:szCs w:val="16"/>
            <w:u w:val="single" w:color="auto"/>
            <w:color w:val="0000FF"/>
          </w:rPr>
          <w:t>No. 333-207846).</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*+10(i)2</w:t>
        </w:r>
      </w:hyperlink>
      <w:r>
        <w:rPr>
          <w:rFonts w:ascii="Arial" w:cs="Arial" w:eastAsia="Arial" w:hAnsi="Arial"/>
          <w:sz w:val="16"/>
          <w:szCs w:val="16"/>
          <w:color w:val="0000FF"/>
        </w:rPr>
        <w:tab/>
        <w:t xml:space="preserve">— </w:t>
      </w:r>
      <w:hyperlink r:id="rId146">
        <w:r>
          <w:rPr>
            <w:rFonts w:ascii="Arial" w:cs="Arial" w:eastAsia="Arial" w:hAnsi="Arial"/>
            <w:sz w:val="16"/>
            <w:szCs w:val="16"/>
            <w:u w:val="single" w:color="auto"/>
            <w:color w:val="0000FF"/>
          </w:rPr>
          <w:t>Form of ALLETE Executive Long-Term Incentive Compensation Plan Restricted Stock Unit Grant Effective 2016 (filed as Exhibit 10(k)3 to the</w:t>
        </w:r>
      </w:hyperlink>
      <w:r>
        <w:rPr>
          <w:rFonts w:ascii="Arial" w:cs="Arial" w:eastAsia="Arial" w:hAnsi="Arial"/>
          <w:sz w:val="16"/>
          <w:szCs w:val="16"/>
          <w:color w:val="0000FF"/>
        </w:rPr>
        <w:t xml:space="preserve"> </w:t>
      </w:r>
      <w:hyperlink r:id="rId146">
        <w:r>
          <w:rPr>
            <w:rFonts w:ascii="Arial" w:cs="Arial" w:eastAsia="Arial" w:hAnsi="Arial"/>
            <w:sz w:val="16"/>
            <w:szCs w:val="16"/>
            <w:u w:val="single" w:color="auto"/>
            <w:color w:val="0000FF"/>
          </w:rPr>
          <w:t>2015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48">
        <w:r>
          <w:rPr>
            <w:rFonts w:ascii="Arial" w:cs="Arial" w:eastAsia="Arial" w:hAnsi="Arial"/>
            <w:sz w:val="16"/>
            <w:szCs w:val="16"/>
            <w:u w:val="single" w:color="auto"/>
            <w:color w:val="0000FF"/>
          </w:rPr>
          <w:t>*+10(i)3</w:t>
        </w:r>
      </w:hyperlink>
      <w:r>
        <w:rPr>
          <w:rFonts w:ascii="Arial" w:cs="Arial" w:eastAsia="Arial" w:hAnsi="Arial"/>
          <w:sz w:val="16"/>
          <w:szCs w:val="16"/>
          <w:color w:val="0000FF"/>
        </w:rPr>
        <w:tab/>
        <w:t xml:space="preserve">— </w:t>
      </w:r>
      <w:hyperlink r:id="rId148">
        <w:r>
          <w:rPr>
            <w:rFonts w:ascii="Arial" w:cs="Arial" w:eastAsia="Arial" w:hAnsi="Arial"/>
            <w:sz w:val="16"/>
            <w:szCs w:val="16"/>
            <w:u w:val="single" w:color="auto"/>
            <w:color w:val="0000FF"/>
          </w:rPr>
          <w:t>Form of ALLETE Executive Long-Term Incentive Compensation Plan Performance Share Grant Effective 2016 (filed as Exhibit 10(k)2 to the 2015</w:t>
        </w:r>
      </w:hyperlink>
      <w:r>
        <w:rPr>
          <w:rFonts w:ascii="Arial" w:cs="Arial" w:eastAsia="Arial" w:hAnsi="Arial"/>
          <w:sz w:val="16"/>
          <w:szCs w:val="16"/>
          <w:color w:val="0000FF"/>
        </w:rPr>
        <w:t xml:space="preserve"> </w:t>
      </w:r>
      <w:hyperlink r:id="rId148">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*+10(i)5</w:t>
        </w:r>
      </w:hyperlink>
      <w:r>
        <w:rPr>
          <w:rFonts w:ascii="Arial" w:cs="Arial" w:eastAsia="Arial" w:hAnsi="Arial"/>
          <w:sz w:val="16"/>
          <w:szCs w:val="16"/>
          <w:color w:val="0000FF"/>
        </w:rPr>
        <w:tab/>
        <w:t xml:space="preserve">— </w:t>
      </w:r>
      <w:hyperlink r:id="rId149">
        <w:r>
          <w:rPr>
            <w:rFonts w:ascii="Arial" w:cs="Arial" w:eastAsia="Arial" w:hAnsi="Arial"/>
            <w:sz w:val="16"/>
            <w:szCs w:val="16"/>
            <w:u w:val="single" w:color="auto"/>
            <w:color w:val="0000FF"/>
          </w:rPr>
          <w:t>Form of ALLETE Executive Long-Term Incentive Compensation Plan Restricted Stock Unit Grant Effective 2017 (filed as Exhibit 10(i)5 to the</w:t>
        </w:r>
      </w:hyperlink>
      <w:r>
        <w:rPr>
          <w:rFonts w:ascii="Arial" w:cs="Arial" w:eastAsia="Arial" w:hAnsi="Arial"/>
          <w:sz w:val="16"/>
          <w:szCs w:val="16"/>
          <w:color w:val="0000FF"/>
        </w:rPr>
        <w:t xml:space="preserve"> </w:t>
      </w:r>
      <w:hyperlink r:id="rId149">
        <w:r>
          <w:rPr>
            <w:rFonts w:ascii="Arial" w:cs="Arial" w:eastAsia="Arial" w:hAnsi="Arial"/>
            <w:sz w:val="16"/>
            <w:szCs w:val="16"/>
            <w:u w:val="single" w:color="auto"/>
            <w:color w:val="0000FF"/>
          </w:rPr>
          <w:t>2016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right="20" w:hanging="1497"/>
        <w:spacing w:after="0"/>
        <w:tabs>
          <w:tab w:leader="none" w:pos="1240" w:val="left"/>
        </w:tabs>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*+10(i)6</w:t>
        </w:r>
      </w:hyperlink>
      <w:r>
        <w:rPr>
          <w:rFonts w:ascii="Arial" w:cs="Arial" w:eastAsia="Arial" w:hAnsi="Arial"/>
          <w:sz w:val="16"/>
          <w:szCs w:val="16"/>
          <w:color w:val="0000FF"/>
        </w:rPr>
        <w:tab/>
        <w:t xml:space="preserve">— </w:t>
      </w:r>
      <w:hyperlink r:id="rId151">
        <w:r>
          <w:rPr>
            <w:rFonts w:ascii="Arial" w:cs="Arial" w:eastAsia="Arial" w:hAnsi="Arial"/>
            <w:sz w:val="16"/>
            <w:szCs w:val="16"/>
            <w:u w:val="single" w:color="auto"/>
            <w:color w:val="0000FF"/>
          </w:rPr>
          <w:t>Form of ALLETE Executive Long-Term Incentive Compensation Plan Performance Share Grant Effective 2017 (filed as Exhibit 10(i)6 to the 2016</w:t>
        </w:r>
      </w:hyperlink>
      <w:r>
        <w:rPr>
          <w:rFonts w:ascii="Arial" w:cs="Arial" w:eastAsia="Arial" w:hAnsi="Arial"/>
          <w:sz w:val="16"/>
          <w:szCs w:val="16"/>
          <w:color w:val="0000FF"/>
        </w:rPr>
        <w:t xml:space="preserve"> </w:t>
      </w:r>
      <w:hyperlink r:id="rId151">
        <w:r>
          <w:rPr>
            <w:rFonts w:ascii="Arial" w:cs="Arial" w:eastAsia="Arial" w:hAnsi="Arial"/>
            <w:sz w:val="16"/>
            <w:szCs w:val="16"/>
            <w:u w:val="single" w:color="auto"/>
            <w:color w:val="0000FF"/>
          </w:rPr>
          <w:t>Form 10-K, 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*+10(i)7</w:t>
        </w:r>
      </w:hyperlink>
      <w:r>
        <w:rPr>
          <w:rFonts w:ascii="Arial" w:cs="Arial" w:eastAsia="Arial" w:hAnsi="Arial"/>
          <w:sz w:val="16"/>
          <w:szCs w:val="16"/>
          <w:color w:val="0000FF"/>
        </w:rPr>
        <w:tab/>
        <w:t xml:space="preserve">— </w:t>
      </w:r>
      <w:hyperlink r:id="rId152">
        <w:r>
          <w:rPr>
            <w:rFonts w:ascii="Arial" w:cs="Arial" w:eastAsia="Arial" w:hAnsi="Arial"/>
            <w:sz w:val="16"/>
            <w:szCs w:val="16"/>
            <w:u w:val="single" w:color="auto"/>
            <w:color w:val="0000FF"/>
          </w:rPr>
          <w:t>Form of ALLETE Executive Long-Term Incentive Compensation Plan Cash Award Effective 2018 (filed as Exhibit 10(b) to the March 31, 2018,</w:t>
        </w:r>
      </w:hyperlink>
      <w:r>
        <w:rPr>
          <w:rFonts w:ascii="Arial" w:cs="Arial" w:eastAsia="Arial" w:hAnsi="Arial"/>
          <w:sz w:val="16"/>
          <w:szCs w:val="16"/>
          <w:color w:val="0000FF"/>
        </w:rPr>
        <w:t xml:space="preserve"> </w:t>
      </w:r>
      <w:hyperlink r:id="rId152">
        <w:r>
          <w:rPr>
            <w:rFonts w:ascii="Arial" w:cs="Arial" w:eastAsia="Arial" w:hAnsi="Arial"/>
            <w:sz w:val="16"/>
            <w:szCs w:val="16"/>
            <w:u w:val="single" w:color="auto"/>
            <w:color w:val="0000FF"/>
          </w:rPr>
          <w:t>Form 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54">
        <w:r>
          <w:rPr>
            <w:rFonts w:ascii="Arial" w:cs="Arial" w:eastAsia="Arial" w:hAnsi="Arial"/>
            <w:sz w:val="16"/>
            <w:szCs w:val="16"/>
            <w:u w:val="single" w:color="auto"/>
            <w:color w:val="0000FF"/>
          </w:rPr>
          <w:t>*+10(i)8</w:t>
        </w:r>
      </w:hyperlink>
      <w:r>
        <w:rPr>
          <w:rFonts w:ascii="Arial" w:cs="Arial" w:eastAsia="Arial" w:hAnsi="Arial"/>
          <w:sz w:val="16"/>
          <w:szCs w:val="16"/>
          <w:color w:val="0000FF"/>
        </w:rPr>
        <w:tab/>
        <w:t xml:space="preserve">— </w:t>
      </w:r>
      <w:hyperlink r:id="rId154">
        <w:r>
          <w:rPr>
            <w:rFonts w:ascii="Arial" w:cs="Arial" w:eastAsia="Arial" w:hAnsi="Arial"/>
            <w:sz w:val="16"/>
            <w:szCs w:val="16"/>
            <w:u w:val="single" w:color="auto"/>
            <w:color w:val="0000FF"/>
          </w:rPr>
          <w:t>Form of ALLETE Executive Long-Term Incentive Compensation Plan Restricted Stock Unit Grant Effective 2018 (filed as Exhibit 10(i)7 to the</w:t>
        </w:r>
      </w:hyperlink>
      <w:r>
        <w:rPr>
          <w:rFonts w:ascii="Arial" w:cs="Arial" w:eastAsia="Arial" w:hAnsi="Arial"/>
          <w:sz w:val="16"/>
          <w:szCs w:val="16"/>
          <w:color w:val="0000FF"/>
        </w:rPr>
        <w:t xml:space="preserve"> </w:t>
      </w:r>
      <w:hyperlink r:id="rId154">
        <w:r>
          <w:rPr>
            <w:rFonts w:ascii="Arial" w:cs="Arial" w:eastAsia="Arial" w:hAnsi="Arial"/>
            <w:sz w:val="16"/>
            <w:szCs w:val="16"/>
            <w:u w:val="single" w:color="auto"/>
            <w:color w:val="0000FF"/>
          </w:rPr>
          <w:t>2017 Form 10-K, File No. 1-3548).</w:t>
        </w:r>
      </w:hyperlink>
    </w:p>
    <w:p>
      <w:pPr>
        <w:spacing w:after="0" w:line="10" w:lineRule="exact"/>
        <w:rPr>
          <w:rFonts w:ascii="Arial" w:cs="Arial" w:eastAsia="Arial" w:hAnsi="Arial"/>
          <w:sz w:val="16"/>
          <w:szCs w:val="16"/>
          <w:color w:val="0000FF"/>
        </w:rPr>
      </w:pPr>
    </w:p>
    <w:p>
      <w:pPr>
        <w:ind w:left="1260" w:right="20" w:hanging="1497"/>
        <w:spacing w:after="0"/>
        <w:tabs>
          <w:tab w:leader="none" w:pos="1240" w:val="left"/>
        </w:tabs>
        <w:rPr>
          <w:rFonts w:ascii="Arial" w:cs="Arial" w:eastAsia="Arial" w:hAnsi="Arial"/>
          <w:sz w:val="16"/>
          <w:szCs w:val="16"/>
          <w:u w:val="single" w:color="auto"/>
          <w:color w:val="0000FF"/>
        </w:rPr>
      </w:pPr>
      <w:hyperlink r:id="rId155">
        <w:r>
          <w:rPr>
            <w:rFonts w:ascii="Arial" w:cs="Arial" w:eastAsia="Arial" w:hAnsi="Arial"/>
            <w:sz w:val="16"/>
            <w:szCs w:val="16"/>
            <w:u w:val="single" w:color="auto"/>
            <w:color w:val="0000FF"/>
          </w:rPr>
          <w:t>*+10(i)9</w:t>
        </w:r>
      </w:hyperlink>
      <w:r>
        <w:rPr>
          <w:rFonts w:ascii="Arial" w:cs="Arial" w:eastAsia="Arial" w:hAnsi="Arial"/>
          <w:sz w:val="16"/>
          <w:szCs w:val="16"/>
          <w:color w:val="0000FF"/>
        </w:rPr>
        <w:tab/>
        <w:t xml:space="preserve">— </w:t>
      </w:r>
      <w:hyperlink r:id="rId155">
        <w:r>
          <w:rPr>
            <w:rFonts w:ascii="Arial" w:cs="Arial" w:eastAsia="Arial" w:hAnsi="Arial"/>
            <w:sz w:val="16"/>
            <w:szCs w:val="16"/>
            <w:u w:val="single" w:color="auto"/>
            <w:color w:val="0000FF"/>
          </w:rPr>
          <w:t>Form of ALLETE Executive Long-Term Incentive Compensation Plan Performance Share Grant Effective 2018 (filed as Exhibit 10(i)8 to the 2017</w:t>
        </w:r>
      </w:hyperlink>
      <w:r>
        <w:rPr>
          <w:rFonts w:ascii="Arial" w:cs="Arial" w:eastAsia="Arial" w:hAnsi="Arial"/>
          <w:sz w:val="16"/>
          <w:szCs w:val="16"/>
          <w:color w:val="0000FF"/>
        </w:rPr>
        <w:t xml:space="preserve"> </w:t>
      </w:r>
      <w:hyperlink r:id="rId155">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*+10(i)10</w:t>
        </w:r>
      </w:hyperlink>
      <w:r>
        <w:rPr>
          <w:rFonts w:ascii="Arial" w:cs="Arial" w:eastAsia="Arial" w:hAnsi="Arial"/>
          <w:sz w:val="16"/>
          <w:szCs w:val="16"/>
          <w:color w:val="0000FF"/>
        </w:rPr>
        <w:tab/>
        <w:t xml:space="preserve">— </w:t>
      </w:r>
      <w:hyperlink r:id="rId157">
        <w:r>
          <w:rPr>
            <w:rFonts w:ascii="Arial" w:cs="Arial" w:eastAsia="Arial" w:hAnsi="Arial"/>
            <w:sz w:val="16"/>
            <w:szCs w:val="16"/>
            <w:u w:val="single" w:color="auto"/>
            <w:color w:val="0000FF"/>
          </w:rPr>
          <w:t>Form of ALLETE Executive Long-Term Incentive Compensation Plan Restricted Stock Unit Grant Effective 2019 (filed as Exhibit 10(i)10 to the</w:t>
        </w:r>
      </w:hyperlink>
      <w:r>
        <w:rPr>
          <w:rFonts w:ascii="Arial" w:cs="Arial" w:eastAsia="Arial" w:hAnsi="Arial"/>
          <w:sz w:val="16"/>
          <w:szCs w:val="16"/>
          <w:color w:val="0000FF"/>
        </w:rPr>
        <w:t xml:space="preserve"> </w:t>
      </w:r>
      <w:hyperlink r:id="rId157">
        <w:r>
          <w:rPr>
            <w:rFonts w:ascii="Arial" w:cs="Arial" w:eastAsia="Arial" w:hAnsi="Arial"/>
            <w:sz w:val="16"/>
            <w:szCs w:val="16"/>
            <w:u w:val="single" w:color="auto"/>
            <w:color w:val="0000FF"/>
          </w:rPr>
          <w:t>2018 Form 10-K, 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*+10(i)11</w:t>
        </w:r>
      </w:hyperlink>
      <w:r>
        <w:rPr>
          <w:rFonts w:ascii="Arial" w:cs="Arial" w:eastAsia="Arial" w:hAnsi="Arial"/>
          <w:sz w:val="16"/>
          <w:szCs w:val="16"/>
          <w:color w:val="0000FF"/>
        </w:rPr>
        <w:tab/>
        <w:t xml:space="preserve">— </w:t>
      </w:r>
      <w:hyperlink r:id="rId158">
        <w:r>
          <w:rPr>
            <w:rFonts w:ascii="Arial" w:cs="Arial" w:eastAsia="Arial" w:hAnsi="Arial"/>
            <w:sz w:val="16"/>
            <w:szCs w:val="16"/>
            <w:u w:val="single" w:color="auto"/>
            <w:color w:val="0000FF"/>
          </w:rPr>
          <w:t>Form of ALLETE Executive Long-Term Incentive Compensation Plan Performance Share Grant Effective 2019 (filed as Exhibit 10(i)11 to the 2018</w:t>
        </w:r>
      </w:hyperlink>
      <w:r>
        <w:rPr>
          <w:rFonts w:ascii="Arial" w:cs="Arial" w:eastAsia="Arial" w:hAnsi="Arial"/>
          <w:sz w:val="16"/>
          <w:szCs w:val="16"/>
          <w:color w:val="0000FF"/>
        </w:rPr>
        <w:t xml:space="preserve"> </w:t>
      </w:r>
      <w:hyperlink r:id="rId158">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*+10(i)12</w:t>
        </w:r>
      </w:hyperlink>
      <w:r>
        <w:rPr>
          <w:rFonts w:ascii="Arial" w:cs="Arial" w:eastAsia="Arial" w:hAnsi="Arial"/>
          <w:sz w:val="16"/>
          <w:szCs w:val="16"/>
          <w:color w:val="0000FF"/>
        </w:rPr>
        <w:tab/>
        <w:t xml:space="preserve">— </w:t>
      </w:r>
      <w:hyperlink r:id="rId160">
        <w:r>
          <w:rPr>
            <w:rFonts w:ascii="Arial" w:cs="Arial" w:eastAsia="Arial" w:hAnsi="Arial"/>
            <w:sz w:val="16"/>
            <w:szCs w:val="16"/>
            <w:u w:val="single" w:color="auto"/>
            <w:color w:val="0000FF"/>
          </w:rPr>
          <w:t>Form of ALLETE Executive Long-Term Incentive Compensation Plan Restricted Stock Unit Grant Effective 2020 (filed as Exhibit 10(i)12 to the</w:t>
        </w:r>
      </w:hyperlink>
      <w:r>
        <w:rPr>
          <w:rFonts w:ascii="Arial" w:cs="Arial" w:eastAsia="Arial" w:hAnsi="Arial"/>
          <w:sz w:val="16"/>
          <w:szCs w:val="16"/>
          <w:color w:val="0000FF"/>
        </w:rPr>
        <w:t xml:space="preserve"> </w:t>
      </w:r>
      <w:hyperlink r:id="rId160">
        <w:r>
          <w:rPr>
            <w:rFonts w:ascii="Arial" w:cs="Arial" w:eastAsia="Arial" w:hAnsi="Arial"/>
            <w:sz w:val="16"/>
            <w:szCs w:val="16"/>
            <w:u w:val="single" w:color="auto"/>
            <w:color w:val="0000FF"/>
          </w:rPr>
          <w:t>2019 Form 10-K, File No. 1-3548).</w:t>
        </w:r>
      </w:hyperlink>
    </w:p>
    <w:p>
      <w:pPr>
        <w:spacing w:after="0" w:line="10" w:lineRule="exact"/>
        <w:rPr>
          <w:rFonts w:ascii="Arial" w:cs="Arial" w:eastAsia="Arial" w:hAnsi="Arial"/>
          <w:sz w:val="16"/>
          <w:szCs w:val="16"/>
          <w:color w:val="0000FF"/>
        </w:rPr>
      </w:pPr>
    </w:p>
    <w:p>
      <w:pPr>
        <w:ind w:left="1260" w:right="20" w:hanging="1497"/>
        <w:spacing w:after="0"/>
        <w:tabs>
          <w:tab w:leader="none" w:pos="1240" w:val="left"/>
        </w:tabs>
        <w:rPr>
          <w:rFonts w:ascii="Arial" w:cs="Arial" w:eastAsia="Arial" w:hAnsi="Arial"/>
          <w:sz w:val="16"/>
          <w:szCs w:val="16"/>
          <w:u w:val="single" w:color="auto"/>
          <w:color w:val="0000FF"/>
        </w:rPr>
      </w:pPr>
      <w:hyperlink r:id="rId161">
        <w:r>
          <w:rPr>
            <w:rFonts w:ascii="Arial" w:cs="Arial" w:eastAsia="Arial" w:hAnsi="Arial"/>
            <w:sz w:val="16"/>
            <w:szCs w:val="16"/>
            <w:u w:val="single" w:color="auto"/>
            <w:color w:val="0000FF"/>
          </w:rPr>
          <w:t>*+10(i)13</w:t>
        </w:r>
      </w:hyperlink>
      <w:r>
        <w:rPr>
          <w:rFonts w:ascii="Arial" w:cs="Arial" w:eastAsia="Arial" w:hAnsi="Arial"/>
          <w:sz w:val="16"/>
          <w:szCs w:val="16"/>
          <w:color w:val="0000FF"/>
        </w:rPr>
        <w:tab/>
        <w:t xml:space="preserve">— </w:t>
      </w:r>
      <w:hyperlink r:id="rId161">
        <w:r>
          <w:rPr>
            <w:rFonts w:ascii="Arial" w:cs="Arial" w:eastAsia="Arial" w:hAnsi="Arial"/>
            <w:sz w:val="16"/>
            <w:szCs w:val="16"/>
            <w:u w:val="single" w:color="auto"/>
            <w:color w:val="0000FF"/>
          </w:rPr>
          <w:t>Form of ALLETE Executive Long-Term Incentive Compensation Plan Performance Share Grant Effective 2020 (filed as Exhibit 10(i)13 to the 2019</w:t>
        </w:r>
      </w:hyperlink>
      <w:r>
        <w:rPr>
          <w:rFonts w:ascii="Arial" w:cs="Arial" w:eastAsia="Arial" w:hAnsi="Arial"/>
          <w:sz w:val="16"/>
          <w:szCs w:val="16"/>
          <w:color w:val="0000FF"/>
        </w:rPr>
        <w:t xml:space="preserve"> </w:t>
      </w:r>
      <w:hyperlink r:id="rId161">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*+10(i)14</w:t>
        </w:r>
      </w:hyperlink>
      <w:r>
        <w:rPr>
          <w:rFonts w:ascii="Arial" w:cs="Arial" w:eastAsia="Arial" w:hAnsi="Arial"/>
          <w:sz w:val="16"/>
          <w:szCs w:val="16"/>
          <w:color w:val="0000FF"/>
        </w:rPr>
        <w:tab/>
        <w:t xml:space="preserve">— </w:t>
      </w:r>
      <w:hyperlink r:id="rId163">
        <w:r>
          <w:rPr>
            <w:rFonts w:ascii="Arial" w:cs="Arial" w:eastAsia="Arial" w:hAnsi="Arial"/>
            <w:sz w:val="16"/>
            <w:szCs w:val="16"/>
            <w:u w:val="single" w:color="auto"/>
            <w:color w:val="0000FF"/>
          </w:rPr>
          <w:t>Form of ALLETE Executive Long-Term Incentive Compensation Plan Restricted Stock Unit Grant Effective 2021 (filed as Exhibit 10(i)14 to the</w:t>
        </w:r>
      </w:hyperlink>
      <w:r>
        <w:rPr>
          <w:rFonts w:ascii="Arial" w:cs="Arial" w:eastAsia="Arial" w:hAnsi="Arial"/>
          <w:sz w:val="16"/>
          <w:szCs w:val="16"/>
          <w:color w:val="0000FF"/>
        </w:rPr>
        <w:t xml:space="preserve"> </w:t>
      </w:r>
      <w:hyperlink r:id="rId163">
        <w:r>
          <w:rPr>
            <w:rFonts w:ascii="Arial" w:cs="Arial" w:eastAsia="Arial" w:hAnsi="Arial"/>
            <w:sz w:val="16"/>
            <w:szCs w:val="16"/>
            <w:u w:val="single" w:color="auto"/>
            <w:color w:val="0000FF"/>
          </w:rPr>
          <w:t>2020 Form 10-K, File No. 1-3548).</w:t>
        </w:r>
      </w:hyperlink>
    </w:p>
    <w:p>
      <w:pPr>
        <w:spacing w:after="0" w:line="10" w:lineRule="exact"/>
        <w:rPr>
          <w:rFonts w:ascii="Arial" w:cs="Arial" w:eastAsia="Arial" w:hAnsi="Arial"/>
          <w:sz w:val="16"/>
          <w:szCs w:val="16"/>
          <w:color w:val="0000FF"/>
        </w:rPr>
      </w:pPr>
    </w:p>
    <w:p>
      <w:pPr>
        <w:ind w:left="1260" w:right="20" w:hanging="1497"/>
        <w:spacing w:after="0"/>
        <w:tabs>
          <w:tab w:leader="none" w:pos="1240" w:val="left"/>
        </w:tabs>
        <w:rPr>
          <w:rFonts w:ascii="Arial" w:cs="Arial" w:eastAsia="Arial" w:hAnsi="Arial"/>
          <w:sz w:val="16"/>
          <w:szCs w:val="16"/>
          <w:u w:val="single" w:color="auto"/>
          <w:color w:val="0000FF"/>
        </w:rPr>
      </w:pPr>
      <w:hyperlink r:id="rId164">
        <w:r>
          <w:rPr>
            <w:rFonts w:ascii="Arial" w:cs="Arial" w:eastAsia="Arial" w:hAnsi="Arial"/>
            <w:sz w:val="16"/>
            <w:szCs w:val="16"/>
            <w:u w:val="single" w:color="auto"/>
            <w:color w:val="0000FF"/>
          </w:rPr>
          <w:t>*+10(i)15</w:t>
        </w:r>
      </w:hyperlink>
      <w:r>
        <w:rPr>
          <w:rFonts w:ascii="Arial" w:cs="Arial" w:eastAsia="Arial" w:hAnsi="Arial"/>
          <w:sz w:val="16"/>
          <w:szCs w:val="16"/>
          <w:color w:val="0000FF"/>
        </w:rPr>
        <w:tab/>
        <w:t xml:space="preserve">— </w:t>
      </w:r>
      <w:hyperlink r:id="rId164">
        <w:r>
          <w:rPr>
            <w:rFonts w:ascii="Arial" w:cs="Arial" w:eastAsia="Arial" w:hAnsi="Arial"/>
            <w:sz w:val="16"/>
            <w:szCs w:val="16"/>
            <w:u w:val="single" w:color="auto"/>
            <w:color w:val="0000FF"/>
          </w:rPr>
          <w:t>Form of ALLETE Executive Long-Term Incentive Compensation Plan Performance Share Grant Effective 2021 (filed as Exhibit 10(i)15 to the 2020</w:t>
        </w:r>
      </w:hyperlink>
      <w:r>
        <w:rPr>
          <w:rFonts w:ascii="Arial" w:cs="Arial" w:eastAsia="Arial" w:hAnsi="Arial"/>
          <w:sz w:val="16"/>
          <w:szCs w:val="16"/>
          <w:color w:val="0000FF"/>
        </w:rPr>
        <w:t xml:space="preserve"> </w:t>
      </w:r>
      <w:hyperlink r:id="rId164">
        <w:r>
          <w:rPr>
            <w:rFonts w:ascii="Arial" w:cs="Arial" w:eastAsia="Arial" w:hAnsi="Arial"/>
            <w:sz w:val="16"/>
            <w:szCs w:val="16"/>
            <w:u w:val="single" w:color="auto"/>
            <w:color w:val="0000FF"/>
          </w:rPr>
          <w:t>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*+10(i)16</w:t>
        </w:r>
      </w:hyperlink>
      <w:r>
        <w:rPr>
          <w:rFonts w:ascii="Arial" w:cs="Arial" w:eastAsia="Arial" w:hAnsi="Arial"/>
          <w:sz w:val="16"/>
          <w:szCs w:val="16"/>
          <w:color w:val="0000FF"/>
        </w:rPr>
        <w:tab/>
        <w:t xml:space="preserve">— </w:t>
      </w:r>
      <w:hyperlink r:id="rId166">
        <w:r>
          <w:rPr>
            <w:rFonts w:ascii="Arial" w:cs="Arial" w:eastAsia="Arial" w:hAnsi="Arial"/>
            <w:sz w:val="16"/>
            <w:szCs w:val="16"/>
            <w:u w:val="single" w:color="auto"/>
            <w:color w:val="0000FF"/>
          </w:rPr>
          <w:t>Description of Compensation Arrangement 2021 with respect to Alan R. Hodnik (incorporated by reference from the Form 8-K, dated January 30,</w:t>
        </w:r>
      </w:hyperlink>
      <w:r>
        <w:rPr>
          <w:rFonts w:ascii="Arial" w:cs="Arial" w:eastAsia="Arial" w:hAnsi="Arial"/>
          <w:sz w:val="16"/>
          <w:szCs w:val="16"/>
          <w:color w:val="0000FF"/>
        </w:rPr>
        <w:t xml:space="preserve"> </w:t>
      </w:r>
      <w:hyperlink r:id="rId166">
        <w:r>
          <w:rPr>
            <w:rFonts w:ascii="Arial" w:cs="Arial" w:eastAsia="Arial" w:hAnsi="Arial"/>
            <w:sz w:val="16"/>
            <w:szCs w:val="16"/>
            <w:u w:val="single" w:color="auto"/>
            <w:color w:val="0000FF"/>
          </w:rPr>
          <w:t>2020, File No. 1-3548).</w:t>
        </w:r>
      </w:hyperlink>
    </w:p>
    <w:p>
      <w:pPr>
        <w:spacing w:after="0" w:line="10" w:lineRule="exact"/>
        <w:rPr>
          <w:rFonts w:ascii="Arial" w:cs="Arial" w:eastAsia="Arial" w:hAnsi="Arial"/>
          <w:sz w:val="16"/>
          <w:szCs w:val="16"/>
          <w:color w:val="0000FF"/>
        </w:rPr>
      </w:pPr>
    </w:p>
    <w:p>
      <w:pPr>
        <w:ind w:left="40"/>
        <w:spacing w:after="0"/>
        <w:tabs>
          <w:tab w:leader="none" w:pos="1240" w:val="left"/>
        </w:tabs>
        <w:rPr>
          <w:rFonts w:ascii="Arial" w:cs="Arial" w:eastAsia="Arial" w:hAnsi="Arial"/>
          <w:sz w:val="16"/>
          <w:szCs w:val="16"/>
          <w:color w:val="auto"/>
        </w:rPr>
      </w:pPr>
      <w:r>
        <w:rPr>
          <w:rFonts w:ascii="Arial" w:cs="Arial" w:eastAsia="Arial" w:hAnsi="Arial"/>
          <w:sz w:val="16"/>
          <w:szCs w:val="16"/>
          <w:u w:val="single" w:color="auto"/>
          <w:color w:val="0000FF"/>
        </w:rPr>
        <w:t>+10(i)17</w:t>
      </w:r>
      <w:r>
        <w:rPr>
          <w:sz w:val="20"/>
          <w:szCs w:val="20"/>
          <w:color w:val="auto"/>
        </w:rPr>
        <w:tab/>
      </w:r>
      <w:r>
        <w:rPr>
          <w:rFonts w:ascii="Arial" w:cs="Arial" w:eastAsia="Arial" w:hAnsi="Arial"/>
          <w:sz w:val="16"/>
          <w:szCs w:val="16"/>
          <w:color w:val="auto"/>
        </w:rPr>
        <w:t xml:space="preserve">— </w:t>
      </w:r>
      <w:hyperlink w:anchor="page259">
        <w:r>
          <w:rPr>
            <w:rFonts w:ascii="Arial" w:cs="Arial" w:eastAsia="Arial" w:hAnsi="Arial"/>
            <w:sz w:val="16"/>
            <w:szCs w:val="16"/>
            <w:u w:val="single" w:color="auto"/>
            <w:color w:val="0000FF"/>
          </w:rPr>
          <w:t>Form of ALLETE Executive Long-Term Incentive Compensation Plan Restricted Stock Unit Grant Effective 2022.</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17780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rFonts w:ascii="Arial" w:cs="Arial" w:eastAsia="Arial" w:hAnsi="Arial"/>
          <w:sz w:val="16"/>
          <w:szCs w:val="16"/>
          <w:color w:val="0000FF"/>
        </w:rPr>
      </w:pPr>
    </w:p>
    <w:p>
      <w:pPr>
        <w:ind w:left="40"/>
        <w:spacing w:after="0"/>
        <w:tabs>
          <w:tab w:leader="none" w:pos="1240" w:val="left"/>
        </w:tabs>
        <w:rPr>
          <w:rFonts w:ascii="Arial" w:cs="Arial" w:eastAsia="Arial" w:hAnsi="Arial"/>
          <w:sz w:val="16"/>
          <w:szCs w:val="16"/>
          <w:color w:val="auto"/>
        </w:rPr>
      </w:pPr>
      <w:r>
        <w:rPr>
          <w:rFonts w:ascii="Arial" w:cs="Arial" w:eastAsia="Arial" w:hAnsi="Arial"/>
          <w:sz w:val="16"/>
          <w:szCs w:val="16"/>
          <w:u w:val="single" w:color="auto"/>
          <w:color w:val="0000FF"/>
        </w:rPr>
        <w:t>+10(i)18</w:t>
      </w:r>
      <w:r>
        <w:rPr>
          <w:sz w:val="20"/>
          <w:szCs w:val="20"/>
          <w:color w:val="auto"/>
        </w:rPr>
        <w:tab/>
      </w:r>
      <w:r>
        <w:rPr>
          <w:rFonts w:ascii="Arial" w:cs="Arial" w:eastAsia="Arial" w:hAnsi="Arial"/>
          <w:sz w:val="16"/>
          <w:szCs w:val="16"/>
          <w:color w:val="auto"/>
        </w:rPr>
        <w:t xml:space="preserve">— </w:t>
      </w:r>
      <w:hyperlink w:anchor="page267">
        <w:r>
          <w:rPr>
            <w:rFonts w:ascii="Arial" w:cs="Arial" w:eastAsia="Arial" w:hAnsi="Arial"/>
            <w:sz w:val="16"/>
            <w:szCs w:val="16"/>
            <w:u w:val="single" w:color="auto"/>
            <w:color w:val="0000FF"/>
          </w:rPr>
          <w:t>Form of ALLETE Executive Long-Term Incentive Compensation Plan Performance Share Grant Effective 2022.</w:t>
        </w:r>
      </w:hyperlink>
    </w:p>
    <w:p>
      <w:pPr>
        <w:spacing w:after="0" w:line="32"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68">
        <w:r>
          <w:rPr>
            <w:rFonts w:ascii="Arial" w:cs="Arial" w:eastAsia="Arial" w:hAnsi="Arial"/>
            <w:sz w:val="16"/>
            <w:szCs w:val="16"/>
            <w:u w:val="single" w:color="auto"/>
            <w:color w:val="0000FF"/>
          </w:rPr>
          <w:t>*+10(j)1</w:t>
        </w:r>
      </w:hyperlink>
      <w:r>
        <w:rPr>
          <w:rFonts w:ascii="Arial" w:cs="Arial" w:eastAsia="Arial" w:hAnsi="Arial"/>
          <w:sz w:val="16"/>
          <w:szCs w:val="16"/>
          <w:color w:val="0000FF"/>
        </w:rPr>
        <w:tab/>
        <w:t xml:space="preserve">— </w:t>
      </w:r>
      <w:hyperlink r:id="rId168">
        <w:r>
          <w:rPr>
            <w:rFonts w:ascii="Arial" w:cs="Arial" w:eastAsia="Arial" w:hAnsi="Arial"/>
            <w:sz w:val="16"/>
            <w:szCs w:val="16"/>
            <w:u w:val="single" w:color="auto"/>
            <w:color w:val="0000FF"/>
          </w:rPr>
          <w:t>Amended and Restated ALLETE Non-Employee Director Stock Plan, effective May 15, 2013 (filed as Exhibit 10(a) to the June 30, 2013, Form 10-</w:t>
        </w:r>
      </w:hyperlink>
      <w:hyperlink r:id="rId168">
        <w:r>
          <w:rPr>
            <w:rFonts w:ascii="Arial" w:cs="Arial" w:eastAsia="Arial" w:hAnsi="Arial"/>
            <w:sz w:val="16"/>
            <w:szCs w:val="16"/>
            <w:u w:val="single" w:color="auto"/>
            <w:color w:val="0000FF"/>
          </w:rPr>
          <w:t>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70">
        <w:r>
          <w:rPr>
            <w:rFonts w:ascii="Arial" w:cs="Arial" w:eastAsia="Arial" w:hAnsi="Arial"/>
            <w:sz w:val="16"/>
            <w:szCs w:val="16"/>
            <w:u w:val="single" w:color="auto"/>
            <w:color w:val="0000FF"/>
          </w:rPr>
          <w:t>*+10(k)2</w:t>
        </w:r>
      </w:hyperlink>
      <w:r>
        <w:rPr>
          <w:rFonts w:ascii="Arial" w:cs="Arial" w:eastAsia="Arial" w:hAnsi="Arial"/>
          <w:sz w:val="16"/>
          <w:szCs w:val="16"/>
          <w:color w:val="0000FF"/>
        </w:rPr>
        <w:tab/>
        <w:t xml:space="preserve">— </w:t>
      </w:r>
      <w:hyperlink r:id="rId170">
        <w:r>
          <w:rPr>
            <w:rFonts w:ascii="Arial" w:cs="Arial" w:eastAsia="Arial" w:hAnsi="Arial"/>
            <w:sz w:val="16"/>
            <w:szCs w:val="16"/>
            <w:u w:val="single" w:color="auto"/>
            <w:color w:val="0000FF"/>
          </w:rPr>
          <w:t>ALLETE Non-Employee Director Compensation Summary effective January 1, 2019 (filed as Exhibit 10(k)3 to the 2018 Form 10-K, File No. 1-</w:t>
        </w:r>
      </w:hyperlink>
      <w:hyperlink r:id="rId170">
        <w:r>
          <w:rPr>
            <w:rFonts w:ascii="Arial" w:cs="Arial" w:eastAsia="Arial" w:hAnsi="Arial"/>
            <w:sz w:val="16"/>
            <w:szCs w:val="16"/>
            <w:u w:val="single" w:color="auto"/>
            <w:color w:val="0000FF"/>
          </w:rPr>
          <w:t>3548).</w:t>
        </w:r>
      </w:hyperlink>
    </w:p>
    <w:p>
      <w:pPr>
        <w:spacing w:after="0" w:line="10" w:lineRule="exact"/>
        <w:rPr>
          <w:rFonts w:ascii="Arial" w:cs="Arial" w:eastAsia="Arial" w:hAnsi="Arial"/>
          <w:sz w:val="16"/>
          <w:szCs w:val="16"/>
          <w:color w:val="0000FF"/>
        </w:rPr>
      </w:pPr>
    </w:p>
    <w:p>
      <w:pPr>
        <w:ind w:left="1260" w:right="280" w:hanging="1497"/>
        <w:spacing w:after="0"/>
        <w:tabs>
          <w:tab w:leader="none" w:pos="1240" w:val="left"/>
        </w:tabs>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*+10(k)3</w:t>
        </w:r>
      </w:hyperlink>
      <w:r>
        <w:rPr>
          <w:rFonts w:ascii="Arial" w:cs="Arial" w:eastAsia="Arial" w:hAnsi="Arial"/>
          <w:sz w:val="16"/>
          <w:szCs w:val="16"/>
          <w:color w:val="0000FF"/>
        </w:rPr>
        <w:tab/>
        <w:t xml:space="preserve">— </w:t>
      </w:r>
      <w:hyperlink r:id="rId171">
        <w:r>
          <w:rPr>
            <w:rFonts w:ascii="Arial" w:cs="Arial" w:eastAsia="Arial" w:hAnsi="Arial"/>
            <w:sz w:val="16"/>
            <w:szCs w:val="16"/>
            <w:u w:val="single" w:color="auto"/>
            <w:color w:val="0000FF"/>
          </w:rPr>
          <w:t>ALLETE Non-Employee Director Compensation Summary effective January 1, 2020 (filed as Exhibit 10(k)3 to the 2020 Form 10-K, File No. 1-</w:t>
        </w:r>
      </w:hyperlink>
      <w:hyperlink r:id="rId171">
        <w:r>
          <w:rPr>
            <w:rFonts w:ascii="Arial" w:cs="Arial" w:eastAsia="Arial" w:hAnsi="Arial"/>
            <w:sz w:val="16"/>
            <w:szCs w:val="16"/>
            <w:u w:val="single" w:color="auto"/>
            <w:color w:val="0000FF"/>
          </w:rPr>
          <w:t>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40"/>
        <w:spacing w:after="0"/>
        <w:tabs>
          <w:tab w:leader="none" w:pos="1480" w:val="left"/>
        </w:tabs>
        <w:rPr>
          <w:rFonts w:ascii="Arial" w:cs="Arial" w:eastAsia="Arial" w:hAnsi="Arial"/>
          <w:sz w:val="16"/>
          <w:szCs w:val="16"/>
          <w:u w:val="single" w:color="auto"/>
          <w:color w:val="0000FF"/>
        </w:rPr>
      </w:pPr>
      <w:r>
        <w:rPr>
          <w:rFonts w:ascii="Arial" w:cs="Arial" w:eastAsia="Arial" w:hAnsi="Arial"/>
          <w:sz w:val="16"/>
          <w:szCs w:val="16"/>
          <w:u w:val="single" w:color="auto"/>
          <w:color w:val="0000FF"/>
        </w:rPr>
        <w:t>+10(k)4</w:t>
      </w:r>
      <w:r>
        <w:rPr>
          <w:sz w:val="20"/>
          <w:szCs w:val="20"/>
          <w:color w:val="auto"/>
        </w:rPr>
        <w:tab/>
      </w:r>
      <w:hyperlink w:anchor="page276">
        <w:r>
          <w:rPr>
            <w:rFonts w:ascii="Arial" w:cs="Arial" w:eastAsia="Arial" w:hAnsi="Arial"/>
            <w:sz w:val="16"/>
            <w:szCs w:val="16"/>
            <w:u w:val="single" w:color="auto"/>
            <w:color w:val="0000FF"/>
          </w:rPr>
          <w:t>ALLETE Non-Employee Director Compensation Summary effective January 1, 2022</w:t>
        </w:r>
      </w:hyperlink>
    </w:p>
    <w:p>
      <w:pPr>
        <w:spacing w:after="0" w:line="32"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73">
        <w:r>
          <w:rPr>
            <w:rFonts w:ascii="Arial" w:cs="Arial" w:eastAsia="Arial" w:hAnsi="Arial"/>
            <w:sz w:val="16"/>
            <w:szCs w:val="16"/>
            <w:u w:val="single" w:color="auto"/>
            <w:color w:val="0000FF"/>
          </w:rPr>
          <w:t>*+10(l)1</w:t>
        </w:r>
      </w:hyperlink>
      <w:r>
        <w:rPr>
          <w:rFonts w:ascii="Arial" w:cs="Arial" w:eastAsia="Arial" w:hAnsi="Arial"/>
          <w:sz w:val="16"/>
          <w:szCs w:val="16"/>
          <w:color w:val="0000FF"/>
        </w:rPr>
        <w:tab/>
        <w:t xml:space="preserve">— </w:t>
      </w:r>
      <w:hyperlink r:id="rId173">
        <w:r>
          <w:rPr>
            <w:rFonts w:ascii="Arial" w:cs="Arial" w:eastAsia="Arial" w:hAnsi="Arial"/>
            <w:sz w:val="16"/>
            <w:szCs w:val="16"/>
            <w:u w:val="single" w:color="auto"/>
            <w:color w:val="0000FF"/>
          </w:rPr>
          <w:t>Minnesota Power (now ALLETE) Non-Employee Director Compensation Deferral Plan Amended and Restated, effective January 1, 1990 (filed as</w:t>
        </w:r>
      </w:hyperlink>
      <w:r>
        <w:rPr>
          <w:rFonts w:ascii="Arial" w:cs="Arial" w:eastAsia="Arial" w:hAnsi="Arial"/>
          <w:sz w:val="16"/>
          <w:szCs w:val="16"/>
          <w:color w:val="0000FF"/>
        </w:rPr>
        <w:t xml:space="preserve"> </w:t>
      </w:r>
      <w:hyperlink r:id="rId173">
        <w:r>
          <w:rPr>
            <w:rFonts w:ascii="Arial" w:cs="Arial" w:eastAsia="Arial" w:hAnsi="Arial"/>
            <w:sz w:val="16"/>
            <w:szCs w:val="16"/>
            <w:u w:val="single" w:color="auto"/>
            <w:color w:val="0000FF"/>
          </w:rPr>
          <w:t>Exhibit 10(ac) to the 2002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*+10(l)2</w:t>
        </w:r>
      </w:hyperlink>
      <w:r>
        <w:rPr>
          <w:rFonts w:ascii="Arial" w:cs="Arial" w:eastAsia="Arial" w:hAnsi="Arial"/>
          <w:sz w:val="16"/>
          <w:szCs w:val="16"/>
          <w:color w:val="0000FF"/>
        </w:rPr>
        <w:tab/>
        <w:t xml:space="preserve">— </w:t>
      </w:r>
      <w:hyperlink r:id="rId175">
        <w:r>
          <w:rPr>
            <w:rFonts w:ascii="Arial" w:cs="Arial" w:eastAsia="Arial" w:hAnsi="Arial"/>
            <w:sz w:val="16"/>
            <w:szCs w:val="16"/>
            <w:u w:val="single" w:color="auto"/>
            <w:color w:val="0000FF"/>
          </w:rPr>
          <w:t>October 2003 Amendment to the Minnesota Power (now ALLETE) Non-Employee Director Compensation Deferral Plan (filed as Exhibit 10(aa)2 to</w:t>
        </w:r>
      </w:hyperlink>
      <w:r>
        <w:rPr>
          <w:rFonts w:ascii="Arial" w:cs="Arial" w:eastAsia="Arial" w:hAnsi="Arial"/>
          <w:sz w:val="16"/>
          <w:szCs w:val="16"/>
          <w:color w:val="0000FF"/>
        </w:rPr>
        <w:t xml:space="preserve"> </w:t>
      </w:r>
      <w:hyperlink r:id="rId175">
        <w:r>
          <w:rPr>
            <w:rFonts w:ascii="Arial" w:cs="Arial" w:eastAsia="Arial" w:hAnsi="Arial"/>
            <w:sz w:val="16"/>
            <w:szCs w:val="16"/>
            <w:u w:val="single" w:color="auto"/>
            <w:color w:val="0000FF"/>
          </w:rPr>
          <w:t>the 2003 Form 10-K, 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*+10(l)3</w:t>
        </w:r>
      </w:hyperlink>
      <w:r>
        <w:rPr>
          <w:rFonts w:ascii="Arial" w:cs="Arial" w:eastAsia="Arial" w:hAnsi="Arial"/>
          <w:sz w:val="16"/>
          <w:szCs w:val="16"/>
          <w:color w:val="0000FF"/>
        </w:rPr>
        <w:tab/>
        <w:t xml:space="preserve">— </w:t>
      </w:r>
      <w:hyperlink r:id="rId176">
        <w:r>
          <w:rPr>
            <w:rFonts w:ascii="Arial" w:cs="Arial" w:eastAsia="Arial" w:hAnsi="Arial"/>
            <w:sz w:val="16"/>
            <w:szCs w:val="16"/>
            <w:u w:val="single" w:color="auto"/>
            <w:color w:val="0000FF"/>
          </w:rPr>
          <w:t>January 2005 Amendment to the ALLETE Non-Employee Director Compensation Deferral Plan (filed as Exhibit 10(c) to the March 31, 2005, Form</w:t>
        </w:r>
      </w:hyperlink>
      <w:r>
        <w:rPr>
          <w:rFonts w:ascii="Arial" w:cs="Arial" w:eastAsia="Arial" w:hAnsi="Arial"/>
          <w:sz w:val="16"/>
          <w:szCs w:val="16"/>
          <w:color w:val="0000FF"/>
        </w:rPr>
        <w:t xml:space="preserve"> </w:t>
      </w:r>
      <w:hyperlink r:id="rId176">
        <w:r>
          <w:rPr>
            <w:rFonts w:ascii="Arial" w:cs="Arial" w:eastAsia="Arial" w:hAnsi="Arial"/>
            <w:sz w:val="16"/>
            <w:szCs w:val="16"/>
            <w:u w:val="single" w:color="auto"/>
            <w:color w:val="0000FF"/>
          </w:rPr>
          <w:t>10-Q,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*+10(l)4</w:t>
        </w:r>
      </w:hyperlink>
      <w:r>
        <w:rPr>
          <w:rFonts w:ascii="Arial" w:cs="Arial" w:eastAsia="Arial" w:hAnsi="Arial"/>
          <w:sz w:val="16"/>
          <w:szCs w:val="16"/>
          <w:color w:val="0000FF"/>
        </w:rPr>
        <w:tab/>
        <w:t xml:space="preserve">— </w:t>
      </w:r>
      <w:hyperlink r:id="rId178">
        <w:r>
          <w:rPr>
            <w:rFonts w:ascii="Arial" w:cs="Arial" w:eastAsia="Arial" w:hAnsi="Arial"/>
            <w:sz w:val="16"/>
            <w:szCs w:val="16"/>
            <w:u w:val="single" w:color="auto"/>
            <w:color w:val="0000FF"/>
          </w:rPr>
          <w:t>October 2006 Amendment to the ALLETE Non-Employee Director Compensation Deferral Plan (filed as Exhibit 10(d) to the September 30, 2006,</w:t>
        </w:r>
      </w:hyperlink>
      <w:r>
        <w:rPr>
          <w:rFonts w:ascii="Arial" w:cs="Arial" w:eastAsia="Arial" w:hAnsi="Arial"/>
          <w:sz w:val="16"/>
          <w:szCs w:val="16"/>
          <w:color w:val="0000FF"/>
        </w:rPr>
        <w:t xml:space="preserve"> </w:t>
      </w:r>
      <w:hyperlink r:id="rId178">
        <w:r>
          <w:rPr>
            <w:rFonts w:ascii="Arial" w:cs="Arial" w:eastAsia="Arial" w:hAnsi="Arial"/>
            <w:sz w:val="16"/>
            <w:szCs w:val="16"/>
            <w:u w:val="single" w:color="auto"/>
            <w:color w:val="0000FF"/>
          </w:rPr>
          <w:t>Form 10-Q, 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*+10(l)5</w:t>
        </w:r>
      </w:hyperlink>
      <w:r>
        <w:rPr>
          <w:rFonts w:ascii="Arial" w:cs="Arial" w:eastAsia="Arial" w:hAnsi="Arial"/>
          <w:sz w:val="16"/>
          <w:szCs w:val="16"/>
          <w:color w:val="0000FF"/>
        </w:rPr>
        <w:tab/>
        <w:t xml:space="preserve">— </w:t>
      </w:r>
      <w:hyperlink r:id="rId179">
        <w:r>
          <w:rPr>
            <w:rFonts w:ascii="Arial" w:cs="Arial" w:eastAsia="Arial" w:hAnsi="Arial"/>
            <w:sz w:val="16"/>
            <w:szCs w:val="16"/>
            <w:u w:val="single" w:color="auto"/>
            <w:color w:val="0000FF"/>
          </w:rPr>
          <w:t>July 2012 Amendment to the ALLETE Non-Employee Director Compensation Deferral Plan (filed as Exhibit 10(n)5 to the 2012 Form 10-K, File</w:t>
        </w:r>
      </w:hyperlink>
      <w:r>
        <w:rPr>
          <w:rFonts w:ascii="Arial" w:cs="Arial" w:eastAsia="Arial" w:hAnsi="Arial"/>
          <w:sz w:val="16"/>
          <w:szCs w:val="16"/>
          <w:color w:val="0000FF"/>
        </w:rPr>
        <w:t xml:space="preserve"> </w:t>
      </w:r>
      <w:hyperlink r:id="rId179">
        <w:r>
          <w:rPr>
            <w:rFonts w:ascii="Arial" w:cs="Arial" w:eastAsia="Arial" w:hAnsi="Arial"/>
            <w:sz w:val="16"/>
            <w:szCs w:val="16"/>
            <w:u w:val="single" w:color="auto"/>
            <w:color w:val="0000FF"/>
          </w:rPr>
          <w:t>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*+10(m)1</w:t>
        </w:r>
      </w:hyperlink>
      <w:r>
        <w:rPr>
          <w:rFonts w:ascii="Arial" w:cs="Arial" w:eastAsia="Arial" w:hAnsi="Arial"/>
          <w:sz w:val="16"/>
          <w:szCs w:val="16"/>
          <w:color w:val="0000FF"/>
        </w:rPr>
        <w:tab/>
        <w:t xml:space="preserve">— </w:t>
      </w:r>
      <w:hyperlink r:id="rId181">
        <w:r>
          <w:rPr>
            <w:rFonts w:ascii="Arial" w:cs="Arial" w:eastAsia="Arial" w:hAnsi="Arial"/>
            <w:sz w:val="16"/>
            <w:szCs w:val="16"/>
            <w:u w:val="single" w:color="auto"/>
            <w:color w:val="0000FF"/>
          </w:rPr>
          <w:t>ALLETE Non-Employee Director Compensation Deferral Plan II, effective May 1, 2009 (filed as Exhibit 10(a) to the June 30, 2009, Form 10-Q,</w:t>
        </w:r>
      </w:hyperlink>
      <w:r>
        <w:rPr>
          <w:rFonts w:ascii="Arial" w:cs="Arial" w:eastAsia="Arial" w:hAnsi="Arial"/>
          <w:sz w:val="16"/>
          <w:szCs w:val="16"/>
          <w:color w:val="0000FF"/>
        </w:rPr>
        <w:t xml:space="preserve"> </w:t>
      </w:r>
      <w:hyperlink r:id="rId181">
        <w:r>
          <w:rPr>
            <w:rFonts w:ascii="Arial" w:cs="Arial" w:eastAsia="Arial" w:hAnsi="Arial"/>
            <w:sz w:val="16"/>
            <w:szCs w:val="16"/>
            <w:u w:val="single" w:color="auto"/>
            <w:color w:val="0000FF"/>
          </w:rPr>
          <w:t>File No. 1-3548).</w:t>
        </w:r>
      </w:hyperlink>
    </w:p>
    <w:p>
      <w:pPr>
        <w:spacing w:after="0" w:line="10" w:lineRule="exact"/>
        <w:rPr>
          <w:rFonts w:ascii="Arial" w:cs="Arial" w:eastAsia="Arial" w:hAnsi="Arial"/>
          <w:sz w:val="16"/>
          <w:szCs w:val="16"/>
          <w:color w:val="0000FF"/>
        </w:rPr>
      </w:pPr>
    </w:p>
    <w:p>
      <w:pPr>
        <w:ind w:left="1260" w:hanging="1497"/>
        <w:spacing w:after="0"/>
        <w:tabs>
          <w:tab w:leader="none" w:pos="1240" w:val="left"/>
        </w:tabs>
        <w:rPr>
          <w:rFonts w:ascii="Arial" w:cs="Arial" w:eastAsia="Arial" w:hAnsi="Arial"/>
          <w:sz w:val="16"/>
          <w:szCs w:val="16"/>
          <w:u w:val="single" w:color="auto"/>
          <w:color w:val="0000FF"/>
        </w:rPr>
      </w:pPr>
      <w:hyperlink r:id="rId182">
        <w:r>
          <w:rPr>
            <w:rFonts w:ascii="Arial" w:cs="Arial" w:eastAsia="Arial" w:hAnsi="Arial"/>
            <w:sz w:val="16"/>
            <w:szCs w:val="16"/>
            <w:u w:val="single" w:color="auto"/>
            <w:color w:val="0000FF"/>
          </w:rPr>
          <w:t>*+10(m)2</w:t>
        </w:r>
      </w:hyperlink>
      <w:r>
        <w:rPr>
          <w:rFonts w:ascii="Arial" w:cs="Arial" w:eastAsia="Arial" w:hAnsi="Arial"/>
          <w:sz w:val="16"/>
          <w:szCs w:val="16"/>
          <w:color w:val="0000FF"/>
        </w:rPr>
        <w:tab/>
        <w:t xml:space="preserve">— </w:t>
      </w:r>
      <w:hyperlink r:id="rId182">
        <w:r>
          <w:rPr>
            <w:rFonts w:ascii="Arial" w:cs="Arial" w:eastAsia="Arial" w:hAnsi="Arial"/>
            <w:sz w:val="16"/>
            <w:szCs w:val="16"/>
            <w:u w:val="single" w:color="auto"/>
            <w:color w:val="0000FF"/>
          </w:rPr>
          <w:t>ALLETE Non-Employee Director Compensation Deferral Plan II, as amended and restated, effective July 24, 2012 (filed as Exhibit 10(o)2 to the</w:t>
        </w:r>
      </w:hyperlink>
      <w:r>
        <w:rPr>
          <w:rFonts w:ascii="Arial" w:cs="Arial" w:eastAsia="Arial" w:hAnsi="Arial"/>
          <w:sz w:val="16"/>
          <w:szCs w:val="16"/>
          <w:color w:val="0000FF"/>
        </w:rPr>
        <w:t xml:space="preserve"> </w:t>
      </w:r>
      <w:hyperlink r:id="rId182">
        <w:r>
          <w:rPr>
            <w:rFonts w:ascii="Arial" w:cs="Arial" w:eastAsia="Arial" w:hAnsi="Arial"/>
            <w:sz w:val="16"/>
            <w:szCs w:val="16"/>
            <w:u w:val="single" w:color="auto"/>
            <w:color w:val="0000FF"/>
          </w:rPr>
          <w:t>2012 Form 10-K, File No. 1-3548).</w:t>
        </w:r>
      </w:hyperlink>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-6985</wp:posOffset>
            </wp:positionH>
            <wp:positionV relativeFrom="paragraph">
              <wp:posOffset>3810</wp:posOffset>
            </wp:positionV>
            <wp:extent cx="713232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hanging="1497"/>
        <w:spacing w:after="0"/>
        <w:tabs>
          <w:tab w:leader="none" w:pos="1240" w:val="left"/>
        </w:tabs>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*+10(n)</w:t>
        </w:r>
      </w:hyperlink>
      <w:r>
        <w:rPr>
          <w:rFonts w:ascii="Arial" w:cs="Arial" w:eastAsia="Arial" w:hAnsi="Arial"/>
          <w:sz w:val="16"/>
          <w:szCs w:val="16"/>
          <w:color w:val="0000FF"/>
        </w:rPr>
        <w:tab/>
        <w:t xml:space="preserve">— </w:t>
      </w:r>
      <w:hyperlink r:id="rId184">
        <w:r>
          <w:rPr>
            <w:rFonts w:ascii="Arial" w:cs="Arial" w:eastAsia="Arial" w:hAnsi="Arial"/>
            <w:sz w:val="16"/>
            <w:szCs w:val="16"/>
            <w:u w:val="single" w:color="auto"/>
            <w:color w:val="0000FF"/>
          </w:rPr>
          <w:t>ALLETE Non-Employee Director Compensation Trust Agreement, as amended and restated, effective December 15, 2012 (filed as Exhibit 10(p)2 to</w:t>
        </w:r>
      </w:hyperlink>
      <w:r>
        <w:rPr>
          <w:rFonts w:ascii="Arial" w:cs="Arial" w:eastAsia="Arial" w:hAnsi="Arial"/>
          <w:sz w:val="16"/>
          <w:szCs w:val="16"/>
          <w:color w:val="0000FF"/>
        </w:rPr>
        <w:t xml:space="preserve"> </w:t>
      </w:r>
      <w:hyperlink r:id="rId184">
        <w:r>
          <w:rPr>
            <w:rFonts w:ascii="Arial" w:cs="Arial" w:eastAsia="Arial" w:hAnsi="Arial"/>
            <w:sz w:val="16"/>
            <w:szCs w:val="16"/>
            <w:u w:val="single" w:color="auto"/>
            <w:color w:val="0000FF"/>
          </w:rPr>
          <w:t>the 2012 Form 10-K, File No. 1-3548).</w:t>
        </w:r>
      </w:hyperlink>
    </w:p>
    <w:p>
      <w:pPr>
        <w:spacing w:after="0" w:line="200" w:lineRule="exact"/>
        <w:rPr>
          <w:rFonts w:ascii="Arial" w:cs="Arial" w:eastAsia="Arial" w:hAnsi="Arial"/>
          <w:sz w:val="16"/>
          <w:szCs w:val="16"/>
          <w:color w:val="0000FF"/>
        </w:rPr>
      </w:pPr>
    </w:p>
    <w:p>
      <w:pPr>
        <w:spacing w:after="0" w:line="224"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58"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gridSpan w:val="5"/>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*+10(o)1</w:t>
              </w:r>
            </w:hyperlink>
          </w:p>
        </w:tc>
        <w:tc>
          <w:tcPr>
            <w:tcW w:w="10300" w:type="dxa"/>
            <w:vAlign w:val="bottom"/>
            <w:tcBorders>
              <w:top w:val="single" w:sz="8" w:color="auto"/>
            </w:tcBorders>
            <w:gridSpan w:val="10"/>
          </w:tcPr>
          <w:p>
            <w:pPr>
              <w:ind w:left="320"/>
              <w:spacing w:after="0" w:line="169" w:lineRule="exact"/>
              <w:rPr>
                <w:rFonts w:ascii="Arial" w:cs="Arial" w:eastAsia="Arial" w:hAnsi="Arial"/>
                <w:sz w:val="16"/>
                <w:szCs w:val="16"/>
                <w:color w:val="auto"/>
                <w:w w:val="92"/>
              </w:rPr>
            </w:pPr>
            <w:r>
              <w:rPr>
                <w:rFonts w:ascii="Arial" w:cs="Arial" w:eastAsia="Arial" w:hAnsi="Arial"/>
                <w:sz w:val="16"/>
                <w:szCs w:val="16"/>
                <w:color w:val="auto"/>
                <w:w w:val="92"/>
              </w:rPr>
              <w:t xml:space="preserve">— </w:t>
            </w:r>
            <w:hyperlink r:id="rId186">
              <w:r>
                <w:rPr>
                  <w:rFonts w:ascii="Arial" w:cs="Arial" w:eastAsia="Arial" w:hAnsi="Arial"/>
                  <w:sz w:val="16"/>
                  <w:szCs w:val="16"/>
                  <w:color w:val="0000FF"/>
                  <w:w w:val="92"/>
                </w:rPr>
                <w:t>ALLETE and Affiliated Companies Change in Control Severance Plan, as amended and restated, effective January 19, 2011 (filed as Exhibit 10(q) to</w:t>
              </w:r>
            </w:hyperlink>
          </w:p>
        </w:tc>
      </w:tr>
      <w:tr>
        <w:trPr>
          <w:trHeight w:val="142"/>
        </w:trPr>
        <w:tc>
          <w:tcPr>
            <w:tcW w:w="2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70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the 2010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40" w:type="dxa"/>
            <w:vAlign w:val="bottom"/>
            <w:gridSpan w:val="5"/>
            <w:shd w:val="clear" w:color="auto" w:fill="CCEEFF"/>
          </w:tcPr>
          <w:p>
            <w:pPr>
              <w:spacing w:after="0" w:line="175" w:lineRule="exact"/>
              <w:rPr>
                <w:rFonts w:ascii="Arial" w:cs="Arial" w:eastAsia="Arial" w:hAnsi="Arial"/>
                <w:sz w:val="16"/>
                <w:szCs w:val="16"/>
                <w:color w:val="0000FF"/>
              </w:rPr>
            </w:pPr>
            <w:hyperlink r:id="rId187">
              <w:r>
                <w:rPr>
                  <w:rFonts w:ascii="Arial" w:cs="Arial" w:eastAsia="Arial" w:hAnsi="Arial"/>
                  <w:sz w:val="16"/>
                  <w:szCs w:val="16"/>
                  <w:color w:val="0000FF"/>
                </w:rPr>
                <w:t>*+10(o)2</w:t>
              </w:r>
            </w:hyperlink>
          </w:p>
        </w:tc>
        <w:tc>
          <w:tcPr>
            <w:tcW w:w="10300" w:type="dxa"/>
            <w:vAlign w:val="bottom"/>
            <w:gridSpan w:val="10"/>
            <w:shd w:val="clear" w:color="auto" w:fill="CCEEFF"/>
          </w:tcPr>
          <w:p>
            <w:pPr>
              <w:ind w:left="32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87">
              <w:r>
                <w:rPr>
                  <w:rFonts w:ascii="Arial" w:cs="Arial" w:eastAsia="Arial" w:hAnsi="Arial"/>
                  <w:sz w:val="16"/>
                  <w:szCs w:val="16"/>
                  <w:color w:val="0000FF"/>
                  <w:w w:val="95"/>
                </w:rPr>
                <w:t>ALLETE and Affiliated Companies Change in Control Severance Plan, as amended and restated, effective April 23, 2018 (filed as Exhibit 10(c) to</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8"/>
            <w:shd w:val="clear" w:color="auto" w:fill="CCEEFF"/>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the March 31, 2018,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gridSpan w:val="3"/>
          </w:tcPr>
          <w:p>
            <w:pPr>
              <w:ind w:left="20"/>
              <w:spacing w:after="0" w:line="175" w:lineRule="exact"/>
              <w:rPr>
                <w:rFonts w:ascii="Arial" w:cs="Arial" w:eastAsia="Arial" w:hAnsi="Arial"/>
                <w:sz w:val="16"/>
                <w:szCs w:val="16"/>
                <w:color w:val="0000FF"/>
              </w:rPr>
            </w:pPr>
            <w:hyperlink w:anchor="page277">
              <w:r>
                <w:rPr>
                  <w:rFonts w:ascii="Arial" w:cs="Arial" w:eastAsia="Arial" w:hAnsi="Arial"/>
                  <w:sz w:val="16"/>
                  <w:szCs w:val="16"/>
                  <w:color w:val="0000FF"/>
                </w:rPr>
                <w:t>21</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300" w:type="dxa"/>
            <w:vAlign w:val="bottom"/>
            <w:gridSpan w:val="10"/>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277">
              <w:r>
                <w:rPr>
                  <w:rFonts w:ascii="Arial" w:cs="Arial" w:eastAsia="Arial" w:hAnsi="Arial"/>
                  <w:sz w:val="16"/>
                  <w:szCs w:val="16"/>
                  <w:color w:val="0000FF"/>
                </w:rPr>
                <w:t>Subsidiaries of the Registrant.</w:t>
              </w:r>
            </w:hyperlink>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spacing w:after="0" w:line="175" w:lineRule="exact"/>
              <w:rPr>
                <w:rFonts w:ascii="Arial" w:cs="Arial" w:eastAsia="Arial" w:hAnsi="Arial"/>
                <w:sz w:val="16"/>
                <w:szCs w:val="16"/>
                <w:color w:val="0000FF"/>
              </w:rPr>
            </w:pPr>
            <w:hyperlink w:anchor="page279">
              <w:r>
                <w:rPr>
                  <w:rFonts w:ascii="Arial" w:cs="Arial" w:eastAsia="Arial" w:hAnsi="Arial"/>
                  <w:sz w:val="16"/>
                  <w:szCs w:val="16"/>
                  <w:color w:val="0000FF"/>
                </w:rPr>
                <w:t>23</w:t>
              </w:r>
            </w:hyperlink>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300" w:type="dxa"/>
            <w:vAlign w:val="bottom"/>
            <w:gridSpan w:val="10"/>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279">
              <w:r>
                <w:rPr>
                  <w:rFonts w:ascii="Arial" w:cs="Arial" w:eastAsia="Arial" w:hAnsi="Arial"/>
                  <w:sz w:val="16"/>
                  <w:szCs w:val="16"/>
                  <w:color w:val="0000FF"/>
                </w:rPr>
                <w:t>Consent of Independent Registered Public Accounting Firm.</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5"/>
          </w:tcPr>
          <w:p>
            <w:pPr>
              <w:spacing w:after="0" w:line="175" w:lineRule="exact"/>
              <w:rPr>
                <w:rFonts w:ascii="Arial" w:cs="Arial" w:eastAsia="Arial" w:hAnsi="Arial"/>
                <w:sz w:val="16"/>
                <w:szCs w:val="16"/>
                <w:color w:val="0000FF"/>
              </w:rPr>
            </w:pPr>
            <w:hyperlink w:anchor="page280">
              <w:r>
                <w:rPr>
                  <w:rFonts w:ascii="Arial" w:cs="Arial" w:eastAsia="Arial" w:hAnsi="Arial"/>
                  <w:sz w:val="16"/>
                  <w:szCs w:val="16"/>
                  <w:color w:val="0000FF"/>
                </w:rPr>
                <w:t>31(a)</w:t>
              </w:r>
            </w:hyperlink>
          </w:p>
        </w:tc>
        <w:tc>
          <w:tcPr>
            <w:tcW w:w="10300" w:type="dxa"/>
            <w:vAlign w:val="bottom"/>
            <w:gridSpan w:val="10"/>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280">
              <w:r>
                <w:rPr>
                  <w:rFonts w:ascii="Arial" w:cs="Arial" w:eastAsia="Arial" w:hAnsi="Arial"/>
                  <w:sz w:val="16"/>
                  <w:szCs w:val="16"/>
                  <w:color w:val="0000FF"/>
                </w:rPr>
                <w:t>Rule 13a-14(a)/15d-14(a) Certification by the Chief Executive Officer Pursuant to Section 302 of the Sarbanes-Oxley Act of 2002.</w:t>
              </w:r>
            </w:hyperlink>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5"/>
            <w:shd w:val="clear" w:color="auto" w:fill="CCEEFF"/>
          </w:tcPr>
          <w:p>
            <w:pPr>
              <w:spacing w:after="0" w:line="175" w:lineRule="exact"/>
              <w:rPr>
                <w:rFonts w:ascii="Arial" w:cs="Arial" w:eastAsia="Arial" w:hAnsi="Arial"/>
                <w:sz w:val="16"/>
                <w:szCs w:val="16"/>
                <w:color w:val="0000FF"/>
              </w:rPr>
            </w:pPr>
            <w:hyperlink w:anchor="page281">
              <w:r>
                <w:rPr>
                  <w:rFonts w:ascii="Arial" w:cs="Arial" w:eastAsia="Arial" w:hAnsi="Arial"/>
                  <w:sz w:val="16"/>
                  <w:szCs w:val="16"/>
                  <w:color w:val="0000FF"/>
                </w:rPr>
                <w:t>31(b)</w:t>
              </w:r>
            </w:hyperlink>
          </w:p>
        </w:tc>
        <w:tc>
          <w:tcPr>
            <w:tcW w:w="10300" w:type="dxa"/>
            <w:vAlign w:val="bottom"/>
            <w:gridSpan w:val="10"/>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w:anchor="page281">
              <w:r>
                <w:rPr>
                  <w:rFonts w:ascii="Arial" w:cs="Arial" w:eastAsia="Arial" w:hAnsi="Arial"/>
                  <w:sz w:val="16"/>
                  <w:szCs w:val="16"/>
                  <w:color w:val="0000FF"/>
                </w:rPr>
                <w:t>Rule 13a-14(a)/15d-14(a) Certification by the Chief Financial Officer Pursuant to Section 302 of the Sarbanes-Oxley Act of 2002.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5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4" w:lineRule="exact"/>
        <w:rPr>
          <w:sz w:val="20"/>
          <w:szCs w:val="20"/>
          <w:color w:val="auto"/>
        </w:rPr>
      </w:pPr>
    </w:p>
    <w:p>
      <w:pPr>
        <w:ind w:left="1520" w:right="20" w:hanging="1494"/>
        <w:spacing w:after="0"/>
        <w:tabs>
          <w:tab w:leader="none" w:pos="1273" w:val="left"/>
        </w:tabs>
        <w:numPr>
          <w:ilvl w:val="0"/>
          <w:numId w:val="16"/>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w:anchor="page282">
        <w:r>
          <w:rPr>
            <w:rFonts w:ascii="Arial" w:cs="Arial" w:eastAsia="Arial" w:hAnsi="Arial"/>
            <w:sz w:val="16"/>
            <w:szCs w:val="16"/>
            <w:u w:val="single" w:color="auto"/>
            <w:color w:val="0000FF"/>
          </w:rPr>
          <w:t>Section 1350 Certification of Annual Report by the Chief Executive Officer and Chief Financial Officer Pursuant to Section 906 of the Sarbanes-</w:t>
        </w:r>
      </w:hyperlink>
      <w:hyperlink w:anchor="page282">
        <w:r>
          <w:rPr>
            <w:rFonts w:ascii="Arial" w:cs="Arial" w:eastAsia="Arial" w:hAnsi="Arial"/>
            <w:sz w:val="16"/>
            <w:szCs w:val="16"/>
            <w:u w:val="single" w:color="auto"/>
            <w:color w:val="0000FF"/>
          </w:rPr>
          <w:t>Oxley Act of 2002.</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2" w:lineRule="exact"/>
        <w:rPr>
          <w:rFonts w:ascii="Arial" w:cs="Arial" w:eastAsia="Arial" w:hAnsi="Arial"/>
          <w:sz w:val="16"/>
          <w:szCs w:val="16"/>
          <w:u w:val="single" w:color="auto"/>
          <w:color w:val="0000FF"/>
        </w:rPr>
      </w:pPr>
    </w:p>
    <w:p>
      <w:pPr>
        <w:ind w:left="1520" w:right="20" w:hanging="1494"/>
        <w:spacing w:after="0" w:line="227" w:lineRule="auto"/>
        <w:tabs>
          <w:tab w:leader="none" w:pos="1273" w:val="left"/>
        </w:tabs>
        <w:numPr>
          <w:ilvl w:val="0"/>
          <w:numId w:val="17"/>
        </w:numPr>
        <w:rPr>
          <w:rFonts w:ascii="Arial" w:cs="Arial" w:eastAsia="Arial" w:hAnsi="Arial"/>
          <w:sz w:val="16"/>
          <w:szCs w:val="16"/>
          <w:b w:val="1"/>
          <w:bCs w:val="1"/>
          <w:u w:val="single" w:color="auto"/>
          <w:color w:val="0000FF"/>
        </w:rPr>
      </w:pPr>
      <w:r>
        <w:rPr>
          <w:rFonts w:ascii="Arial" w:cs="Arial" w:eastAsia="Arial" w:hAnsi="Arial"/>
          <w:sz w:val="16"/>
          <w:szCs w:val="16"/>
          <w:color w:val="auto"/>
        </w:rPr>
        <w:t xml:space="preserve">— </w:t>
      </w:r>
      <w:hyperlink w:anchor="page284">
        <w:r>
          <w:rPr>
            <w:rFonts w:ascii="Arial" w:cs="Arial" w:eastAsia="Arial" w:hAnsi="Arial"/>
            <w:sz w:val="16"/>
            <w:szCs w:val="16"/>
            <w:b w:val="1"/>
            <w:bCs w:val="1"/>
            <w:u w:val="single" w:color="auto"/>
            <w:color w:val="0000FF"/>
          </w:rPr>
          <w:t>ALLETE News Release dated February 16, 2022, announcing earnings for the year ended December 31, 2021. (This exhibit has been</w:t>
        </w:r>
      </w:hyperlink>
      <w:r>
        <w:rPr>
          <w:rFonts w:ascii="Arial" w:cs="Arial" w:eastAsia="Arial" w:hAnsi="Arial"/>
          <w:sz w:val="16"/>
          <w:szCs w:val="16"/>
          <w:color w:val="auto"/>
        </w:rPr>
        <w:t xml:space="preserve"> </w:t>
      </w:r>
      <w:hyperlink w:anchor="page284">
        <w:r>
          <w:rPr>
            <w:rFonts w:ascii="Arial" w:cs="Arial" w:eastAsia="Arial" w:hAnsi="Arial"/>
            <w:sz w:val="16"/>
            <w:szCs w:val="16"/>
            <w:b w:val="1"/>
            <w:bCs w:val="1"/>
            <w:u w:val="single" w:color="auto"/>
            <w:color w:val="0000FF"/>
          </w:rPr>
          <w:t>furnished and shall not be deemed “filed” for purposes of Section 18 of the Securities Exchange Act of 1934, nor shall it be deemed</w:t>
        </w:r>
      </w:hyperlink>
      <w:r>
        <w:rPr>
          <w:rFonts w:ascii="Arial" w:cs="Arial" w:eastAsia="Arial" w:hAnsi="Arial"/>
          <w:sz w:val="16"/>
          <w:szCs w:val="16"/>
          <w:b w:val="1"/>
          <w:bCs w:val="1"/>
          <w:u w:val="single" w:color="auto"/>
          <w:color w:val="0000FF"/>
        </w:rPr>
        <w:t xml:space="preserve"> </w:t>
      </w:r>
      <w:hyperlink w:anchor="page284">
        <w:r>
          <w:rPr>
            <w:rFonts w:ascii="Arial" w:cs="Arial" w:eastAsia="Arial" w:hAnsi="Arial"/>
            <w:sz w:val="16"/>
            <w:szCs w:val="16"/>
            <w:b w:val="1"/>
            <w:bCs w:val="1"/>
            <w:u w:val="single" w:color="auto"/>
            <w:color w:val="0000FF"/>
          </w:rPr>
          <w:t>incorporated by reference in any filing under the Securities Act of 1933, except as shall be expressly set forth by specific reference in such</w:t>
        </w:r>
      </w:hyperlink>
      <w:r>
        <w:rPr>
          <w:rFonts w:ascii="Arial" w:cs="Arial" w:eastAsia="Arial" w:hAnsi="Arial"/>
          <w:sz w:val="16"/>
          <w:szCs w:val="16"/>
          <w:b w:val="1"/>
          <w:bCs w:val="1"/>
          <w:u w:val="single" w:color="auto"/>
          <w:color w:val="0000FF"/>
        </w:rPr>
        <w:t xml:space="preserve"> </w:t>
      </w:r>
      <w:hyperlink w:anchor="page284">
        <w:r>
          <w:rPr>
            <w:rFonts w:ascii="Arial" w:cs="Arial" w:eastAsia="Arial" w:hAnsi="Arial"/>
            <w:sz w:val="16"/>
            <w:szCs w:val="16"/>
            <w:b w:val="1"/>
            <w:bCs w:val="1"/>
            <w:u w:val="single" w:color="auto"/>
            <w:color w:val="0000FF"/>
          </w:rPr>
          <w:t>filing.)</w:t>
        </w:r>
      </w:hyperlink>
    </w:p>
    <w:tbl>
      <w:tblPr>
        <w:tblLayout w:type="fixed"/>
        <w:tblInd w:w="0" w:type="dxa"/>
        <w:tblCellMar>
          <w:top w:w="0" w:type="dxa"/>
          <w:left w:w="0" w:type="dxa"/>
          <w:bottom w:w="0" w:type="dxa"/>
          <w:right w:w="0" w:type="dxa"/>
        </w:tblCellMar>
      </w:tblPr>
      <w:tr>
        <w:trPr>
          <w:trHeight w:val="172"/>
        </w:trPr>
        <w:tc>
          <w:tcPr>
            <w:tcW w:w="96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101.INS</w:t>
            </w:r>
          </w:p>
        </w:tc>
        <w:tc>
          <w:tcPr>
            <w:tcW w:w="1028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w w:val="95"/>
              </w:rPr>
              <w:t>— XBRL Instance Document - the instance document does not appear in the Interactive Data File because its XBRL tags are embedded within the</w:t>
            </w:r>
          </w:p>
        </w:tc>
      </w:tr>
      <w:tr>
        <w:trPr>
          <w:trHeight w:val="212"/>
        </w:trPr>
        <w:tc>
          <w:tcPr>
            <w:tcW w:w="960" w:type="dxa"/>
            <w:vAlign w:val="bottom"/>
            <w:shd w:val="clear" w:color="auto" w:fill="CCEEFF"/>
          </w:tcPr>
          <w:p>
            <w:pPr>
              <w:spacing w:after="0"/>
              <w:rPr>
                <w:sz w:val="18"/>
                <w:szCs w:val="18"/>
                <w:color w:val="auto"/>
              </w:rPr>
            </w:pPr>
          </w:p>
        </w:tc>
        <w:tc>
          <w:tcPr>
            <w:tcW w:w="10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Inline XBRL document.</w:t>
            </w: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10280" w:type="dxa"/>
            <w:vAlign w:val="bottom"/>
          </w:tcPr>
          <w:p>
            <w:pPr>
              <w:ind w:left="320"/>
              <w:spacing w:after="0"/>
              <w:rPr>
                <w:sz w:val="20"/>
                <w:szCs w:val="20"/>
                <w:color w:val="auto"/>
              </w:rPr>
            </w:pPr>
            <w:r>
              <w:rPr>
                <w:rFonts w:ascii="Arial" w:cs="Arial" w:eastAsia="Arial" w:hAnsi="Arial"/>
                <w:sz w:val="16"/>
                <w:szCs w:val="16"/>
                <w:color w:val="auto"/>
              </w:rPr>
              <w:t>— XBRL Schema</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XBRL Calculation</w:t>
            </w: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10280" w:type="dxa"/>
            <w:vAlign w:val="bottom"/>
          </w:tcPr>
          <w:p>
            <w:pPr>
              <w:ind w:left="320"/>
              <w:spacing w:after="0"/>
              <w:rPr>
                <w:sz w:val="20"/>
                <w:szCs w:val="20"/>
                <w:color w:val="auto"/>
              </w:rPr>
            </w:pPr>
            <w:r>
              <w:rPr>
                <w:rFonts w:ascii="Arial" w:cs="Arial" w:eastAsia="Arial" w:hAnsi="Arial"/>
                <w:sz w:val="16"/>
                <w:szCs w:val="16"/>
                <w:color w:val="auto"/>
              </w:rPr>
              <w:t>— XBRL Definition</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101.LAB</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XBRL Label</w:t>
            </w: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10280" w:type="dxa"/>
            <w:vAlign w:val="bottom"/>
          </w:tcPr>
          <w:p>
            <w:pPr>
              <w:ind w:left="320"/>
              <w:spacing w:after="0"/>
              <w:rPr>
                <w:sz w:val="20"/>
                <w:szCs w:val="20"/>
                <w:color w:val="auto"/>
              </w:rPr>
            </w:pPr>
            <w:r>
              <w:rPr>
                <w:rFonts w:ascii="Arial" w:cs="Arial" w:eastAsia="Arial" w:hAnsi="Arial"/>
                <w:sz w:val="16"/>
                <w:szCs w:val="16"/>
                <w:color w:val="auto"/>
              </w:rPr>
              <w:t>— XBRL Presentation</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104</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Cover Page Interactive Data File (formatted as Inline XBRL and contained in Exhibit 101)</w:t>
            </w:r>
          </w:p>
        </w:tc>
      </w:tr>
    </w:tbl>
    <w:p>
      <w:pPr>
        <w:spacing w:after="0" w:line="323" w:lineRule="exact"/>
        <w:rPr>
          <w:rFonts w:ascii="Arial" w:cs="Arial" w:eastAsia="Arial" w:hAnsi="Arial"/>
          <w:sz w:val="16"/>
          <w:szCs w:val="16"/>
          <w:b w:val="1"/>
          <w:bCs w:val="1"/>
          <w:u w:val="single" w:color="auto"/>
          <w:color w:val="0000FF"/>
        </w:rPr>
      </w:pPr>
    </w:p>
    <w:p>
      <w:pPr>
        <w:jc w:val="both"/>
        <w:ind w:right="20"/>
        <w:spacing w:after="0" w:line="263" w:lineRule="auto"/>
        <w:rPr>
          <w:sz w:val="20"/>
          <w:szCs w:val="20"/>
          <w:color w:val="auto"/>
        </w:rPr>
      </w:pPr>
      <w:r>
        <w:rPr>
          <w:rFonts w:ascii="Arial" w:cs="Arial" w:eastAsia="Arial" w:hAnsi="Arial"/>
          <w:sz w:val="18"/>
          <w:szCs w:val="18"/>
          <w:color w:val="auto"/>
        </w:rPr>
        <w:t>Pursuant to Item 601(b)(4)(iii)(A) of Regulation S-K,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6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 w:lineRule="exact"/>
        <w:rPr>
          <w:rFonts w:ascii="Arial" w:cs="Arial" w:eastAsia="Arial" w:hAnsi="Arial"/>
          <w:sz w:val="16"/>
          <w:szCs w:val="16"/>
          <w:b w:val="1"/>
          <w:bCs w:val="1"/>
          <w:u w:val="single" w:color="auto"/>
          <w:color w:val="0000FF"/>
        </w:rPr>
      </w:pPr>
    </w:p>
    <w:p>
      <w:pPr>
        <w:ind w:left="560" w:hanging="534"/>
        <w:spacing w:after="0"/>
        <w:tabs>
          <w:tab w:leader="none" w:pos="5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23" w:lineRule="exact"/>
        <w:rPr>
          <w:rFonts w:ascii="Arial" w:cs="Arial" w:eastAsia="Arial" w:hAnsi="Arial"/>
          <w:sz w:val="16"/>
          <w:szCs w:val="16"/>
          <w:b w:val="1"/>
          <w:bCs w:val="1"/>
          <w:u w:val="single" w:color="auto"/>
          <w:color w:val="0000FF"/>
        </w:rPr>
      </w:pPr>
    </w:p>
    <w:p>
      <w:pPr>
        <w:ind w:left="560" w:hanging="534"/>
        <w:spacing w:after="0"/>
        <w:tabs>
          <w:tab w:leader="none" w:pos="5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rFonts w:ascii="Arial" w:cs="Arial" w:eastAsia="Arial" w:hAnsi="Arial"/>
          <w:sz w:val="16"/>
          <w:szCs w:val="16"/>
          <w:b w:val="1"/>
          <w:bCs w:val="1"/>
          <w:u w:val="single" w:color="auto"/>
          <w:color w:val="0000FF"/>
        </w:rPr>
      </w:pPr>
    </w:p>
    <w:p>
      <w:pPr>
        <w:spacing w:after="0" w:line="371" w:lineRule="exact"/>
        <w:rPr>
          <w:rFonts w:ascii="Arial" w:cs="Arial" w:eastAsia="Arial" w:hAnsi="Arial"/>
          <w:sz w:val="16"/>
          <w:szCs w:val="16"/>
          <w:b w:val="1"/>
          <w:bCs w:val="1"/>
          <w:u w:val="single" w:color="auto"/>
          <w:color w:val="0000FF"/>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rFonts w:ascii="Arial" w:cs="Arial" w:eastAsia="Arial" w:hAnsi="Arial"/>
          <w:sz w:val="16"/>
          <w:szCs w:val="16"/>
          <w:b w:val="1"/>
          <w:bCs w:val="1"/>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00" w:lineRule="exact"/>
        <w:rPr>
          <w:rFonts w:ascii="Arial" w:cs="Arial" w:eastAsia="Arial" w:hAnsi="Arial"/>
          <w:sz w:val="16"/>
          <w:szCs w:val="16"/>
          <w:b w:val="1"/>
          <w:bCs w:val="1"/>
          <w:u w:val="single" w:color="auto"/>
          <w:color w:val="0000FF"/>
        </w:rPr>
      </w:pPr>
    </w:p>
    <w:p>
      <w:pPr>
        <w:spacing w:after="0" w:line="233"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rFonts w:ascii="Arial" w:cs="Arial" w:eastAsia="Arial" w:hAnsi="Arial"/>
          <w:sz w:val="16"/>
          <w:szCs w:val="16"/>
          <w:b w:val="1"/>
          <w:bCs w:val="1"/>
          <w:u w:val="single" w:color="auto"/>
          <w:color w:val="0000FF"/>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6"/>
          <w:szCs w:val="16"/>
          <w:b w:val="1"/>
          <w:bCs w:val="1"/>
          <w:u w:val="single" w:color="auto"/>
          <w:color w:val="0000FF"/>
        </w:rPr>
      </w:pPr>
      <w:r>
        <w:rPr>
          <w:rFonts w:ascii="Arial" w:cs="Arial" w:eastAsia="Arial" w:hAnsi="Arial"/>
          <w:sz w:val="16"/>
          <w:szCs w:val="16"/>
          <w:b w:val="1"/>
          <w:bCs w:val="1"/>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rPr>
              <w:t>ALLETE, Inc.</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Dated:   February 16, 2022</w:t>
            </w:r>
          </w:p>
        </w:tc>
        <w:tc>
          <w:tcPr>
            <w:tcW w:w="1740" w:type="dxa"/>
            <w:vAlign w:val="bottom"/>
          </w:tcPr>
          <w:p>
            <w:pPr>
              <w:ind w:left="1500"/>
              <w:spacing w:after="0"/>
              <w:rPr>
                <w:sz w:val="20"/>
                <w:szCs w:val="20"/>
                <w:color w:val="auto"/>
              </w:rPr>
            </w:pPr>
            <w:r>
              <w:rPr>
                <w:rFonts w:ascii="Arial" w:cs="Arial" w:eastAsia="Arial" w:hAnsi="Arial"/>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Bethany M. Owen</w:t>
            </w:r>
          </w:p>
        </w:tc>
      </w:tr>
      <w:tr>
        <w:trPr>
          <w:trHeight w:val="222"/>
        </w:trPr>
        <w:tc>
          <w:tcPr>
            <w:tcW w:w="3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r>
      <w:tr>
        <w:trPr>
          <w:trHeight w:val="230"/>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Chair, President and Chief Executive Officer</w:t>
            </w:r>
          </w:p>
        </w:tc>
      </w:tr>
    </w:tbl>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7"/>
              </w:rPr>
              <w:t>Title</w:t>
            </w:r>
          </w:p>
        </w:tc>
        <w:tc>
          <w:tcPr>
            <w:tcW w:w="21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Bethany M. Owen</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1"/>
              </w:rPr>
              <w:t>Chair, President and Chief Executive Officer</w:t>
            </w:r>
          </w:p>
        </w:tc>
        <w:tc>
          <w:tcPr>
            <w:tcW w:w="2100" w:type="dxa"/>
            <w:vAlign w:val="bottom"/>
          </w:tcPr>
          <w:p>
            <w:pPr>
              <w:jc w:val="center"/>
              <w:ind w:left="1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c>
          <w:tcPr>
            <w:tcW w:w="5480" w:type="dxa"/>
            <w:vAlign w:val="bottom"/>
          </w:tcPr>
          <w:p>
            <w:pPr>
              <w:jc w:val="center"/>
              <w:ind w:left="30"/>
              <w:spacing w:after="0"/>
              <w:rPr>
                <w:sz w:val="20"/>
                <w:szCs w:val="20"/>
                <w:color w:val="auto"/>
              </w:rPr>
            </w:pPr>
            <w:r>
              <w:rPr>
                <w:rFonts w:ascii="Arial" w:cs="Arial" w:eastAsia="Arial" w:hAnsi="Arial"/>
                <w:sz w:val="18"/>
                <w:szCs w:val="18"/>
                <w:color w:val="auto"/>
                <w:w w:val="93"/>
              </w:rPr>
              <w:t>(Principal Executive Officer) and Director</w:t>
            </w:r>
          </w:p>
        </w:tc>
        <w:tc>
          <w:tcPr>
            <w:tcW w:w="2100" w:type="dxa"/>
            <w:vAlign w:val="bottom"/>
          </w:tcPr>
          <w:p>
            <w:pPr>
              <w:spacing w:after="0"/>
              <w:rPr>
                <w:sz w:val="19"/>
                <w:szCs w:val="19"/>
                <w:color w:val="auto"/>
              </w:rPr>
            </w:pPr>
          </w:p>
        </w:tc>
      </w:tr>
      <w:tr>
        <w:trPr>
          <w:trHeight w:val="45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1"/>
              </w:rPr>
              <w:t>Senior Vice President and Chief Financial Officer</w:t>
            </w:r>
          </w:p>
        </w:tc>
        <w:tc>
          <w:tcPr>
            <w:tcW w:w="2100" w:type="dxa"/>
            <w:vAlign w:val="bottom"/>
          </w:tcPr>
          <w:p>
            <w:pPr>
              <w:jc w:val="center"/>
              <w:ind w:left="10"/>
              <w:spacing w:after="0"/>
              <w:rPr>
                <w:sz w:val="20"/>
                <w:szCs w:val="20"/>
                <w:color w:val="auto"/>
              </w:rPr>
            </w:pPr>
            <w:r>
              <w:rPr>
                <w:rFonts w:ascii="Arial" w:cs="Arial" w:eastAsia="Arial" w:hAnsi="Arial"/>
                <w:sz w:val="18"/>
                <w:szCs w:val="18"/>
                <w:color w:val="auto"/>
                <w:w w:val="89"/>
              </w:rPr>
              <w:t>February 16, 2022</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100" w:type="dxa"/>
            <w:vAlign w:val="bottom"/>
          </w:tcPr>
          <w:p>
            <w:pPr>
              <w:spacing w:after="0"/>
              <w:rPr>
                <w:sz w:val="19"/>
                <w:szCs w:val="19"/>
                <w:color w:val="auto"/>
              </w:rPr>
            </w:pPr>
          </w:p>
        </w:tc>
      </w:tr>
      <w:tr>
        <w:trPr>
          <w:trHeight w:val="862"/>
        </w:trPr>
        <w:tc>
          <w:tcPr>
            <w:tcW w:w="3660" w:type="dxa"/>
            <w:vAlign w:val="bottom"/>
          </w:tcPr>
          <w:p>
            <w:pPr>
              <w:spacing w:after="0"/>
              <w:rPr>
                <w:sz w:val="24"/>
                <w:szCs w:val="24"/>
                <w:color w:val="auto"/>
              </w:rPr>
            </w:pPr>
          </w:p>
        </w:tc>
        <w:tc>
          <w:tcPr>
            <w:tcW w:w="5480" w:type="dxa"/>
            <w:vAlign w:val="bottom"/>
          </w:tcPr>
          <w:p>
            <w:pPr>
              <w:jc w:val="center"/>
              <w:ind w:right="1450"/>
              <w:spacing w:after="0"/>
              <w:rPr>
                <w:sz w:val="20"/>
                <w:szCs w:val="20"/>
                <w:color w:val="auto"/>
              </w:rPr>
            </w:pPr>
            <w:r>
              <w:rPr>
                <w:rFonts w:ascii="Arial" w:cs="Arial" w:eastAsia="Arial" w:hAnsi="Arial"/>
                <w:sz w:val="18"/>
                <w:szCs w:val="18"/>
                <w:color w:val="auto"/>
                <w:w w:val="95"/>
              </w:rPr>
              <w:t>ALLETE, Inc. 2021 Form 10-K</w:t>
            </w:r>
          </w:p>
        </w:tc>
        <w:tc>
          <w:tcPr>
            <w:tcW w:w="21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5480" w:type="dxa"/>
            <w:vAlign w:val="bottom"/>
          </w:tcPr>
          <w:p>
            <w:pPr>
              <w:jc w:val="right"/>
              <w:ind w:right="3330"/>
              <w:spacing w:after="0"/>
              <w:rPr>
                <w:sz w:val="20"/>
                <w:szCs w:val="20"/>
                <w:color w:val="auto"/>
              </w:rPr>
            </w:pPr>
            <w:r>
              <w:rPr>
                <w:rFonts w:ascii="Arial" w:cs="Arial" w:eastAsia="Arial" w:hAnsi="Arial"/>
                <w:sz w:val="18"/>
                <w:szCs w:val="18"/>
                <w:color w:val="auto"/>
              </w:rPr>
              <w:t>64</w:t>
            </w:r>
          </w:p>
        </w:tc>
        <w:tc>
          <w:tcPr>
            <w:tcW w:w="2100" w:type="dxa"/>
            <w:vAlign w:val="bottom"/>
          </w:tcPr>
          <w:p>
            <w:pPr>
              <w:spacing w:after="0"/>
              <w:rPr>
                <w:sz w:val="20"/>
                <w:szCs w:val="20"/>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Signatures (Continued)</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4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7"/>
              </w:rPr>
              <w:t>Title</w:t>
            </w:r>
          </w:p>
        </w:tc>
        <w:tc>
          <w:tcPr>
            <w:tcW w:w="30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2"/>
                <w:szCs w:val="22"/>
                <w:color w:val="auto"/>
              </w:rPr>
            </w:pPr>
          </w:p>
        </w:tc>
      </w:tr>
      <w:tr>
        <w:trPr>
          <w:trHeight w:val="453"/>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Kathryn W. Dindo</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Kathryn W. Dindo</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George G. Goldfarb</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J. Hoolihan</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Heidi E. Jimmerson</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Heidi E. Jimmerson</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Madeleine W. Ludlow</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Susan K. Nestegard</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Susan K. Nestegard</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Douglas C. Neve</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Barbara A. Nick</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Barbara A. Nick</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Robert P. Powers</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Robert P. Powers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Charlene A. Thomas</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2022</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Charlene A. Thomas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6"/>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60" w:type="dxa"/>
            <w:vAlign w:val="bottom"/>
          </w:tcPr>
          <w:p>
            <w:pPr>
              <w:jc w:val="center"/>
              <w:ind w:right="510"/>
              <w:spacing w:after="0"/>
              <w:rPr>
                <w:sz w:val="20"/>
                <w:szCs w:val="20"/>
                <w:color w:val="auto"/>
              </w:rPr>
            </w:pPr>
            <w:r>
              <w:rPr>
                <w:rFonts w:ascii="Arial" w:cs="Arial" w:eastAsia="Arial" w:hAnsi="Arial"/>
                <w:sz w:val="18"/>
                <w:szCs w:val="18"/>
                <w:color w:val="auto"/>
                <w:w w:val="95"/>
              </w:rPr>
              <w:t>ALLETE, Inc. 2021 Form 10-K</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10"/>
              <w:spacing w:after="0"/>
              <w:rPr>
                <w:sz w:val="20"/>
                <w:szCs w:val="20"/>
                <w:color w:val="auto"/>
              </w:rPr>
            </w:pPr>
            <w:r>
              <w:rPr>
                <w:rFonts w:ascii="Arial" w:cs="Arial" w:eastAsia="Arial" w:hAnsi="Arial"/>
                <w:sz w:val="18"/>
                <w:szCs w:val="18"/>
                <w:color w:val="auto"/>
                <w:w w:val="89"/>
              </w:rPr>
              <w:t>65</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5" w:name="page66"/>
    <w:bookmarkEnd w:id="6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3" w:lineRule="auto"/>
        <w:rPr>
          <w:sz w:val="20"/>
          <w:szCs w:val="20"/>
          <w:color w:val="auto"/>
        </w:rPr>
      </w:pPr>
      <w:r>
        <w:rPr>
          <w:rFonts w:ascii="Arial" w:cs="Arial" w:eastAsia="Arial" w:hAnsi="Arial"/>
          <w:sz w:val="20"/>
          <w:szCs w:val="20"/>
          <w:color w:val="auto"/>
        </w:rPr>
        <w:t xml:space="preserve">To </w:t>
      </w:r>
      <w:r>
        <w:rPr>
          <w:rFonts w:ascii="Arial" w:cs="Arial" w:eastAsia="Arial" w:hAnsi="Arial"/>
          <w:sz w:val="17"/>
          <w:szCs w:val="17"/>
          <w:color w:val="auto"/>
        </w:rPr>
        <w:t>the Board of Directors and Shareholders of ALLETE,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0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We have audited the accompanying consolidated balance sheets of ALLETE, Inc. and its subsidiaries (the “Company”) as of December 31, 2021 and December 31, 2020, and the related consolidated statements of income, of comprehensive income, of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0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December 31,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66" w:name="page67"/>
    <w:bookmarkEnd w:id="66"/>
    <w:p>
      <w:pPr>
        <w:ind w:right="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ind w:right="140"/>
        <w:spacing w:after="0" w:line="23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Effects of Regulatory Matters</w:t>
      </w:r>
    </w:p>
    <w:p>
      <w:pPr>
        <w:spacing w:after="0" w:line="320"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As described in Note 4 to the consolidated financial statements, the Company’s regulated utility operations are subject to accounting standards for the effects of certain types of regulation. As of December 31, 2021, there was $512 million of regulatory assets and $545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principal consideration for our determination that performing procedures relating to the Company’s accounting for the effects of regulatory matters is a critical audit matter is the significant judgment by management in determining the recoverability of costs; this in turn led to a high degree of auditor judgment, subjectivity and effort in performing procedures and evaluating audit evidence obtained related to the recoverability of costs.</w:t>
      </w:r>
    </w:p>
    <w:p>
      <w:pPr>
        <w:spacing w:after="0" w:line="19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16,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9" w:right="37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460" w:type="dxa"/>
            <w:vAlign w:val="bottom"/>
          </w:tcPr>
          <w:p>
            <w:pPr>
              <w:ind w:left="4180"/>
              <w:spacing w:after="0"/>
              <w:rPr>
                <w:sz w:val="20"/>
                <w:szCs w:val="20"/>
                <w:color w:val="auto"/>
              </w:rPr>
            </w:pPr>
            <w:r>
              <w:rPr>
                <w:rFonts w:ascii="Arial" w:cs="Arial" w:eastAsia="Arial" w:hAnsi="Arial"/>
                <w:sz w:val="18"/>
                <w:szCs w:val="18"/>
                <w:b w:val="1"/>
                <w:bCs w:val="1"/>
                <w:color w:val="auto"/>
              </w:rPr>
              <w:t>ALLETE Consolidated Balance Sheet</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$1.8 and $2.5)</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123.7</w:t>
            </w:r>
          </w:p>
        </w:tc>
        <w:tc>
          <w:tcPr>
            <w:tcW w:w="108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5,100.2</w:t>
            </w:r>
          </w:p>
        </w:tc>
        <w:tc>
          <w:tcPr>
            <w:tcW w:w="108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318.0</w:t>
            </w:r>
          </w:p>
        </w:tc>
        <w:tc>
          <w:tcPr>
            <w:tcW w:w="1080" w:type="dxa"/>
            <w:vAlign w:val="bottom"/>
          </w:tcPr>
          <w:p>
            <w:pPr>
              <w:jc w:val="right"/>
              <w:spacing w:after="0"/>
              <w:rPr>
                <w:sz w:val="20"/>
                <w:szCs w:val="20"/>
                <w:color w:val="auto"/>
              </w:rPr>
            </w:pPr>
            <w:r>
              <w:rPr>
                <w:rFonts w:ascii="Arial" w:cs="Arial" w:eastAsia="Arial" w:hAnsi="Arial"/>
                <w:sz w:val="18"/>
                <w:szCs w:val="18"/>
                <w:color w:val="auto"/>
              </w:rPr>
              <w:t>301.2</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213.7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$6,435.0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$111.0</w:t>
            </w: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20.1</w:t>
            </w: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29"/>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133.0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543.4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1,763.2</w:t>
            </w:r>
          </w:p>
        </w:tc>
        <w:tc>
          <w:tcPr>
            <w:tcW w:w="108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536.1</w:t>
            </w:r>
          </w:p>
        </w:tc>
        <w:tc>
          <w:tcPr>
            <w:tcW w:w="108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179.5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3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280.8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r>
      <w:tr>
        <w:trPr>
          <w:trHeight w:val="223"/>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3,488.7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3,284.4</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Commitments, Guarantees and Contingencies (Note 8)</w:t>
            </w:r>
          </w:p>
        </w:tc>
        <w:tc>
          <w:tcPr>
            <w:tcW w:w="1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Common Stock Without Par Value, 80.0 Shares Authorized, 53.2 and 52.1 Shares Issued and Outstanding</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1,536.7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tcPr>
          <w:p>
            <w:pPr>
              <w:jc w:val="right"/>
              <w:ind w:right="290"/>
              <w:spacing w:after="0"/>
              <w:rPr>
                <w:sz w:val="20"/>
                <w:szCs w:val="20"/>
                <w:color w:val="auto"/>
              </w:rPr>
            </w:pPr>
            <w:r>
              <w:rPr>
                <w:rFonts w:ascii="Arial" w:cs="Arial" w:eastAsia="Arial" w:hAnsi="Arial"/>
                <w:sz w:val="18"/>
                <w:szCs w:val="18"/>
                <w:color w:val="auto"/>
              </w:rPr>
              <w:t>(23.8)</w:t>
            </w: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2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900.2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r>
      <w:tr>
        <w:trPr>
          <w:trHeight w:val="223"/>
        </w:trPr>
        <w:tc>
          <w:tcPr>
            <w:tcW w:w="8460" w:type="dxa"/>
            <w:vAlign w:val="bottom"/>
          </w:tcPr>
          <w:p>
            <w:pPr>
              <w:ind w:left="480"/>
              <w:spacing w:after="0"/>
              <w:rPr>
                <w:sz w:val="20"/>
                <w:szCs w:val="20"/>
                <w:color w:val="auto"/>
              </w:rPr>
            </w:pPr>
            <w:r>
              <w:rPr>
                <w:rFonts w:ascii="Arial" w:cs="Arial" w:eastAsia="Arial" w:hAnsi="Arial"/>
                <w:sz w:val="18"/>
                <w:szCs w:val="18"/>
                <w:color w:val="auto"/>
              </w:rPr>
              <w:t>Total ALLETE Equity</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2,413.1</w:t>
            </w:r>
          </w:p>
        </w:tc>
        <w:tc>
          <w:tcPr>
            <w:tcW w:w="1080" w:type="dxa"/>
            <w:vAlign w:val="bottom"/>
          </w:tcPr>
          <w:p>
            <w:pPr>
              <w:jc w:val="right"/>
              <w:spacing w:after="0"/>
              <w:rPr>
                <w:sz w:val="20"/>
                <w:szCs w:val="20"/>
                <w:color w:val="auto"/>
              </w:rPr>
            </w:pPr>
            <w:r>
              <w:rPr>
                <w:rFonts w:ascii="Arial" w:cs="Arial" w:eastAsia="Arial" w:hAnsi="Arial"/>
                <w:sz w:val="18"/>
                <w:szCs w:val="18"/>
                <w:color w:val="auto"/>
              </w:rPr>
              <w:t>2,294.6</w:t>
            </w: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533.2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r>
      <w:tr>
        <w:trPr>
          <w:trHeight w:val="223"/>
        </w:trPr>
        <w:tc>
          <w:tcPr>
            <w:tcW w:w="8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2,946.3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$6,435.0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500" w:type="dxa"/>
            <w:vAlign w:val="bottom"/>
          </w:tcPr>
          <w:p>
            <w:pPr>
              <w:ind w:left="3920"/>
              <w:spacing w:after="0"/>
              <w:rPr>
                <w:sz w:val="20"/>
                <w:szCs w:val="20"/>
                <w:color w:val="auto"/>
              </w:rPr>
            </w:pPr>
            <w:r>
              <w:rPr>
                <w:rFonts w:ascii="Arial" w:cs="Arial" w:eastAsia="Arial" w:hAnsi="Arial"/>
                <w:sz w:val="18"/>
                <w:szCs w:val="18"/>
                <w:b w:val="1"/>
                <w:bCs w:val="1"/>
                <w:color w:val="auto"/>
                <w:w w:val="95"/>
              </w:rPr>
              <w:t>ALLETE Consolidated Statement of Income</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1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Contracts with Customers – Utility</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$1,227.9</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$987.3</w:t>
            </w:r>
          </w:p>
        </w:tc>
        <w:tc>
          <w:tcPr>
            <w:tcW w:w="1080" w:type="dxa"/>
            <w:vAlign w:val="bottom"/>
          </w:tcPr>
          <w:p>
            <w:pPr>
              <w:jc w:val="right"/>
              <w:spacing w:after="0"/>
              <w:rPr>
                <w:sz w:val="20"/>
                <w:szCs w:val="20"/>
                <w:color w:val="auto"/>
              </w:rPr>
            </w:pPr>
            <w:r>
              <w:rPr>
                <w:rFonts w:ascii="Arial" w:cs="Arial" w:eastAsia="Arial" w:hAnsi="Arial"/>
                <w:sz w:val="18"/>
                <w:szCs w:val="18"/>
                <w:color w:val="auto"/>
              </w:rPr>
              <w:t>$1,042.4</w:t>
            </w: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with Customers – Non-utility</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179.9</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 Non-utility</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11.4</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Revenue</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1,419.2</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1,169.1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Purchased Power and Gas – Utility</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562.4</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358.6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Transmission Services – Utility</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75.3</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67.0</w:t>
            </w:r>
          </w:p>
        </w:tc>
        <w:tc>
          <w:tcPr>
            <w:tcW w:w="108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Non-utility</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68.8</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66.7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Operating and Maintenance</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259.2</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252.0</w:t>
            </w:r>
          </w:p>
        </w:tc>
        <w:tc>
          <w:tcPr>
            <w:tcW w:w="108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231.7</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217.8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Taxes Other than Income Taxes</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70.5</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56.1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23"/>
        </w:trPr>
        <w:tc>
          <w:tcPr>
            <w:tcW w:w="75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1,267.9</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1,018.2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r>
      <w:tr>
        <w:trPr>
          <w:trHeight w:val="223"/>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151.3</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150.9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(69.1)</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(65.6)</w:t>
            </w:r>
          </w:p>
        </w:tc>
        <w:tc>
          <w:tcPr>
            <w:tcW w:w="108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Earnings</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20.0</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Gain on Sale of U.S. Water Services</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8.7</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75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(40.4)</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(28.8)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110.9</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2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(26.9)</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137.8</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30"/>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Loss Attributable to Non-Controlling Interest</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(31.4)</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2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$169.2</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$174.2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52.4</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52.5</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$3.23</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$3.36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$3.23</w:t>
            </w: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960" w:type="dxa"/>
            <w:vAlign w:val="bottom"/>
          </w:tcPr>
          <w:p>
            <w:pPr>
              <w:ind w:left="3300"/>
              <w:spacing w:after="0"/>
              <w:rPr>
                <w:sz w:val="20"/>
                <w:szCs w:val="20"/>
                <w:color w:val="auto"/>
              </w:rPr>
            </w:pPr>
            <w:r>
              <w:rPr>
                <w:rFonts w:ascii="Arial" w:cs="Arial" w:eastAsia="Arial" w:hAnsi="Arial"/>
                <w:sz w:val="18"/>
                <w:szCs w:val="18"/>
                <w:b w:val="1"/>
                <w:bCs w:val="1"/>
                <w:color w:val="auto"/>
                <w:w w:val="90"/>
              </w:rPr>
              <w:t>ALLETE Consolidated Statement of Comprehensive Income</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7"/>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7"/>
              </w:rPr>
              <w:t>$137.8</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$161.6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Pr>
          <w:p>
            <w:pPr>
              <w:jc w:val="right"/>
              <w:ind w:right="3090"/>
              <w:spacing w:after="0"/>
              <w:rPr>
                <w:sz w:val="20"/>
                <w:szCs w:val="20"/>
                <w:color w:val="auto"/>
              </w:rPr>
            </w:pPr>
            <w:r>
              <w:rPr>
                <w:rFonts w:ascii="Arial" w:cs="Arial" w:eastAsia="Arial" w:hAnsi="Arial"/>
                <w:sz w:val="18"/>
                <w:szCs w:val="18"/>
                <w:color w:val="auto"/>
                <w:w w:val="97"/>
              </w:rPr>
              <w:t>Net of Income Tax (Benefit) Expense of $(0.1), $0.1 and $0.1</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960" w:type="dxa"/>
            <w:vAlign w:val="bottom"/>
            <w:shd w:val="clear" w:color="auto" w:fill="CCEEFF"/>
          </w:tcPr>
          <w:p>
            <w:pPr>
              <w:jc w:val="right"/>
              <w:ind w:right="3090"/>
              <w:spacing w:after="0"/>
              <w:rPr>
                <w:sz w:val="20"/>
                <w:szCs w:val="20"/>
                <w:color w:val="auto"/>
              </w:rPr>
            </w:pPr>
            <w:r>
              <w:rPr>
                <w:rFonts w:ascii="Arial" w:cs="Arial" w:eastAsia="Arial" w:hAnsi="Arial"/>
                <w:sz w:val="18"/>
                <w:szCs w:val="18"/>
                <w:color w:val="auto"/>
                <w:w w:val="93"/>
              </w:rPr>
              <w:t>Defined Benefit Pension and Other Postretirement Benefit Plans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Borders>
              <w:bottom w:val="single" w:sz="8" w:color="auto"/>
            </w:tcBorders>
          </w:tcPr>
          <w:p>
            <w:pPr>
              <w:jc w:val="right"/>
              <w:ind w:right="3090"/>
              <w:spacing w:after="0"/>
              <w:rPr>
                <w:sz w:val="20"/>
                <w:szCs w:val="20"/>
                <w:color w:val="auto"/>
              </w:rPr>
            </w:pPr>
            <w:r>
              <w:rPr>
                <w:rFonts w:ascii="Arial" w:cs="Arial" w:eastAsia="Arial" w:hAnsi="Arial"/>
                <w:sz w:val="18"/>
                <w:szCs w:val="18"/>
                <w:color w:val="auto"/>
                <w:w w:val="97"/>
              </w:rPr>
              <w:t>Net of Income Tax (Benefit) Expense of $3.0, $(3.1) and $1.4</w:t>
            </w: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7.4</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7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7.3</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145.1</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154.1</w:t>
            </w:r>
          </w:p>
        </w:tc>
        <w:tc>
          <w:tcPr>
            <w:tcW w:w="96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30"/>
        </w:trPr>
        <w:tc>
          <w:tcPr>
            <w:tcW w:w="7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(31.4)</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(12.6)</w:t>
            </w:r>
          </w:p>
        </w:tc>
        <w:tc>
          <w:tcPr>
            <w:tcW w:w="9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7"/>
              </w:rPr>
              <w:t>(0.1)</w:t>
            </w:r>
          </w:p>
        </w:tc>
      </w:tr>
      <w:tr>
        <w:trPr>
          <w:trHeight w:val="22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7"/>
              </w:rPr>
              <w:t>$176.5</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$166.7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8080" w:type="dxa"/>
            <w:vAlign w:val="bottom"/>
          </w:tcPr>
          <w:p>
            <w:pPr>
              <w:ind w:left="3760"/>
              <w:spacing w:after="0"/>
              <w:rPr>
                <w:sz w:val="20"/>
                <w:szCs w:val="20"/>
                <w:color w:val="auto"/>
              </w:rPr>
            </w:pPr>
            <w:r>
              <w:rPr>
                <w:rFonts w:ascii="Arial" w:cs="Arial" w:eastAsia="Arial" w:hAnsi="Arial"/>
                <w:sz w:val="18"/>
                <w:szCs w:val="18"/>
                <w:b w:val="1"/>
                <w:bCs w:val="1"/>
                <w:color w:val="auto"/>
              </w:rPr>
              <w:t>ALLETE Consolidated Statement of Cash Flows</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$137.8</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$161.6</w:t>
            </w:r>
          </w:p>
        </w:tc>
        <w:tc>
          <w:tcPr>
            <w:tcW w:w="80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AFUDC – Equity</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Income from Equity Investments – Net of Dividends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Investments and Property, Plant and Equipment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231.6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217.7</w:t>
            </w:r>
          </w:p>
        </w:tc>
        <w:tc>
          <w:tcPr>
            <w:tcW w:w="80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PSAs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Amortization of Other Intangible Assets and Other Assets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Share-Based and ESOP Compensation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Expense</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Interim Rate Refund</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Payments for Tax Reform Refund</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U.S. Water Services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(23.5)</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11.8</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Cash Contributions to Defined Benefit Pension Plans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Fuel Adjustment Clause Regulatory Asset and Liability</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Changes in Regulatory and Other Non-Current Assets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(12.0)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(31.0)</w:t>
            </w:r>
          </w:p>
        </w:tc>
        <w:tc>
          <w:tcPr>
            <w:tcW w:w="80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Changes in Regulatory and Other Non-Current Liabilities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263.5</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299.8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Proceeds from Sale of Available-for-sale Securities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6.4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12.8</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Purchase of Available-for-sale Securities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Payments for Equity Investments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(99.1)</w:t>
            </w:r>
          </w:p>
        </w:tc>
        <w:tc>
          <w:tcPr>
            <w:tcW w:w="80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 of Capital from Equity Investments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(473.3)</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(717.8)</w:t>
            </w:r>
          </w:p>
        </w:tc>
        <w:tc>
          <w:tcPr>
            <w:tcW w:w="800" w:type="dxa"/>
            <w:vAlign w:val="bottom"/>
          </w:tcPr>
          <w:p>
            <w:pPr>
              <w:jc w:val="right"/>
              <w:spacing w:after="0"/>
              <w:rPr>
                <w:sz w:val="20"/>
                <w:szCs w:val="20"/>
                <w:color w:val="auto"/>
              </w:rPr>
            </w:pPr>
            <w:r>
              <w:rPr>
                <w:rFonts w:ascii="Arial" w:cs="Arial" w:eastAsia="Arial" w:hAnsi="Arial"/>
                <w:sz w:val="18"/>
                <w:szCs w:val="18"/>
                <w:color w:val="auto"/>
              </w:rPr>
              <w:t>(597.1)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U.S. Water Services – Net of Transaction Costs and Cash Retained</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Investing Activities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(485.2)</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(812.8)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69.9</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Proceeds from Issuance of Short-Term and Long-Term Debt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733.0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672.4</w:t>
            </w:r>
          </w:p>
        </w:tc>
        <w:tc>
          <w:tcPr>
            <w:tcW w:w="800" w:type="dxa"/>
            <w:vAlign w:val="bottom"/>
          </w:tcPr>
          <w:p>
            <w:pPr>
              <w:jc w:val="right"/>
              <w:spacing w:after="0"/>
              <w:rPr>
                <w:sz w:val="20"/>
                <w:szCs w:val="20"/>
                <w:color w:val="auto"/>
              </w:rPr>
            </w:pPr>
            <w:r>
              <w:rPr>
                <w:rFonts w:ascii="Arial" w:cs="Arial" w:eastAsia="Arial" w:hAnsi="Arial"/>
                <w:sz w:val="18"/>
                <w:szCs w:val="18"/>
                <w:color w:val="auto"/>
              </w:rPr>
              <w:t>201.9</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Short-Term and Long-Term Debt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(552.9)</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90.9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414.5</w:t>
            </w:r>
          </w:p>
        </w:tc>
        <w:tc>
          <w:tcPr>
            <w:tcW w:w="80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Contingent Consideration Payments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Dividends on Common Stock</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(131.9)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(128.2)</w:t>
            </w:r>
          </w:p>
        </w:tc>
        <w:tc>
          <w:tcPr>
            <w:tcW w:w="80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from Financing Activities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204.2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485.7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Cash Equivalents and Restricted Cash</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92.5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$47.7</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2021</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2020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r>
      <w:tr>
        <w:trPr>
          <w:trHeight w:val="226"/>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$1,460.9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$1,436.7</w:t>
            </w:r>
          </w:p>
        </w:tc>
        <w:tc>
          <w:tcPr>
            <w:tcW w:w="920" w:type="dxa"/>
            <w:vAlign w:val="bottom"/>
          </w:tcPr>
          <w:p>
            <w:pPr>
              <w:jc w:val="right"/>
              <w:spacing w:after="0"/>
              <w:rPr>
                <w:sz w:val="20"/>
                <w:szCs w:val="20"/>
                <w:color w:val="auto"/>
              </w:rPr>
            </w:pPr>
            <w:r>
              <w:rPr>
                <w:rFonts w:ascii="Arial" w:cs="Arial" w:eastAsia="Arial" w:hAnsi="Arial"/>
                <w:sz w:val="18"/>
                <w:szCs w:val="18"/>
                <w:color w:val="auto"/>
              </w:rPr>
              <w:t>$1,428.5</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75.8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1,536.7</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1,460.9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Debt Securities</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50"/>
        </w:trPr>
        <w:tc>
          <w:tcPr>
            <w:tcW w:w="8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864.8</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818.8</w:t>
            </w:r>
          </w:p>
        </w:tc>
        <w:tc>
          <w:tcPr>
            <w:tcW w:w="92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169.2</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174.2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(131.9)</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(128.2)</w:t>
            </w:r>
          </w:p>
        </w:tc>
        <w:tc>
          <w:tcPr>
            <w:tcW w:w="92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Adjustment of Redeemable Non-Controlling Interest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900.2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864.8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818.8</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505.6</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90.9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414.5</w:t>
            </w:r>
          </w:p>
        </w:tc>
        <w:tc>
          <w:tcPr>
            <w:tcW w:w="92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Reclassification of Redeemable Non-Controlling Interest to Current Liabilities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533.2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505.6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r>
      <w:tr>
        <w:trPr>
          <w:trHeight w:val="250"/>
        </w:trPr>
        <w:tc>
          <w:tcPr>
            <w:tcW w:w="8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Total Equity</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$2,946.3</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$2,800.2</w:t>
            </w:r>
          </w:p>
        </w:tc>
        <w:tc>
          <w:tcPr>
            <w:tcW w:w="920" w:type="dxa"/>
            <w:vAlign w:val="bottom"/>
          </w:tcPr>
          <w:p>
            <w:pPr>
              <w:jc w:val="right"/>
              <w:spacing w:after="0"/>
              <w:rPr>
                <w:sz w:val="20"/>
                <w:szCs w:val="20"/>
                <w:color w:val="auto"/>
              </w:rPr>
            </w:pPr>
            <w:r>
              <w:rPr>
                <w:rFonts w:ascii="Arial" w:cs="Arial" w:eastAsia="Arial" w:hAnsi="Arial"/>
                <w:sz w:val="18"/>
                <w:szCs w:val="18"/>
                <w:color w:val="auto"/>
              </w:rPr>
              <w:t>$2,335.6</w:t>
            </w:r>
          </w:p>
        </w:tc>
      </w:tr>
      <w:tr>
        <w:trPr>
          <w:trHeight w:val="270"/>
        </w:trPr>
        <w:tc>
          <w:tcPr>
            <w:tcW w:w="8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547"/>
        </w:trPr>
        <w:tc>
          <w:tcPr>
            <w:tcW w:w="8100" w:type="dxa"/>
            <w:vAlign w:val="bottom"/>
          </w:tcPr>
          <w:p>
            <w:pPr>
              <w:ind w:left="330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Financial Statement Preparation. </w:t>
      </w:r>
      <w:r>
        <w:rPr>
          <w:rFonts w:ascii="Arial" w:cs="Arial" w:eastAsia="Arial" w:hAnsi="Arial"/>
          <w:sz w:val="17"/>
          <w:szCs w:val="17"/>
          <w:color w:val="auto"/>
        </w:rPr>
        <w:t>References in this report to “we,” “us,” and “our” are to ALLETE and its subsidiaries, collectively. We prepare our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Our Consolidated Financial Statements include the accounts of ALLETE, all of our majority</w:t>
      </w:r>
      <w:r>
        <w:rPr>
          <w:rFonts w:ascii="MS PGothic" w:cs="MS PGothic" w:eastAsia="MS PGothic" w:hAnsi="MS PGothic"/>
          <w:sz w:val="18"/>
          <w:szCs w:val="18"/>
          <w:color w:val="auto"/>
        </w:rPr>
        <w:t>‑</w:t>
      </w:r>
      <w:r>
        <w:rPr>
          <w:rFonts w:ascii="Arial" w:cs="Arial" w:eastAsia="Arial" w:hAnsi="Arial"/>
          <w:sz w:val="18"/>
          <w:szCs w:val="18"/>
          <w:color w:val="auto"/>
        </w:rPr>
        <w:t>owned subsidiary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variable interest entities of which ALLETE is the primary beneficiary. All material intercompany balances and transactions have been eliminated in consolidation.</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Variable Interest Entities. </w:t>
      </w:r>
      <w:r>
        <w:rPr>
          <w:rFonts w:ascii="Arial" w:cs="Arial" w:eastAsia="Arial" w:hAnsi="Arial"/>
          <w:sz w:val="17"/>
          <w:szCs w:val="17"/>
          <w:color w:val="auto"/>
        </w:rPr>
        <w:t>The accounting guidance for “Variable Interest Entities” (VIE) is a consolidation model that considers if a company has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variable 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and our investment in Nobles 2. (See </w:t>
      </w:r>
      <w:r>
        <w:rPr>
          <w:rFonts w:ascii="Arial" w:cs="Arial" w:eastAsia="Arial" w:hAnsi="Arial"/>
          <w:sz w:val="17"/>
          <w:szCs w:val="17"/>
          <w:i w:val="1"/>
          <w:iCs w:val="1"/>
          <w:color w:val="auto"/>
        </w:rPr>
        <w:t>Tax Equity Financing</w:t>
      </w:r>
      <w:r>
        <w:rPr>
          <w:rFonts w:ascii="Arial" w:cs="Arial" w:eastAsia="Arial" w:hAnsi="Arial"/>
          <w:sz w:val="17"/>
          <w:szCs w:val="17"/>
          <w:color w:val="auto"/>
        </w:rPr>
        <w: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three reportable segments: Regulated Operations, ALLETE Clean Energy and U.S. Water Services. Our segments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the guidance on segment reporting. We measure performance of our operations through budgeting and monitoring of contributions to consolidated net income by each business segment.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15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1,300 MW of nameplate capacity wind energy generation that is contracted under PSAs of various durations. In addition, ALLETE Clean Energy currently has approximately 200 MW of wind energy facilities under contract for sale to others. ALLETE Clean Energy also engages in the development of wind energy facilities to operate under long-term PSAs or for sale to others upon completion.</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 Water Services </w:t>
      </w:r>
      <w:r>
        <w:rPr>
          <w:rFonts w:ascii="Arial" w:cs="Arial" w:eastAsia="Arial" w:hAnsi="Arial"/>
          <w:sz w:val="17"/>
          <w:szCs w:val="17"/>
          <w:color w:val="auto"/>
        </w:rPr>
        <w:t>provided integrated water management for industry by combining chemical, equipment, engineering and service for customized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to reduce water and energy usage, and improve efficiency. In March 2019, the Company sold U.S. Water Services to a subsidiary of Kurita Water Industries Ltd. pursuant to a stock purchase agreement for approximately $270 million in cash, net of transaction costs and cash retained.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BNI Energy, our investment in Nobles 2, South Shore Energy, ALLETE Properties, other business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expenditures, unallocated interest expense, a small amount of non-rate base generation, approximately 4,000 acres of land in Minnesota, and earnings on cash and investments.</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BNI Energy mines and sells lignite coal to two North Dakota mine-mouth generating units, one of which is Square Butte. In 2021, Square Butte supplied 50 percent (227.5 MW) of its output to Minnesota Power under long-term contracts. (See Note 8. Commitments, Guarantees and Contingencies.)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Nobles 2 represents a 49 percent equity interest in Nobles 2, the entity that owns and operates a 250 MW wind energy facility in southwestern Minnesota pursuant to a 20-year PPA with Minnesota Power.</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2025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2021, is approximately $5 million.</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 2021, South Shore Energy sold a portion of its undivided ownership interest in NTEC for approximately $20 million representing reimbursement of current costs plus a fee for prior development costs and risks incurred. Following the transaction, South Shore Energy now owns a 20 percent undivided ownership interest in NTEC, Basin owns a 30 percent undivided ownership interest in NTEC and Dairyland Power Cooperative continues to own a 50 percent undivided ownership interest in NTEC. The closing of the transaction resulted in the recognition of an approximately $8.5 million after-tax gain recorded in Corporate and Other in the fourth quarter of 2021, related to prior development costs and risks incurred.</w:t>
      </w:r>
    </w:p>
    <w:p>
      <w:pPr>
        <w:spacing w:after="0" w:line="2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Cash, Cash Equivalents and Restricted Cash. </w:t>
      </w:r>
      <w:r>
        <w:rPr>
          <w:rFonts w:ascii="Arial" w:cs="Arial" w:eastAsia="Arial" w:hAnsi="Arial"/>
          <w:sz w:val="17"/>
          <w:szCs w:val="17"/>
          <w:color w:val="auto"/>
        </w:rPr>
        <w:t>We consider all investments purchased with original maturities of three months or less to be cash</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As of December 31, 2021, and 2020, restricted cash amounts included in Prepayments and Other on the Consolidated Balance Sheet include collateral deposits required under an ALLETE Clean Energy loan agreement. The December 31, 2019 amount also includes deposits required under tax equity financing agreements. The restricted cash amounts included in Other Non-Current Assets represent collateral deposits required under an ALLETE Clean Energy loan agreement and PSAs. The December 31, 2020 and 2019 amounts also include deposits required under tax equity financing agreements. The following table provides a reconciliation of cash, cash equivalents and restricted cash reported within the Consolidated Balance Sheet that aggregate to the amounts presented in the Consolidated Statement of Cash Flows.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$45.1</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$44.3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2260" w:type="dxa"/>
            <w:vAlign w:val="bottom"/>
          </w:tcPr>
          <w:p>
            <w:pPr>
              <w:jc w:val="right"/>
              <w:ind w:right="750"/>
              <w:spacing w:after="0"/>
              <w:rPr>
                <w:sz w:val="20"/>
                <w:szCs w:val="20"/>
                <w:color w:val="auto"/>
              </w:rPr>
            </w:pPr>
            <w:r>
              <w:rPr>
                <w:rFonts w:ascii="Arial" w:cs="Arial" w:eastAsia="Arial" w:hAnsi="Arial"/>
                <w:sz w:val="18"/>
                <w:szCs w:val="18"/>
                <w:color w:val="auto"/>
              </w:rPr>
              <w:t>0.3</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0.8</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2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2.3</w:t>
            </w:r>
          </w:p>
        </w:tc>
        <w:tc>
          <w:tcPr>
            <w:tcW w:w="1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20.1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69"/>
        </w:trPr>
        <w:tc>
          <w:tcPr>
            <w:tcW w:w="5700" w:type="dxa"/>
            <w:vAlign w:val="bottom"/>
          </w:tcPr>
          <w:p>
            <w:pPr>
              <w:ind w:left="20"/>
              <w:spacing w:after="0" w:line="169" w:lineRule="exact"/>
              <w:rPr>
                <w:sz w:val="20"/>
                <w:szCs w:val="20"/>
                <w:color w:val="auto"/>
              </w:rPr>
            </w:pPr>
            <w:r>
              <w:rPr>
                <w:rFonts w:ascii="Arial" w:cs="Arial" w:eastAsia="Arial" w:hAnsi="Arial"/>
                <w:sz w:val="18"/>
                <w:szCs w:val="18"/>
                <w:color w:val="auto"/>
              </w:rPr>
              <w:t>Cash, Cash Equivalents and Restricted Cash on the Consolidated</w:t>
            </w:r>
          </w:p>
        </w:tc>
        <w:tc>
          <w:tcPr>
            <w:tcW w:w="2260" w:type="dxa"/>
            <w:vAlign w:val="bottom"/>
            <w:vMerge w:val="restart"/>
          </w:tcPr>
          <w:p>
            <w:pPr>
              <w:jc w:val="right"/>
              <w:ind w:right="750"/>
              <w:spacing w:after="0"/>
              <w:rPr>
                <w:sz w:val="20"/>
                <w:szCs w:val="20"/>
                <w:color w:val="auto"/>
              </w:rPr>
            </w:pPr>
            <w:r>
              <w:rPr>
                <w:rFonts w:ascii="Arial" w:cs="Arial" w:eastAsia="Arial" w:hAnsi="Arial"/>
                <w:sz w:val="18"/>
                <w:szCs w:val="18"/>
                <w:color w:val="auto"/>
              </w:rPr>
              <w:t>$47.7</w:t>
            </w:r>
          </w:p>
        </w:tc>
        <w:tc>
          <w:tcPr>
            <w:tcW w:w="1980" w:type="dxa"/>
            <w:vAlign w:val="bottom"/>
            <w:vMerge w:val="restart"/>
          </w:tcPr>
          <w:p>
            <w:pPr>
              <w:jc w:val="right"/>
              <w:ind w:right="710"/>
              <w:spacing w:after="0"/>
              <w:rPr>
                <w:sz w:val="20"/>
                <w:szCs w:val="20"/>
                <w:color w:val="auto"/>
              </w:rPr>
            </w:pPr>
            <w:r>
              <w:rPr>
                <w:rFonts w:ascii="Arial" w:cs="Arial" w:eastAsia="Arial" w:hAnsi="Arial"/>
                <w:sz w:val="18"/>
                <w:szCs w:val="18"/>
                <w:color w:val="auto"/>
              </w:rPr>
              <w:t>$65.2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226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9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$66.8</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 xml:space="preserve">Recognition of Right-of-use Assets and Lease Liabilities </w:t>
            </w:r>
            <w:r>
              <w:rPr>
                <w:rFonts w:ascii="Arial" w:cs="Arial" w:eastAsia="Arial" w:hAnsi="Arial"/>
                <w:sz w:val="16"/>
                <w:szCs w:val="16"/>
                <w:i w:val="1"/>
                <w:iCs w:val="1"/>
                <w:color w:val="auto"/>
              </w:rPr>
              <w:t>(a)</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9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80" w:type="dxa"/>
            <w:vAlign w:val="bottom"/>
          </w:tcPr>
          <w:p>
            <w:pPr>
              <w:ind w:left="220"/>
              <w:spacing w:after="0" w:line="176" w:lineRule="exact"/>
              <w:rPr>
                <w:sz w:val="20"/>
                <w:szCs w:val="20"/>
                <w:color w:val="auto"/>
              </w:rPr>
            </w:pPr>
            <w:r>
              <w:rPr>
                <w:rFonts w:ascii="Arial" w:cs="Arial" w:eastAsia="Arial" w:hAnsi="Arial"/>
                <w:sz w:val="18"/>
                <w:szCs w:val="18"/>
                <w:color w:val="auto"/>
                <w:w w:val="99"/>
              </w:rPr>
              <w:t>Increase (Decrease) in Accounts Payable for Capital Additions to Property, Plant and</w:t>
            </w:r>
          </w:p>
        </w:tc>
        <w:tc>
          <w:tcPr>
            <w:tcW w:w="980" w:type="dxa"/>
            <w:vAlign w:val="bottom"/>
            <w:vMerge w:val="restart"/>
          </w:tcPr>
          <w:p>
            <w:pPr>
              <w:jc w:val="right"/>
              <w:ind w:right="170"/>
              <w:spacing w:after="0"/>
              <w:rPr>
                <w:sz w:val="20"/>
                <w:szCs w:val="20"/>
                <w:color w:val="auto"/>
              </w:rPr>
            </w:pPr>
            <w:r>
              <w:rPr>
                <w:rFonts w:ascii="Arial" w:cs="Arial" w:eastAsia="Arial" w:hAnsi="Arial"/>
                <w:sz w:val="18"/>
                <w:szCs w:val="18"/>
                <w:color w:val="auto"/>
              </w:rPr>
              <w:t>$(14.0)</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rPr>
              <w:t>$(67.0)</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9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Reclassification of Redeemable Non-Controlling Interest to Current Liabilities </w:t>
            </w:r>
            <w:r>
              <w:rPr>
                <w:rFonts w:ascii="Arial" w:cs="Arial" w:eastAsia="Arial" w:hAnsi="Arial"/>
                <w:sz w:val="16"/>
                <w:szCs w:val="16"/>
                <w:i w:val="1"/>
                <w:iCs w:val="1"/>
                <w:color w:val="auto"/>
              </w:rPr>
              <w:t>(b)</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$30.6</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Capitalized Asset Retirement Costs</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$16.9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7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AFUDC–Equity</w:t>
            </w:r>
          </w:p>
        </w:tc>
        <w:tc>
          <w:tcPr>
            <w:tcW w:w="9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c>
          <w:tcPr>
            <w:tcW w:w="1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Amount of the right-of-use asset and lease liability recognized with the adoption of an accounting standards update for leases.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to Current Liabilities resulting from the exercise of an option to buy out a non-controlling interest.</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evaluation of the receivable portfolio under current conditions, overall portfolio quality, review of specific situations and such other factors that, in our judgment, deserve recognition in estimating losses.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Accounts Receivable</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4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Billed</w:t>
            </w:r>
          </w:p>
        </w:tc>
        <w:tc>
          <w:tcPr>
            <w:tcW w:w="4080" w:type="dxa"/>
            <w:vAlign w:val="bottom"/>
          </w:tcPr>
          <w:p>
            <w:pPr>
              <w:jc w:val="right"/>
              <w:ind w:right="490"/>
              <w:spacing w:after="0"/>
              <w:rPr>
                <w:sz w:val="20"/>
                <w:szCs w:val="20"/>
                <w:color w:val="auto"/>
              </w:rPr>
            </w:pPr>
            <w:r>
              <w:rPr>
                <w:rFonts w:ascii="Arial" w:cs="Arial" w:eastAsia="Arial" w:hAnsi="Arial"/>
                <w:sz w:val="18"/>
                <w:szCs w:val="18"/>
                <w:color w:val="auto"/>
              </w:rPr>
              <w:t>$100.8</w:t>
            </w:r>
          </w:p>
        </w:tc>
        <w:tc>
          <w:tcPr>
            <w:tcW w:w="110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29"/>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w:t>
            </w:r>
          </w:p>
        </w:tc>
        <w:tc>
          <w:tcPr>
            <w:tcW w:w="4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30"/>
        </w:trPr>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$123.7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bl>
    <w:p>
      <w:pPr>
        <w:spacing w:after="0" w:line="3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Concentration of Credit Risk. </w:t>
      </w:r>
      <w:r>
        <w:rPr>
          <w:rFonts w:ascii="Arial" w:cs="Arial" w:eastAsia="Arial" w:hAnsi="Arial"/>
          <w:sz w:val="16"/>
          <w:szCs w:val="16"/>
          <w:color w:val="auto"/>
        </w:rPr>
        <w:t>We are subject to concentration of credit risk primarily as a result of accounts receivable. Minnesota Power sells electricity</w:t>
      </w:r>
      <w:r>
        <w:rPr>
          <w:rFonts w:ascii="Arial" w:cs="Arial" w:eastAsia="Arial" w:hAnsi="Arial"/>
          <w:sz w:val="16"/>
          <w:szCs w:val="16"/>
          <w:b w:val="1"/>
          <w:bCs w:val="1"/>
          <w:color w:val="auto"/>
        </w:rPr>
        <w:t xml:space="preserve"> </w:t>
      </w:r>
      <w:r>
        <w:rPr>
          <w:rFonts w:ascii="Arial" w:cs="Arial" w:eastAsia="Arial" w:hAnsi="Arial"/>
          <w:sz w:val="16"/>
          <w:szCs w:val="16"/>
          <w:color w:val="auto"/>
        </w:rPr>
        <w:t>to eight Large Power Customers. Receivables from these customers totaled $7.8 million as of December 31, 2021 ($10.3 million as of December 31, 2020).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Minnesota Power’s taconite customers, which are currently owned by two entities at the end of 2021, accounted for approximately 32 percent of Regulated Operations operating revenue and approximately 28 percent of consolidated operating revenue in 2021 (29 percent of Regulated Operations operating revenue and 25 percent of consolidated operating revenue in 2020). In 2019, a single entity accounted for approximately 14 percent of Regulated Operations operating revenue and 12 percent of consolidated operating revenue.</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debt and equity securities are recorded at fair value. Unrealized gains and losses on available-for-sale</w:t>
      </w:r>
      <w:r>
        <w:rPr>
          <w:rFonts w:ascii="Arial" w:cs="Arial" w:eastAsia="Arial" w:hAnsi="Arial"/>
          <w:sz w:val="17"/>
          <w:szCs w:val="17"/>
          <w:b w:val="1"/>
          <w:bCs w:val="1"/>
          <w:color w:val="auto"/>
        </w:rPr>
        <w:t xml:space="preserve"> </w:t>
      </w:r>
      <w:r>
        <w:rPr>
          <w:rFonts w:ascii="Arial" w:cs="Arial" w:eastAsia="Arial" w:hAnsi="Arial"/>
          <w:sz w:val="17"/>
          <w:szCs w:val="17"/>
          <w:color w:val="auto"/>
        </w:rPr>
        <w:t>debt securities are included in accumulated other comprehensive income (loss), net of tax. Unrealized gains and losses on available-for-sale equity securities are recognized in earnings. We use the specific identification method as the basis for determining the cost of securities sold.</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22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2200" w:type="dxa"/>
            <w:vAlign w:val="bottom"/>
          </w:tcPr>
          <w:p>
            <w:pPr>
              <w:jc w:val="right"/>
              <w:ind w:right="530"/>
              <w:spacing w:after="0"/>
              <w:rPr>
                <w:sz w:val="20"/>
                <w:szCs w:val="20"/>
                <w:color w:val="auto"/>
              </w:rPr>
            </w:pPr>
            <w:r>
              <w:rPr>
                <w:rFonts w:ascii="Arial" w:cs="Arial" w:eastAsia="Arial" w:hAnsi="Arial"/>
                <w:sz w:val="18"/>
                <w:szCs w:val="18"/>
                <w:color w:val="auto"/>
              </w:rPr>
              <w:t>56.1</w:t>
            </w:r>
          </w:p>
        </w:tc>
        <w:tc>
          <w:tcPr>
            <w:tcW w:w="10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Construction of Wind Energy Facilities </w:t>
            </w:r>
            <w:r>
              <w:rPr>
                <w:rFonts w:ascii="Arial" w:cs="Arial" w:eastAsia="Arial" w:hAnsi="Arial"/>
                <w:sz w:val="16"/>
                <w:szCs w:val="16"/>
                <w:i w:val="1"/>
                <w:iCs w:val="1"/>
                <w:color w:val="auto"/>
              </w:rPr>
              <w:t>(b)</w:t>
            </w:r>
          </w:p>
        </w:tc>
        <w:tc>
          <w:tcPr>
            <w:tcW w:w="22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2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r>
    </w:tbl>
    <w:p>
      <w:pPr>
        <w:spacing w:after="0" w:line="8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24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Project costs related to ALLETE Clean Energy’s Northern Wind and Red Barn wind projects which are expected be sold in late 2022 and 2023, respectively. (See Other Current Liabilities.)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Consolidated Balance Sheet net of</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depreciation. Expenditures for additions, significant replacements, improvements and major plant overhauls are capitalized; maintenance and repair costs are expensed as incurred. Gains or losses on property, plant and equipment for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Minnesota Power’s 2015 IRP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including the economic idling of Taconite Harbor Units 1 and 2 in 2016, and the ceasing of coal-fired operations at Taconite Harbor in 2020. As of December 31, 2021, Taconite Harbor had a net book value of approximately $45 million. The MPUC order for the 2015 IRP also directed Minnesota Power to retire Boswell Units 1 and 2, which occurred in the fourth quarter of 2018. As part of the 2016 general retail rate case, the MPUC allowed recovery of the remaining book value of Boswell Units 1 and 2 through 2022. In its latest IRP filing, Minnesota Power proposed retiring Boswell Unit 3 by 2030 and transforming Boswell Unit 4 to be coal-free by 2035. Boswell Unit 3 and Unit 4 have a net book value of approximately $245 million and $435 million, respectively, as of December 31, 2021. (See Note 4. Regulatory Matters.)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We review our long-lived assets for indicators of impairment in accordance with the accounting standards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plant and equipment on a quarterly basis. This includes our property, plant and equipment (see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19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monitor changes in the broader energy markets along with wind resource expectations that could indicate impairment at ALLETE Clean Energy wind energy facilities upon contract expirations. A continued decline in energy prices or lower wind resource expectations could result in a future impairment.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2021, 2020, and 2019, there were no indicators of impairment for our property, plant, and equipment or land inventory. As a result, no impairment was recorded in 2021, 2020 or 2019.</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6" w:name="page77"/>
    <w:bookmarkEnd w:id="76"/>
    <w:p>
      <w:pPr>
        <w:ind w:left="100"/>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ind w:left="100"/>
        <w:spacing w:after="0" w:line="258" w:lineRule="auto"/>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ALLETE is exposed to certain risks relating to its business operations that can be managed through the use of derivative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ALLETE may enter into derivative instruments to manage those risks including interest rate risk related to certain variable-rate borrowings and commodity price risk related to sales to retail and municipal customers as well as other power suppliers. We have determined that either these agreements are not derivatives, or, if they are derivatives, the agreements qualify for the normal purchases and normal sales exception to derivative accounting guidance; therefore, derivative accounting is not required.</w:t>
      </w:r>
    </w:p>
    <w:p>
      <w:pPr>
        <w:spacing w:after="0" w:line="210" w:lineRule="exact"/>
        <w:rPr>
          <w:sz w:val="20"/>
          <w:szCs w:val="20"/>
          <w:color w:val="auto"/>
        </w:rPr>
      </w:pPr>
    </w:p>
    <w:p>
      <w:pPr>
        <w:jc w:val="both"/>
        <w:ind w:left="100"/>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12. Employee Stock and Incentive Plans.)</w:t>
      </w:r>
    </w:p>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4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$23.3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260" w:type="dxa"/>
            <w:vAlign w:val="bottom"/>
          </w:tcPr>
          <w:p>
            <w:pPr>
              <w:jc w:val="right"/>
              <w:ind w:right="470"/>
              <w:spacing w:after="0"/>
              <w:rPr>
                <w:sz w:val="20"/>
                <w:szCs w:val="20"/>
                <w:color w:val="auto"/>
              </w:rPr>
            </w:pPr>
            <w:r>
              <w:rPr>
                <w:rFonts w:ascii="Arial" w:cs="Arial" w:eastAsia="Arial" w:hAnsi="Arial"/>
                <w:sz w:val="18"/>
                <w:szCs w:val="18"/>
                <w:color w:val="auto"/>
              </w:rPr>
              <w:t>16.4</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Properties</w:t>
            </w:r>
          </w:p>
        </w:tc>
        <w:tc>
          <w:tcPr>
            <w:tcW w:w="4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426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Postretirement Benefit Plans</w:t>
            </w:r>
          </w:p>
        </w:tc>
        <w:tc>
          <w:tcPr>
            <w:tcW w:w="42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87.5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42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$213.7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r>
    </w:tbl>
    <w:p>
      <w:pPr>
        <w:spacing w:after="0" w:line="85" w:lineRule="exact"/>
        <w:rPr>
          <w:sz w:val="20"/>
          <w:szCs w:val="20"/>
          <w:color w:val="auto"/>
        </w:rPr>
      </w:pPr>
    </w:p>
    <w:p>
      <w:pPr>
        <w:ind w:left="440" w:hanging="332"/>
        <w:spacing w:after="0" w:line="275" w:lineRule="auto"/>
        <w:tabs>
          <w:tab w:leader="none" w:pos="467"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her Current Liabilities</w:t>
            </w:r>
          </w:p>
        </w:tc>
        <w:tc>
          <w:tcPr>
            <w:tcW w:w="4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0" w:type="dxa"/>
            <w:vAlign w:val="bottom"/>
            <w:gridSpan w:val="2"/>
          </w:tcPr>
          <w:p>
            <w:pPr>
              <w:ind w:left="40"/>
              <w:spacing w:after="0"/>
              <w:rPr>
                <w:sz w:val="20"/>
                <w:szCs w:val="20"/>
                <w:color w:val="auto"/>
              </w:rPr>
            </w:pPr>
            <w:r>
              <w:rPr>
                <w:rFonts w:ascii="Arial" w:cs="Arial" w:eastAsia="Arial" w:hAnsi="Arial"/>
                <w:sz w:val="18"/>
                <w:szCs w:val="18"/>
                <w:b w:val="1"/>
                <w:bCs w:val="1"/>
                <w:color w:val="auto"/>
              </w:rPr>
              <w:t>of December 31</w:t>
            </w:r>
          </w:p>
        </w:tc>
        <w:tc>
          <w:tcPr>
            <w:tcW w:w="4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4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stomer Deposits </w:t>
            </w:r>
            <w:r>
              <w:rPr>
                <w:rFonts w:ascii="Arial" w:cs="Arial" w:eastAsia="Arial" w:hAnsi="Arial"/>
                <w:sz w:val="16"/>
                <w:szCs w:val="16"/>
                <w:i w:val="1"/>
                <w:iCs w:val="1"/>
                <w:color w:val="auto"/>
              </w:rPr>
              <w:t>(a)</w:t>
            </w:r>
          </w:p>
        </w:tc>
        <w:tc>
          <w:tcPr>
            <w:tcW w:w="4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5800" w:type="dxa"/>
            <w:vAlign w:val="bottom"/>
            <w:gridSpan w:val="2"/>
          </w:tcPr>
          <w:p>
            <w:pPr>
              <w:spacing w:after="0"/>
              <w:rPr>
                <w:sz w:val="20"/>
                <w:szCs w:val="20"/>
                <w:color w:val="auto"/>
              </w:rPr>
            </w:pPr>
            <w:r>
              <w:rPr>
                <w:rFonts w:ascii="Arial" w:cs="Arial" w:eastAsia="Arial" w:hAnsi="Arial"/>
                <w:sz w:val="18"/>
                <w:szCs w:val="18"/>
                <w:color w:val="auto"/>
              </w:rPr>
              <w:t>As</w:t>
            </w:r>
          </w:p>
        </w:tc>
        <w:tc>
          <w:tcPr>
            <w:tcW w:w="4160" w:type="dxa"/>
            <w:vAlign w:val="bottom"/>
          </w:tcPr>
          <w:p>
            <w:pPr>
              <w:jc w:val="right"/>
              <w:ind w:right="510"/>
              <w:spacing w:after="0"/>
              <w:rPr>
                <w:sz w:val="20"/>
                <w:szCs w:val="20"/>
                <w:color w:val="auto"/>
              </w:rPr>
            </w:pPr>
            <w:r>
              <w:rPr>
                <w:rFonts w:ascii="Arial" w:cs="Arial" w:eastAsia="Arial" w:hAnsi="Arial"/>
                <w:sz w:val="18"/>
                <w:szCs w:val="18"/>
                <w:color w:val="auto"/>
              </w:rPr>
              <w:t>12.6</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100" w:type="dxa"/>
            <w:vAlign w:val="bottom"/>
            <w:vMerge w:val="restart"/>
          </w:tcPr>
          <w:p>
            <w:pPr>
              <w:spacing w:after="0"/>
              <w:rPr>
                <w:sz w:val="20"/>
                <w:szCs w:val="20"/>
                <w:color w:val="auto"/>
              </w:rPr>
            </w:pPr>
            <w:r>
              <w:rPr>
                <w:rFonts w:ascii="Arial" w:cs="Arial" w:eastAsia="Arial" w:hAnsi="Arial"/>
                <w:sz w:val="13"/>
                <w:szCs w:val="13"/>
                <w:color w:val="auto"/>
                <w:w w:val="78"/>
              </w:rPr>
              <w:t>el</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anufactured Gas Plant </w:t>
            </w:r>
            <w:r>
              <w:rPr>
                <w:rFonts w:ascii="Arial" w:cs="Arial" w:eastAsia="Arial" w:hAnsi="Arial"/>
                <w:sz w:val="18"/>
                <w:szCs w:val="18"/>
                <w:i w:val="1"/>
                <w:iCs w:val="1"/>
                <w:color w:val="auto"/>
              </w:rPr>
              <w:t>(b)</w:t>
            </w:r>
          </w:p>
        </w:tc>
        <w:tc>
          <w:tcPr>
            <w:tcW w:w="4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Adjustment Clause</w:t>
            </w:r>
          </w:p>
        </w:tc>
        <w:tc>
          <w:tcPr>
            <w:tcW w:w="4160" w:type="dxa"/>
            <w:vAlign w:val="bottom"/>
          </w:tcPr>
          <w:p>
            <w:pPr>
              <w:jc w:val="right"/>
              <w:ind w:right="510"/>
              <w:spacing w:after="0"/>
              <w:rPr>
                <w:sz w:val="20"/>
                <w:szCs w:val="20"/>
                <w:color w:val="auto"/>
              </w:rPr>
            </w:pPr>
            <w:r>
              <w:rPr>
                <w:rFonts w:ascii="Arial" w:cs="Arial" w:eastAsia="Arial" w:hAnsi="Arial"/>
                <w:sz w:val="18"/>
                <w:szCs w:val="18"/>
                <w:color w:val="auto"/>
              </w:rPr>
              <w:t>5.0</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erating Lease Liabilities</w:t>
            </w:r>
          </w:p>
        </w:tc>
        <w:tc>
          <w:tcPr>
            <w:tcW w:w="4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 xml:space="preserve">deemable Non-Controlling Interest </w:t>
            </w:r>
            <w:r>
              <w:rPr>
                <w:rFonts w:ascii="Arial" w:cs="Arial" w:eastAsia="Arial" w:hAnsi="Arial"/>
                <w:sz w:val="16"/>
                <w:szCs w:val="16"/>
                <w:i w:val="1"/>
                <w:iCs w:val="1"/>
                <w:color w:val="auto"/>
              </w:rPr>
              <w:t>(c)</w:t>
            </w:r>
          </w:p>
        </w:tc>
        <w:tc>
          <w:tcPr>
            <w:tcW w:w="4160" w:type="dxa"/>
            <w:vAlign w:val="bottom"/>
          </w:tcPr>
          <w:p>
            <w:pPr>
              <w:jc w:val="right"/>
              <w:ind w:right="510"/>
              <w:spacing w:after="0"/>
              <w:rPr>
                <w:sz w:val="20"/>
                <w:szCs w:val="20"/>
                <w:color w:val="auto"/>
              </w:rPr>
            </w:pPr>
            <w:r>
              <w:rPr>
                <w:rFonts w:ascii="Arial" w:cs="Arial" w:eastAsia="Arial" w:hAnsi="Arial"/>
                <w:sz w:val="18"/>
                <w:szCs w:val="18"/>
                <w:color w:val="auto"/>
              </w:rPr>
              <w:t>30.6</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her</w:t>
            </w:r>
          </w:p>
        </w:tc>
        <w:tc>
          <w:tcPr>
            <w:tcW w:w="4160" w:type="dxa"/>
            <w:vAlign w:val="bottom"/>
          </w:tcPr>
          <w:p>
            <w:pPr>
              <w:jc w:val="right"/>
              <w:ind w:right="510"/>
              <w:spacing w:after="0"/>
              <w:rPr>
                <w:sz w:val="20"/>
                <w:szCs w:val="20"/>
                <w:color w:val="auto"/>
              </w:rPr>
            </w:pPr>
            <w:r>
              <w:rPr>
                <w:rFonts w:ascii="Arial" w:cs="Arial" w:eastAsia="Arial" w:hAnsi="Arial"/>
                <w:sz w:val="18"/>
                <w:szCs w:val="18"/>
                <w:color w:val="auto"/>
              </w:rPr>
              <w:t>40.0</w:t>
            </w:r>
          </w:p>
        </w:tc>
        <w:tc>
          <w:tcPr>
            <w:tcW w:w="102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tal Other Current Liabilities</w:t>
            </w:r>
          </w:p>
        </w:tc>
        <w:tc>
          <w:tcPr>
            <w:tcW w:w="4160" w:type="dxa"/>
            <w:vAlign w:val="bottom"/>
          </w:tcPr>
          <w:p>
            <w:pPr>
              <w:jc w:val="right"/>
              <w:ind w:right="510"/>
              <w:spacing w:after="0"/>
              <w:rPr>
                <w:sz w:val="20"/>
                <w:szCs w:val="20"/>
                <w:color w:val="auto"/>
              </w:rPr>
            </w:pPr>
            <w:r>
              <w:rPr>
                <w:rFonts w:ascii="Arial" w:cs="Arial" w:eastAsia="Arial" w:hAnsi="Arial"/>
                <w:sz w:val="18"/>
                <w:szCs w:val="18"/>
                <w:color w:val="auto"/>
              </w:rPr>
              <w:t>$133.0</w:t>
            </w: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-307975</wp:posOffset>
            </wp:positionV>
            <wp:extent cx="690943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6">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51" w:lineRule="exact"/>
        <w:rPr>
          <w:sz w:val="20"/>
          <w:szCs w:val="20"/>
          <w:color w:val="auto"/>
        </w:rPr>
      </w:pPr>
    </w:p>
    <w:p>
      <w:pPr>
        <w:ind w:left="440" w:hanging="332"/>
        <w:spacing w:after="0" w:line="255" w:lineRule="auto"/>
        <w:tabs>
          <w:tab w:leader="none" w:pos="483"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and Red Barn wind projects which are expected be sold in late 2022 and 2023 respectively. (See Inventories – Net.)</w:t>
      </w:r>
    </w:p>
    <w:p>
      <w:pPr>
        <w:spacing w:after="0" w:line="1" w:lineRule="exact"/>
        <w:rPr>
          <w:rFonts w:ascii="Arial" w:cs="Arial" w:eastAsia="Arial" w:hAnsi="Arial"/>
          <w:sz w:val="16"/>
          <w:szCs w:val="16"/>
          <w:i w:val="1"/>
          <w:iCs w:val="1"/>
          <w:color w:val="auto"/>
        </w:rPr>
      </w:pPr>
    </w:p>
    <w:p>
      <w:pPr>
        <w:ind w:left="440" w:hanging="332"/>
        <w:spacing w:after="0" w:line="246" w:lineRule="auto"/>
        <w:tabs>
          <w:tab w:leader="none" w:pos="359"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 (See Note 8. Commitments, Guarantees and Contingencies.)</w:t>
      </w:r>
    </w:p>
    <w:p>
      <w:pPr>
        <w:ind w:left="440" w:hanging="332"/>
        <w:spacing w:after="0" w:line="257" w:lineRule="auto"/>
        <w:tabs>
          <w:tab w:leader="none" w:pos="336"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from Non-Controlling Interest in Subsidiaries resulting from the exercise of an option to buy out a non-controlling interest, which was paid in the first quarter of 2022.</w:t>
      </w: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PSAs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39.5</w:t>
            </w:r>
          </w:p>
        </w:tc>
        <w:tc>
          <w:tcPr>
            <w:tcW w:w="11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45.2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$280.8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7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determine if a contract is, or contains, a lease at inception and recognize a right-of-use asset and lease liability for all leases with a term greater 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leases may include options to extend or buy out the lease at certain points throughout the term, and if it is reasonably certain at lease commencement that we will exercise that option,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the components of lease cost and presentation of cash flows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December 31</w:t>
            </w:r>
          </w:p>
        </w:tc>
        <w:tc>
          <w:tcPr>
            <w:tcW w:w="3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534"/>
        </w:trPr>
        <w:tc>
          <w:tcPr>
            <w:tcW w:w="6620" w:type="dxa"/>
            <w:vAlign w:val="bottom"/>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 Information Related to Leases: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3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$16.4</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r>
      <w:tr>
        <w:trPr>
          <w:trHeight w:val="223"/>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Lease Right-of-use Assets</w:t>
            </w:r>
          </w:p>
        </w:tc>
        <w:tc>
          <w:tcPr>
            <w:tcW w:w="3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$16.4</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$4.8</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3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11.6</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w:t>
            </w:r>
          </w:p>
        </w:tc>
      </w:tr>
      <w:tr>
        <w:trPr>
          <w:trHeight w:val="223"/>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3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$16.4</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 Land and Other</w:t>
            </w:r>
          </w:p>
        </w:tc>
        <w:tc>
          <w:tcPr>
            <w:tcW w:w="3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Arial" w:cs="Arial" w:eastAsia="Arial" w:hAnsi="Arial"/>
                <w:sz w:val="18"/>
                <w:szCs w:val="18"/>
                <w:color w:val="auto"/>
              </w:rPr>
              <w:t>3.8 %</w:t>
            </w:r>
          </w:p>
        </w:tc>
        <w:tc>
          <w:tcPr>
            <w:tcW w:w="9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6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Leases - Land and Other</w:t>
            </w:r>
          </w:p>
        </w:tc>
        <w:tc>
          <w:tcPr>
            <w:tcW w:w="3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4.5 %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502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2023</w:t>
            </w:r>
          </w:p>
        </w:tc>
        <w:tc>
          <w:tcPr>
            <w:tcW w:w="5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2025</w:t>
            </w:r>
          </w:p>
        </w:tc>
        <w:tc>
          <w:tcPr>
            <w:tcW w:w="5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 Due</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Lease Obligations</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Long-term Lease Obligations</w:t>
            </w:r>
          </w:p>
        </w:tc>
        <w:tc>
          <w:tcPr>
            <w:tcW w:w="5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w:t>
      </w:r>
      <w:r>
        <w:rPr>
          <w:rFonts w:ascii="Arial" w:cs="Arial" w:eastAsia="Arial" w:hAnsi="Arial"/>
          <w:sz w:val="18"/>
          <w:szCs w:val="18"/>
          <w:b w:val="1"/>
          <w:bCs w:val="1"/>
          <w:color w:val="auto"/>
        </w:rPr>
        <w:t xml:space="preserve"> </w:t>
      </w:r>
      <w:r>
        <w:rPr>
          <w:rFonts w:ascii="Arial" w:cs="Arial" w:eastAsia="Arial" w:hAnsi="Arial"/>
          <w:sz w:val="18"/>
          <w:szCs w:val="18"/>
          <w:color w:val="auto"/>
        </w:rPr>
        <w:t>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8. Commitments, Guarantees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U.S. Water Services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Other businesses.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estimated market prices for PSAs that were assumed during the acquisition of various wind energy facilities.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upon transfer of control of promised goods or services to our customers in an amount that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15 non-affiliated municipal customers in Minnesota under long-term wholesale electric contracts. All wholesale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include a termination clause requiring a three-year notice to terminate. These contracts have termination dates ranging through 2037, with a majority of contracts effective through 2029. Performance obligations with these customers are satisfied at the time energy is delivered to an agreed upon municipal substation or meter.</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Industrial </w:t>
      </w:r>
      <w:r>
        <w:rPr>
          <w:rFonts w:ascii="Arial" w:cs="Arial" w:eastAsia="Arial" w:hAnsi="Arial"/>
          <w:sz w:val="17"/>
          <w:szCs w:val="17"/>
          <w:color w:val="auto"/>
        </w:rPr>
        <w:t>includes sales recognized from contracts with customers in the taconite mining, paper, pulp and secondary wood products, pipeline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industries. Industrial sales accounted for approximately 47 percent of total regulated utility kWh sales for the year ended December 31, 2021. Within industrial revenue, Minnesota Power had eight Large Power Customer contracts, each serving requirements of 10 MW or more of customer load as of December 31, 2021. These contracts automatically renew past the contract term unless a four-year advanced written notice is given. Large Power Customer contracts have earliest termination dates ranging from 2025 through 2029. In January 2021, Verso Corporation provided notice of termination for its contract. Minnesota Power and Verso Corporation mutually agreed to resolve the outstanding commitments under the contract in January 2022.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$50 million per annum through 2025, $15 million in 2026, and $30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Power Suppliers </w:t>
      </w:r>
      <w:r>
        <w:rPr>
          <w:rFonts w:ascii="Arial" w:cs="Arial" w:eastAsia="Arial" w:hAnsi="Arial"/>
          <w:sz w:val="18"/>
          <w:szCs w:val="18"/>
          <w:color w:val="auto"/>
        </w:rPr>
        <w:t>includes the sale of energy under a long-term PSA with one customer as well as MISO market and liquidation sales.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this PSA is 2028. Performance obligations with these customers are satisfied at the time energy is delivered to an agreed upon delivery point defined in the contract (generally the MISO pricing node). The current contract with one customer contains variable pricing components that prevent us from estimating future minimum revenue.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CIP Financial Incentive </w:t>
      </w:r>
      <w:r>
        <w:rPr>
          <w:rFonts w:ascii="Arial" w:cs="Arial" w:eastAsia="Arial" w:hAnsi="Arial"/>
          <w:sz w:val="18"/>
          <w:szCs w:val="18"/>
          <w:color w:val="auto"/>
        </w:rPr>
        <w:t>reflects certain revenue that is a result of the achievement of certain objectives for our CIP financial incentives. This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Long-term PSA </w:t>
      </w:r>
      <w:r>
        <w:rPr>
          <w:rFonts w:ascii="Arial" w:cs="Arial" w:eastAsia="Arial" w:hAnsi="Arial"/>
          <w:sz w:val="18"/>
          <w:szCs w:val="18"/>
          <w:color w:val="auto"/>
        </w:rPr>
        <w:t>revenue includes all sales recognized under long-term contracts for production, curtailment, capacity and associated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from ALLETE Clean Energy wind energy facilities. Expiration dates of these PSAs range from 2022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 of Wind Energy Facility </w:t>
      </w:r>
      <w:r>
        <w:rPr>
          <w:rFonts w:ascii="Arial" w:cs="Arial" w:eastAsia="Arial" w:hAnsi="Arial"/>
          <w:sz w:val="18"/>
          <w:szCs w:val="18"/>
          <w:color w:val="auto"/>
        </w:rPr>
        <w:t>includes revenue recognized for the design, development, construction, and sale of a wind energy facility to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Water Services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2019, ALLETE completed the sale of U.S. Water Services. Prior to the sale, ALLETE recognized revenue under the point-in-time, contract and capital project streams. Point-in-time revenue was recognized for purchases by customers for chemicals, consumable equipment or related maintenance and repair services as the customer’s usage and needs changed over time. Contract revenue included monthly revenue from contracts with customers to provide chemicals, consumable equipment and services to meet customer needs during the contract period at a fixed monthly price. Capital Project revenue was recognized at the time of sale when equipment and other components were assembled to create a water treatment system for a customer.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92" w:lineRule="exact"/>
        <w:rPr>
          <w:sz w:val="20"/>
          <w:szCs w:val="20"/>
          <w:color w:val="auto"/>
        </w:rPr>
      </w:pPr>
    </w:p>
    <w:p>
      <w:pPr>
        <w:jc w:val="both"/>
        <w:spacing w:after="0" w:line="232" w:lineRule="exact"/>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primarily includes revenue from BNI Energy unrelated to coal, the sale of real estate from ALLETE Properties, and non</w:t>
      </w:r>
      <w:r>
        <w:rPr>
          <w:rFonts w:ascii="MS PGothic" w:cs="MS PGothic" w:eastAsia="MS PGothic" w:hAnsi="MS PGothic"/>
          <w:sz w:val="17"/>
          <w:szCs w:val="17"/>
          <w:color w:val="auto"/>
        </w:rPr>
        <w:t>‑</w:t>
      </w:r>
      <w:r>
        <w:rPr>
          <w:rFonts w:ascii="Arial" w:cs="Arial" w:eastAsia="Arial" w:hAnsi="Arial"/>
          <w:sz w:val="17"/>
          <w:szCs w:val="17"/>
          <w:color w:val="auto"/>
        </w:rPr>
        <w:t>rate base steam generation</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sold for use during production of paper and pulp. Performance obligations are satisfied when control transfers to the customer</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Payment terms and conditions vary across our businesses. Aside from taconite-producing Large Power Customers, payment terms generally require payment to be made within 15 to 30 days from the end of the period that the service has been rendered.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taconite-producing Large Power Customers receive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Recognized From the Costs to Obtain a Contract with a Customer</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as an asset the incremental costs of obtaining a contract with a customer if we expect the benefit of those costs to be longer than one year. We expense incremental costs when the asset that would have resulted from capitalizing these costs would have been amortized in one year or less. As of December 31, 2021, we have $23.3 million of assets recognized for costs incurred to obtain contracts with our customers ($25.5 million as of December 31, 2020).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$2.7 million of non-cash amortization for the year ended December 31, 2021 ($2.6 million for the year end December 31, 2020).</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Tax Equity Financings. </w:t>
      </w:r>
      <w:r>
        <w:rPr>
          <w:rFonts w:ascii="Arial" w:cs="Arial" w:eastAsia="Arial" w:hAnsi="Arial"/>
          <w:sz w:val="18"/>
          <w:szCs w:val="18"/>
          <w:color w:val="auto"/>
        </w:rPr>
        <w:t>Certain subsidiaries of ALLETE have entered into tax equity financings that include forming limited liability companies (LLC)</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third-party investors for certain wind projects. Tax equity financings have specific terms that dictate distributions of cash and the allocation of tax attributes among the LLC members, who are divided into two categories: the sponsor and third-party investors. ALLETE subsidiaries are the sponsors in these tax equity financings. The distributions of cash and allocation of tax attributes in these financings generally differ from the underlying percentage ownership interests in the related LLC, with a disproportionate share of tax attributes (including accelerated depreciation and production tax credits) allocated to third-party investors in order to achieve targeted after-tax rates of return, or target yield, from project operations, and a disproportionate share of cash distributions made to the sponsor.</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target yield and other terms vary by tax equity financing. Once the target yield has been achieved, a “flip point” is recognized. In addition, tax equity financings typically provide that cash distributions can be temporarily increased to the third-party investors in order to meet cumulative distribution thresholds. After the flip point, tax attributes and cash distributions are both typically disproportionately allocated to the sponsor.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 equity financings include affirmative and negative covenants that are similar to what a project lender would require in a project financing, such as financial reporting, insurance, maintenance and prudent operator standards. Most covenants are no longer applicable once the flip point occurs and any other obligations of the third-party investor have been eliminated.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third-party investors’ portions of equity ownership in tax equity LLCs are recorded as non-controlling interest in subsidiaries on the Consolidated Balance Sheet and earnings allocated to third-party investors are recorded as net loss attributable to non-controlling interest on the Consolidated Statement of Income.</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Non-Controlling Interest in Subsidiaries. </w:t>
      </w:r>
      <w:r>
        <w:rPr>
          <w:rFonts w:ascii="Arial" w:cs="Arial" w:eastAsia="Arial" w:hAnsi="Arial"/>
          <w:sz w:val="17"/>
          <w:szCs w:val="17"/>
          <w:color w:val="auto"/>
        </w:rPr>
        <w:t>Non-controlling interest in subsidiaries represents the portion of equity ownership, net income (loss),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in subsidiaries that is not attributable to equity holders of ALLETE. These amounts as of and for the years ended December 31, 2021 and 2020, related to the tax equity financings for ALLETE Clean Energy’s 106 MW Glen Ullin, 80 MW South Peak, 303 MW Diamond Spring and 303 MW Caddo wind energy facilities as well as ALLETE’s equity investment in the 250 MW Nobles 2 wind energy facility.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those wind projects with tax equity financings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Subsidiaries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HLBV method, amounts reported as non-controlling interest in subsidiaries on the Consolidated Balance Sheet represent the amounts the third-party investors would hypothetically receive at each balance sheet reporting date under the liquidation provisions of the LLC agreements, assuming the net assets of the wind projects were liquidated at amounts determined in accordance with GAAP and distributed to the third-party investor and sponsor. The resulting non-controlling interest in subsidiaries balance in these projects is reported as a component of equity on the Consolidated Balance Sheet.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operations for these projects attributable to non-controlling interest under the HLBV method is determined as the difference in non-controlling interest in subsidiaries on the Consolidated Balance Sheet at the start and end of each reporting period, after taking into account any capital transactions between the projects and the third-party investors.</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Factors used in the HLBV calculation include GAAP income, taxable income (loss), tax attributes such as accelerated depreciation and production tax credits, capital contributions, cash distributions, and the target yield specified in the corresponding LLC agreement.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 Other</w:t>
            </w:r>
          </w:p>
        </w:tc>
        <w:tc>
          <w:tcPr>
            <w:tcW w:w="2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0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2021</w:t>
            </w:r>
          </w:p>
        </w:tc>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 </w:t>
            </w:r>
            <w:r>
              <w:rPr>
                <w:rFonts w:ascii="Arial" w:cs="Arial" w:eastAsia="Arial" w:hAnsi="Arial"/>
                <w:sz w:val="16"/>
                <w:szCs w:val="16"/>
                <w:i w:val="1"/>
                <w:iCs w:val="1"/>
                <w:color w:val="auto"/>
              </w:rPr>
              <w:t>(a)</w:t>
            </w:r>
          </w:p>
        </w:tc>
        <w:tc>
          <w:tcPr>
            <w:tcW w:w="2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$6.1</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Interest and Investment Earnings</w:t>
            </w:r>
          </w:p>
        </w:tc>
        <w:tc>
          <w:tcPr>
            <w:tcW w:w="230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3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14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Gain on Land Sales</w:t>
            </w:r>
          </w:p>
        </w:tc>
        <w:tc>
          <w:tcPr>
            <w:tcW w:w="230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44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00" w:type="dxa"/>
            <w:vAlign w:val="bottom"/>
            <w:tcBorders>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(2.4)</w:t>
            </w:r>
          </w:p>
        </w:tc>
        <w:tc>
          <w:tcPr>
            <w:tcW w:w="14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Income (Expense) - Other</w:t>
            </w:r>
          </w:p>
        </w:tc>
        <w:tc>
          <w:tcPr>
            <w:tcW w:w="2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$8.7</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$14.7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bl>
    <w:p>
      <w:pPr>
        <w:spacing w:after="0" w:line="85" w:lineRule="exact"/>
        <w:rPr>
          <w:sz w:val="20"/>
          <w:szCs w:val="20"/>
          <w:color w:val="auto"/>
        </w:rPr>
      </w:pPr>
    </w:p>
    <w:p>
      <w:pPr>
        <w:ind w:left="340" w:right="20" w:hanging="332"/>
        <w:spacing w:after="0" w:line="275"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11. Pension and Other Postretirement Benefit Plans.)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Federal investment tax credits have been recorded as deferred credits and are being amortized to income tax expense over the service lives of the related property. In accordance with GAAP for uncertainty in income taxes, we are required to recognize in our financial statements the largest tax benefit of a tax position that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to be sustained on audit, based solely on the technical merits of the position as of the reporting date. The term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means more than 50 percent likely. (See Note 10. Income Tax Expense.)</w:t>
      </w:r>
    </w:p>
    <w:p>
      <w:pPr>
        <w:spacing w:after="0" w:line="228"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Excise Taxes. </w:t>
      </w:r>
      <w:r>
        <w:rPr>
          <w:rFonts w:ascii="Arial" w:cs="Arial" w:eastAsia="Arial" w:hAnsi="Arial"/>
          <w:sz w:val="16"/>
          <w:szCs w:val="16"/>
          <w:color w:val="auto"/>
        </w:rPr>
        <w:t>We collect excise taxes from our customers levied by governmental entities. These taxes are stated separately on the billing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and recorded as a liability to be remitted to the governmental entity. We account for the collection and payment of these taxes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3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5"/>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$5,028.7</w:t>
            </w:r>
          </w:p>
        </w:tc>
        <w:tc>
          <w:tcPr>
            <w:tcW w:w="1160" w:type="dxa"/>
            <w:vAlign w:val="bottom"/>
          </w:tcPr>
          <w:p>
            <w:pPr>
              <w:jc w:val="right"/>
              <w:spacing w:after="0"/>
              <w:rPr>
                <w:sz w:val="20"/>
                <w:szCs w:val="20"/>
                <w:color w:val="auto"/>
              </w:rPr>
            </w:pPr>
            <w:r>
              <w:rPr>
                <w:rFonts w:ascii="Arial" w:cs="Arial" w:eastAsia="Arial" w:hAnsi="Arial"/>
                <w:sz w:val="18"/>
                <w:szCs w:val="18"/>
                <w:color w:val="auto"/>
              </w:rPr>
              <w:t>$4,972.3</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108.7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0"/>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(1,834.6)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(1,758.0)</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Regulated Operations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3,302.8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3,293.7</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ALLETE Clean Energy</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1,716.9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79.9</w:t>
            </w:r>
          </w:p>
        </w:tc>
        <w:tc>
          <w:tcPr>
            <w:tcW w:w="1160" w:type="dxa"/>
            <w:vAlign w:val="bottom"/>
          </w:tcPr>
          <w:p>
            <w:pPr>
              <w:jc w:val="right"/>
              <w:spacing w:after="0"/>
              <w:rPr>
                <w:sz w:val="20"/>
                <w:szCs w:val="20"/>
                <w:color w:val="auto"/>
              </w:rPr>
            </w:pPr>
            <w:r>
              <w:rPr>
                <w:rFonts w:ascii="Arial" w:cs="Arial" w:eastAsia="Arial" w:hAnsi="Arial"/>
                <w:sz w:val="18"/>
                <w:szCs w:val="18"/>
                <w:color w:val="auto"/>
              </w:rPr>
              <w:t>261.0</w:t>
            </w:r>
          </w:p>
        </w:tc>
      </w:tr>
      <w:tr>
        <w:trPr>
          <w:trHeight w:val="230"/>
        </w:trPr>
        <w:tc>
          <w:tcPr>
            <w:tcW w:w="6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(149.0)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3"/>
        </w:trPr>
        <w:tc>
          <w:tcPr>
            <w:tcW w:w="6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ALLETE Clean Energy – Net</w:t>
            </w:r>
          </w:p>
        </w:tc>
        <w:tc>
          <w:tcPr>
            <w:tcW w:w="3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1,647.8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1,423.5</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267.1</w:t>
            </w:r>
          </w:p>
        </w:tc>
        <w:tc>
          <w:tcPr>
            <w:tcW w:w="1160" w:type="dxa"/>
            <w:vAlign w:val="bottom"/>
          </w:tcPr>
          <w:p>
            <w:pPr>
              <w:jc w:val="right"/>
              <w:spacing w:after="0"/>
              <w:rPr>
                <w:sz w:val="20"/>
                <w:szCs w:val="20"/>
                <w:color w:val="auto"/>
              </w:rPr>
            </w:pPr>
            <w:r>
              <w:rPr>
                <w:rFonts w:ascii="Arial" w:cs="Arial" w:eastAsia="Arial" w:hAnsi="Arial"/>
                <w:sz w:val="18"/>
                <w:szCs w:val="18"/>
                <w:color w:val="auto"/>
              </w:rPr>
              <w:t>240.5</w:t>
            </w:r>
          </w:p>
        </w:tc>
      </w:tr>
      <w:tr>
        <w:trPr>
          <w:trHeight w:val="230"/>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19.8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(137.3)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149.6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2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Plant and Equipment – Net</w:t>
            </w:r>
          </w:p>
        </w:tc>
        <w:tc>
          <w:tcPr>
            <w:tcW w:w="3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$5,100.2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$4,840.8</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Primarily includes BNI Energy and a small amount of non-rate base generation.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Estimated Useful Lives of Property, Plant and Equipment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Regulated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160"/>
              <w:spacing w:after="0"/>
              <w:rPr>
                <w:sz w:val="20"/>
                <w:szCs w:val="20"/>
                <w:color w:val="auto"/>
              </w:rPr>
            </w:pPr>
            <w:r>
              <w:rPr>
                <w:rFonts w:ascii="Arial" w:cs="Arial" w:eastAsia="Arial" w:hAnsi="Arial"/>
                <w:sz w:val="18"/>
                <w:szCs w:val="18"/>
                <w:color w:val="auto"/>
              </w:rPr>
              <w:t>Generation</w:t>
            </w:r>
          </w:p>
        </w:tc>
        <w:tc>
          <w:tcPr>
            <w:tcW w:w="2660" w:type="dxa"/>
            <w:vAlign w:val="bottom"/>
          </w:tcPr>
          <w:p>
            <w:pPr>
              <w:jc w:val="right"/>
              <w:ind w:right="1150"/>
              <w:spacing w:after="0"/>
              <w:rPr>
                <w:sz w:val="20"/>
                <w:szCs w:val="20"/>
                <w:color w:val="auto"/>
              </w:rPr>
            </w:pPr>
            <w:r>
              <w:rPr>
                <w:rFonts w:ascii="Arial" w:cs="Arial" w:eastAsia="Arial" w:hAnsi="Arial"/>
                <w:sz w:val="18"/>
                <w:szCs w:val="18"/>
                <w:color w:val="auto"/>
              </w:rPr>
              <w:t>2 to 50</w:t>
            </w:r>
          </w:p>
        </w:tc>
        <w:tc>
          <w:tcPr>
            <w:tcW w:w="3640" w:type="dxa"/>
            <w:vAlign w:val="bottom"/>
          </w:tcPr>
          <w:p>
            <w:pPr>
              <w:ind w:left="1220"/>
              <w:spacing w:after="0"/>
              <w:rPr>
                <w:sz w:val="20"/>
                <w:szCs w:val="20"/>
                <w:color w:val="auto"/>
              </w:rPr>
            </w:pPr>
            <w:r>
              <w:rPr>
                <w:rFonts w:ascii="Arial" w:cs="Arial" w:eastAsia="Arial" w:hAnsi="Arial"/>
                <w:sz w:val="18"/>
                <w:szCs w:val="18"/>
                <w:color w:val="auto"/>
              </w:rPr>
              <w:t>ALLETE Clean Energy</w:t>
            </w:r>
          </w:p>
        </w:tc>
        <w:tc>
          <w:tcPr>
            <w:tcW w:w="2960" w:type="dxa"/>
            <w:vAlign w:val="bottom"/>
          </w:tcPr>
          <w:p>
            <w:pPr>
              <w:ind w:left="740"/>
              <w:spacing w:after="0"/>
              <w:rPr>
                <w:sz w:val="20"/>
                <w:szCs w:val="20"/>
                <w:color w:val="auto"/>
              </w:rPr>
            </w:pPr>
            <w:r>
              <w:rPr>
                <w:rFonts w:ascii="Arial" w:cs="Arial" w:eastAsia="Arial" w:hAnsi="Arial"/>
                <w:sz w:val="18"/>
                <w:szCs w:val="18"/>
                <w:color w:val="auto"/>
              </w:rPr>
              <w:t>5 to 35</w:t>
            </w:r>
          </w:p>
        </w:tc>
      </w:tr>
      <w:tr>
        <w:trPr>
          <w:trHeight w:val="229"/>
        </w:trPr>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6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50 to 75</w:t>
            </w:r>
          </w:p>
        </w:tc>
        <w:tc>
          <w:tcPr>
            <w:tcW w:w="3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Corporate and Other</w:t>
            </w:r>
          </w:p>
        </w:tc>
        <w:tc>
          <w:tcPr>
            <w:tcW w:w="2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 to 50</w:t>
            </w:r>
          </w:p>
        </w:tc>
      </w:tr>
      <w:tr>
        <w:trPr>
          <w:trHeight w:val="230"/>
        </w:trPr>
        <w:tc>
          <w:tcPr>
            <w:tcW w:w="1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Distribution</w:t>
            </w:r>
          </w:p>
        </w:tc>
        <w:tc>
          <w:tcPr>
            <w:tcW w:w="26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18 to 70</w:t>
            </w:r>
          </w:p>
        </w:tc>
        <w:tc>
          <w:tcPr>
            <w:tcW w:w="36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52"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 Retirement Obligations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580" w:type="dxa"/>
            <w:vAlign w:val="bottom"/>
            <w:tcBorders>
              <w:top w:val="single" w:sz="8" w:color="auto"/>
            </w:tcBorders>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 as of December 31, 2019</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Recognized</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45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Revisions in Estimated Cash Flows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Obligation as of December 31, 2020</w:t>
            </w:r>
          </w:p>
        </w:tc>
        <w:tc>
          <w:tcPr>
            <w:tcW w:w="458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Liabilities Recognized</w:t>
            </w:r>
          </w:p>
        </w:tc>
        <w:tc>
          <w:tcPr>
            <w:tcW w:w="45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Revisions in Estimated Cash Flows</w:t>
            </w:r>
          </w:p>
        </w:tc>
        <w:tc>
          <w:tcPr>
            <w:tcW w:w="4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Obligation as of December 31, 2021</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ASSETS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Boswell Unit 4. </w:t>
      </w:r>
      <w:r>
        <w:rPr>
          <w:rFonts w:ascii="Arial" w:cs="Arial" w:eastAsia="Arial" w:hAnsi="Arial"/>
          <w:sz w:val="16"/>
          <w:szCs w:val="16"/>
          <w:color w:val="auto"/>
        </w:rPr>
        <w:t>Minnesota Power owns 80 percent of the 585 MW Boswell Unit 4. While Minnesota Power operates the plant, certain decisions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NOTE 3. JOINTLY-OWNED FACILITIES AND ASSETS (Continued)</w:t>
            </w:r>
          </w:p>
        </w:tc>
        <w:tc>
          <w:tcPr>
            <w:tcW w:w="15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20" w:type="dxa"/>
            <w:vAlign w:val="bottom"/>
            <w:gridSpan w:val="4"/>
          </w:tcPr>
          <w:p>
            <w:pPr>
              <w:spacing w:after="0"/>
              <w:rPr>
                <w:sz w:val="20"/>
                <w:szCs w:val="20"/>
                <w:color w:val="auto"/>
              </w:rPr>
            </w:pPr>
            <w:r>
              <w:rPr>
                <w:rFonts w:ascii="Arial" w:cs="Arial" w:eastAsia="Arial" w:hAnsi="Arial"/>
                <w:sz w:val="18"/>
                <w:szCs w:val="18"/>
                <w:color w:val="auto"/>
                <w:w w:val="99"/>
              </w:rPr>
              <w:t>Minnesota Power’s investments in jointly-owned facilities and assets and the related ownership percentages are as follows: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Regulated Utility Plant</w:t>
            </w:r>
          </w:p>
        </w:tc>
        <w:tc>
          <w:tcPr>
            <w:tcW w:w="2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Plant in Service</w:t>
            </w: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Accumulated</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Construction Work in</w:t>
            </w:r>
          </w:p>
        </w:tc>
        <w:tc>
          <w:tcPr>
            <w:tcW w:w="13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Ownership</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290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Depreciation</w:t>
            </w:r>
          </w:p>
        </w:tc>
        <w:tc>
          <w:tcPr>
            <w:tcW w:w="1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Boswell Unit 4</w:t>
            </w: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$682.7</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$311.1</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Transmission Assets</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9.3 - 14.7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$783.7</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$329.6</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2020</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Boswell Unit 4</w:t>
            </w: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$663.8</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$288.8</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Transmission Assets</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9.3 - 14.7</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$764.8</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$304.8</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$15.0</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REGULATORY MATTERS</w:t>
      </w:r>
    </w:p>
    <w:p>
      <w:pPr>
        <w:spacing w:after="0" w:line="252"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PSCW or FERC. As authorized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MPUC, Minnesota Power also recognizes revenue under cost recovery riders for transmission, renewable and environmental investments and expenditures. (See </w:t>
      </w:r>
      <w:r>
        <w:rPr>
          <w:rFonts w:ascii="Arial" w:cs="Arial" w:eastAsia="Arial" w:hAnsi="Arial"/>
          <w:sz w:val="17"/>
          <w:szCs w:val="17"/>
          <w:i w:val="1"/>
          <w:iCs w:val="1"/>
          <w:color w:val="auto"/>
        </w:rPr>
        <w:t>Transmission Cost Recovery Rider, Renewable Cost Recovery Rider, Solar Cost Recovery Rider</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Revenue from cost recovery riders was $38.9 million in 2021 ($29.9 million in 2020; $31.8 million in 2019).</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2020 Minnesota General Rate Case. </w:t>
      </w:r>
      <w:r>
        <w:rPr>
          <w:rFonts w:ascii="Arial" w:cs="Arial" w:eastAsia="Arial" w:hAnsi="Arial"/>
          <w:sz w:val="17"/>
          <w:szCs w:val="17"/>
          <w:color w:val="auto"/>
        </w:rPr>
        <w:t>In November 2019, Minnesota Power filed a retail rate increase request with the MPUC seeking an average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approximately 10.6 percent for retail customers. The rate filing sought a return on equity of 10.05 percent and a 53.81 percent equity ratio. On an annualized basis, the requested final rate increase would have generated approximately $66 million in additional revenue. In December 2019 orders, the MPUC accepted the filing as complete and authorized an annual interim rate increase of $36.1 million beginning January 1, 2020.</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will be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Power Land Sales</w:t>
      </w:r>
      <w:r>
        <w:rPr>
          <w:rFonts w:ascii="Arial" w:cs="Arial" w:eastAsia="Arial" w:hAnsi="Arial"/>
          <w:sz w:val="18"/>
          <w:szCs w:val="18"/>
          <w:color w:val="auto"/>
        </w:rPr>
        <w:t>. 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wholesale contracts with 15 non-affiliated municipal customers in Minnesota and SWL&amp;P. Three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wholesale contracts include a termination clause requiring a three-year notice to terminate.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 with the Nashwauk Public Utilities Commission was extended in October 2020 and is effective through December 31, 2037. The wholesale electric service contract with SWL&amp;P is effective through February 28, 2025.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Minnesota Power’s wholesale electric contracts with 13 other municipal customers were extended in January 2022 and are effective through 2029. These contracts are based on fixed prices for capacity and energy. The base energy charge for each year is adjusted annually for updated fuel and purchased power costs. The wholesale electric contract with one other municipal customer is effective through 2024. The capacity charge is determined using a cost-based formula methodology with limits on the annual change from the previous year’s capacity charge. The base energy charge for each year of the contract term is set each January 1, subject to monthly adjustment, and is determined using a cost-based formula methodology.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Transmission Cost Recovery Rider</w:t>
      </w:r>
      <w:r>
        <w:rPr>
          <w:rFonts w:ascii="Arial" w:cs="Arial" w:eastAsia="Arial" w:hAnsi="Arial"/>
          <w:sz w:val="18"/>
          <w:szCs w:val="18"/>
          <w:color w:val="auto"/>
        </w:rPr>
        <w:t>. Minnesota Power has an approved cost recovery rider in place to charge retail customers on a current basis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investments and expenditures, including a return on the capital invested. Current customer billing rates are based on a December 2020 order. In December 2020, Minnesota Power filed a petition seeking MPUC approval to update customer billing rates for additional investments made for the GNTL. On December 28, 2021, Minnesota Power submitted its annual factor filing seeking MPUC approval to further update customer billing rates under the transmission cost recovery rider.</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Minnesota Power has an approved cost recovery rider in place to charge retail customers on a current basis for the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renewable investments and expenditures, including a return on the capital invested. Current customer billing rates for the renewable cost recovery rider were approved by the MPUC in a December 2020 order. On February 2, 2022, Minnesota Power submitted its 2022 renewable factor filing. Upon approval of the filing, Minnesota Power will be authorized to include updated billing rates on customer bills.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Solar Cost Recovery Rider</w:t>
      </w:r>
      <w:r>
        <w:rPr>
          <w:rFonts w:ascii="Arial" w:cs="Arial" w:eastAsia="Arial" w:hAnsi="Arial"/>
          <w:sz w:val="17"/>
          <w:szCs w:val="17"/>
          <w:color w:val="auto"/>
        </w:rPr>
        <w:t>. In June 2020, Minnesota Power filed a petition seeking MPUC approval of a customer billing rate for solar costs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expenditures for meeting the state of Minnesota’s solar energy standard, which was approved by the MPUC in an order dated April 20, 2021. New customer billing rates for the solar cost recovery rider were implemented on June 1, 2021. On October 21, 2021, Minnesota Power submitted its 2022 solar factor filing. Upon approval of the filing, Minnesota Power will be authorized to include updated billing rates on customer bills.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Environmental Improvement Rider</w:t>
      </w:r>
      <w:r>
        <w:rPr>
          <w:rFonts w:ascii="Arial" w:cs="Arial" w:eastAsia="Arial" w:hAnsi="Arial"/>
          <w:sz w:val="18"/>
          <w:szCs w:val="18"/>
          <w:color w:val="auto"/>
        </w:rPr>
        <w:t>. Minnesota Power has an approved environmental improvement rider for investments and expenditures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the Boswell Unit 4 mercury emissions reduction plan completed in 2015. Updated customer billing rates for the environmental improvement rider were approved by the MPUC in a November 2018 order. On January 19, 2021, Minnesota Power filed a petition seeking MPUC approval to end the environmental improvement rider, which was approved in an order dated April 20, 2021. The environmental improvement rider ended effective October 1, 2021.</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Electric Vehicle Charging Infrastructure Petition</w:t>
      </w:r>
      <w:r>
        <w:rPr>
          <w:rFonts w:ascii="Arial" w:cs="Arial" w:eastAsia="Arial" w:hAnsi="Arial"/>
          <w:sz w:val="18"/>
          <w:szCs w:val="18"/>
          <w:color w:val="auto"/>
        </w:rPr>
        <w:t>. On April 8, 2021, Minnesota Power filed a petition seeking approval to install and own DC fast charger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for electric vehicles across its service territory, implement accompanying rates for those stations, and track and recover investments and expenses for the project. In an order dated October 22, 2021, the MPUC approved Minnesota Power’s petition.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Fuel Adjustment Clause</w:t>
      </w:r>
      <w:r>
        <w:rPr>
          <w:rFonts w:ascii="Arial" w:cs="Arial" w:eastAsia="Arial" w:hAnsi="Arial"/>
          <w:sz w:val="16"/>
          <w:szCs w:val="16"/>
          <w:color w:val="auto"/>
        </w:rPr>
        <w:t>. The costs of fuel and related transportation costs for Minnesota Power’s generation as well as costs of purchased power for</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Power are recoverable from Minnesota Power’s utility retail customers through the fuel adjustment clause (FAC). The FAC for Minnesota electric utilities is a monthly budgeted, forward-looking process with annual prudence review and true-up to actual allowed costs. In May 2020, Minnesota Power filed its fuel adjustment forecast for 2021, which was approved by the MPUC in a December 2020 order, subject to the annual prudence review and true-up filing in 2022. During 2021, Minnesota Power incurred higher fuel and purchased power costs than those forecasted in its May 2020 filing, which resulted in the recognition of an approximately $56 million regulatory asset as of December 31, 2021. Minnesota Power will make its annual true-up filing and a significant events filing in March 2022 requesting recovery of these under-collected fuel adjustment clause recoveries.</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2020, Minnesota Power filed its FAC report covering the period July 2018 through December 2019. In a September 2020 order, the MPUC referred the review of Minnesota Power’s forced outage costs during the period of the report, which totaled approximately $8 million, to an administrative law judge (ALJ) for a contested case hearing to recommend to the MPUC if any of those costs should be returned to customers. On August 11, 2021, the ALJ recommended that Minnesota Power refund approximately $5 million to ratepayers. Minnesota Power submitted exceptions to the ALJ’s report to the MPUC stating that it disagreed with the ALJ’s recommendation and that no refund should be made as the Company operated its facilities in accordance with good utility practice. At a hearing on January 13, 2022, the MPUC agreed with the ALJ’s recommendation and ordered the refund of approximately $5 million to ratepayers, which was recorded as a reserve as of December 31, 2021.</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COVID-19 Related Deferred Accounting</w:t>
      </w:r>
      <w:r>
        <w:rPr>
          <w:rFonts w:ascii="Arial" w:cs="Arial" w:eastAsia="Arial" w:hAnsi="Arial"/>
          <w:sz w:val="16"/>
          <w:szCs w:val="16"/>
          <w:color w:val="auto"/>
        </w:rPr>
        <w:t>. In a March 2020 order, the PSCW authorized public utilities, including SWL&amp;P, to defer expenditures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utility resulting from its compliance with state government or regulator orders during Wisconsin’s declared public health emergency for COVID-</w:t>
      </w:r>
    </w:p>
    <w:p>
      <w:pPr>
        <w:jc w:val="both"/>
        <w:ind w:firstLine="8"/>
        <w:spacing w:after="0" w:line="277" w:lineRule="auto"/>
        <w:tabs>
          <w:tab w:leader="none" w:pos="2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a May 2020 order, the MPUC required Minnesota Power along with other regulated electric and natural gas service providers in Minnesota to track cost and revenue impacts resulting from the COVID-19 pandemic with review for recovery in a future rate proceeding. As of December 31, 2021, Minnesota Power has not deferred any costs or lost revenue, and SWL&amp;P has deferred an immaterial amount of costs.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submitted a petition in November 2020 to the MPUC requesting authority to track and record as a regulatory asset lost large industrial customer revenue resulting from the idling of USS Corporation’s Keetac plant and Verso Corporation’s paper mill in Duluth, Minnesota. In an order dated May 13, 2021, the MPUC denied Minnesota Power’s request.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2018 Wisconsin General Rate Case. </w:t>
      </w:r>
      <w:r>
        <w:rPr>
          <w:rFonts w:ascii="Arial" w:cs="Arial" w:eastAsia="Arial" w:hAnsi="Arial"/>
          <w:sz w:val="18"/>
          <w:szCs w:val="18"/>
          <w:color w:val="auto"/>
        </w:rPr>
        <w:t>SWL&amp;P’s current retail rates are based on a December 2018 order by the PSCW that allows for a return on equity of</w:t>
      </w:r>
      <w:r>
        <w:rPr>
          <w:rFonts w:ascii="Arial" w:cs="Arial" w:eastAsia="Arial" w:hAnsi="Arial"/>
          <w:sz w:val="18"/>
          <w:szCs w:val="18"/>
          <w:i w:val="1"/>
          <w:iCs w:val="1"/>
          <w:color w:val="auto"/>
        </w:rPr>
        <w:t xml:space="preserve"> </w:t>
      </w:r>
      <w:r>
        <w:rPr>
          <w:rFonts w:ascii="Arial" w:cs="Arial" w:eastAsia="Arial" w:hAnsi="Arial"/>
          <w:sz w:val="18"/>
          <w:szCs w:val="18"/>
          <w:color w:val="auto"/>
        </w:rPr>
        <w:t>10.4 percent and a 55.0 percent equity ratio. The PSCW had directed SWL&amp;P to file its next general rate case in 2020; however, the PSCW granted an extension request made by SWL&amp;P to delay filing its next general rate case until on or before December 20, 2022. SWL&amp;P requested the extension primarily due to impacts of the COVID-19 pandemic.</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Integrated Resource Plan. </w:t>
      </w:r>
      <w:r>
        <w:rPr>
          <w:rFonts w:ascii="Arial" w:cs="Arial" w:eastAsia="Arial" w:hAnsi="Arial"/>
          <w:sz w:val="18"/>
          <w:szCs w:val="18"/>
          <w:color w:val="auto"/>
        </w:rPr>
        <w:t>In a 2016 order, the MPUC approved Minnesota Power’s 2015 IRP with modifications. The order accepted Minnesota Power’s</w:t>
      </w:r>
      <w:r>
        <w:rPr>
          <w:rFonts w:ascii="Arial" w:cs="Arial" w:eastAsia="Arial" w:hAnsi="Arial"/>
          <w:sz w:val="18"/>
          <w:szCs w:val="18"/>
          <w:b w:val="1"/>
          <w:bCs w:val="1"/>
          <w:color w:val="auto"/>
        </w:rPr>
        <w:t xml:space="preserve"> </w:t>
      </w:r>
      <w:r>
        <w:rPr>
          <w:rFonts w:ascii="Arial" w:cs="Arial" w:eastAsia="Arial" w:hAnsi="Arial"/>
          <w:sz w:val="18"/>
          <w:szCs w:val="18"/>
          <w:color w:val="auto"/>
        </w:rPr>
        <w:t>plans for the economic idling of Taconite Harbor Units 1 and 2 and the ceasing of coal-fired operations at Taconite Harbor in 2020, directed Minnesota Power to retire Boswell Units 1 and 2, required an analysis of generation and demand response alternatives to be filed with a natural gas resource proposal, and required Minnesota Power to conduct requests for proposal for additional wind, solar and demand response resource additions. Minnesota Power retired Boswell Units 1 and 2 in the fourth quarter of 2018.</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with the MPUC, which outlines its clean-energy transition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2035. These plans include expanding its renewable energy supply, achieving coal-free operations at its facilities by 2035, and investing in a resilient and flexible transmission and distribution grid. As part of these plans, Minnesota Power anticipates adding approximately 400 MW of new wind and solar energy resources, retiring Boswell Unit 3 by 2030 and transforming Boswell Unit 4 to be coal-free by 2035. Minnesota Power’s plans recognize that advances in technology will play a significant role in completing its transition to carbon-free energy supply, reliably and affordably. A final decision on the IRP is expected in the second half of 2022.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Nemadji Trail Energy Center. </w:t>
      </w:r>
      <w:r>
        <w:rPr>
          <w:rFonts w:ascii="Arial" w:cs="Arial" w:eastAsia="Arial" w:hAnsi="Arial"/>
          <w:sz w:val="16"/>
          <w:szCs w:val="16"/>
          <w:color w:val="auto"/>
        </w:rPr>
        <w:t>In 2017, Minnesota Power submitted a resource package to the MPUC which included requesting approval of a natural gas</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dedication and other affiliated-interest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2025 pursuant to the capacity dedication agreement. (See Note 1. Operations and Significant Accounting Policies.) In a January 2019 order, the MPUC approved Minnesota Power’s request for approval of the NTEC natural gas capacity dedication and other affiliated-interest agreements. In 2019, the Minnesota Court of Appeals reversed and remanded the MPUC’s decision to approve certain affiliated-interest agreements. On April 21, 2021, the Minnesota Supreme Court reversed the Minnesota Court of Appeal’s decision by ruling that the MPUC is not required to conduct a review under the Minnesota Environmental Policy Act before approving affiliated-interest agreements that govern construction and operation of a Wisconsin power plant by a Minnesota utility, and remanded the case back to the Minnesota Court of Appeals for review of remaining issues on appeal. On August 23, 2021, the Minnesota Court of Appeals affirmed the decision by the MPUC to approve certain affiliated-interest agreements.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Minnesota requires electric utilities to spend a minimum of 1.5 percent of gross operating revenues,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received from exempt customers, from service provided in the state on energy CIPs each year.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1, 2021, Minnesota Power submitted its 2020 consolidated filing detailing Minnesota Power’s CIP program results and requesting a CIP financial incentive of $2.4 million based upon MPUC procedures, which was recognized in the third quarter of 2021 upon approval by the MPUC in an order dated September 7, 2021. In 2020, a CIP financial incentive of $2.4 million was recognized in the third quarter upon approval by the MPUC of Minnesota Power’s 2019 CIP consolidated filing. CIP financial incentives are recognized in the period in which the MPUC approves the filing.</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Minnesota Power submitted its CIP triennial filing for 2021 through 2023 to the MPUC and Minnesota Department of Commerce, which outlines Minnesota Power’s CIP spending and energy-saving goals for those years. Minnesota Power’s CIP investment goals are $10.7 million for 2022 and $10.9 million for 2023.</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MISO Return on Equity Complaint. </w:t>
      </w:r>
      <w:r>
        <w:rPr>
          <w:rFonts w:ascii="Arial" w:cs="Arial" w:eastAsia="Arial" w:hAnsi="Arial"/>
          <w:sz w:val="16"/>
          <w:szCs w:val="16"/>
          <w:color w:val="auto"/>
        </w:rPr>
        <w:t>MISO transmission owners, including ALLETE and ATC, have an authorized return on equity of 10.02 percent, or</w:t>
      </w:r>
      <w:r>
        <w:rPr>
          <w:rFonts w:ascii="Arial" w:cs="Arial" w:eastAsia="Arial" w:hAnsi="Arial"/>
          <w:sz w:val="16"/>
          <w:szCs w:val="16"/>
          <w:b w:val="1"/>
          <w:bCs w:val="1"/>
          <w:color w:val="auto"/>
        </w:rPr>
        <w:t xml:space="preserve"> </w:t>
      </w:r>
      <w:r>
        <w:rPr>
          <w:rFonts w:ascii="Arial" w:cs="Arial" w:eastAsia="Arial" w:hAnsi="Arial"/>
          <w:sz w:val="16"/>
          <w:szCs w:val="16"/>
          <w:color w:val="auto"/>
        </w:rPr>
        <w:t>10.52 percent including an incentive adder for participation in a regional transmission organization based on a 2020 FERC order that granted rehearing of a 2019 FERC order. These FERC orders are subject to various outstanding legal challenges related to the refund period ordered by the FERC.</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the MPUC issued a notice requesting all regulated gas and electric utilities provide a list of all ongoing, planned, or possible investments that support Minnesota’s energy policy objectives and aid economic recovery in Minnesota, among other items. In June 2020, Minnesota Power filed proposal with the MPUC to accelerate its plans for purchasing solar energy from approximately 20 MW of solar energy projects in Minnesota which was approved in a June 2021 order. These solar energy projects will be constructed and owned through an ALLETE subsidiary with an estimated investment of $40 million. Construction of these solar energy projects is expected to commence in 2022.</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standards for the effects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30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2"/>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30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(a)</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$226.4</w:t>
            </w:r>
          </w:p>
        </w:tc>
        <w:tc>
          <w:tcPr>
            <w:tcW w:w="960" w:type="dxa"/>
            <w:vAlign w:val="bottom"/>
          </w:tcPr>
          <w:p>
            <w:pPr>
              <w:jc w:val="right"/>
              <w:spacing w:after="0"/>
              <w:rPr>
                <w:sz w:val="20"/>
                <w:szCs w:val="20"/>
                <w:color w:val="auto"/>
              </w:rPr>
            </w:pPr>
            <w:r>
              <w:rPr>
                <w:rFonts w:ascii="Arial" w:cs="Arial" w:eastAsia="Arial" w:hAnsi="Arial"/>
                <w:sz w:val="18"/>
                <w:szCs w:val="18"/>
                <w:color w:val="auto"/>
              </w:rPr>
              <w:t>$259.7</w:t>
            </w: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(b)</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(c)</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63.2</w:t>
            </w: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(d)</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(e)</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33.1</w:t>
            </w:r>
          </w:p>
        </w:tc>
        <w:tc>
          <w:tcPr>
            <w:tcW w:w="9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(f)</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Conservation Improvement Program </w:t>
            </w:r>
            <w:r>
              <w:rPr>
                <w:rFonts w:ascii="Arial" w:cs="Arial" w:eastAsia="Arial" w:hAnsi="Arial"/>
                <w:sz w:val="16"/>
                <w:szCs w:val="16"/>
                <w:i w:val="1"/>
                <w:iCs w:val="1"/>
                <w:color w:val="auto"/>
              </w:rPr>
              <w:t>(g)</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Boswell Units 1 and 2 Net Plant and Equipment </w:t>
            </w:r>
            <w:r>
              <w:rPr>
                <w:rFonts w:ascii="Arial" w:cs="Arial" w:eastAsia="Arial" w:hAnsi="Arial"/>
                <w:sz w:val="16"/>
                <w:szCs w:val="16"/>
                <w:i w:val="1"/>
                <w:iCs w:val="1"/>
                <w:color w:val="auto"/>
              </w:rPr>
              <w:t>(h)</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Regulatory Assets</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$511.8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(i)</w:t>
            </w:r>
          </w:p>
        </w:tc>
        <w:tc>
          <w:tcPr>
            <w:tcW w:w="3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(d)</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Transmission Formula Rates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Current Regulatory Liabilities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8.6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30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(b)</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353.4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w:t>
            </w:r>
          </w:p>
        </w:tc>
      </w:tr>
      <w:tr>
        <w:trPr>
          <w:trHeight w:val="229"/>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(j)</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83.7</w:t>
            </w:r>
          </w:p>
        </w:tc>
        <w:tc>
          <w:tcPr>
            <w:tcW w:w="96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Plant Removal Obligations </w:t>
            </w:r>
            <w:r>
              <w:rPr>
                <w:rFonts w:ascii="Arial" w:cs="Arial" w:eastAsia="Arial" w:hAnsi="Arial"/>
                <w:sz w:val="16"/>
                <w:szCs w:val="16"/>
                <w:i w:val="1"/>
                <w:iCs w:val="1"/>
                <w:color w:val="auto"/>
              </w:rPr>
              <w:t>(k)</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(a)</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28.1</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(l)</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 xml:space="preserve">Boswell Units 1 and 2 Net Plant and Equipment </w:t>
            </w:r>
            <w:r>
              <w:rPr>
                <w:rFonts w:ascii="Arial" w:cs="Arial" w:eastAsia="Arial" w:hAnsi="Arial"/>
                <w:sz w:val="16"/>
                <w:szCs w:val="16"/>
                <w:i w:val="1"/>
                <w:iCs w:val="1"/>
                <w:color w:val="auto"/>
              </w:rPr>
              <w:t>(h)</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0.4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Conservation Improvement Program </w:t>
            </w:r>
            <w:r>
              <w:rPr>
                <w:rFonts w:ascii="Arial" w:cs="Arial" w:eastAsia="Arial" w:hAnsi="Arial"/>
                <w:sz w:val="16"/>
                <w:szCs w:val="16"/>
                <w:i w:val="1"/>
                <w:iCs w:val="1"/>
                <w:color w:val="auto"/>
              </w:rPr>
              <w:t>(g)</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2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Non-Current Regulatory Liabilities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536.1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w:t>
            </w:r>
          </w:p>
        </w:tc>
      </w:tr>
      <w:tr>
        <w:trPr>
          <w:trHeight w:val="22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Regulatory Liabilities</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$544.7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r>
    </w:tbl>
    <w:p>
      <w:pPr>
        <w:spacing w:after="0" w:line="85" w:lineRule="exact"/>
        <w:rPr>
          <w:sz w:val="20"/>
          <w:szCs w:val="20"/>
          <w:color w:val="auto"/>
        </w:rPr>
      </w:pPr>
    </w:p>
    <w:p>
      <w:pPr>
        <w:jc w:val="both"/>
        <w:ind w:left="340" w:hanging="332"/>
        <w:spacing w:after="0" w:line="251"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as actuarial gains and losses as well as prior service costs and credits, are recognized as regulatory assets or regulatory liabilities on the Consolidated Balance Sheet. The asset or liability will decrease as the deferred items are amortized and recognized as components of net periodic benefit cost. (See Note 11. Pension and Other Postretirement Benefit Plans.)</w:t>
      </w:r>
    </w:p>
    <w:p>
      <w:pPr>
        <w:ind w:left="340" w:hanging="332"/>
        <w:spacing w:after="0" w:line="246"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w:t>
      </w:r>
    </w:p>
    <w:p>
      <w:pPr>
        <w:jc w:val="both"/>
        <w:ind w:left="340" w:hanging="332"/>
        <w:spacing w:after="0" w:line="246" w:lineRule="auto"/>
        <w:tabs>
          <w:tab w:leader="none" w:pos="331"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and liabilities are revenue not yet collected from our customers and cash collections from our customers in excess of the revenue recognized, respectively, primarily due to capital expenditures related to Bison, the Boswell Unit 4 environmental upgrade and the GNTL as well as differences between production tax credits recognized and those assumed in Minnesota Power’s base rates. The cost recovery rider regulatory assets as of December 31, 2021, will be recovered within the next two years.</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Fuel adjustment clause regulatory asset and liability represent the amount expected to be recovered from or refunded to customers for the under- or over-collection of fuel adjustment clause recoveries. (See Fuel Adjustment Clause.)</w:t>
      </w:r>
    </w:p>
    <w:p>
      <w:pPr>
        <w:ind w:left="320" w:hanging="312"/>
        <w:spacing w:after="0"/>
        <w:tabs>
          <w:tab w:leader="none" w:pos="32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31"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line="246"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 conservation improvement program regulatory liability represents CIP expenditures, any financial incentive earned for cost-effective program achievements and a carrying charge deferred for future refund over the next year following MPUC approval.</w:t>
      </w:r>
    </w:p>
    <w:p>
      <w:pPr>
        <w:jc w:val="both"/>
        <w:ind w:left="340" w:hanging="332"/>
        <w:spacing w:after="0" w:line="246" w:lineRule="auto"/>
        <w:tabs>
          <w:tab w:leader="none" w:pos="3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line="246" w:lineRule="auto"/>
        <w:tabs>
          <w:tab w:leader="none" w:pos="331"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20" w:hanging="312"/>
        <w:spacing w:after="0"/>
        <w:tabs>
          <w:tab w:leader="none" w:pos="32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Non-legal plant removal obligations included in retail customer rates that have not yet been incurred.</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31"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retail customers through future renewable cost recovery rider filings as the tax credits are utilized.</w:t>
      </w:r>
    </w:p>
    <w:p>
      <w:pPr>
        <w:sectPr>
          <w:pgSz w:w="11900" w:h="16838" w:orient="portrait"/>
          <w:cols w:equalWidth="0" w:num="1">
            <w:col w:w="11240"/>
          </w:cols>
          <w:pgMar w:left="320" w:top="729" w:right="339" w:bottom="1440" w:gutter="0" w:footer="0" w:header="0"/>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2021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90" w:name="page91"/>
    <w:bookmarkEnd w:id="90"/>
    <w:p>
      <w:pPr>
        <w:ind w:left="100"/>
        <w:spacing w:after="0"/>
        <w:rPr>
          <w:sz w:val="20"/>
          <w:szCs w:val="20"/>
          <w:color w:val="auto"/>
        </w:rPr>
      </w:pPr>
      <w:r>
        <w:rPr>
          <w:rFonts w:ascii="Arial" w:cs="Arial" w:eastAsia="Arial" w:hAnsi="Arial"/>
          <w:sz w:val="18"/>
          <w:szCs w:val="18"/>
          <w:b w:val="1"/>
          <w:bCs w:val="1"/>
          <w:color w:val="auto"/>
        </w:rPr>
        <w:t>NOTE 5. EQUITY INVESTMENTS</w:t>
      </w:r>
    </w:p>
    <w:p>
      <w:pPr>
        <w:spacing w:after="0" w:line="252" w:lineRule="exact"/>
        <w:rPr>
          <w:sz w:val="20"/>
          <w:szCs w:val="20"/>
          <w:color w:val="auto"/>
        </w:rPr>
      </w:pPr>
    </w:p>
    <w:p>
      <w:pPr>
        <w:jc w:val="both"/>
        <w:ind w:left="100"/>
        <w:spacing w:after="0" w:line="261"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On January 31, 2022, we invested an additional $2.7 million in ATC. In total, we expect to invest approximately $6.0 million in 2022.</w:t>
      </w: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ALLETE’s Investment in ATC</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Beginning Balance</w:t>
            </w:r>
          </w:p>
        </w:tc>
        <w:tc>
          <w:tcPr>
            <w:tcW w:w="3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320" w:type="dxa"/>
            <w:vAlign w:val="bottom"/>
          </w:tcPr>
          <w:p>
            <w:pPr>
              <w:jc w:val="right"/>
              <w:ind w:right="310"/>
              <w:spacing w:after="0"/>
              <w:rPr>
                <w:sz w:val="20"/>
                <w:szCs w:val="20"/>
                <w:color w:val="auto"/>
              </w:rPr>
            </w:pPr>
            <w:r>
              <w:rPr>
                <w:rFonts w:ascii="Arial" w:cs="Arial" w:eastAsia="Arial" w:hAnsi="Arial"/>
                <w:sz w:val="18"/>
                <w:szCs w:val="18"/>
                <w:color w:val="auto"/>
              </w:rPr>
              <w:t>(17.2)</w:t>
            </w: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Ending Balance</w:t>
            </w:r>
          </w:p>
        </w:tc>
        <w:tc>
          <w:tcPr>
            <w:tcW w:w="3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r>
    </w:tbl>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Summarized Financial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198"/>
        </w:trPr>
        <w:tc>
          <w:tcPr>
            <w:tcW w:w="57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lance Sheet Data</w:t>
            </w:r>
          </w:p>
        </w:tc>
        <w:tc>
          <w:tcPr>
            <w:tcW w:w="4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5780" w:type="dxa"/>
            <w:vAlign w:val="bottom"/>
            <w:gridSpan w:val="2"/>
          </w:tcPr>
          <w:p>
            <w:pPr>
              <w:ind w:left="40"/>
              <w:spacing w:after="0"/>
              <w:rPr>
                <w:sz w:val="20"/>
                <w:szCs w:val="20"/>
                <w:color w:val="auto"/>
              </w:rPr>
            </w:pPr>
            <w:r>
              <w:rPr>
                <w:rFonts w:ascii="Arial" w:cs="Arial" w:eastAsia="Arial" w:hAnsi="Arial"/>
                <w:sz w:val="18"/>
                <w:szCs w:val="18"/>
                <w:b w:val="1"/>
                <w:bCs w:val="1"/>
                <w:color w:val="auto"/>
              </w:rPr>
              <w:t>of December 31</w:t>
            </w:r>
          </w:p>
        </w:tc>
        <w:tc>
          <w:tcPr>
            <w:tcW w:w="42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100" w:type="dxa"/>
            <w:vAlign w:val="bottom"/>
          </w:tcPr>
          <w:p>
            <w:pPr>
              <w:spacing w:after="0"/>
              <w:rPr>
                <w:sz w:val="19"/>
                <w:szCs w:val="19"/>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llions</w:t>
            </w:r>
          </w:p>
        </w:tc>
        <w:tc>
          <w:tcPr>
            <w:tcW w:w="4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rrent Assets</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$89.8</w:t>
            </w:r>
          </w:p>
        </w:tc>
        <w:tc>
          <w:tcPr>
            <w:tcW w:w="100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n-Current Assets</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5,628.1</w:t>
            </w:r>
          </w:p>
        </w:tc>
        <w:tc>
          <w:tcPr>
            <w:tcW w:w="1000" w:type="dxa"/>
            <w:vAlign w:val="bottom"/>
          </w:tcPr>
          <w:p>
            <w:pPr>
              <w:jc w:val="right"/>
              <w:spacing w:after="0"/>
              <w:rPr>
                <w:sz w:val="20"/>
                <w:szCs w:val="20"/>
                <w:color w:val="auto"/>
              </w:rPr>
            </w:pPr>
            <w:r>
              <w:rPr>
                <w:rFonts w:ascii="Arial" w:cs="Arial" w:eastAsia="Arial" w:hAnsi="Arial"/>
                <w:sz w:val="18"/>
                <w:szCs w:val="18"/>
                <w:color w:val="auto"/>
              </w:rPr>
              <w:t>5,400.5</w:t>
            </w:r>
          </w:p>
        </w:tc>
      </w:t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tal Assets</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$5,717.9</w:t>
            </w:r>
          </w:p>
        </w:tc>
        <w:tc>
          <w:tcPr>
            <w:tcW w:w="1000" w:type="dxa"/>
            <w:vAlign w:val="bottom"/>
          </w:tcPr>
          <w:p>
            <w:pPr>
              <w:jc w:val="right"/>
              <w:spacing w:after="0"/>
              <w:rPr>
                <w:sz w:val="20"/>
                <w:szCs w:val="20"/>
                <w:color w:val="auto"/>
              </w:rPr>
            </w:pPr>
            <w:r>
              <w:rPr>
                <w:rFonts w:ascii="Arial" w:cs="Arial" w:eastAsia="Arial" w:hAnsi="Arial"/>
                <w:sz w:val="18"/>
                <w:szCs w:val="18"/>
                <w:color w:val="auto"/>
              </w:rPr>
              <w:t>$5,493.3</w:t>
            </w:r>
          </w:p>
        </w:tc>
      </w:t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23"/>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rrent Liabilities</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$436.9</w:t>
            </w:r>
          </w:p>
        </w:tc>
        <w:tc>
          <w:tcPr>
            <w:tcW w:w="1000" w:type="dxa"/>
            <w:vAlign w:val="bottom"/>
          </w:tcPr>
          <w:p>
            <w:pPr>
              <w:jc w:val="right"/>
              <w:spacing w:after="0"/>
              <w:rPr>
                <w:sz w:val="20"/>
                <w:szCs w:val="20"/>
                <w:color w:val="auto"/>
              </w:rPr>
            </w:pPr>
            <w:r>
              <w:rPr>
                <w:rFonts w:ascii="Arial" w:cs="Arial" w:eastAsia="Arial" w:hAnsi="Arial"/>
                <w:sz w:val="18"/>
                <w:szCs w:val="18"/>
                <w:color w:val="auto"/>
              </w:rPr>
              <w:t>$310.8</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ng-Term Debt</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2,513.0</w:t>
            </w:r>
          </w:p>
        </w:tc>
        <w:tc>
          <w:tcPr>
            <w:tcW w:w="1000" w:type="dxa"/>
            <w:vAlign w:val="bottom"/>
          </w:tcPr>
          <w:p>
            <w:pPr>
              <w:jc w:val="right"/>
              <w:spacing w:after="0"/>
              <w:rPr>
                <w:sz w:val="20"/>
                <w:szCs w:val="20"/>
                <w:color w:val="auto"/>
              </w:rPr>
            </w:pPr>
            <w:r>
              <w:rPr>
                <w:rFonts w:ascii="Arial" w:cs="Arial" w:eastAsia="Arial" w:hAnsi="Arial"/>
                <w:sz w:val="18"/>
                <w:szCs w:val="18"/>
                <w:color w:val="auto"/>
              </w:rPr>
              <w:t>2,512.2</w:t>
            </w:r>
          </w:p>
        </w:tc>
      </w:tr>
      <w:tr>
        <w:trPr>
          <w:trHeight w:val="229"/>
        </w:trPr>
        <w:tc>
          <w:tcPr>
            <w:tcW w:w="5780" w:type="dxa"/>
            <w:vAlign w:val="bottom"/>
            <w:gridSpan w:val="2"/>
          </w:tcPr>
          <w:p>
            <w:pPr>
              <w:spacing w:after="0"/>
              <w:rPr>
                <w:sz w:val="20"/>
                <w:szCs w:val="20"/>
                <w:color w:val="auto"/>
              </w:rPr>
            </w:pPr>
            <w:r>
              <w:rPr>
                <w:rFonts w:ascii="Arial" w:cs="Arial" w:eastAsia="Arial" w:hAnsi="Arial"/>
                <w:sz w:val="18"/>
                <w:szCs w:val="18"/>
                <w:color w:val="auto"/>
              </w:rPr>
              <w:t>her Non-Current Liabilities</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422.0</w:t>
            </w:r>
          </w:p>
        </w:tc>
        <w:tc>
          <w:tcPr>
            <w:tcW w:w="1000" w:type="dxa"/>
            <w:vAlign w:val="bottom"/>
          </w:tcPr>
          <w:p>
            <w:pPr>
              <w:jc w:val="right"/>
              <w:spacing w:after="0"/>
              <w:rPr>
                <w:sz w:val="20"/>
                <w:szCs w:val="20"/>
                <w:color w:val="auto"/>
              </w:rPr>
            </w:pPr>
            <w:r>
              <w:rPr>
                <w:rFonts w:ascii="Arial" w:cs="Arial" w:eastAsia="Arial" w:hAnsi="Arial"/>
                <w:sz w:val="18"/>
                <w:szCs w:val="18"/>
                <w:color w:val="auto"/>
              </w:rPr>
              <w:t>378.2</w:t>
            </w:r>
          </w:p>
        </w:tc>
      </w:tr>
      <w:tr>
        <w:trPr>
          <w:trHeight w:val="230"/>
        </w:trPr>
        <w:tc>
          <w:tcPr>
            <w:tcW w:w="100" w:type="dxa"/>
            <w:vAlign w:val="bottom"/>
          </w:tcPr>
          <w:p>
            <w:pPr>
              <w:spacing w:after="0"/>
              <w:rPr>
                <w:sz w:val="19"/>
                <w:szCs w:val="19"/>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embers’ Equity</w:t>
            </w:r>
          </w:p>
        </w:tc>
        <w:tc>
          <w:tcPr>
            <w:tcW w:w="42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2,346.0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tal Liabilities and Members’ Equity</w:t>
            </w:r>
          </w:p>
        </w:tc>
        <w:tc>
          <w:tcPr>
            <w:tcW w:w="4200" w:type="dxa"/>
            <w:vAlign w:val="bottom"/>
          </w:tcPr>
          <w:p>
            <w:pPr>
              <w:jc w:val="right"/>
              <w:ind w:right="250"/>
              <w:spacing w:after="0"/>
              <w:rPr>
                <w:sz w:val="20"/>
                <w:szCs w:val="20"/>
                <w:color w:val="auto"/>
              </w:rPr>
            </w:pPr>
            <w:r>
              <w:rPr>
                <w:rFonts w:ascii="Arial" w:cs="Arial" w:eastAsia="Arial" w:hAnsi="Arial"/>
                <w:sz w:val="18"/>
                <w:szCs w:val="18"/>
                <w:color w:val="auto"/>
              </w:rPr>
              <w:t>$5,717.9</w:t>
            </w:r>
          </w:p>
        </w:tc>
        <w:tc>
          <w:tcPr>
            <w:tcW w:w="1000" w:type="dxa"/>
            <w:vAlign w:val="bottom"/>
          </w:tcPr>
          <w:p>
            <w:pPr>
              <w:jc w:val="right"/>
              <w:spacing w:after="0"/>
              <w:rPr>
                <w:sz w:val="20"/>
                <w:szCs w:val="20"/>
                <w:color w:val="auto"/>
              </w:rPr>
            </w:pPr>
            <w:r>
              <w:rPr>
                <w:rFonts w:ascii="Arial" w:cs="Arial" w:eastAsia="Arial" w:hAnsi="Arial"/>
                <w:sz w:val="18"/>
                <w:szCs w:val="18"/>
                <w:color w:val="auto"/>
              </w:rPr>
              <w:t>$5,493.3</w:t>
            </w:r>
          </w:p>
        </w:tc>
      </w:tr>
      <w:tr>
        <w:trPr>
          <w:trHeight w:val="20"/>
        </w:trPr>
        <w:tc>
          <w:tcPr>
            <w:tcW w:w="10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-1199515</wp:posOffset>
            </wp:positionV>
            <wp:extent cx="6909435" cy="145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2">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-908050</wp:posOffset>
            </wp:positionV>
            <wp:extent cx="690943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3">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-599440</wp:posOffset>
            </wp:positionV>
            <wp:extent cx="690943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4">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$754.8</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$758.1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376.2</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372.4</w:t>
            </w:r>
          </w:p>
        </w:tc>
        <w:tc>
          <w:tcPr>
            <w:tcW w:w="96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113.9</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$264.7</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$274.8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r>
      <w:tr>
        <w:trPr>
          <w:trHeight w:val="223"/>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ALLETE’s Equity in Net Income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$21.3</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bl>
    <w:p>
      <w:pPr>
        <w:spacing w:after="0" w:line="323" w:lineRule="exact"/>
        <w:rPr>
          <w:sz w:val="20"/>
          <w:szCs w:val="20"/>
          <w:color w:val="auto"/>
        </w:rPr>
      </w:pPr>
    </w:p>
    <w:p>
      <w:pPr>
        <w:jc w:val="both"/>
        <w:ind w:left="100"/>
        <w:spacing w:after="0" w:line="254"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2020 FERC order that granted rehearing of a 2019 FERC order. These FERC orders are subject to various outstanding legal challenges related to the refund period ordered by the FERC. If these legal challenges are successful, ATC may be required to provide refunds to its customers of up to approximately $65 million of which our share would be approximately $5 million pre-tax. 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72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5. EQUITY INVESTMENTS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a 49 percent equity interest in Nobles 2, the entity that owns and operates a 250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2020</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40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$6.6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6. FAIR VALUE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2021, and December 31, 2020.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4180" w:type="dxa"/>
            <w:vAlign w:val="bottom"/>
            <w:gridSpan w:val="3"/>
          </w:tcPr>
          <w:p>
            <w:pPr>
              <w:ind w:left="1440"/>
              <w:spacing w:after="0"/>
              <w:rPr>
                <w:sz w:val="20"/>
                <w:szCs w:val="20"/>
                <w:color w:val="auto"/>
              </w:rPr>
            </w:pPr>
            <w:r>
              <w:rPr>
                <w:rFonts w:ascii="Arial" w:cs="Arial" w:eastAsia="Arial" w:hAnsi="Arial"/>
                <w:sz w:val="18"/>
                <w:szCs w:val="18"/>
                <w:b w:val="1"/>
                <w:bCs w:val="1"/>
                <w:color w:val="auto"/>
                <w:w w:val="90"/>
              </w:rPr>
              <w:t>Fair Value as of December 31, 2021</w:t>
            </w:r>
          </w:p>
        </w:tc>
        <w:tc>
          <w:tcPr>
            <w:tcW w:w="780" w:type="dxa"/>
            <w:vAlign w:val="bottom"/>
          </w:tcPr>
          <w:p>
            <w:pPr>
              <w:spacing w:after="0"/>
              <w:rPr>
                <w:sz w:val="19"/>
                <w:szCs w:val="19"/>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Level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$8.9</w:t>
            </w:r>
          </w:p>
        </w:tc>
        <w:tc>
          <w:tcPr>
            <w:tcW w:w="1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w:t>
            </w: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r>
      <w:tr>
        <w:trPr>
          <w:trHeight w:val="237"/>
        </w:trPr>
        <w:tc>
          <w:tcPr>
            <w:tcW w:w="6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$18.0</w:t>
            </w:r>
          </w:p>
        </w:tc>
        <w:tc>
          <w:tcPr>
            <w:tcW w:w="11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$18.0</w:t>
            </w:r>
          </w:p>
        </w:tc>
        <w:tc>
          <w:tcPr>
            <w:tcW w:w="11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r>
      <w:tr>
        <w:trPr>
          <w:trHeight w:val="223"/>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7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$11.4</w:t>
            </w:r>
          </w:p>
        </w:tc>
        <w:tc>
          <w:tcPr>
            <w:tcW w:w="12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$(11.8)</w:t>
            </w:r>
          </w:p>
        </w:tc>
        <w:tc>
          <w:tcPr>
            <w:tcW w:w="11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3"/>
              </w:rPr>
              <w:t>$(0.4)</w:t>
            </w:r>
          </w:p>
        </w:tc>
      </w:tr>
    </w:tbl>
    <w:p>
      <w:pPr>
        <w:spacing w:after="0" w:line="8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60" w:hanging="332"/>
        <w:spacing w:after="0" w:line="262" w:lineRule="auto"/>
        <w:tabs>
          <w:tab w:leader="none" w:pos="340" w:val="left"/>
        </w:tabs>
        <w:numPr>
          <w:ilvl w:val="0"/>
          <w:numId w:val="27"/>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2021, the aggregate amount of available-for-sale corporate and governmental debt securities maturing in one year or less was $1.0 million, in one year to less than three years was $2.3 million, in three years to less than five years was $2.1 million and in five or more years was $0.8 million.</w:t>
      </w:r>
    </w:p>
    <w:p>
      <w:pPr>
        <w:spacing w:after="0" w:line="1" w:lineRule="exact"/>
        <w:rPr>
          <w:rFonts w:ascii="Arial" w:cs="Arial" w:eastAsia="Arial" w:hAnsi="Arial"/>
          <w:sz w:val="15"/>
          <w:szCs w:val="15"/>
          <w:i w:val="1"/>
          <w:iCs w:val="1"/>
          <w:color w:val="auto"/>
        </w:rPr>
      </w:pPr>
    </w:p>
    <w:p>
      <w:pPr>
        <w:ind w:left="320" w:hanging="312"/>
        <w:spacing w:after="0"/>
        <w:tabs>
          <w:tab w:leader="none" w:pos="32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4400" w:type="dxa"/>
            <w:vAlign w:val="bottom"/>
            <w:gridSpan w:val="3"/>
          </w:tcPr>
          <w:p>
            <w:pPr>
              <w:ind w:left="1580"/>
              <w:spacing w:after="0"/>
              <w:rPr>
                <w:sz w:val="20"/>
                <w:szCs w:val="20"/>
                <w:color w:val="auto"/>
              </w:rPr>
            </w:pPr>
            <w:r>
              <w:rPr>
                <w:rFonts w:ascii="Arial" w:cs="Arial" w:eastAsia="Arial" w:hAnsi="Arial"/>
                <w:sz w:val="18"/>
                <w:szCs w:val="18"/>
                <w:b w:val="1"/>
                <w:bCs w:val="1"/>
                <w:color w:val="auto"/>
                <w:w w:val="93"/>
              </w:rPr>
              <w:t>Fair Value as of December 31, 2020</w:t>
            </w:r>
          </w:p>
        </w:tc>
        <w:tc>
          <w:tcPr>
            <w:tcW w:w="660" w:type="dxa"/>
            <w:vAlign w:val="bottom"/>
          </w:tcPr>
          <w:p>
            <w:pPr>
              <w:spacing w:after="0"/>
              <w:rPr>
                <w:sz w:val="19"/>
                <w:szCs w:val="19"/>
                <w:color w:val="auto"/>
              </w:rPr>
            </w:pPr>
          </w:p>
        </w:tc>
      </w:tr>
      <w:tr>
        <w:trPr>
          <w:trHeight w:val="234"/>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2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28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$12.7</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$10.4</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r>
      <w:tr>
        <w:trPr>
          <w:trHeight w:val="236"/>
        </w:trPr>
        <w:tc>
          <w:tcPr>
            <w:tcW w:w="61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1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$21.0</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$21.0</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r>
      <w:tr>
        <w:trPr>
          <w:trHeight w:val="223"/>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Net Fair Value of Assets (Liabilities)</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2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$(10.6)</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bl>
    <w:p>
      <w:pPr>
        <w:spacing w:after="0" w:line="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2021 and 2020, there were no transfers in or out of Levels 1, 2 or 3.</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NOTE 6. FAIR VALUE (Continued)</w:t>
            </w:r>
          </w:p>
        </w:tc>
        <w:tc>
          <w:tcPr>
            <w:tcW w:w="4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22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3"/>
              </w:rPr>
              <w:t>Carrying Amount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December 31, 2021</w:t>
            </w:r>
          </w:p>
        </w:tc>
        <w:tc>
          <w:tcPr>
            <w:tcW w:w="4220" w:type="dxa"/>
            <w:vAlign w:val="bottom"/>
          </w:tcPr>
          <w:p>
            <w:pPr>
              <w:jc w:val="center"/>
              <w:ind w:left="1890"/>
              <w:spacing w:after="0"/>
              <w:rPr>
                <w:sz w:val="20"/>
                <w:szCs w:val="20"/>
                <w:color w:val="auto"/>
              </w:rPr>
            </w:pPr>
            <w:r>
              <w:rPr>
                <w:rFonts w:ascii="Arial" w:cs="Arial" w:eastAsia="Arial" w:hAnsi="Arial"/>
                <w:sz w:val="18"/>
                <w:szCs w:val="18"/>
                <w:color w:val="auto"/>
                <w:w w:val="91"/>
              </w:rPr>
              <w:t>$1,986.4</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$2,192.6</w:t>
            </w:r>
          </w:p>
        </w:tc>
      </w:tr>
      <w:tr>
        <w:trPr>
          <w:trHeight w:val="229"/>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December 31, 2020</w:t>
            </w:r>
          </w:p>
        </w:tc>
        <w:tc>
          <w:tcPr>
            <w:tcW w:w="4220" w:type="dxa"/>
            <w:vAlign w:val="bottom"/>
            <w:tcBorders>
              <w:bottom w:val="single" w:sz="8" w:color="auto"/>
            </w:tcBorders>
            <w:shd w:val="clear" w:color="auto" w:fill="CCEEFF"/>
          </w:tcPr>
          <w:p>
            <w:pPr>
              <w:jc w:val="center"/>
              <w:ind w:left="1890"/>
              <w:spacing w:after="0"/>
              <w:rPr>
                <w:sz w:val="20"/>
                <w:szCs w:val="20"/>
                <w:color w:val="auto"/>
              </w:rPr>
            </w:pPr>
            <w:r>
              <w:rPr>
                <w:rFonts w:ascii="Arial" w:cs="Arial" w:eastAsia="Arial" w:hAnsi="Arial"/>
                <w:sz w:val="18"/>
                <w:szCs w:val="18"/>
                <w:color w:val="auto"/>
                <w:w w:val="91"/>
              </w:rPr>
              <w:t>$1,806.4</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$2,122.0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Excludes unamortized debt issuance costs.</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The aggregate carrying amount of our equity investments was $318.0 million as of December 31, 2021 ($301.2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The Company assesses our equity investments in ATC and Nobles 2 for impairment whenever events or changes in circumstances indicate that the carrying amount of our investments may not be recoverable. For the years ended December 31, 2021 and 2020, there were no indicators of impairment. (See Note 5. Equity Investments.)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The Company assesses the impairment of property, plant, and equipment whenever events or changes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 that the carrying amount of property, plant, and equipment assets may not be recoverable. (See Note 1. Operations and Significant Accounting Policies.) For the years ended December 31, 2021, and 2020, there was no impairment of property, plant, and equipment.</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believe that long-standing ratemaking practices approved by applicable state and federal regulatory commissions allow for the recovery of the remaining book value of retired plant assets. Minnesota Power’s 2015 IRP contained steps in Minnesota Power’s </w:t>
      </w:r>
      <w:r>
        <w:rPr>
          <w:rFonts w:ascii="Arial" w:cs="Arial" w:eastAsia="Arial" w:hAnsi="Arial"/>
          <w:sz w:val="16"/>
          <w:szCs w:val="16"/>
          <w:i w:val="1"/>
          <w:iCs w:val="1"/>
          <w:color w:val="auto"/>
        </w:rPr>
        <w:t>EnergyForward</w:t>
      </w:r>
      <w:r>
        <w:rPr>
          <w:rFonts w:ascii="Arial" w:cs="Arial" w:eastAsia="Arial" w:hAnsi="Arial"/>
          <w:sz w:val="16"/>
          <w:szCs w:val="16"/>
          <w:color w:val="auto"/>
        </w:rPr>
        <w:t xml:space="preserve"> plan including the economic idling of Taconite Harbor Units 1 and 2 in 2016, and the ceasing of coal-fired operations at Taconite Harbor in 2020. As of December 31, 2021, Taconite Harbor had a net book value of approximately $45 million. The MPUC order for the 2015 IRP also directed Minnesota Power to retire Boswell Units 1 and 2, which occurred in the fourth quarter of 2018. As part of the 2016 general retail rate case, the MPUC allowed recovery of the remaining book value of Boswell Units 1 and 2 through 2022. In its latest IRP filing, Minnesota Power proposed retiring Boswell Unit 3 by 2030 and transforming Boswell Unit 4 to be coal-free by 2035. Boswell Unit 3 and Unit 4 have a net book value of approximately $245 million and $435 million, respectively, as of December 31, 2021. (See Note 4. Regulatory Matters.)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2021, total short-term debt outstanding was $214.2 million ($203.7 million as of December 31,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long-term debt due within one year and included $0.2 million of unamortized debt issuance costs.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we had consolidated bank lines of credit aggregating $432.0 million ($407.0 million as of December 31, 2020), most of which expire in January 2025. We had $31.5 million outstanding in standby letters of credit and $159.7 million outstanding draws under our lines of credit as of December 31, 2021 ($22.3 million in standby letters of credit and no outstanding draws as of December 31, 2020).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7. SHORT-TERM AND LONG-TERM DEBT (Continued)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2021, total long-term debt outstanding was $1,763.2 million ($1,593.2 million as of December 31,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$8.8 million of unamortized debt issuance costs. The aggregate amount of long-term debt maturing in 2022 is $214.5 million; $89.7 million in 2023; $74.4 million in 2024; $386.7 million in 2025; $77.2 million in 2026; and $1,143.9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19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Arial" w:cs="Arial" w:eastAsia="Arial" w:hAnsi="Arial"/>
          <w:sz w:val="18"/>
          <w:szCs w:val="18"/>
          <w:color w:val="auto"/>
        </w:rPr>
        <w:t>year term, or to purchase the solar array for approximately $4 million. Minnesota Power anticipates exercising the purchase option when the term expires.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2021, ALLETE entered into a $150 million unsecured term loan agreement (Term Loan). An additional draw of $35 million through the exercise of an accordion feature was made during the second quarter of 2021. As of September 30, 2021, we have borrowed the full amount of $185 million. The Term Loan is due March 24, 2022, and may be repaid at any time. Interest is payable monthly at a rate per annum equal to LIBOR plus 0.75 percent. Proceeds from the Term Loan were used for general corporate purposes.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 2021, ALLETE issued $100 million of its First Mortgage Bonds (Bonds) to certain institutional buyers in the private placement market. The Bonds, which bear interest at 2.79 percent, will mature in September 2031 and pay interest semi-annually in March and September of each year, commencing on March 1, 2022. ALLETE has the option to prepay all or a portion of the Bonds at its discretion, subject to a make-whole provision. The Bonds are subject to additional terms and conditions which are customary for these types of transactions. Proceeds from the sale of the Bonds were used to fund utility capital investment and for general corporate purposes. The Bonds were sold in reliance on an exemption from registration under Section 4(a)(2) of the Securities Act of 1933, as amended, to institutional accredited investors.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ALLETE Clean Energy received approximately $183.0 million from final closing of tax equity funding for the Caddo wind energy facility. The proceeds from the funding were used to pay down a portion of outstanding draws on our lines of credit.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7.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4.85% Series Due 2021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3.02% Series Due 2021</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3.40% Series Due 2022</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6.02% Series Due 2023</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3.69% Series Due 2024</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4.90% Series Due 2025</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5.10% Series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3.20% Series Due 2026</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5.99% Series Due 2027</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3.30% Series Due 2028</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4.08% Series Due 2029</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70.0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3.74% Series Due 2029</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2.50% Series Due 2030</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46.0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3.86% Series Due 2030</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2.79% Series Due 2031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100.0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5.69% Series Due 2036</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6.00% Series Due 2040</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35.0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5.82% Series Due 2040</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4.08% Series Due 2042</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85.0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85.0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4.21% Series Due 2043</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4.95% Series Due 2044</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5.05% Series Due 2044</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4.39% Series Due 2044</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4.07% Series Due 2048</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4.47% Series Due 2049</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3.30% Series Due 2050</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94.0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ALLETE Clean Energy Unsecured Term Loan Variable Rate Due 2021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65.0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Armenia Mountain Senior Secured Notes 3.26% Due 2024</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29.1</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27.8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Variable Rate Due 2025</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Senior Unsecured Notes 2.65%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150.0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3.11% Due 2027</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SWL&amp;P First Mortgage Bonds 4.15% Series Due 2028</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SWL&amp;P First Mortgage Bonds 4.14% Series Due 2048</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Unsecured Term Loan Variable Rate Due 2021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40.0</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Term Loan Variable Rate Due 2022</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Other Long-Term Debt, 2.16% – 4.58% Due 2022 – 2051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57.5</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43.0</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(9.0)</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1,977.4</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1,796.9</w:t>
            </w:r>
          </w:p>
        </w:tc>
      </w:tr>
      <w:tr>
        <w:trPr>
          <w:trHeight w:val="230"/>
        </w:trPr>
        <w:tc>
          <w:tcPr>
            <w:tcW w:w="8220" w:type="dxa"/>
            <w:vAlign w:val="bottom"/>
            <w:tcBorders>
              <w:bottom w:val="single" w:sz="8" w:color="auto"/>
            </w:tcBorders>
            <w:shd w:val="clear" w:color="auto" w:fill="CCEEFF"/>
          </w:tcPr>
          <w:p>
            <w:pPr>
              <w:jc w:val="center"/>
              <w:ind w:right="6110"/>
              <w:spacing w:after="0"/>
              <w:rPr>
                <w:sz w:val="20"/>
                <w:szCs w:val="20"/>
                <w:color w:val="auto"/>
              </w:rPr>
            </w:pPr>
            <w:r>
              <w:rPr>
                <w:rFonts w:ascii="Arial" w:cs="Arial" w:eastAsia="Arial" w:hAnsi="Arial"/>
                <w:sz w:val="18"/>
                <w:szCs w:val="18"/>
                <w:color w:val="auto"/>
                <w:w w:val="90"/>
              </w:rPr>
              <w:t>Less: Due Within One Year</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214.2</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203.7</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Long-Term Debt</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$1,763.2</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$1,593.2</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7.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2021, our ratio was approximately 0.41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2021, ALLETE was in compliance with its financial covenants.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GUARANTEES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payments for certain long-term commitments:</w:t>
      </w: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2026</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Purchase Obligations</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$50.7</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 xml:space="preserve">Easements </w:t>
            </w:r>
            <w:r>
              <w:rPr>
                <w:rFonts w:ascii="Arial" w:cs="Arial" w:eastAsia="Arial" w:hAnsi="Arial"/>
                <w:sz w:val="16"/>
                <w:szCs w:val="16"/>
                <w:i w:val="1"/>
                <w:iCs w:val="1"/>
                <w:color w:val="auto"/>
              </w:rPr>
              <w:t>(a)</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$8.2</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$8.4</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$8.8</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104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(b)</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$141.1</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$140.7</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$133.5</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$131.4</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$138.3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$1,060.6</w:t>
            </w:r>
          </w:p>
        </w:tc>
      </w:tr>
      <w:tr>
        <w:trPr>
          <w:trHeight w:val="23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6"/>
                <w:szCs w:val="16"/>
                <w:i w:val="1"/>
                <w:iCs w:val="1"/>
                <w:color w:val="auto"/>
              </w:rPr>
              <w:t>(c)</w:t>
            </w:r>
          </w:p>
        </w:tc>
        <w:tc>
          <w:tcPr>
            <w:tcW w:w="2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$58.9</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$22.5</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$23.1</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Easement obligations represent the minimum payments for our land easement agreements at our wind energy facilities.</w:t>
      </w:r>
    </w:p>
    <w:p>
      <w:pPr>
        <w:spacing w:after="0" w:line="19" w:lineRule="exact"/>
        <w:rPr>
          <w:rFonts w:ascii="Arial" w:cs="Arial" w:eastAsia="Arial" w:hAnsi="Arial"/>
          <w:sz w:val="16"/>
          <w:szCs w:val="16"/>
          <w:i w:val="1"/>
          <w:iCs w:val="1"/>
          <w:color w:val="auto"/>
        </w:rPr>
      </w:pPr>
    </w:p>
    <w:p>
      <w:pPr>
        <w:ind w:left="340" w:right="20" w:hanging="332"/>
        <w:spacing w:after="0" w:line="246"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agreement with Manitoba Hydro expiring in 2022, as this contract is for surplus energy only; or the Oliver Wind I, Oliver Wind II or Nobles 2 PPAs, as Minnesota Power only pays for energy as it is delivered. (See Power Purchase Agreements.)</w:t>
      </w:r>
    </w:p>
    <w:p>
      <w:pPr>
        <w:ind w:left="320" w:hanging="312"/>
        <w:spacing w:after="0"/>
        <w:tabs>
          <w:tab w:leader="none" w:pos="3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long-term service agreements for wind energy facilities and minimum purchase commitments under coal and rail contracts.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Sales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agreements have also been evaluated under the accounting guidance for derivatives. We have determined that either these agreements are not derivatives, or, if they are derivatives, the agreements qualify for the normal purchases and normal sales exception to derivative accounting guidance; therefore, derivative accounting is not required.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Minnesota Power is obligated to pay its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Square Butte’s costs based on its entitlement to the output of Square Butte’s 455 MW coal</w:t>
      </w:r>
      <w:r>
        <w:rPr>
          <w:rFonts w:ascii="MS PGothic" w:cs="MS PGothic" w:eastAsia="MS PGothic" w:hAnsi="MS PGothic"/>
          <w:sz w:val="18"/>
          <w:szCs w:val="18"/>
          <w:color w:val="auto"/>
        </w:rPr>
        <w:t>‑</w:t>
      </w:r>
      <w:r>
        <w:rPr>
          <w:rFonts w:ascii="Arial" w:cs="Arial" w:eastAsia="Arial" w:hAnsi="Arial"/>
          <w:sz w:val="18"/>
          <w:szCs w:val="18"/>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2021, Square Butte had total debt outstanding of $222.6 million. Annual debt service for Square Butte is expected to be approximately $45.5 million annually through 2023, $30.5 million in 2024, $26.6 million in 2025, and $40.1 million in 2026, of which Minnesota Power’s obligation is 50 percent. Fuel expenses are recoverable through Minnesota Power’s fuel adjustment clause and include the cost of coal purchased from BNI Energy under a long-term contract.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2021 was $82.4 million ($79.5 million in 2020; $82.7 million in 2019). This reflects Minnesota Power’s pro rata share of total Square Butte costs based on the 50 percent output entitlement. Included in this amount was Minnesota Power’s pro rata share of interest expense of $5.8 million in 2021 ($7.1 million in 2020; $8.3 million in 2019). Minnesota Power’s payments to Square Butte are approved as a purchased power expense for ratemaking purposes by both the MPUC and the FERC.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long-term PPAs for the purchase of capacity and energy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Counterparty</w:t>
            </w:r>
          </w:p>
        </w:tc>
        <w:tc>
          <w:tcPr>
            <w:tcW w:w="144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b w:val="1"/>
                <w:bCs w:val="1"/>
                <w:color w:val="auto"/>
                <w:w w:val="93"/>
              </w:rPr>
              <w:t>Quantity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Calpine Corporation</w:t>
            </w:r>
          </w:p>
        </w:tc>
        <w:tc>
          <w:tcPr>
            <w:tcW w:w="14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8"/>
              </w:rPr>
              <w:t>25 MW</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2026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Manitoba Hydro</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PPA 1</w:t>
            </w:r>
          </w:p>
        </w:tc>
        <w:tc>
          <w:tcPr>
            <w:tcW w:w="1440" w:type="dxa"/>
            <w:vAlign w:val="bottom"/>
            <w:shd w:val="clear" w:color="auto" w:fill="CCEEFF"/>
          </w:tcPr>
          <w:p>
            <w:pPr>
              <w:jc w:val="center"/>
              <w:ind w:left="293"/>
              <w:spacing w:after="0"/>
              <w:rPr>
                <w:sz w:val="20"/>
                <w:szCs w:val="20"/>
                <w:color w:val="auto"/>
              </w:rPr>
            </w:pPr>
            <w:r>
              <w:rPr>
                <w:rFonts w:ascii="Arial" w:cs="Arial" w:eastAsia="Arial" w:hAnsi="Arial"/>
                <w:sz w:val="16"/>
                <w:szCs w:val="16"/>
                <w:i w:val="1"/>
                <w:iCs w:val="1"/>
                <w:color w:val="auto"/>
                <w:w w:val="91"/>
              </w:rPr>
              <w:t>(a)</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2011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April 2022</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29"/>
        </w:trPr>
        <w:tc>
          <w:tcPr>
            <w:tcW w:w="2620" w:type="dxa"/>
            <w:vAlign w:val="bottom"/>
          </w:tcPr>
          <w:p>
            <w:pPr>
              <w:ind w:left="340"/>
              <w:spacing w:after="0"/>
              <w:rPr>
                <w:sz w:val="20"/>
                <w:szCs w:val="20"/>
                <w:color w:val="auto"/>
              </w:rPr>
            </w:pPr>
            <w:r>
              <w:rPr>
                <w:rFonts w:ascii="Arial" w:cs="Arial" w:eastAsia="Arial" w:hAnsi="Arial"/>
                <w:sz w:val="18"/>
                <w:szCs w:val="18"/>
                <w:color w:val="auto"/>
              </w:rPr>
              <w:t>PPA 2</w:t>
            </w:r>
          </w:p>
        </w:tc>
        <w:tc>
          <w:tcPr>
            <w:tcW w:w="1440" w:type="dxa"/>
            <w:vAlign w:val="bottom"/>
          </w:tcPr>
          <w:p>
            <w:pPr>
              <w:jc w:val="center"/>
              <w:ind w:left="273"/>
              <w:spacing w:after="0"/>
              <w:rPr>
                <w:sz w:val="20"/>
                <w:szCs w:val="20"/>
                <w:color w:val="auto"/>
              </w:rPr>
            </w:pPr>
            <w:r>
              <w:rPr>
                <w:rFonts w:ascii="Arial" w:cs="Arial" w:eastAsia="Arial" w:hAnsi="Arial"/>
                <w:sz w:val="18"/>
                <w:szCs w:val="18"/>
                <w:color w:val="auto"/>
                <w:w w:val="95"/>
              </w:rPr>
              <w:t>250 MW</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May 2035</w:t>
            </w:r>
          </w:p>
        </w:tc>
        <w:tc>
          <w:tcPr>
            <w:tcW w:w="2160" w:type="dxa"/>
            <w:vAlign w:val="bottom"/>
          </w:tcPr>
          <w:p>
            <w:pPr>
              <w:jc w:val="center"/>
              <w:spacing w:after="0"/>
              <w:rPr>
                <w:sz w:val="20"/>
                <w:szCs w:val="20"/>
                <w:color w:val="auto"/>
              </w:rPr>
            </w:pPr>
            <w:r>
              <w:rPr>
                <w:rFonts w:ascii="Arial" w:cs="Arial" w:eastAsia="Arial" w:hAnsi="Arial"/>
                <w:sz w:val="16"/>
                <w:szCs w:val="16"/>
                <w:i w:val="1"/>
                <w:iCs w:val="1"/>
                <w:color w:val="auto"/>
                <w:w w:val="91"/>
              </w:rPr>
              <w:t>(b)</w:t>
            </w:r>
          </w:p>
        </w:tc>
      </w:tr>
      <w:tr>
        <w:trPr>
          <w:trHeight w:val="229"/>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PPA 3</w:t>
            </w:r>
          </w:p>
        </w:tc>
        <w:tc>
          <w:tcPr>
            <w:tcW w:w="14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5"/>
              </w:rPr>
              <w:t>133 MW</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2040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Nobles 2</w:t>
            </w:r>
          </w:p>
        </w:tc>
        <w:tc>
          <w:tcPr>
            <w:tcW w:w="1440" w:type="dxa"/>
            <w:vAlign w:val="bottom"/>
          </w:tcPr>
          <w:p>
            <w:pPr>
              <w:jc w:val="center"/>
              <w:ind w:left="273"/>
              <w:spacing w:after="0"/>
              <w:rPr>
                <w:sz w:val="20"/>
                <w:szCs w:val="20"/>
                <w:color w:val="auto"/>
              </w:rPr>
            </w:pPr>
            <w:r>
              <w:rPr>
                <w:rFonts w:ascii="Arial" w:cs="Arial" w:eastAsia="Arial" w:hAnsi="Arial"/>
                <w:sz w:val="18"/>
                <w:szCs w:val="18"/>
                <w:color w:val="auto"/>
                <w:w w:val="95"/>
              </w:rPr>
              <w:t>250 MW</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Oliver Wind I</w:t>
            </w:r>
          </w:p>
        </w:tc>
        <w:tc>
          <w:tcPr>
            <w:tcW w:w="1440" w:type="dxa"/>
            <w:vAlign w:val="bottom"/>
            <w:shd w:val="clear" w:color="auto" w:fill="CCEEFF"/>
          </w:tcPr>
          <w:p>
            <w:pPr>
              <w:jc w:val="center"/>
              <w:ind w:left="293"/>
              <w:spacing w:after="0"/>
              <w:rPr>
                <w:sz w:val="20"/>
                <w:szCs w:val="20"/>
                <w:color w:val="auto"/>
              </w:rPr>
            </w:pPr>
            <w:r>
              <w:rPr>
                <w:rFonts w:ascii="Arial" w:cs="Arial" w:eastAsia="Arial" w:hAnsi="Arial"/>
                <w:sz w:val="16"/>
                <w:szCs w:val="16"/>
                <w:i w:val="1"/>
                <w:iCs w:val="1"/>
                <w:color w:val="auto"/>
                <w:w w:val="96"/>
              </w:rPr>
              <w:t>(c)</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29"/>
        </w:trPr>
        <w:tc>
          <w:tcPr>
            <w:tcW w:w="2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Oliver Wind II</w:t>
            </w:r>
          </w:p>
        </w:tc>
        <w:tc>
          <w:tcPr>
            <w:tcW w:w="1440" w:type="dxa"/>
            <w:vAlign w:val="bottom"/>
            <w:tcBorders>
              <w:bottom w:val="single" w:sz="8" w:color="auto"/>
            </w:tcBorders>
          </w:tcPr>
          <w:p>
            <w:pPr>
              <w:jc w:val="center"/>
              <w:ind w:left="293"/>
              <w:spacing w:after="0"/>
              <w:rPr>
                <w:sz w:val="20"/>
                <w:szCs w:val="20"/>
                <w:color w:val="auto"/>
              </w:rPr>
            </w:pPr>
            <w:r>
              <w:rPr>
                <w:rFonts w:ascii="Arial" w:cs="Arial" w:eastAsia="Arial" w:hAnsi="Arial"/>
                <w:sz w:val="16"/>
                <w:szCs w:val="16"/>
                <w:i w:val="1"/>
                <w:iCs w:val="1"/>
                <w:color w:val="auto"/>
                <w:w w:val="96"/>
              </w:rPr>
              <w:t>(c)</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2007</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Fixed</w:t>
            </w:r>
          </w:p>
        </w:tc>
      </w:tr>
    </w:tbl>
    <w:p>
      <w:pPr>
        <w:spacing w:after="0" w:line="125" w:lineRule="exact"/>
        <w:rPr>
          <w:sz w:val="20"/>
          <w:szCs w:val="20"/>
          <w:color w:val="auto"/>
        </w:rPr>
      </w:pPr>
    </w:p>
    <w:p>
      <w:pPr>
        <w:ind w:left="340" w:hanging="332"/>
        <w:spacing w:after="0" w:line="255"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purchased consists primarily of surplus hydro energy on Manitoba Hydro's system and is delivered on a non-firm basis. Minnesota Power will purchase at least one million MWh of energy over the contract term.</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was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ind w:left="320" w:hanging="312"/>
        <w:spacing w:after="0"/>
        <w:tabs>
          <w:tab w:leader="none" w:pos="32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long-term PSAs for the sale of capacity and energy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Counterparty</w:t>
            </w:r>
          </w:p>
        </w:tc>
        <w:tc>
          <w:tcPr>
            <w:tcW w:w="1340" w:type="dxa"/>
            <w:vAlign w:val="bottom"/>
            <w:tcBorders>
              <w:bottom w:val="single" w:sz="8" w:color="auto"/>
            </w:tcBorders>
          </w:tcPr>
          <w:p>
            <w:pPr>
              <w:jc w:val="center"/>
              <w:ind w:left="214"/>
              <w:spacing w:after="0"/>
              <w:rPr>
                <w:sz w:val="20"/>
                <w:szCs w:val="20"/>
                <w:color w:val="auto"/>
              </w:rPr>
            </w:pPr>
            <w:r>
              <w:rPr>
                <w:rFonts w:ascii="Arial" w:cs="Arial" w:eastAsia="Arial" w:hAnsi="Arial"/>
                <w:sz w:val="18"/>
                <w:szCs w:val="18"/>
                <w:b w:val="1"/>
                <w:bCs w:val="1"/>
                <w:color w:val="auto"/>
                <w:w w:val="93"/>
              </w:rPr>
              <w:t>Quantity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Commencement</w:t>
            </w:r>
          </w:p>
        </w:tc>
        <w:tc>
          <w:tcPr>
            <w:tcW w:w="1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Expiration</w:t>
            </w:r>
          </w:p>
        </w:tc>
        <w:tc>
          <w:tcPr>
            <w:tcW w:w="1880" w:type="dxa"/>
            <w:vAlign w:val="bottom"/>
            <w:tcBorders>
              <w:bottom w:val="single" w:sz="8" w:color="auto"/>
            </w:tcBorders>
          </w:tcPr>
          <w:p>
            <w:pPr>
              <w:jc w:val="center"/>
              <w:ind w:right="194"/>
              <w:spacing w:after="0"/>
              <w:rPr>
                <w:sz w:val="20"/>
                <w:szCs w:val="20"/>
                <w:color w:val="auto"/>
              </w:rPr>
            </w:pPr>
            <w:r>
              <w:rPr>
                <w:rFonts w:ascii="Arial" w:cs="Arial" w:eastAsia="Arial" w:hAnsi="Arial"/>
                <w:sz w:val="18"/>
                <w:szCs w:val="18"/>
                <w:b w:val="1"/>
                <w:bCs w:val="1"/>
                <w:color w:val="auto"/>
                <w:w w:val="91"/>
              </w:rPr>
              <w:t>Pricing</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PSAs</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Basin</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PSA 1</w:t>
            </w:r>
          </w:p>
        </w:tc>
        <w:tc>
          <w:tcPr>
            <w:tcW w:w="1340" w:type="dxa"/>
            <w:vAlign w:val="bottom"/>
          </w:tcPr>
          <w:p>
            <w:pPr>
              <w:jc w:val="center"/>
              <w:ind w:left="214"/>
              <w:spacing w:after="0"/>
              <w:rPr>
                <w:sz w:val="20"/>
                <w:szCs w:val="20"/>
                <w:color w:val="auto"/>
              </w:rPr>
            </w:pPr>
            <w:r>
              <w:rPr>
                <w:rFonts w:ascii="Arial" w:cs="Arial" w:eastAsia="Arial" w:hAnsi="Arial"/>
                <w:sz w:val="16"/>
                <w:szCs w:val="16"/>
                <w:i w:val="1"/>
                <w:iCs w:val="1"/>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2025</w:t>
            </w:r>
          </w:p>
        </w:tc>
        <w:tc>
          <w:tcPr>
            <w:tcW w:w="1880" w:type="dxa"/>
            <w:vAlign w:val="bottom"/>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30"/>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PSA 2</w:t>
            </w:r>
          </w:p>
        </w:tc>
        <w:tc>
          <w:tcPr>
            <w:tcW w:w="13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5"/>
              </w:rPr>
              <w:t>100 MW</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2025</w:t>
            </w:r>
          </w:p>
        </w:tc>
        <w:tc>
          <w:tcPr>
            <w:tcW w:w="18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3"/>
              </w:rPr>
              <w:t>May 2028</w:t>
            </w:r>
          </w:p>
        </w:tc>
        <w:tc>
          <w:tcPr>
            <w:tcW w:w="188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Great River Energy</w:t>
            </w:r>
          </w:p>
        </w:tc>
        <w:tc>
          <w:tcPr>
            <w:tcW w:w="1340" w:type="dxa"/>
            <w:vAlign w:val="bottom"/>
          </w:tcPr>
          <w:p>
            <w:pPr>
              <w:jc w:val="center"/>
              <w:ind w:left="214"/>
              <w:spacing w:after="0"/>
              <w:rPr>
                <w:sz w:val="20"/>
                <w:szCs w:val="20"/>
                <w:color w:val="auto"/>
              </w:rPr>
            </w:pPr>
            <w:r>
              <w:rPr>
                <w:rFonts w:ascii="Arial" w:cs="Arial" w:eastAsia="Arial" w:hAnsi="Arial"/>
                <w:sz w:val="18"/>
                <w:szCs w:val="18"/>
                <w:color w:val="auto"/>
                <w:w w:val="95"/>
              </w:rPr>
              <w:t>100 MW</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2025</w:t>
            </w:r>
          </w:p>
        </w:tc>
        <w:tc>
          <w:tcPr>
            <w:tcW w:w="1880" w:type="dxa"/>
            <w:vAlign w:val="bottom"/>
          </w:tcPr>
          <w:p>
            <w:pPr>
              <w:jc w:val="center"/>
              <w:ind w:right="214"/>
              <w:spacing w:after="0"/>
              <w:rPr>
                <w:sz w:val="20"/>
                <w:szCs w:val="20"/>
                <w:color w:val="auto"/>
              </w:rPr>
            </w:pPr>
            <w:r>
              <w:rPr>
                <w:rFonts w:ascii="Arial" w:cs="Arial" w:eastAsia="Arial" w:hAnsi="Arial"/>
                <w:sz w:val="16"/>
                <w:szCs w:val="16"/>
                <w:color w:val="auto"/>
                <w:w w:val="97"/>
              </w:rPr>
              <w:t>Fixed</w:t>
            </w: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Minnkota Power</w:t>
            </w:r>
          </w:p>
        </w:tc>
        <w:tc>
          <w:tcPr>
            <w:tcW w:w="1340" w:type="dxa"/>
            <w:vAlign w:val="bottom"/>
            <w:shd w:val="clear" w:color="auto" w:fill="CCEEFF"/>
          </w:tcPr>
          <w:p>
            <w:pPr>
              <w:jc w:val="center"/>
              <w:ind w:left="214"/>
              <w:spacing w:after="0"/>
              <w:rPr>
                <w:sz w:val="20"/>
                <w:szCs w:val="20"/>
                <w:color w:val="auto"/>
              </w:rPr>
            </w:pPr>
            <w:r>
              <w:rPr>
                <w:rFonts w:ascii="Arial" w:cs="Arial" w:eastAsia="Arial" w:hAnsi="Arial"/>
                <w:sz w:val="16"/>
                <w:szCs w:val="16"/>
                <w:i w:val="1"/>
                <w:iCs w:val="1"/>
                <w:color w:val="auto"/>
              </w:rPr>
              <w:t>(b)</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2014</w:t>
            </w:r>
          </w:p>
        </w:tc>
        <w:tc>
          <w:tcPr>
            <w:tcW w:w="18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December 2026</w:t>
            </w:r>
          </w:p>
        </w:tc>
        <w:tc>
          <w:tcPr>
            <w:tcW w:w="1880" w:type="dxa"/>
            <w:vAlign w:val="bottom"/>
            <w:shd w:val="clear" w:color="auto" w:fill="CCEEFF"/>
          </w:tcPr>
          <w:p>
            <w:pPr>
              <w:jc w:val="center"/>
              <w:ind w:right="214"/>
              <w:spacing w:after="0"/>
              <w:rPr>
                <w:sz w:val="20"/>
                <w:szCs w:val="20"/>
                <w:color w:val="auto"/>
              </w:rPr>
            </w:pPr>
            <w:r>
              <w:rPr>
                <w:rFonts w:ascii="Arial" w:cs="Arial" w:eastAsia="Arial" w:hAnsi="Arial"/>
                <w:sz w:val="16"/>
                <w:szCs w:val="16"/>
                <w:i w:val="1"/>
                <w:iCs w:val="1"/>
                <w:color w:val="auto"/>
                <w:w w:val="91"/>
              </w:rPr>
              <w:t>(b)</w:t>
            </w: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Oconto Electric Cooperative</w:t>
            </w:r>
          </w:p>
        </w:tc>
        <w:tc>
          <w:tcPr>
            <w:tcW w:w="1340" w:type="dxa"/>
            <w:vAlign w:val="bottom"/>
          </w:tcPr>
          <w:p>
            <w:pPr>
              <w:jc w:val="center"/>
              <w:ind w:left="214"/>
              <w:spacing w:after="0"/>
              <w:rPr>
                <w:sz w:val="20"/>
                <w:szCs w:val="20"/>
                <w:color w:val="auto"/>
              </w:rPr>
            </w:pPr>
            <w:r>
              <w:rPr>
                <w:rFonts w:ascii="Arial" w:cs="Arial" w:eastAsia="Arial" w:hAnsi="Arial"/>
                <w:sz w:val="18"/>
                <w:szCs w:val="18"/>
                <w:color w:val="auto"/>
                <w:w w:val="98"/>
              </w:rPr>
              <w:t>25 MW</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2019</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2026</w:t>
            </w:r>
          </w:p>
        </w:tc>
        <w:tc>
          <w:tcPr>
            <w:tcW w:w="1880" w:type="dxa"/>
            <w:vAlign w:val="bottom"/>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30"/>
        </w:trPr>
        <w:tc>
          <w:tcPr>
            <w:tcW w:w="2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Silver Bay Power</w:t>
            </w:r>
          </w:p>
        </w:tc>
        <w:tc>
          <w:tcPr>
            <w:tcW w:w="1340" w:type="dxa"/>
            <w:vAlign w:val="bottom"/>
            <w:tcBorders>
              <w:bottom w:val="single" w:sz="8" w:color="auto"/>
            </w:tcBorders>
            <w:shd w:val="clear" w:color="auto" w:fill="CCEEFF"/>
          </w:tcPr>
          <w:p>
            <w:pPr>
              <w:jc w:val="center"/>
              <w:ind w:left="194"/>
              <w:spacing w:after="0"/>
              <w:rPr>
                <w:sz w:val="20"/>
                <w:szCs w:val="20"/>
                <w:color w:val="auto"/>
              </w:rPr>
            </w:pPr>
            <w:r>
              <w:rPr>
                <w:rFonts w:ascii="Arial" w:cs="Arial" w:eastAsia="Arial" w:hAnsi="Arial"/>
                <w:sz w:val="16"/>
                <w:szCs w:val="16"/>
                <w:i w:val="1"/>
                <w:iCs w:val="1"/>
                <w:color w:val="auto"/>
                <w:w w:val="96"/>
              </w:rPr>
              <w:t>(c)</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8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88"/>
              </w:rPr>
              <w:t>December 2031</w:t>
            </w:r>
          </w:p>
        </w:tc>
        <w:tc>
          <w:tcPr>
            <w:tcW w:w="188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6"/>
                <w:szCs w:val="16"/>
                <w:i w:val="1"/>
                <w:iCs w:val="1"/>
                <w:color w:val="auto"/>
                <w:w w:val="91"/>
              </w:rPr>
              <w:t>(d)</w:t>
            </w:r>
          </w:p>
        </w:tc>
      </w:tr>
    </w:tbl>
    <w:p>
      <w:pPr>
        <w:spacing w:after="0" w:line="85" w:lineRule="exact"/>
        <w:rPr>
          <w:sz w:val="20"/>
          <w:szCs w:val="20"/>
          <w:color w:val="auto"/>
        </w:rPr>
      </w:pPr>
    </w:p>
    <w:p>
      <w:pPr>
        <w:ind w:left="340" w:hanging="332"/>
        <w:spacing w:after="0" w:line="255"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provides for 75 MW of capacity from June 1, 2022, through May 31, 2023, and increases to 125 MW of capacity from June 1, 2023, through May 31, 2025.</w:t>
      </w:r>
    </w:p>
    <w:p>
      <w:pPr>
        <w:spacing w:after="0" w:line="1" w:lineRule="exact"/>
        <w:rPr>
          <w:rFonts w:ascii="Arial" w:cs="Arial" w:eastAsia="Arial" w:hAnsi="Arial"/>
          <w:sz w:val="16"/>
          <w:szCs w:val="16"/>
          <w:i w:val="1"/>
          <w:iCs w:val="1"/>
          <w:color w:val="auto"/>
        </w:rPr>
      </w:pPr>
    </w:p>
    <w:p>
      <w:pPr>
        <w:jc w:val="both"/>
        <w:ind w:left="340" w:right="20" w:hanging="332"/>
        <w:spacing w:after="0" w:line="246" w:lineRule="auto"/>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28 percent in 2021 (28 percent in 2020 and in 2019). (See Square Butte PPA.)</w:t>
      </w:r>
    </w:p>
    <w:p>
      <w:pPr>
        <w:spacing w:after="0" w:line="1" w:lineRule="exact"/>
        <w:rPr>
          <w:rFonts w:ascii="Arial" w:cs="Arial" w:eastAsia="Arial" w:hAnsi="Arial"/>
          <w:sz w:val="16"/>
          <w:szCs w:val="16"/>
          <w:i w:val="1"/>
          <w:iCs w:val="1"/>
          <w:color w:val="auto"/>
        </w:rPr>
      </w:pPr>
    </w:p>
    <w:p>
      <w:pPr>
        <w:ind w:left="340" w:hanging="332"/>
        <w:spacing w:after="0" w:line="246" w:lineRule="auto"/>
        <w:tabs>
          <w:tab w:leader="none" w:pos="331"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 which had previously been served predominately through self-generation by Silver Bay Power. Minnesota Power now supplies the full energy requirements for Silver Bay Power.</w:t>
      </w: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escalates at a fixed rate annually and is adjusted for changes in a natural gas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2022.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on March 15, 2021, to revise the 2016 CSAPR Update does not apply to the state of Minnesota and is therefore not currently projected to affect Minnesota Power’s CSAPR compliance. The State of Minnesota has not been identified in litigation as a culpable upwind emission source to downwind states, and previous EPA air quality modeling has demonstrated that Minnesota is not a significant contributor to downwind air quality attainment challenges. Minnesota Power will continue to monitor ongoing CSAPR rulemakings and compliance implementation.</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National Ambient Air Quality Standards (NAAQS). </w:t>
      </w:r>
      <w:r>
        <w:rPr>
          <w:rFonts w:ascii="Arial" w:cs="Arial" w:eastAsia="Arial" w:hAnsi="Arial"/>
          <w:sz w:val="18"/>
          <w:szCs w:val="18"/>
          <w:color w:val="auto"/>
        </w:rPr>
        <w:t>The EPA is required to review the NAAQS every five years. If the EPA determines that a state’s air</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NOx and SO</w:t>
      </w:r>
      <w:r>
        <w:rPr>
          <w:rFonts w:ascii="Arial" w:cs="Arial" w:eastAsia="Arial" w:hAnsi="Arial"/>
          <w:sz w:val="23"/>
          <w:szCs w:val="23"/>
          <w:color w:val="auto"/>
          <w:vertAlign w:val="subscript"/>
        </w:rPr>
        <w:t>2</w:t>
      </w:r>
      <w:r>
        <w:rPr>
          <w:rFonts w:ascii="Arial" w:cs="Arial" w:eastAsia="Arial" w:hAnsi="Arial"/>
          <w:sz w:val="18"/>
          <w:szCs w:val="18"/>
          <w:color w:val="auto"/>
        </w:rPr>
        <w:t>, as well as particulate matter. On June 10, 2021, the EPA announced it will reconsider the December 2020 final rule retaining the 2012 particulate matter NAAQS annual standard, with a proposed rulemaking anticipated in late 2022 and final action expected in early 2023. The EPA also stated it would complete reconsideration of the December 2020 Ozone NAAQS by the end of 2023.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2019, the EPA finalized several separate rulemakings regarding regulating carbon emissions from electric utility</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generating units. These rulemakings included repealing the Clean Power Plan (CPP) and adopting the Affordable Clean Energy Rule under Section 111(d) of the Clean Air Act (CAA) to regulate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w:t>
      </w:r>
      <w:r>
        <w:rPr>
          <w:rFonts w:ascii="Arial" w:cs="Arial" w:eastAsia="Arial" w:hAnsi="Arial"/>
          <w:sz w:val="21"/>
          <w:szCs w:val="21"/>
          <w:color w:val="auto"/>
          <w:vertAlign w:val="subscript"/>
        </w:rPr>
        <w:t>2</w:t>
      </w:r>
      <w:r>
        <w:rPr>
          <w:rFonts w:ascii="Arial" w:cs="Arial" w:eastAsia="Arial" w:hAnsi="Arial"/>
          <w:sz w:val="17"/>
          <w:szCs w:val="17"/>
          <w:color w:val="auto"/>
        </w:rPr>
        <w:t xml:space="preserve"> coal-fired power plants. The EPA also published regulations for the state implementation of the Affordable Clean Energy Rule and other Section 111(d) rules. Affected facilities for Minnesota Power included Boswell Units 3 and 4, and Taconite Harbor Units 1 and 2, which are currently economically idled.</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19,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were subsequently granted for review by the U.S. Supreme Court on October 29, 2021, with a decision expected in mid-2022.</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6"/>
          <w:szCs w:val="16"/>
          <w:color w:val="auto"/>
        </w:rPr>
        <w:t>The EPA also indicated that it intends to issue a proposed rule in mid-2022 and a final rule in mid-2023 with a new set of emission guidelines for states to follow in submitting state plans to establish and implement standards of performance for GHG emissions from existing fossil fuel-fired electric generating</w:t>
      </w:r>
    </w:p>
    <w:p>
      <w:pPr>
        <w:spacing w:after="0"/>
        <w:rPr>
          <w:sz w:val="20"/>
          <w:szCs w:val="20"/>
          <w:color w:val="auto"/>
        </w:rPr>
      </w:pPr>
      <w:r>
        <w:rPr>
          <w:rFonts w:ascii="Arial" w:cs="Arial" w:eastAsia="Arial" w:hAnsi="Arial"/>
          <w:sz w:val="18"/>
          <w:szCs w:val="18"/>
          <w:color w:val="auto"/>
        </w:rPr>
        <w:t>units. Minnesota Power will continue to monitor any related guidelines and rulemakings issued by the EPA or state regulatory authorities.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22,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Minnesota had already initiated several measures consistent with those called for under the now repealed CPP and vacated Affordable Clean Energy Rule. Minnesota Power continues implementing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on January 13,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In April 2021, the EPA requested and was allowed to voluntarily vacate and remand the Significant Contribution Finding determination criteria related to this NSPS. The EPA intends to issue a proposed rule in mid-2022 and a final rule by mid-2023. Minnesota Power is monitoring the NSPS final rule and any further Section 111(b) developments including their potential impact to the Company. The Company’s proposed combined-cycle natural gas-fired generating facility, NTEC, is expected to meet these NSPS requirements.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Steam Electric Power Generating Effluent Limitations Guidelines. </w:t>
      </w:r>
      <w:r>
        <w:rPr>
          <w:rFonts w:ascii="Arial" w:cs="Arial" w:eastAsia="Arial" w:hAnsi="Arial"/>
          <w:sz w:val="16"/>
          <w:szCs w:val="16"/>
          <w:color w:val="auto"/>
        </w:rPr>
        <w:t>In 2015, the EPA issued revised federal effluent limitation guidelines (ELG) for steam</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preliminary effluent guidelines program plan. In the plan, the EPA confirmed the agency is initiating a rulemaking process to strengthen wastewater pollution limitations from</w:t>
      </w:r>
    </w:p>
    <w:p>
      <w:pPr>
        <w:spacing w:after="0" w:line="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FGD and bottom ash transport water discharges while the 2020 ELG Rule remains in effect. The EPA is expected to publish a proposed rule in the fall of 2022.</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ELG's potential impact on Minnesota Power operations is primarily at Boswell. Boswell currently discharges bottom ash contact water through its NPDES permit, and also has a closed-loop FGD system that does not discharge to surface waters, but may do so in the future. With Boswell’s planned conversion to dry FGD handling and storage, ongoing FGD water generation will be reduced, and the majority of FGD waters will be legacy waters to be dewatered from existing impoundments. Re-use and onsite consumption for the majority of FGD waters is planned at Boswell.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ELG rule, most bottom ash transport water discharge to surface waters must cease no later than December 31, 2025, except for small discharges needed to retain water balance. The majority of bottom ash transport water will either need to be re-used in a closed-loop process or routed to a FGD scrubber. At Boswell, the bottom ash handling systems are planned to be converted to a dry process, which will eliminate the discharge of bottom ash transport water.</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EPA’s additional reconsideration of legacy wastewater discharge requirements has the potential to reduce timelines for dewatering Boswell’s existing ponds. The EPA has withdrawn its separate action regarding the 2015 leachate and legacy wastewater ELGs and intends to consolidate that reconsideration with the 2020 bottom ash transport water and FGD ELG reconsideration. A proposed rule is expected in late 2022.</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this time, we estimate that the planned dry conversion of bottom ash handling and storage at Boswell in response to the CCR revisions requiring closure of clay-lined impoundments, as well as other water re-use practices, will reduce or eliminate the need for additional significant compliance costs for ELG bottom ash water and FGD requirements. Compliance costs we might incur related to other ELG waste streams (e.g., legacy leachate) or other potential future water discharge regulations cannot be estimated; however, the costs could be material, including costs associated with wastewater treatment and re-use. Minnesota Power would seek recovery of additional costs through a rate proceeding.</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subsequently proposed a list of 30 wild rice waters in a separate listing process on April 29, 2021, followed by a list of three additional wild rice waters proposed separately on September 1, 2021. A final impaired waters listing is expected to follow, which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Coal Combustion Residuals from Electric Utilities (CCR). </w:t>
      </w:r>
      <w:r>
        <w:rPr>
          <w:rFonts w:ascii="Arial" w:cs="Arial" w:eastAsia="Arial" w:hAnsi="Arial"/>
          <w:sz w:val="17"/>
          <w:szCs w:val="17"/>
          <w:color w:val="auto"/>
        </w:rPr>
        <w:t>In 2015, the EPA published the final rule regulating CCR as nonhazardous waste under Subtitle</w:t>
      </w:r>
      <w:r>
        <w:rPr>
          <w:rFonts w:ascii="Arial" w:cs="Arial" w:eastAsia="Arial" w:hAnsi="Arial"/>
          <w:sz w:val="17"/>
          <w:szCs w:val="17"/>
          <w:i w:val="1"/>
          <w:iCs w:val="1"/>
          <w:color w:val="auto"/>
        </w:rPr>
        <w:t xml:space="preserve"> </w:t>
      </w:r>
      <w:r>
        <w:rPr>
          <w:rFonts w:ascii="Arial" w:cs="Arial" w:eastAsia="Arial" w:hAnsi="Arial"/>
          <w:sz w:val="17"/>
          <w:szCs w:val="17"/>
          <w:color w:val="auto"/>
        </w:rPr>
        <w:t>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This deadline has continued to toll as the EPA did not make any variance application determinations by that date. Minnesota Power sought EPA approval to extend the closure date for the two active Boswell impoundments in November 2020 through a variance application, and continues to operate the impoundments pending a final determination by the EPA. On January 11, 2022, the EPA issued a number of Part A and Part B variance application completeness determinations. The Boswell application was deemed complete; an approval or denial of the application is expected in mid-2022.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EPA released a proposed Part B rulemaking in 2020 that addressed options for beneficial reuse of CCR materials, alternative liner demonstrations, and other CCR regulatory revisions. Portions of the Part B Rule addressing alternative liner equivalency standards were finalized in November 2020. According to the EPA’s regulatory agenda, finalization of the remainder of the proposed Part B Rule is expected in late 2022. Expected compliance costs at Boswell due to the court decision and subsequent rule revisions are reflected in our estimate of compliance costs for the CCR rule noted previously. Minnesota Power would seek recovery of additional costs through a rate proceeding.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Manufactured Gas Plant Site. </w:t>
      </w:r>
      <w:r>
        <w:rPr>
          <w:rFonts w:ascii="Arial" w:cs="Arial" w:eastAsia="Arial" w:hAnsi="Arial"/>
          <w:sz w:val="16"/>
          <w:szCs w:val="16"/>
          <w:color w:val="auto"/>
        </w:rPr>
        <w:t>We are reviewing and addressing environmental conditions at a former manufactured gas plant site located in Superior,</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and formerly operated by SWL&amp;P. SWL&amp;P has been working with the Wisconsin Department of Natural Resources (WDNR) in determining the extent and location of contamination at the site and surrounding properties. As of December 31, 2021, we have recorded a liability of approximately $18 million for remediation costs at this site after further refining the scope of work and cost estimates as well as incorporating detailed design components specific to the site in 2021 (approximately $7 million as of December 31, 2020); however, SWL&amp;P continues to work with the WDNR on the extent of contamination which may result in additional remediation costs being identified. SWL&amp;P has also recorded an associated regulatory asset as we expect recovery of these remediation costs to be allowed by the PSCW. Remediation costs are expected to be incurred through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our contractual security requirements across our businesses. As of December 31, 2021, we had $134.7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Regulated Operations</w:t>
      </w:r>
      <w:r>
        <w:rPr>
          <w:rFonts w:ascii="Arial" w:cs="Arial" w:eastAsia="Arial" w:hAnsi="Arial"/>
          <w:sz w:val="18"/>
          <w:szCs w:val="18"/>
          <w:color w:val="auto"/>
        </w:rPr>
        <w:t>. As of December 31, 2021, we had $10.9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for MISO and state agency agreements as well as energy facilities under development.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ALLETE Clean Energy</w:t>
      </w:r>
      <w:r>
        <w:rPr>
          <w:rFonts w:ascii="Arial" w:cs="Arial" w:eastAsia="Arial" w:hAnsi="Arial"/>
          <w:sz w:val="18"/>
          <w:szCs w:val="18"/>
          <w:color w:val="auto"/>
        </w:rPr>
        <w:t>. ALLETE Clean Energy’s wind energy facilities have PSAs in place for their output and expire in various years between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2039. As of December 31, 2021, ALLETE Clean Energy has $87.4 million outstanding in standby letters of credit, the majority of which are pledged as security under these PSAs and PSAs for wind energy facilities under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December 31, 2021, BNI Energy had surety bonds outstanding of $71.2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$70.7 million. BNI Energy does not believe it is likely that any of these outstanding surety bonds will be drawn upon.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in Nobles 2</w:t>
      </w:r>
      <w:r>
        <w:rPr>
          <w:rFonts w:ascii="Arial" w:cs="Arial" w:eastAsia="Arial" w:hAnsi="Arial"/>
          <w:sz w:val="18"/>
          <w:szCs w:val="18"/>
          <w:color w:val="auto"/>
        </w:rPr>
        <w:t>. Nobles 2 wind energy facility requires standby letters of credit as security for certain contractual obligations. As of December 31, 2021, ALLETE South Wind has $12.5 million outstanding in standby letters of credit, related to our portion of the security requirements relative to our ownership in Nobles 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Shore Energy</w:t>
      </w:r>
      <w:r>
        <w:rPr>
          <w:rFonts w:ascii="Arial" w:cs="Arial" w:eastAsia="Arial" w:hAnsi="Arial"/>
          <w:sz w:val="18"/>
          <w:szCs w:val="18"/>
          <w:color w:val="auto"/>
        </w:rPr>
        <w:t>. As of December 31, 2021,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ALLETE Properties</w:t>
      </w:r>
      <w:r>
        <w:rPr>
          <w:rFonts w:ascii="Arial" w:cs="Arial" w:eastAsia="Arial" w:hAnsi="Arial"/>
          <w:sz w:val="16"/>
          <w:szCs w:val="16"/>
          <w:color w:val="auto"/>
        </w:rPr>
        <w:t>. As of December 31, 2021,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8.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Community Development District Obligations. </w:t>
      </w:r>
      <w:r>
        <w:rPr>
          <w:rFonts w:ascii="Arial" w:cs="Arial" w:eastAsia="Arial" w:hAnsi="Arial"/>
          <w:sz w:val="18"/>
          <w:szCs w:val="18"/>
          <w:color w:val="auto"/>
        </w:rPr>
        <w:t>In 2005, the Town Center District issued $26.4 million of tax-exempt, 6.0 percent capital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The capital improvement revenue bonds are payable over 31 years (by May 1, 2036) and are secured by special assessments on the benefited land. To the extent that ALLETE Properties still owns land at the time of the assessment, it will incur the cost of its portion of these assessments, based upon its ownership of benefited property.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2021, we owned 30 percent of the assessable land in the Town Center District (48 percent as of December 31, 2020). As of December 31, 2021, ownership levels, our annual assessments related to capital improvement and special assessment bonds for the ALLETE Properties project within the district is approximately $1.8 million. As we sell property at this project, the obligation to pay special assessments will pass to the new landowners. In accordance with accounting guidance, these bonds are not reflected as debt on our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been named in a lawsuit where a contractor performing work at one of its facilities experienced an injury and subsequently filed a lawsuit seeking compensatory damages. Litigation related to this injury is ongoing. At this time, a loss is considered reasonably possible; however, we do not deem it probable, and we are unable to estimate a loss or range of loss related to the litigation at this time.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9. COMMON STOCK AND EARNINGS PER SHARE</w:t>
            </w:r>
          </w:p>
        </w:tc>
        <w:tc>
          <w:tcPr>
            <w:tcW w:w="3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5"/>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Summary of Common Stock</w:t>
            </w:r>
          </w:p>
        </w:tc>
        <w:tc>
          <w:tcPr>
            <w:tcW w:w="328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234"/>
        </w:trPr>
        <w:tc>
          <w:tcPr>
            <w:tcW w:w="69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Millions</w:t>
            </w:r>
          </w:p>
        </w:tc>
      </w:tr>
      <w:tr>
        <w:trPr>
          <w:trHeight w:val="223"/>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51,509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$1,428.5</w:t>
            </w:r>
          </w:p>
        </w:tc>
      </w:tr>
      <w:tr>
        <w:trPr>
          <w:trHeight w:val="223"/>
        </w:trPr>
        <w:tc>
          <w:tcPr>
            <w:tcW w:w="6920" w:type="dxa"/>
            <w:vAlign w:val="bottom"/>
          </w:tcPr>
          <w:p>
            <w:pPr>
              <w:ind w:left="680"/>
              <w:spacing w:after="0"/>
              <w:rPr>
                <w:sz w:val="20"/>
                <w:szCs w:val="20"/>
                <w:color w:val="auto"/>
              </w:rPr>
            </w:pPr>
            <w:r>
              <w:rPr>
                <w:rFonts w:ascii="Arial" w:cs="Arial" w:eastAsia="Arial" w:hAnsi="Arial"/>
                <w:sz w:val="18"/>
                <w:szCs w:val="18"/>
                <w:color w:val="auto"/>
              </w:rPr>
              <w:t>Employee Stock Purchase Plan</w:t>
            </w:r>
          </w:p>
        </w:tc>
        <w:tc>
          <w:tcPr>
            <w:tcW w:w="328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 Direct</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920" w:type="dxa"/>
            <w:vAlign w:val="bottom"/>
          </w:tcPr>
          <w:p>
            <w:pPr>
              <w:ind w:left="680"/>
              <w:spacing w:after="0"/>
              <w:rPr>
                <w:sz w:val="20"/>
                <w:szCs w:val="20"/>
                <w:color w:val="auto"/>
              </w:rPr>
            </w:pPr>
            <w:r>
              <w:rPr>
                <w:rFonts w:ascii="Arial" w:cs="Arial" w:eastAsia="Arial" w:hAnsi="Arial"/>
                <w:sz w:val="18"/>
                <w:szCs w:val="18"/>
                <w:color w:val="auto"/>
              </w:rPr>
              <w:t>Options and Stock Awards</w:t>
            </w:r>
          </w:p>
        </w:tc>
        <w:tc>
          <w:tcPr>
            <w:tcW w:w="3280" w:type="dxa"/>
            <w:vAlign w:val="bottom"/>
          </w:tcPr>
          <w:p>
            <w:pPr>
              <w:jc w:val="right"/>
              <w:ind w:right="290"/>
              <w:spacing w:after="0"/>
              <w:rPr>
                <w:sz w:val="20"/>
                <w:szCs w:val="20"/>
                <w:color w:val="auto"/>
              </w:rPr>
            </w:pPr>
            <w:r>
              <w:rPr>
                <w:rFonts w:ascii="Arial" w:cs="Arial" w:eastAsia="Arial" w:hAnsi="Arial"/>
                <w:sz w:val="18"/>
                <w:szCs w:val="18"/>
                <w:color w:val="auto"/>
              </w:rPr>
              <w:t>85</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Contributions to RSOP</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2019</w:t>
            </w:r>
          </w:p>
        </w:tc>
        <w:tc>
          <w:tcPr>
            <w:tcW w:w="3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51,679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1,436.7</w:t>
            </w:r>
          </w:p>
        </w:tc>
      </w:tr>
      <w:tr>
        <w:trPr>
          <w:trHeight w:val="223"/>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Employee Stock Purchase Plan</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920" w:type="dxa"/>
            <w:vAlign w:val="bottom"/>
          </w:tcPr>
          <w:p>
            <w:pPr>
              <w:ind w:left="680"/>
              <w:spacing w:after="0"/>
              <w:rPr>
                <w:sz w:val="20"/>
                <w:szCs w:val="20"/>
                <w:color w:val="auto"/>
              </w:rPr>
            </w:pPr>
            <w:r>
              <w:rPr>
                <w:rFonts w:ascii="Arial" w:cs="Arial" w:eastAsia="Arial" w:hAnsi="Arial"/>
                <w:sz w:val="18"/>
                <w:szCs w:val="18"/>
                <w:color w:val="auto"/>
              </w:rPr>
              <w:t>Invest Direct</w:t>
            </w:r>
          </w:p>
        </w:tc>
        <w:tc>
          <w:tcPr>
            <w:tcW w:w="3280" w:type="dxa"/>
            <w:vAlign w:val="bottom"/>
          </w:tcPr>
          <w:p>
            <w:pPr>
              <w:jc w:val="right"/>
              <w:ind w:right="290"/>
              <w:spacing w:after="0"/>
              <w:rPr>
                <w:sz w:val="20"/>
                <w:szCs w:val="20"/>
                <w:color w:val="auto"/>
              </w:rPr>
            </w:pPr>
            <w:r>
              <w:rPr>
                <w:rFonts w:ascii="Arial" w:cs="Arial" w:eastAsia="Arial" w:hAnsi="Arial"/>
                <w:sz w:val="18"/>
                <w:szCs w:val="18"/>
                <w:color w:val="auto"/>
              </w:rPr>
              <w:t>309</w:t>
            </w: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Options and Stock Awards</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Contributions to RSOP</w:t>
            </w:r>
          </w:p>
        </w:tc>
        <w:tc>
          <w:tcPr>
            <w:tcW w:w="3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52,085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23"/>
        </w:trPr>
        <w:tc>
          <w:tcPr>
            <w:tcW w:w="6920" w:type="dxa"/>
            <w:vAlign w:val="bottom"/>
          </w:tcPr>
          <w:p>
            <w:pPr>
              <w:ind w:left="680"/>
              <w:spacing w:after="0"/>
              <w:rPr>
                <w:sz w:val="20"/>
                <w:szCs w:val="20"/>
                <w:color w:val="auto"/>
              </w:rPr>
            </w:pPr>
            <w:r>
              <w:rPr>
                <w:rFonts w:ascii="Arial" w:cs="Arial" w:eastAsia="Arial" w:hAnsi="Arial"/>
                <w:sz w:val="18"/>
                <w:szCs w:val="18"/>
                <w:color w:val="auto"/>
              </w:rPr>
              <w:t>Employee Stock Purchase Plan</w:t>
            </w:r>
          </w:p>
        </w:tc>
        <w:tc>
          <w:tcPr>
            <w:tcW w:w="328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 Direct</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6920" w:type="dxa"/>
            <w:vAlign w:val="bottom"/>
          </w:tcPr>
          <w:p>
            <w:pPr>
              <w:ind w:left="680"/>
              <w:spacing w:after="0"/>
              <w:rPr>
                <w:sz w:val="20"/>
                <w:szCs w:val="20"/>
                <w:color w:val="auto"/>
              </w:rPr>
            </w:pPr>
            <w:r>
              <w:rPr>
                <w:rFonts w:ascii="Arial" w:cs="Arial" w:eastAsia="Arial" w:hAnsi="Arial"/>
                <w:sz w:val="18"/>
                <w:szCs w:val="18"/>
                <w:color w:val="auto"/>
              </w:rPr>
              <w:t>Options and Stock Awards</w:t>
            </w:r>
          </w:p>
        </w:tc>
        <w:tc>
          <w:tcPr>
            <w:tcW w:w="3280" w:type="dxa"/>
            <w:vAlign w:val="bottom"/>
          </w:tcPr>
          <w:p>
            <w:pPr>
              <w:jc w:val="right"/>
              <w:ind w:right="290"/>
              <w:spacing w:after="0"/>
              <w:rPr>
                <w:sz w:val="20"/>
                <w:szCs w:val="20"/>
                <w:color w:val="auto"/>
              </w:rPr>
            </w:pPr>
            <w:r>
              <w:rPr>
                <w:rFonts w:ascii="Arial" w:cs="Arial" w:eastAsia="Arial" w:hAnsi="Arial"/>
                <w:sz w:val="18"/>
                <w:szCs w:val="18"/>
                <w:color w:val="auto"/>
              </w:rPr>
              <w:t>49</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Contributions to RSOP</w:t>
            </w:r>
          </w:p>
        </w:tc>
        <w:tc>
          <w:tcPr>
            <w:tcW w:w="32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9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Equity Issuance Program</w:t>
            </w:r>
          </w:p>
        </w:tc>
        <w:tc>
          <w:tcPr>
            <w:tcW w:w="3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782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32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53,220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9. COMMON STOCK AND EARNINGS PER SHARE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Lampert Capital Markets, in 2008, as amended most recently in 2020,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13.6 million shares of our common stock, without par value, of which 2.1 million shares remain available for issuance as of December 31, 2021. For the year ended December 31, 2021, 0.8 million shares of common stock were issued under this agreement (none in 2020 and 2019) resulting in proceeds of $51.0 million.</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We compute basic earnings per share using the weighted average number of shares of common stock outstanding during each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between basic and diluted earnings per share, if any, arises from non-vested restricted stock units and performance share awards granted under our Executive Long-Term Incentive Compensation Plan.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96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Dilutive</w:t>
            </w:r>
          </w:p>
        </w:tc>
        <w:tc>
          <w:tcPr>
            <w:tcW w:w="980" w:type="dxa"/>
            <w:vAlign w:val="bottom"/>
          </w:tcPr>
          <w:p>
            <w:pPr>
              <w:spacing w:after="0"/>
              <w:rPr>
                <w:sz w:val="19"/>
                <w:szCs w:val="19"/>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Basic</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Diluted</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$169.2</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$3.23</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$174.2</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51.9</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$3.36</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$185.6</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$185.6</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51.6</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3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$3.59</w:t>
            </w:r>
          </w:p>
        </w:tc>
        <w:tc>
          <w:tcPr>
            <w:tcW w:w="1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777"/>
        </w:trPr>
        <w:tc>
          <w:tcPr>
            <w:tcW w:w="5880" w:type="dxa"/>
            <w:vAlign w:val="bottom"/>
          </w:tcPr>
          <w:p>
            <w:pPr>
              <w:spacing w:after="0"/>
              <w:rPr>
                <w:sz w:val="20"/>
                <w:szCs w:val="20"/>
                <w:color w:val="auto"/>
              </w:rPr>
            </w:pPr>
            <w:r>
              <w:rPr>
                <w:rFonts w:ascii="Arial" w:cs="Arial" w:eastAsia="Arial" w:hAnsi="Arial"/>
                <w:sz w:val="18"/>
                <w:szCs w:val="18"/>
                <w:b w:val="1"/>
                <w:bCs w:val="1"/>
                <w:color w:val="auto"/>
              </w:rPr>
              <w:t>NOTE 10. INCOME TAX EXPENSE</w:t>
            </w:r>
          </w:p>
        </w:tc>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95"/>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$(37.2)</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$(48.8)</w:t>
            </w:r>
          </w:p>
        </w:tc>
        <w:tc>
          <w:tcPr>
            <w:tcW w:w="98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10.8</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Expense (Benefit)</w:t>
            </w:r>
          </w:p>
        </w:tc>
        <w:tc>
          <w:tcPr>
            <w:tcW w:w="2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$(26.9)</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$(26.9)</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bl>
    <w:p>
      <w:pPr>
        <w:spacing w:after="0" w:line="71" w:lineRule="exact"/>
        <w:rPr>
          <w:sz w:val="20"/>
          <w:szCs w:val="20"/>
          <w:color w:val="auto"/>
        </w:rPr>
      </w:pPr>
    </w:p>
    <w:p>
      <w:pPr>
        <w:ind w:left="340" w:hanging="332"/>
        <w:spacing w:after="0" w:line="272" w:lineRule="auto"/>
        <w:tabs>
          <w:tab w:leader="none" w:pos="34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For the years ended December 31, 2021, 2020 and 2019, the federal and state current tax expense was minimal due to NOLs which resulted from the bonus depreciation and related tax attributes from large wind projects. Federal and state NOLs are being carried forward to offset current and future taxable income.</w:t>
      </w:r>
    </w:p>
    <w:p>
      <w:pPr>
        <w:spacing w:after="0" w:line="1" w:lineRule="exact"/>
        <w:rPr>
          <w:rFonts w:ascii="Arial" w:cs="Arial" w:eastAsia="Arial" w:hAnsi="Arial"/>
          <w:sz w:val="15"/>
          <w:szCs w:val="15"/>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2021, 2020 and 2019, the federal tax benefit is primarily due to production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NOTE 10. INCOME TAX EXPENSE (Continued)</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5"/>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Non-Controlling Interest and Income Taxes</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$110.9</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$122.1</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$178.9</w:t>
            </w:r>
          </w:p>
        </w:tc>
      </w:tr>
      <w:tr>
        <w:trPr>
          <w:trHeight w:val="22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21 %</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$23.3</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$25.6</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$37.6</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Increase (Decrease) in Tax Due to:</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 Net of Federal Income Tax Benefit</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Production Tax Credits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(53.5)</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(62.7)</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(50.7)</w:t>
            </w: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Regulatory Differences – Excess Deferred Tax Benefit </w:t>
            </w:r>
            <w:r>
              <w:rPr>
                <w:rFonts w:ascii="Arial" w:cs="Arial" w:eastAsia="Arial" w:hAnsi="Arial"/>
                <w:sz w:val="16"/>
                <w:szCs w:val="16"/>
                <w:i w:val="1"/>
                <w:iCs w:val="1"/>
                <w:color w:val="auto"/>
              </w:rPr>
              <w:t>(a)</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(9.5)</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U.S. Water Services Sale of Stock Basis Difference</w:t>
            </w: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0.5</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(2.6)</w:t>
            </w:r>
          </w:p>
        </w:tc>
        <w:tc>
          <w:tcPr>
            <w:tcW w:w="12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(2.9)</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r>
      <w:tr>
        <w:trPr>
          <w:trHeight w:val="223"/>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$(26.9)</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$(39.5)</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r>
    </w:tbl>
    <w:p>
      <w:pPr>
        <w:spacing w:after="0" w:line="85" w:lineRule="exact"/>
        <w:rPr>
          <w:sz w:val="20"/>
          <w:szCs w:val="20"/>
          <w:color w:val="auto"/>
        </w:rPr>
      </w:pPr>
    </w:p>
    <w:p>
      <w:pPr>
        <w:ind w:left="340" w:hanging="332"/>
        <w:spacing w:after="0" w:line="275" w:lineRule="auto"/>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Excess deferred income taxes are being returned to customers under both the Average Rate Assumption Method and amortization periods as approved by regulators. (See Note 4. Regulatory Matters.)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effective tax rate was a benefit of 24.3 percent for 2021 (benefit of 32.4 percent for 2020; benefit of 3.7 percent for 2019). The 2021 effective tax rate was primarily impacted by production tax credits and non-controlling interests in subsidiaries. The 2020 effective tax rate was primarily impacted by production tax credits. The 2019 effective tax rate was primarily impacted by production tax credits and the gain on sale of U.S. Water Services.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and Liabilities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Employee Benefits and Compensation</w:t>
            </w: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$44.5</w:t>
            </w:r>
          </w:p>
        </w:tc>
        <w:tc>
          <w:tcPr>
            <w:tcW w:w="96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Property-Related</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NOL Carryforwards</w:t>
            </w: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67.5</w:t>
            </w:r>
          </w:p>
        </w:tc>
        <w:tc>
          <w:tcPr>
            <w:tcW w:w="96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Carryforwards</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509.1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Power Sales Agreements</w:t>
            </w: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Liabilities</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101.5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30"/>
        </w:trPr>
        <w:tc>
          <w:tcPr>
            <w:tcW w:w="7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7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Deferred Income Tax Assets</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793.9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r>
      <w:tr>
        <w:trPr>
          <w:trHeight w:val="22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 Asset Valuation Allowance</w:t>
            </w:r>
          </w:p>
        </w:tc>
        <w:tc>
          <w:tcPr>
            <w:tcW w:w="2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(69.0)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23"/>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2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$724.9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Property-Related</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$680.8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$691.5</w:t>
            </w:r>
          </w:p>
        </w:tc>
      </w:tr>
      <w:tr>
        <w:trPr>
          <w:trHeight w:val="229"/>
        </w:trPr>
        <w:tc>
          <w:tcPr>
            <w:tcW w:w="7900" w:type="dxa"/>
            <w:vAlign w:val="bottom"/>
          </w:tcPr>
          <w:p>
            <w:pPr>
              <w:ind w:left="220"/>
              <w:spacing w:after="0"/>
              <w:rPr>
                <w:sz w:val="20"/>
                <w:szCs w:val="20"/>
                <w:color w:val="auto"/>
              </w:rPr>
            </w:pPr>
            <w:r>
              <w:rPr>
                <w:rFonts w:ascii="Arial" w:cs="Arial" w:eastAsia="Arial" w:hAnsi="Arial"/>
                <w:sz w:val="18"/>
                <w:szCs w:val="18"/>
                <w:color w:val="auto"/>
              </w:rPr>
              <w:t>Regulatory Asset for Benefit Obligations</w:t>
            </w: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54.9</w:t>
            </w:r>
          </w:p>
        </w:tc>
        <w:tc>
          <w:tcPr>
            <w:tcW w:w="96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Investment Tax Credits</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7900" w:type="dxa"/>
            <w:vAlign w:val="bottom"/>
          </w:tcPr>
          <w:p>
            <w:pPr>
              <w:ind w:left="220"/>
              <w:spacing w:after="0"/>
              <w:rPr>
                <w:sz w:val="20"/>
                <w:szCs w:val="20"/>
                <w:color w:val="auto"/>
              </w:rPr>
            </w:pPr>
            <w:r>
              <w:rPr>
                <w:rFonts w:ascii="Arial" w:cs="Arial" w:eastAsia="Arial" w:hAnsi="Arial"/>
                <w:sz w:val="18"/>
                <w:szCs w:val="18"/>
                <w:color w:val="auto"/>
              </w:rPr>
              <w:t>Partnership Basis Differences</w:t>
            </w:r>
          </w:p>
        </w:tc>
        <w:tc>
          <w:tcPr>
            <w:tcW w:w="2360" w:type="dxa"/>
            <w:vAlign w:val="bottom"/>
          </w:tcPr>
          <w:p>
            <w:pPr>
              <w:jc w:val="right"/>
              <w:ind w:right="350"/>
              <w:spacing w:after="0"/>
              <w:rPr>
                <w:sz w:val="20"/>
                <w:szCs w:val="20"/>
                <w:color w:val="auto"/>
              </w:rPr>
            </w:pPr>
            <w:r>
              <w:rPr>
                <w:rFonts w:ascii="Arial" w:cs="Arial" w:eastAsia="Arial" w:hAnsi="Arial"/>
                <w:sz w:val="18"/>
                <w:szCs w:val="18"/>
                <w:color w:val="auto"/>
              </w:rPr>
              <w:t>106.3</w:t>
            </w:r>
          </w:p>
        </w:tc>
        <w:tc>
          <w:tcPr>
            <w:tcW w:w="96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30"/>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Regulatory Assets</w:t>
            </w:r>
          </w:p>
        </w:tc>
        <w:tc>
          <w:tcPr>
            <w:tcW w:w="2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79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Liabilities</w:t>
            </w:r>
          </w:p>
        </w:tc>
        <w:tc>
          <w:tcPr>
            <w:tcW w:w="2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$910.6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2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$185.7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r>
      <w:tr>
        <w:trPr>
          <w:trHeight w:val="258"/>
        </w:trPr>
        <w:tc>
          <w:tcPr>
            <w:tcW w:w="7900" w:type="dxa"/>
            <w:vAlign w:val="bottom"/>
          </w:tcPr>
          <w:p>
            <w:pPr>
              <w:spacing w:after="0"/>
              <w:rPr>
                <w:sz w:val="20"/>
                <w:szCs w:val="20"/>
                <w:color w:val="auto"/>
              </w:rPr>
            </w:pPr>
            <w:r>
              <w:rPr>
                <w:rFonts w:ascii="Arial" w:cs="Arial" w:eastAsia="Arial" w:hAnsi="Arial"/>
                <w:sz w:val="16"/>
                <w:szCs w:val="16"/>
                <w:i w:val="1"/>
                <w:iCs w:val="1"/>
                <w:color w:val="auto"/>
              </w:rPr>
              <w:t>(a)  Recorded as a net long-term Deferred Income Tax liability on the Consolidated Balance Sheet.</w:t>
            </w:r>
          </w:p>
        </w:tc>
        <w:tc>
          <w:tcPr>
            <w:tcW w:w="236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10. INCOME TAX EXPENSE (Continued)</w:t>
            </w:r>
          </w:p>
        </w:tc>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5"/>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NOL and Tax Credit Carryforwards</w:t>
            </w: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6"/>
                <w:szCs w:val="16"/>
                <w:i w:val="1"/>
                <w:iCs w:val="1"/>
                <w:color w:val="auto"/>
              </w:rPr>
              <w:t>(a)</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Federal Tax Credit Carryforwards</w:t>
            </w:r>
          </w:p>
        </w:tc>
        <w:tc>
          <w:tcPr>
            <w:tcW w:w="3660" w:type="dxa"/>
            <w:vAlign w:val="bottom"/>
          </w:tcPr>
          <w:p>
            <w:pPr>
              <w:jc w:val="right"/>
              <w:ind w:right="290"/>
              <w:spacing w:after="0"/>
              <w:rPr>
                <w:sz w:val="20"/>
                <w:szCs w:val="20"/>
                <w:color w:val="auto"/>
              </w:rPr>
            </w:pPr>
            <w:r>
              <w:rPr>
                <w:rFonts w:ascii="Arial" w:cs="Arial" w:eastAsia="Arial" w:hAnsi="Arial"/>
                <w:sz w:val="18"/>
                <w:szCs w:val="18"/>
                <w:color w:val="auto"/>
              </w:rPr>
              <w:t>$416.4</w:t>
            </w:r>
          </w:p>
        </w:tc>
        <w:tc>
          <w:tcPr>
            <w:tcW w:w="960" w:type="dxa"/>
            <w:vAlign w:val="bottom"/>
          </w:tcPr>
          <w:p>
            <w:pPr>
              <w:jc w:val="right"/>
              <w:spacing w:after="0"/>
              <w:rPr>
                <w:sz w:val="20"/>
                <w:szCs w:val="20"/>
                <w:color w:val="auto"/>
              </w:rPr>
            </w:pPr>
            <w:r>
              <w:rPr>
                <w:rFonts w:ascii="Arial" w:cs="Arial" w:eastAsia="Arial" w:hAnsi="Arial"/>
                <w:sz w:val="18"/>
                <w:szCs w:val="18"/>
                <w:color w:val="auto"/>
              </w:rPr>
              <w:t>$362.9</w:t>
            </w: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6"/>
                <w:szCs w:val="16"/>
                <w:i w:val="1"/>
                <w:iCs w:val="1"/>
                <w:color w:val="auto"/>
              </w:rPr>
              <w:t>(a)</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29"/>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6"/>
                <w:szCs w:val="16"/>
                <w:i w:val="1"/>
                <w:iCs w:val="1"/>
                <w:color w:val="auto"/>
              </w:rPr>
              <w:t>(b)</w:t>
            </w:r>
          </w:p>
        </w:tc>
        <w:tc>
          <w:tcPr>
            <w:tcW w:w="3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bl>
    <w:p>
      <w:pPr>
        <w:spacing w:after="0" w:line="8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Net of a $68.6 million valuation allowance as of December 31, 2021 ($69.4 million as of December 31, 2020).</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NOL and tax credit carryforward periods expire between 2030 and 2042. We expect to fully utilize the federal NOL and federal tax credit carryforwards; therefore, no federal valuation allowance has been recognized as of December 31, 2021. The state NOL and tax credit carryforward periods expire between 2022 and 2045. We have established a valuation allowance against certain state NOL and tax credits that we do not expect to utilize before their expiration.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Gross Unrecognized Income Tax Benefits</w:t>
            </w:r>
          </w:p>
        </w:tc>
        <w:tc>
          <w:tcPr>
            <w:tcW w:w="29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$1.4</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Additions for Tax Positions Related to the Current Year</w:t>
            </w:r>
          </w:p>
        </w:tc>
        <w:tc>
          <w:tcPr>
            <w:tcW w:w="2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Related to Prior Years</w:t>
            </w:r>
          </w:p>
        </w:tc>
        <w:tc>
          <w:tcPr>
            <w:tcW w:w="2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2920" w:type="dxa"/>
            <w:vAlign w:val="bottom"/>
          </w:tcPr>
          <w:p>
            <w:pPr>
              <w:ind w:left="2080"/>
              <w:spacing w:after="0"/>
              <w:rPr>
                <w:sz w:val="20"/>
                <w:szCs w:val="20"/>
                <w:color w:val="auto"/>
              </w:rPr>
            </w:pPr>
            <w:r>
              <w:rPr>
                <w:rFonts w:ascii="Arial" w:cs="Arial" w:eastAsia="Arial" w:hAnsi="Arial"/>
                <w:sz w:val="18"/>
                <w:szCs w:val="18"/>
                <w:color w:val="auto"/>
              </w:rPr>
              <w:t>(0.1)</w:t>
            </w:r>
          </w:p>
        </w:tc>
        <w:tc>
          <w:tcPr>
            <w:tcW w:w="1320" w:type="dxa"/>
            <w:vAlign w:val="bottom"/>
          </w:tcPr>
          <w:p>
            <w:pPr>
              <w:ind w:left="500"/>
              <w:spacing w:after="0"/>
              <w:rPr>
                <w:sz w:val="20"/>
                <w:szCs w:val="20"/>
                <w:color w:val="auto"/>
              </w:rPr>
            </w:pPr>
            <w:r>
              <w:rPr>
                <w:rFonts w:ascii="Arial" w:cs="Arial" w:eastAsia="Arial" w:hAnsi="Arial"/>
                <w:sz w:val="18"/>
                <w:szCs w:val="18"/>
                <w:color w:val="auto"/>
              </w:rPr>
              <w:t>(0.1)</w:t>
            </w:r>
          </w:p>
        </w:tc>
        <w:tc>
          <w:tcPr>
            <w:tcW w:w="880" w:type="dxa"/>
            <w:vAlign w:val="bottom"/>
          </w:tcPr>
          <w:p>
            <w:pPr>
              <w:ind w:left="500"/>
              <w:spacing w:after="0"/>
              <w:rPr>
                <w:sz w:val="20"/>
                <w:szCs w:val="20"/>
                <w:color w:val="auto"/>
              </w:rPr>
            </w:pPr>
            <w:r>
              <w:rPr>
                <w:rFonts w:ascii="Arial" w:cs="Arial" w:eastAsia="Arial" w:hAnsi="Arial"/>
                <w:sz w:val="18"/>
                <w:szCs w:val="18"/>
                <w:color w:val="auto"/>
                <w:w w:val="97"/>
              </w:rPr>
              <w:t>(0.4)</w:t>
            </w: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Lapse of Statute</w:t>
            </w:r>
          </w:p>
        </w:tc>
        <w:tc>
          <w:tcPr>
            <w:tcW w:w="2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w:t>
            </w:r>
          </w:p>
        </w:tc>
        <w:tc>
          <w:tcPr>
            <w:tcW w:w="2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2021, included $0.6 million of net unrecognized tax benefits which, if recognized, would affect the annual effective income tax rate.</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December 31, 2021, we had no accrued interest (none as of December 31, 2020, and 2019)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2021, 2020 and 2019. There were no penalties recognized in 2021, 2020 or 2019. The unrecognized tax benefit amounts have been presented as reductions to the tax benefits associated with NOL and tax credit carryforwards on the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and its subsidiaries file a consolidated federal income tax return as well as combined and separate state income tax returns in various jurisdictions. ALLETE has no open federal or state audits, and is no longer subject to federal examination for years before 2018 or state examination for years before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11. PENSION AND OTHER POSTRETIREMENT BENEFIT PLANS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1, 2016. The plans provide defined benefits based on years of service and final average pay. We contributed $10.3 million in cash to the plans in 2021 ($10.7 million in 2020; $10.4 million in 2019). We also have a defined contribution RSOP covering substantially all employees. The 2021 plan year employer contributions, which are made through the employee stock ownership plan portion of the RSOP, totaled $11.5 million ($11.2 million for the 2020 plan year; $10.8 million for the 2019 plan year). (See Note 9. Common Stock and Earnings Per Share and Note 12. Employee Stock and Incentive Plans.)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 and the SWL&amp;P union defined benefit pension plan was closed to new participants effective February 1, 2022.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postretirement health care and life insurance plans covering eligible employees. In 2010, the postretirement health care plan was closed to employees hired after January 31, 2011, and the eligibility requirements were amended. In 2014, the postretirement life plan was amended to close the plan to non-union employees retiring after December 31, 2015, and in 2018, the postretirement life plan was amended to limit the benefit level for union employees retiring after December 31, 2018.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2021, no contributions were made to the VEBAs (none in 2020; none in 2019) and no contributions were made to the grantor trusts (none in 2020; none in 2019).</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We do not expect to make any contributions to the defined benefit pension plans in 2022, and we do not expect to make any contributions to the defined benefit postretirement health and life plans in 2022.</w:t>
      </w:r>
    </w:p>
    <w:p>
      <w:pPr>
        <w:spacing w:after="0" w:line="21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5"/>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Pension Obligation and Funded Status</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1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$875.5</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$931.2</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 Beginning of Year</w:t>
            </w:r>
          </w:p>
        </w:tc>
        <w:tc>
          <w:tcPr>
            <w:tcW w:w="2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$965.7</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$854.0</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11.0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10.7</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24.6</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w:t>
            </w: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Plan Curtailments</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(1.4)</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16"/>
                <w:szCs w:val="16"/>
                <w:i w:val="1"/>
                <w:iCs w:val="1"/>
                <w:color w:val="auto"/>
              </w:rPr>
              <w:t>(a)</w:t>
            </w:r>
          </w:p>
        </w:tc>
        <w:tc>
          <w:tcPr>
            <w:tcW w:w="2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(39.0)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118.7</w:t>
            </w: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(56.5)</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(54.4)</w:t>
            </w:r>
          </w:p>
        </w:tc>
      </w:tr>
      <w:tr>
        <w:trPr>
          <w:trHeight w:val="230"/>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21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7.3</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Obligation, End of Year</w:t>
            </w: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$911.7</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$965.7</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2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Fair Value, Beginning of Year</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$759.4</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$699.6</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2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23.1</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93.0</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(b)</w:t>
            </w:r>
          </w:p>
        </w:tc>
        <w:tc>
          <w:tcPr>
            <w:tcW w:w="2120" w:type="dxa"/>
            <w:vAlign w:val="bottom"/>
          </w:tcPr>
          <w:p>
            <w:pPr>
              <w:jc w:val="right"/>
              <w:ind w:right="370"/>
              <w:spacing w:after="0"/>
              <w:rPr>
                <w:sz w:val="20"/>
                <w:szCs w:val="20"/>
                <w:color w:val="auto"/>
              </w:rPr>
            </w:pPr>
            <w:r>
              <w:rPr>
                <w:rFonts w:ascii="Arial" w:cs="Arial" w:eastAsia="Arial" w:hAnsi="Arial"/>
                <w:sz w:val="18"/>
                <w:szCs w:val="18"/>
                <w:color w:val="auto"/>
              </w:rPr>
              <w:t>19.7</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21.2</w:t>
            </w:r>
          </w:p>
        </w:tc>
      </w:tr>
      <w:tr>
        <w:trPr>
          <w:trHeight w:val="229"/>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1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(56.5)</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(54.4)</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Fair Value, End of Year</w:t>
            </w: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$745.7</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$759.4</w:t>
            </w:r>
          </w:p>
        </w:tc>
      </w:tr>
      <w:tr>
        <w:trPr>
          <w:trHeight w:val="223"/>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Funded Status, End of Year</w:t>
            </w:r>
          </w:p>
        </w:tc>
        <w:tc>
          <w:tcPr>
            <w:tcW w:w="2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$(166.0)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r>
      <w:tr>
        <w:trPr>
          <w:trHeight w:val="237"/>
        </w:trPr>
        <w:tc>
          <w:tcPr>
            <w:tcW w:w="8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r>
        <w:trPr>
          <w:trHeight w:val="223"/>
        </w:trPr>
        <w:tc>
          <w:tcPr>
            <w:tcW w:w="810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Non-Current Liabilities</w:t>
            </w:r>
          </w:p>
        </w:tc>
        <w:tc>
          <w:tcPr>
            <w:tcW w:w="2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$(163.9)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bl>
    <w:p>
      <w:pPr>
        <w:spacing w:after="0" w:line="85"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Actuarial (gain) loss was primarily the result of increases in discount rates in 2021 compared to decreases in 2020.</w:t>
      </w:r>
    </w:p>
    <w:p>
      <w:pPr>
        <w:spacing w:after="0" w:line="19" w:lineRule="exact"/>
        <w:rPr>
          <w:rFonts w:ascii="Arial" w:cs="Arial" w:eastAsia="Arial" w:hAnsi="Arial"/>
          <w:sz w:val="16"/>
          <w:szCs w:val="16"/>
          <w:i w:val="1"/>
          <w:iCs w:val="1"/>
          <w:color w:val="auto"/>
        </w:rPr>
      </w:pPr>
    </w:p>
    <w:p>
      <w:pPr>
        <w:ind w:left="360" w:hanging="352"/>
        <w:spacing w:after="0"/>
        <w:tabs>
          <w:tab w:leader="none" w:pos="36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Participant Contributions noted above.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$260.2 million and prior service credit of $1.0 million as of December 31, 2021 (net loss of $299.0 million and prior service credit of $1.1 million as of December 31, 2020).</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5"/>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Pension Amounts Recognized in Consolidated Balance Sheet</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4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340" w:type="dxa"/>
            <w:vAlign w:val="bottom"/>
          </w:tcPr>
          <w:p>
            <w:pPr>
              <w:spacing w:after="0"/>
              <w:rPr>
                <w:sz w:val="19"/>
                <w:szCs w:val="19"/>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29"/>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Contributions in Excess of Net Periodic Benefit Cost (Prepaid Pension Asset)</w:t>
            </w:r>
          </w:p>
        </w:tc>
        <w:tc>
          <w:tcPr>
            <w:tcW w:w="1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93.2</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9"/>
                <w:szCs w:val="19"/>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Pension Amounts Recognized in Consolidated Balance Sheet</w:t>
            </w:r>
          </w:p>
        </w:tc>
        <w:tc>
          <w:tcPr>
            <w:tcW w:w="1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$(166.0)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40" w:type="dxa"/>
            <w:vAlign w:val="bottom"/>
          </w:tcPr>
          <w:p>
            <w:pPr>
              <w:spacing w:after="0"/>
              <w:rPr>
                <w:sz w:val="19"/>
                <w:szCs w:val="19"/>
                <w:color w:val="auto"/>
              </w:rPr>
            </w:pPr>
          </w:p>
        </w:tc>
      </w:tr>
      <w:tr>
        <w:trPr>
          <w:trHeight w:val="664"/>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Pension Cost</w:t>
            </w: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20"/>
                <w:szCs w:val="20"/>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$11.0</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$10.7</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24.6</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27.9</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(43.4)</w:t>
            </w:r>
          </w:p>
        </w:tc>
        <w:tc>
          <w:tcPr>
            <w:tcW w:w="1360" w:type="dxa"/>
            <w:vAlign w:val="bottom"/>
          </w:tcPr>
          <w:p>
            <w:pPr>
              <w:jc w:val="right"/>
              <w:ind w:right="330"/>
              <w:spacing w:after="0"/>
              <w:rPr>
                <w:sz w:val="20"/>
                <w:szCs w:val="20"/>
                <w:color w:val="auto"/>
              </w:rPr>
            </w:pPr>
            <w:r>
              <w:rPr>
                <w:rFonts w:ascii="Arial" w:cs="Arial" w:eastAsia="Arial" w:hAnsi="Arial"/>
                <w:sz w:val="18"/>
                <w:szCs w:val="18"/>
                <w:color w:val="auto"/>
              </w:rPr>
              <w:t>(42.7)</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Loss</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18.8</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12.8</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9"/>
                <w:szCs w:val="19"/>
                <w:color w:val="auto"/>
              </w:rPr>
            </w:pPr>
          </w:p>
        </w:tc>
      </w:tr>
      <w:tr>
        <w:trPr>
          <w:trHeight w:val="229"/>
        </w:trPr>
        <w:tc>
          <w:tcPr>
            <w:tcW w:w="7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Prior Service Credit</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(0.2)</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tcPr>
          <w:p>
            <w:pPr>
              <w:spacing w:after="0"/>
              <w:rPr>
                <w:sz w:val="19"/>
                <w:szCs w:val="19"/>
                <w:color w:val="auto"/>
              </w:rPr>
            </w:pPr>
          </w:p>
        </w:tc>
      </w:tr>
      <w:tr>
        <w:trPr>
          <w:trHeight w:val="223"/>
        </w:trPr>
        <w:tc>
          <w:tcPr>
            <w:tcW w:w="7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Pension Cost</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$10.8</w:t>
            </w:r>
          </w:p>
        </w:tc>
        <w:tc>
          <w:tcPr>
            <w:tcW w:w="13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$8.5</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pension cost are included in the line item “Other” under Other Income (Expense) on the Consolidated Statement of Income.</w:t>
      </w:r>
    </w:p>
    <w:p>
      <w:pPr>
        <w:spacing w:after="0" w:line="280" w:lineRule="exact"/>
        <w:rPr>
          <w:sz w:val="20"/>
          <w:szCs w:val="20"/>
          <w:color w:val="auto"/>
        </w:rPr>
      </w:pPr>
    </w:p>
    <w:p>
      <w:pPr>
        <w:ind w:left="20" w:right="5280"/>
        <w:spacing w:after="0" w:line="267" w:lineRule="auto"/>
        <w:rPr>
          <w:sz w:val="20"/>
          <w:szCs w:val="20"/>
          <w:color w:val="auto"/>
        </w:rPr>
      </w:pPr>
      <w:r>
        <w:rPr>
          <w:rFonts w:ascii="Arial" w:cs="Arial" w:eastAsia="Arial" w:hAnsi="Arial"/>
          <w:sz w:val="16"/>
          <w:szCs w:val="16"/>
          <w:b w:val="1"/>
          <w:bCs w:val="1"/>
          <w:color w:val="auto"/>
        </w:rPr>
        <w:t>Other Changes in Pension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0"/>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1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1920" w:type="dxa"/>
            <w:vAlign w:val="bottom"/>
          </w:tcPr>
          <w:p>
            <w:pPr>
              <w:jc w:val="right"/>
              <w:ind w:right="350"/>
              <w:spacing w:after="0"/>
              <w:rPr>
                <w:sz w:val="20"/>
                <w:szCs w:val="20"/>
                <w:color w:val="auto"/>
              </w:rPr>
            </w:pPr>
            <w:r>
              <w:rPr>
                <w:rFonts w:ascii="Arial" w:cs="Arial" w:eastAsia="Arial" w:hAnsi="Arial"/>
                <w:sz w:val="18"/>
                <w:szCs w:val="18"/>
                <w:color w:val="auto"/>
              </w:rPr>
              <w:t>0.2</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Loss</w:t>
            </w:r>
          </w:p>
        </w:tc>
        <w:tc>
          <w:tcPr>
            <w:tcW w:w="19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$(38.7)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664"/>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$911.7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920" w:type="dxa"/>
            <w:vAlign w:val="bottom"/>
          </w:tcPr>
          <w:p>
            <w:pPr>
              <w:jc w:val="right"/>
              <w:ind w:right="350"/>
              <w:spacing w:after="0"/>
              <w:rPr>
                <w:sz w:val="20"/>
                <w:szCs w:val="20"/>
                <w:color w:val="auto"/>
              </w:rPr>
            </w:pPr>
            <w:r>
              <w:rPr>
                <w:rFonts w:ascii="Arial" w:cs="Arial" w:eastAsia="Arial" w:hAnsi="Arial"/>
                <w:sz w:val="18"/>
                <w:szCs w:val="18"/>
                <w:color w:val="auto"/>
              </w:rPr>
              <w:t>$875.5</w:t>
            </w:r>
          </w:p>
        </w:tc>
        <w:tc>
          <w:tcPr>
            <w:tcW w:w="960" w:type="dxa"/>
            <w:vAlign w:val="bottom"/>
          </w:tcPr>
          <w:p>
            <w:pPr>
              <w:jc w:val="right"/>
              <w:spacing w:after="0"/>
              <w:rPr>
                <w:sz w:val="20"/>
                <w:szCs w:val="20"/>
                <w:color w:val="auto"/>
              </w:rPr>
            </w:pPr>
            <w:r>
              <w:rPr>
                <w:rFonts w:ascii="Arial" w:cs="Arial" w:eastAsia="Arial" w:hAnsi="Arial"/>
                <w:sz w:val="18"/>
                <w:szCs w:val="18"/>
                <w:color w:val="auto"/>
              </w:rPr>
              <w:t>$931.2</w:t>
            </w:r>
          </w:p>
        </w:tc>
      </w:tr>
      <w:tr>
        <w:trPr>
          <w:trHeight w:val="230"/>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9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$745.7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17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Obligation, Beginning of Year</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$167.6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$149.8</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4.4</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16"/>
                <w:szCs w:val="16"/>
                <w:i w:val="1"/>
                <w:iCs w:val="1"/>
                <w:color w:val="auto"/>
              </w:rPr>
              <w:t>(a)</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(19.7)</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(10.6)</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(12.6)</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r>
      <w:tr>
        <w:trPr>
          <w:trHeight w:val="229"/>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Plan Curtailments</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Obligation, End of Year</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$148.2</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$167.6</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Beginning of Year</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$186.0</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$173.7</w:t>
            </w:r>
          </w:p>
        </w:tc>
      </w:tr>
      <w:tr>
        <w:trPr>
          <w:trHeight w:val="229"/>
        </w:trPr>
        <w:tc>
          <w:tcPr>
            <w:tcW w:w="846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22.8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20.9</w:t>
            </w:r>
          </w:p>
        </w:tc>
      </w:tr>
      <w:tr>
        <w:trPr>
          <w:trHeight w:val="229"/>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Participant Contributions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3.2</w:t>
            </w:r>
          </w:p>
        </w:tc>
      </w:tr>
      <w:tr>
        <w:trPr>
          <w:trHeight w:val="229"/>
        </w:trPr>
        <w:tc>
          <w:tcPr>
            <w:tcW w:w="8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(10.6)</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r>
      <w:tr>
        <w:trPr>
          <w:trHeight w:val="223"/>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Fair Value, End of Year</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$186.0</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Funded Status, End of Year</w:t>
            </w:r>
          </w:p>
        </w:tc>
        <w:tc>
          <w:tcPr>
            <w:tcW w:w="17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$53.6</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r>
      <w:tr>
        <w:trPr>
          <w:trHeight w:val="237"/>
        </w:trPr>
        <w:tc>
          <w:tcPr>
            <w:tcW w:w="8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Net Postretirement Health and Life Amounts Recognized in Consolidated Balance Sheet Consist of:</w:t>
            </w:r>
          </w:p>
        </w:tc>
        <w:tc>
          <w:tcPr>
            <w:tcW w:w="17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8460" w:type="dxa"/>
            <w:vAlign w:val="bottom"/>
          </w:tcPr>
          <w:p>
            <w:pPr>
              <w:ind w:left="140"/>
              <w:spacing w:after="0"/>
              <w:rPr>
                <w:sz w:val="20"/>
                <w:szCs w:val="20"/>
                <w:color w:val="auto"/>
              </w:rPr>
            </w:pPr>
            <w:r>
              <w:rPr>
                <w:rFonts w:ascii="Arial" w:cs="Arial" w:eastAsia="Arial" w:hAnsi="Arial"/>
                <w:sz w:val="18"/>
                <w:szCs w:val="18"/>
                <w:color w:val="auto"/>
              </w:rPr>
              <w:t>Non-Current Assets</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$64.8</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$34.2</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r>
      <w:tr>
        <w:trPr>
          <w:trHeight w:val="229"/>
        </w:trPr>
        <w:tc>
          <w:tcPr>
            <w:tcW w:w="8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Non-Current Liabilities</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$(9.8)</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Actuarial (gain) loss was primarily the result of increases in discount rates in 2021 compared to decreases in 2020.</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$13.2 million in irrevocable grantor trusts included in Other Investments on the Consolidated Balance Sheet as of December 31, 2021 ($20.4 million as of December 31, 2020).</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3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3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$(12.7)</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w:t>
            </w:r>
          </w:p>
        </w:tc>
      </w:tr>
      <w:tr>
        <w:trPr>
          <w:trHeight w:val="229"/>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Service Credit</w:t>
            </w:r>
          </w:p>
        </w:tc>
        <w:tc>
          <w:tcPr>
            <w:tcW w:w="3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(20.7)</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(28.3)</w:t>
            </w:r>
          </w:p>
        </w:tc>
      </w:tr>
      <w:tr>
        <w:trPr>
          <w:trHeight w:val="223"/>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Unrecognized Postretirement Health and Life Cost</w:t>
            </w:r>
          </w:p>
        </w:tc>
        <w:tc>
          <w:tcPr>
            <w:tcW w:w="3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$(33.4)</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5"/>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w w:val="96"/>
              </w:rPr>
              <w:t>Reconciliation of Net Postretirement Health and Life Amounts Recognized in Consolidated Balance Sheet</w:t>
            </w: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Gain (Loss) </w:t>
            </w:r>
            <w:r>
              <w:rPr>
                <w:rFonts w:ascii="Arial" w:cs="Arial" w:eastAsia="Arial" w:hAnsi="Arial"/>
                <w:sz w:val="16"/>
                <w:szCs w:val="16"/>
                <w:i w:val="1"/>
                <w:iCs w:val="1"/>
                <w:color w:val="auto"/>
              </w:rPr>
              <w:t>(a)</w:t>
            </w:r>
          </w:p>
        </w:tc>
        <w:tc>
          <w:tcPr>
            <w:tcW w:w="1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520" w:type="dxa"/>
            <w:vAlign w:val="bottom"/>
          </w:tcPr>
          <w:p>
            <w:pPr>
              <w:jc w:val="right"/>
              <w:ind w:right="430"/>
              <w:spacing w:after="0"/>
              <w:rPr>
                <w:sz w:val="20"/>
                <w:szCs w:val="20"/>
                <w:color w:val="auto"/>
              </w:rPr>
            </w:pPr>
            <w:r>
              <w:rPr>
                <w:rFonts w:ascii="Arial" w:cs="Arial" w:eastAsia="Arial" w:hAnsi="Arial"/>
                <w:sz w:val="18"/>
                <w:szCs w:val="18"/>
                <w:color w:val="auto"/>
              </w:rPr>
              <w:t>20.7</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28.3</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Accumulated Net Periodic Benefit Cost in Excess of Contributions </w:t>
            </w:r>
            <w:r>
              <w:rPr>
                <w:rFonts w:ascii="Arial" w:cs="Arial" w:eastAsia="Arial" w:hAnsi="Arial"/>
                <w:sz w:val="16"/>
                <w:szCs w:val="16"/>
                <w:i w:val="1"/>
                <w:iCs w:val="1"/>
                <w:color w:val="auto"/>
              </w:rPr>
              <w:t>(a)</w:t>
            </w:r>
          </w:p>
        </w:tc>
        <w:tc>
          <w:tcPr>
            <w:tcW w:w="15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20.2</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Postretirement Health and Life Amounts Recognized in Consolidated Balance Sheet</w:t>
            </w: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$53.6</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w:t>
            </w: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20"/>
                <w:szCs w:val="20"/>
                <w:color w:val="auto"/>
              </w:rPr>
            </w:pPr>
            <w:r>
              <w:rPr>
                <w:rFonts w:ascii="Arial" w:cs="Arial" w:eastAsia="Arial" w:hAnsi="Arial"/>
                <w:sz w:val="16"/>
                <w:szCs w:val="16"/>
                <w:i w:val="1"/>
                <w:iCs w:val="1"/>
                <w:color w:val="auto"/>
              </w:rPr>
              <w:t>(a)  Excludes gains, losses and contributions associated with irrevocable grantor trusts.</w:t>
            </w:r>
          </w:p>
        </w:tc>
        <w:tc>
          <w:tcPr>
            <w:tcW w:w="2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7"/>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Postretirement Health and Life Cost</w:t>
            </w:r>
          </w:p>
        </w:tc>
        <w:tc>
          <w:tcPr>
            <w:tcW w:w="2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6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$3.6</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2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2060" w:type="dxa"/>
            <w:vAlign w:val="bottom"/>
          </w:tcPr>
          <w:p>
            <w:pPr>
              <w:ind w:left="1260"/>
              <w:spacing w:after="0"/>
              <w:rPr>
                <w:sz w:val="20"/>
                <w:szCs w:val="20"/>
                <w:color w:val="auto"/>
              </w:rPr>
            </w:pPr>
            <w:r>
              <w:rPr>
                <w:rFonts w:ascii="Arial" w:cs="Arial" w:eastAsia="Arial" w:hAnsi="Arial"/>
                <w:sz w:val="18"/>
                <w:szCs w:val="18"/>
                <w:color w:val="auto"/>
              </w:rPr>
              <w:t>(9.9)</w:t>
            </w:r>
          </w:p>
        </w:tc>
        <w:tc>
          <w:tcPr>
            <w:tcW w:w="1320" w:type="dxa"/>
            <w:vAlign w:val="bottom"/>
          </w:tcPr>
          <w:p>
            <w:pPr>
              <w:ind w:left="520"/>
              <w:spacing w:after="0"/>
              <w:rPr>
                <w:sz w:val="20"/>
                <w:szCs w:val="20"/>
                <w:color w:val="auto"/>
              </w:rPr>
            </w:pPr>
            <w:r>
              <w:rPr>
                <w:rFonts w:ascii="Arial" w:cs="Arial" w:eastAsia="Arial" w:hAnsi="Arial"/>
                <w:sz w:val="18"/>
                <w:szCs w:val="18"/>
                <w:color w:val="auto"/>
              </w:rPr>
              <w:t>(9.7)</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Loss</w:t>
            </w:r>
          </w:p>
        </w:tc>
        <w:tc>
          <w:tcPr>
            <w:tcW w:w="20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2060" w:type="dxa"/>
            <w:vAlign w:val="bottom"/>
          </w:tcPr>
          <w:p>
            <w:pPr>
              <w:ind w:left="1260"/>
              <w:spacing w:after="0"/>
              <w:rPr>
                <w:sz w:val="20"/>
                <w:szCs w:val="20"/>
                <w:color w:val="auto"/>
              </w:rPr>
            </w:pPr>
            <w:r>
              <w:rPr>
                <w:rFonts w:ascii="Arial" w:cs="Arial" w:eastAsia="Arial" w:hAnsi="Arial"/>
                <w:sz w:val="18"/>
                <w:szCs w:val="18"/>
                <w:color w:val="auto"/>
              </w:rPr>
              <w:t>(7.6)</w:t>
            </w:r>
          </w:p>
        </w:tc>
        <w:tc>
          <w:tcPr>
            <w:tcW w:w="1320" w:type="dxa"/>
            <w:vAlign w:val="bottom"/>
          </w:tcPr>
          <w:p>
            <w:pPr>
              <w:ind w:left="520"/>
              <w:spacing w:after="0"/>
              <w:rPr>
                <w:sz w:val="20"/>
                <w:szCs w:val="20"/>
                <w:color w:val="auto"/>
              </w:rPr>
            </w:pPr>
            <w:r>
              <w:rPr>
                <w:rFonts w:ascii="Arial" w:cs="Arial" w:eastAsia="Arial" w:hAnsi="Arial"/>
                <w:sz w:val="18"/>
                <w:szCs w:val="18"/>
                <w:color w:val="auto"/>
              </w:rPr>
              <w:t>(8.0)</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 of Plan Curtailment</w:t>
            </w:r>
          </w:p>
        </w:tc>
        <w:tc>
          <w:tcPr>
            <w:tcW w:w="20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(0.3)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Postretirement Health and Life Credit</w:t>
            </w:r>
          </w:p>
        </w:tc>
        <w:tc>
          <w:tcPr>
            <w:tcW w:w="2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$(6.5)</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$(8.7)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bl>
    <w:p>
      <w:pPr>
        <w:spacing w:after="0" w:line="71" w:lineRule="exact"/>
        <w:rPr>
          <w:sz w:val="20"/>
          <w:szCs w:val="20"/>
          <w:color w:val="auto"/>
        </w:rPr>
      </w:pPr>
    </w:p>
    <w:p>
      <w:pPr>
        <w:ind w:left="340" w:hanging="332"/>
        <w:spacing w:after="0" w:line="275" w:lineRule="auto"/>
        <w:tabs>
          <w:tab w:leader="none" w:pos="34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net periodic postretirement health and life cost are included in the line item “Other” under Other Income (Expense) on the Consolidated Statement of Income.</w:t>
      </w:r>
    </w:p>
    <w:p>
      <w:pPr>
        <w:spacing w:after="0" w:line="231" w:lineRule="exact"/>
        <w:rPr>
          <w:sz w:val="20"/>
          <w:szCs w:val="20"/>
          <w:color w:val="auto"/>
        </w:rPr>
      </w:pPr>
    </w:p>
    <w:p>
      <w:pPr>
        <w:ind w:left="20" w:right="4980"/>
        <w:spacing w:after="0" w:line="267"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2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25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500" w:type="dxa"/>
            <w:vAlign w:val="bottom"/>
          </w:tcPr>
          <w:p>
            <w:pPr>
              <w:jc w:val="right"/>
              <w:ind w:right="430"/>
              <w:spacing w:after="0"/>
              <w:rPr>
                <w:sz w:val="20"/>
                <w:szCs w:val="20"/>
                <w:color w:val="auto"/>
              </w:rPr>
            </w:pPr>
            <w:r>
              <w:rPr>
                <w:rFonts w:ascii="Arial" w:cs="Arial" w:eastAsia="Arial" w:hAnsi="Arial"/>
                <w:sz w:val="18"/>
                <w:szCs w:val="18"/>
                <w:color w:val="auto"/>
              </w:rPr>
              <w:t>7.6</w:t>
            </w: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Loss</w:t>
            </w:r>
          </w:p>
        </w:tc>
        <w:tc>
          <w:tcPr>
            <w:tcW w:w="25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$(28.1)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Estimated Future Benefit Payments</w:t>
            </w:r>
          </w:p>
        </w:tc>
        <w:tc>
          <w:tcPr>
            <w:tcW w:w="39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Health and Life</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2023</w:t>
            </w:r>
          </w:p>
        </w:tc>
        <w:tc>
          <w:tcPr>
            <w:tcW w:w="3960" w:type="dxa"/>
            <w:vAlign w:val="bottom"/>
          </w:tcPr>
          <w:p>
            <w:pPr>
              <w:jc w:val="right"/>
              <w:ind w:right="70"/>
              <w:spacing w:after="0"/>
              <w:rPr>
                <w:sz w:val="20"/>
                <w:szCs w:val="20"/>
                <w:color w:val="auto"/>
              </w:rPr>
            </w:pPr>
            <w:r>
              <w:rPr>
                <w:rFonts w:ascii="Arial" w:cs="Arial" w:eastAsia="Arial" w:hAnsi="Arial"/>
                <w:sz w:val="18"/>
                <w:szCs w:val="18"/>
                <w:color w:val="auto"/>
              </w:rPr>
              <w:t>$54.4</w:t>
            </w: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2025</w:t>
            </w:r>
          </w:p>
        </w:tc>
        <w:tc>
          <w:tcPr>
            <w:tcW w:w="3960" w:type="dxa"/>
            <w:vAlign w:val="bottom"/>
          </w:tcPr>
          <w:p>
            <w:pPr>
              <w:jc w:val="right"/>
              <w:ind w:right="70"/>
              <w:spacing w:after="0"/>
              <w:rPr>
                <w:sz w:val="20"/>
                <w:szCs w:val="20"/>
                <w:color w:val="auto"/>
              </w:rPr>
            </w:pPr>
            <w:r>
              <w:rPr>
                <w:rFonts w:ascii="Arial" w:cs="Arial" w:eastAsia="Arial" w:hAnsi="Arial"/>
                <w:sz w:val="18"/>
                <w:szCs w:val="18"/>
                <w:color w:val="auto"/>
              </w:rPr>
              <w:t>$53.8</w:t>
            </w: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2027 – 2031</w:t>
            </w:r>
          </w:p>
        </w:tc>
        <w:tc>
          <w:tcPr>
            <w:tcW w:w="3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$257.2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5"/>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 Used to Determine Benefit Obligation</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Pension</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3.05%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2.62%</w:t>
            </w:r>
          </w:p>
        </w:tc>
      </w:tr>
      <w:tr>
        <w:trPr>
          <w:trHeight w:val="230"/>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Health and Life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3.09%</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3.58%</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3.61%</w:t>
            </w:r>
          </w:p>
        </w:tc>
      </w:tr>
      <w:tr>
        <w:trPr>
          <w:trHeight w:val="230"/>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Trend Rates</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Trend Rate</w:t>
            </w:r>
          </w:p>
        </w:tc>
        <w:tc>
          <w:tcPr>
            <w:tcW w:w="12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5.66%</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5.81%</w:t>
            </w: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Ultimate Trend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r>
      <w:tr>
        <w:trPr>
          <w:trHeight w:val="230"/>
        </w:trPr>
        <w:tc>
          <w:tcPr>
            <w:tcW w:w="7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Year Ultimate Trend Rate Effective</w:t>
            </w:r>
          </w:p>
        </w:tc>
        <w:tc>
          <w:tcPr>
            <w:tcW w:w="1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r>
      <w:tr>
        <w:trPr>
          <w:trHeight w:val="664"/>
        </w:trPr>
        <w:tc>
          <w:tcPr>
            <w:tcW w:w="730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 Used to Determine Net Periodic Benefit Costs</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color w:val="auto"/>
              </w:rPr>
              <w:t>Pension</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2.87%</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3.52%</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4.67%</w:t>
            </w:r>
          </w:p>
        </w:tc>
      </w:tr>
      <w:tr>
        <w:trPr>
          <w:trHeight w:val="230"/>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Health and Life</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3.45%</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4.47%</w:t>
            </w:r>
          </w:p>
        </w:tc>
      </w:tr>
      <w:tr>
        <w:trPr>
          <w:trHeight w:val="229"/>
        </w:trPr>
        <w:tc>
          <w:tcPr>
            <w:tcW w:w="7300" w:type="dxa"/>
            <w:vAlign w:val="bottom"/>
          </w:tcPr>
          <w:p>
            <w:pPr>
              <w:ind w:left="20"/>
              <w:spacing w:after="0"/>
              <w:rPr>
                <w:sz w:val="20"/>
                <w:szCs w:val="20"/>
                <w:color w:val="auto"/>
              </w:rPr>
            </w:pPr>
            <w:r>
              <w:rPr>
                <w:rFonts w:ascii="Arial" w:cs="Arial" w:eastAsia="Arial" w:hAnsi="Arial"/>
                <w:sz w:val="18"/>
                <w:szCs w:val="18"/>
                <w:color w:val="auto"/>
              </w:rPr>
              <w:t xml:space="preserve">Expected Long-Term Return on Plan Assets </w:t>
            </w:r>
            <w:r>
              <w:rPr>
                <w:rFonts w:ascii="Arial" w:cs="Arial" w:eastAsia="Arial" w:hAnsi="Arial"/>
                <w:sz w:val="16"/>
                <w:szCs w:val="16"/>
                <w:i w:val="1"/>
                <w:iCs w:val="1"/>
                <w:color w:val="auto"/>
              </w:rPr>
              <w:t>(a)</w:t>
            </w: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7.25%</w:t>
            </w:r>
          </w:p>
        </w:tc>
      </w:tr>
      <w:tr>
        <w:trPr>
          <w:trHeight w:val="230"/>
        </w:trPr>
        <w:tc>
          <w:tcPr>
            <w:tcW w:w="7300" w:type="dxa"/>
            <w:vAlign w:val="bottom"/>
          </w:tcPr>
          <w:p>
            <w:pPr>
              <w:ind w:left="140"/>
              <w:spacing w:after="0"/>
              <w:rPr>
                <w:sz w:val="20"/>
                <w:szCs w:val="20"/>
                <w:color w:val="auto"/>
              </w:rPr>
            </w:pPr>
            <w:r>
              <w:rPr>
                <w:rFonts w:ascii="Arial" w:cs="Arial" w:eastAsia="Arial" w:hAnsi="Arial"/>
                <w:sz w:val="18"/>
                <w:szCs w:val="18"/>
                <w:color w:val="auto"/>
              </w:rPr>
              <w:t>Postretirement Health and Life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5.85%</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6.08%</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6.51%</w:t>
            </w:r>
          </w:p>
        </w:tc>
      </w:tr>
      <w:tr>
        <w:trPr>
          <w:trHeight w:val="229"/>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4.06%</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4.04%</w:t>
            </w:r>
          </w:p>
        </w:tc>
      </w:tr>
    </w:tbl>
    <w:p>
      <w:pPr>
        <w:spacing w:after="0" w:line="85" w:lineRule="exact"/>
        <w:rPr>
          <w:sz w:val="20"/>
          <w:szCs w:val="20"/>
          <w:color w:val="auto"/>
        </w:rPr>
      </w:pPr>
    </w:p>
    <w:p>
      <w:pPr>
        <w:ind w:left="340" w:hanging="332"/>
        <w:spacing w:after="0" w:line="275" w:lineRule="auto"/>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The expected long-term rates of return used to determine net periodic benefit expense for 2022 have been reduced to 6.00 percent for pension expense and 4.80 percent to 6.00 percent for postretirement health and life expense.</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2021, considered a modified PRI-2012 mortality table and MP-2021 mortality projection scale.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tc>
        <w:tc>
          <w:tcPr>
            <w:tcW w:w="1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3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1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Postretirement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00" w:type="dxa"/>
            <w:vAlign w:val="bottom"/>
          </w:tcPr>
          <w:p>
            <w:pPr>
              <w:spacing w:after="0"/>
              <w:rPr>
                <w:sz w:val="19"/>
                <w:szCs w:val="19"/>
                <w:color w:val="auto"/>
              </w:rPr>
            </w:pPr>
          </w:p>
        </w:tc>
        <w:tc>
          <w:tcPr>
            <w:tcW w:w="326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24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60" w:type="dxa"/>
            <w:vAlign w:val="bottom"/>
          </w:tcPr>
          <w:p>
            <w:pPr>
              <w:jc w:val="right"/>
              <w:ind w:right="450"/>
              <w:spacing w:after="0"/>
              <w:rPr>
                <w:sz w:val="20"/>
                <w:szCs w:val="20"/>
                <w:color w:val="auto"/>
              </w:rPr>
            </w:pPr>
            <w:r>
              <w:rPr>
                <w:rFonts w:ascii="Arial" w:cs="Arial" w:eastAsia="Arial" w:hAnsi="Arial"/>
                <w:sz w:val="18"/>
                <w:szCs w:val="18"/>
                <w:color w:val="auto"/>
              </w:rPr>
              <w:t>49%</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70%</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3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48%</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3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1%</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2021 (no shares as of December 31, 2020).</w:t>
      </w:r>
    </w:p>
    <w:p>
      <w:pPr>
        <w:spacing w:after="0" w:line="2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Following are the current targeted allocations as of December 31, 2021:</w:t>
            </w:r>
          </w:p>
        </w:tc>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27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vMerge w:val="continue"/>
          </w:tcPr>
          <w:p>
            <w:pPr>
              <w:spacing w:after="0"/>
              <w:rPr>
                <w:sz w:val="19"/>
                <w:szCs w:val="19"/>
                <w:color w:val="auto"/>
              </w:rPr>
            </w:pP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 xml:space="preserve">Health and Life </w:t>
            </w:r>
            <w:r>
              <w:rPr>
                <w:rFonts w:ascii="Arial" w:cs="Arial" w:eastAsia="Arial" w:hAnsi="Arial"/>
                <w:sz w:val="16"/>
                <w:szCs w:val="16"/>
                <w:i w:val="1"/>
                <w:iCs w:val="1"/>
                <w:color w:val="auto"/>
                <w:w w:val="97"/>
              </w:rPr>
              <w:t>(a)</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760" w:type="dxa"/>
            <w:vAlign w:val="bottom"/>
          </w:tcPr>
          <w:p>
            <w:pPr>
              <w:jc w:val="right"/>
              <w:spacing w:after="0"/>
              <w:rPr>
                <w:sz w:val="20"/>
                <w:szCs w:val="20"/>
                <w:color w:val="auto"/>
              </w:rPr>
            </w:pPr>
            <w:r>
              <w:rPr>
                <w:rFonts w:ascii="Arial" w:cs="Arial" w:eastAsia="Arial" w:hAnsi="Arial"/>
                <w:sz w:val="18"/>
                <w:szCs w:val="18"/>
                <w:color w:val="auto"/>
              </w:rPr>
              <w:t>49 %</w:t>
            </w:r>
          </w:p>
        </w:tc>
        <w:tc>
          <w:tcPr>
            <w:tcW w:w="16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6. Fair Value.)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Pension Fair Value</w:t>
            </w: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59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Fair Value as of December 31, 2021</w:t>
            </w:r>
          </w:p>
        </w:tc>
        <w:tc>
          <w:tcPr>
            <w:tcW w:w="1080" w:type="dxa"/>
            <w:vAlign w:val="bottom"/>
            <w:tcBorders>
              <w:bottom w:val="single" w:sz="8" w:color="auto"/>
            </w:tcBorders>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2</w:t>
            </w: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$113.8</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$113.8</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47.6</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47.6</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46.2</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158.2</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158.2</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346.1</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346.1</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12.2</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Assets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$711.9</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$745.7</w:t>
            </w:r>
          </w:p>
        </w:tc>
      </w:tr>
    </w:tbl>
    <w:p>
      <w:pPr>
        <w:spacing w:after="0" w:line="7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consist of actively-managed funds managed to achieve the returns of certain U.S. equity and fixed income securities indexes.</w:t>
      </w:r>
    </w:p>
    <w:p>
      <w:pPr>
        <w:spacing w:after="0" w:line="37" w:lineRule="exact"/>
        <w:rPr>
          <w:rFonts w:ascii="Arial" w:cs="Arial" w:eastAsia="Arial" w:hAnsi="Arial"/>
          <w:sz w:val="16"/>
          <w:szCs w:val="16"/>
          <w:i w:val="1"/>
          <w:iCs w:val="1"/>
          <w:color w:val="auto"/>
        </w:rPr>
      </w:pPr>
    </w:p>
    <w:p>
      <w:pPr>
        <w:ind w:left="20"/>
        <w:spacing w:after="0"/>
        <w:rPr>
          <w:rFonts w:ascii="Arial" w:cs="Arial" w:eastAsia="Arial" w:hAnsi="Arial"/>
          <w:sz w:val="16"/>
          <w:szCs w:val="16"/>
          <w:i w:val="1"/>
          <w:iCs w:val="1"/>
          <w:color w:val="auto"/>
        </w:rPr>
      </w:pPr>
      <w:r>
        <w:rPr>
          <w:rFonts w:ascii="Arial" w:cs="Arial" w:eastAsia="Arial" w:hAnsi="Arial"/>
          <w:sz w:val="18"/>
          <w:szCs w:val="18"/>
          <w:b w:val="1"/>
          <w:bCs w:val="1"/>
          <w:color w:val="auto"/>
        </w:rPr>
        <w:t>Recurring Fair Value Measures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4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Private Equity Funds</w:t>
            </w:r>
          </w:p>
        </w:tc>
        <w:tc>
          <w:tcPr>
            <w:tcW w:w="1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Real Estate</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4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4380" w:type="dxa"/>
            <w:vAlign w:val="bottom"/>
          </w:tcPr>
          <w:p>
            <w:pPr>
              <w:jc w:val="right"/>
              <w:ind w:right="270"/>
              <w:spacing w:after="0"/>
              <w:rPr>
                <w:sz w:val="20"/>
                <w:szCs w:val="20"/>
                <w:color w:val="auto"/>
              </w:rPr>
            </w:pPr>
            <w:r>
              <w:rPr>
                <w:rFonts w:ascii="Arial" w:cs="Arial" w:eastAsia="Arial" w:hAnsi="Arial"/>
                <w:sz w:val="18"/>
                <w:szCs w:val="18"/>
                <w:color w:val="auto"/>
              </w:rPr>
              <w:t>(3.5)</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3.6</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4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(3.5)</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43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Fair Value as of December 31, 2020</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$91.7</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40.0</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40.7</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97.1</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461.7</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$731.2</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$25.0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and fixed income securities indexes.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Private Equity Funds</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Real Estate</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$7.0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534"/>
        </w:trPr>
        <w:tc>
          <w:tcPr>
            <w:tcW w:w="5920" w:type="dxa"/>
            <w:vAlign w:val="bottom"/>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59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Fair Value as of December 31, 2021</w:t>
            </w:r>
          </w:p>
        </w:tc>
        <w:tc>
          <w:tcPr>
            <w:tcW w:w="1260" w:type="dxa"/>
            <w:vAlign w:val="bottom"/>
            <w:tcBorders>
              <w:bottom w:val="single" w:sz="8" w:color="auto"/>
            </w:tcBorders>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2</w:t>
            </w: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U.S. Mid-cap Growth</w:t>
            </w: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43.7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84"/>
        </w:trPr>
        <w:tc>
          <w:tcPr>
            <w:tcW w:w="592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7"/>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Private Equity Funds</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11.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Fair Value as of December 31, 2020</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U.S. Mid-cap Growth</w:t>
            </w:r>
          </w:p>
        </w:tc>
        <w:tc>
          <w:tcPr>
            <w:tcW w:w="1280" w:type="dxa"/>
            <w:vAlign w:val="bottom"/>
          </w:tcPr>
          <w:p>
            <w:pPr>
              <w:jc w:val="right"/>
              <w:spacing w:after="0"/>
              <w:rPr>
                <w:sz w:val="20"/>
                <w:szCs w:val="20"/>
                <w:color w:val="auto"/>
              </w:rPr>
            </w:pPr>
            <w:r>
              <w:rPr>
                <w:rFonts w:ascii="Arial" w:cs="Arial" w:eastAsia="Arial" w:hAnsi="Arial"/>
                <w:sz w:val="18"/>
                <w:szCs w:val="18"/>
                <w:color w:val="auto"/>
              </w:rPr>
              <w:t>31.4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280" w:type="dxa"/>
            <w:vAlign w:val="bottom"/>
          </w:tcPr>
          <w:p>
            <w:pPr>
              <w:jc w:val="right"/>
              <w:spacing w:after="0"/>
              <w:rPr>
                <w:sz w:val="20"/>
                <w:szCs w:val="20"/>
                <w:color w:val="auto"/>
              </w:rPr>
            </w:pPr>
            <w:r>
              <w:rPr>
                <w:rFonts w:ascii="Arial" w:cs="Arial" w:eastAsia="Arial" w:hAnsi="Arial"/>
                <w:sz w:val="18"/>
                <w:szCs w:val="18"/>
                <w:color w:val="auto"/>
              </w:rPr>
              <w:t>57.3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w:t>
            </w:r>
          </w:p>
        </w:tc>
      </w:tr>
      <w:tr>
        <w:trPr>
          <w:trHeight w:val="271"/>
        </w:trPr>
        <w:tc>
          <w:tcPr>
            <w:tcW w:w="592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487"/>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Private Equity Funds</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2020</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STOCK AND INCENTIVE PLANS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Employee Stock Ownership Plan. </w:t>
      </w:r>
      <w:r>
        <w:rPr>
          <w:rFonts w:ascii="Arial" w:cs="Arial" w:eastAsia="Arial" w:hAnsi="Arial"/>
          <w:sz w:val="18"/>
          <w:szCs w:val="18"/>
          <w:color w:val="auto"/>
        </w:rPr>
        <w:t>We sponsor an ESOP within the RSOP. Eligible employees may contribute to the RSOP plan as of their date of hire.</w:t>
      </w:r>
      <w:r>
        <w:rPr>
          <w:rFonts w:ascii="Arial" w:cs="Arial" w:eastAsia="Arial" w:hAnsi="Arial"/>
          <w:sz w:val="18"/>
          <w:szCs w:val="18"/>
          <w:b w:val="1"/>
          <w:bCs w:val="1"/>
          <w:color w:val="auto"/>
        </w:rPr>
        <w:t xml:space="preserve"> </w:t>
      </w:r>
      <w:r>
        <w:rPr>
          <w:rFonts w:ascii="Arial" w:cs="Arial" w:eastAsia="Arial" w:hAnsi="Arial"/>
          <w:sz w:val="18"/>
          <w:szCs w:val="18"/>
          <w:color w:val="auto"/>
        </w:rPr>
        <w:t>The 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$11.5 million in 2021 ($11.2 million in 2020; $10.8 million in 2019).</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2021, 2020 and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Stock Incentive Plan. </w:t>
      </w:r>
      <w:r>
        <w:rPr>
          <w:rFonts w:ascii="Arial" w:cs="Arial" w:eastAsia="Arial" w:hAnsi="Arial"/>
          <w:sz w:val="17"/>
          <w:szCs w:val="17"/>
          <w:color w:val="auto"/>
        </w:rPr>
        <w:t>Under our Executive Long-Term Incentive Compensation Plan (Executive Plan), share-based awards may be issued to key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broad range of methods, including non-qualified and incentive stock options, performance shares, performance units, restricted stock, restricted stock units, stock appreciation rights and other awards. There are 0.7 million shares of ALLETE common stock reserved for issuance under the Executive Plan, of which 0.7 million of these shares remain available for issuance as of December 31, 2021.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12.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share-based awards were outstanding in 2021, 2020 or 2019:</w:t>
      </w:r>
    </w:p>
    <w:p>
      <w:pPr>
        <w:spacing w:after="0" w:line="25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Under the performance share awards, the number of shares earned is contingent upon attaining specific market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 awards,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219"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we are not required to apply fair value accounting to these awards as the discount is not greater than 5 percent.</w:t>
      </w:r>
    </w:p>
    <w:p>
      <w:pPr>
        <w:spacing w:after="0" w:line="17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Share-Based Compensation Expense</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3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Stock Units</w:t>
            </w:r>
          </w:p>
        </w:tc>
        <w:tc>
          <w:tcPr>
            <w:tcW w:w="3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3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2021, 2020 or 2019.</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total unrecognized compensation cost for the performance share awards and restricted stock units not yet recognized in our Consolidated Statement of Income was $1.8 million and $0.9 million, respectively. These amounts are expected to be recognized over a weighted-average period of 1.7 years and 1.6 years,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12.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4"/>
                <w:szCs w:val="14"/>
                <w:color w:val="auto"/>
              </w:rPr>
            </w:pPr>
          </w:p>
        </w:tc>
        <w:tc>
          <w:tcPr>
            <w:tcW w:w="11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4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Average</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Average</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18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3"/>
              </w:rPr>
              <w:t>Grant Date</w:t>
            </w:r>
          </w:p>
        </w:tc>
        <w:tc>
          <w:tcPr>
            <w:tcW w:w="1400" w:type="dxa"/>
            <w:vAlign w:val="bottom"/>
            <w:vMerge w:val="continue"/>
          </w:tcPr>
          <w:p>
            <w:pPr>
              <w:spacing w:after="0"/>
              <w:rPr>
                <w:sz w:val="15"/>
                <w:szCs w:val="15"/>
                <w:color w:val="auto"/>
              </w:rPr>
            </w:pPr>
          </w:p>
        </w:tc>
        <w:tc>
          <w:tcPr>
            <w:tcW w:w="118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400" w:type="dxa"/>
            <w:vAlign w:val="bottom"/>
            <w:vMerge w:val="continue"/>
          </w:tcPr>
          <w:p>
            <w:pPr>
              <w:spacing w:after="0"/>
              <w:rPr>
                <w:sz w:val="15"/>
                <w:szCs w:val="15"/>
                <w:color w:val="auto"/>
              </w:rPr>
            </w:pPr>
          </w:p>
        </w:tc>
        <w:tc>
          <w:tcPr>
            <w:tcW w:w="11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January 1</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85,284</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$80.73</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99,585</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$72.78</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129,693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33,304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$73.25</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25,763</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$83.17</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60,747</w:t>
            </w:r>
          </w:p>
        </w:tc>
        <w:tc>
          <w:tcPr>
            <w:tcW w:w="1120" w:type="dxa"/>
            <w:vAlign w:val="bottom"/>
          </w:tcPr>
          <w:p>
            <w:pPr>
              <w:jc w:val="right"/>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Awarded</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(25,304)</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$62.03</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(75,943)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Arial" w:cs="Arial" w:eastAsia="Arial" w:hAnsi="Arial"/>
                <w:sz w:val="18"/>
                <w:szCs w:val="18"/>
                <w:color w:val="auto"/>
              </w:rPr>
              <w:t>Unearned Grant Award</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(33,375)</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$86.09</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(13,625)</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$62.03</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(4,552)</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$74.05</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(1,135)</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$79.81</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(14,912)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Non-vested as of December 31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80,661</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$75.80</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85,284</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$80.73</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99,585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tab/>
        <w:t>Shares granted include accrued dividends</w:t>
      </w:r>
      <w:r>
        <w:rPr>
          <w:rFonts w:ascii="Arial" w:cs="Arial" w:eastAsia="Arial" w:hAnsi="Arial"/>
          <w:sz w:val="17"/>
          <w:szCs w:val="17"/>
          <w:i w:val="1"/>
          <w:iCs w:val="1"/>
          <w:color w:val="auto"/>
        </w:rPr>
        <w:t>.</w:t>
      </w:r>
    </w:p>
    <w:p>
      <w:pPr>
        <w:spacing w:after="0" w:line="2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approximately 32,000 performance shares granted in February 2022 for the three-year performance period ending in 2024. The ultimate issuance is contingent upon the attainment of certain goals of ALLETE during the performance periods. The grant date fair value of the performance shares granted was $2.2 million. There were no performance shares awarded in February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2021</w:t>
            </w:r>
          </w:p>
        </w:tc>
        <w:tc>
          <w:tcPr>
            <w:tcW w:w="25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2020</w:t>
            </w:r>
          </w:p>
        </w:tc>
        <w:tc>
          <w:tcPr>
            <w:tcW w:w="252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spacing w:after="0"/>
              <w:rPr>
                <w:sz w:val="14"/>
                <w:szCs w:val="14"/>
                <w:color w:val="auto"/>
              </w:rPr>
            </w:pPr>
          </w:p>
        </w:tc>
        <w:tc>
          <w:tcPr>
            <w:tcW w:w="13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9"/>
              </w:rPr>
              <w:t>Weighted-</w:t>
            </w:r>
          </w:p>
        </w:tc>
        <w:tc>
          <w:tcPr>
            <w:tcW w:w="1240" w:type="dxa"/>
            <w:vAlign w:val="bottom"/>
          </w:tcPr>
          <w:p>
            <w:pPr>
              <w:spacing w:after="0"/>
              <w:rPr>
                <w:sz w:val="14"/>
                <w:szCs w:val="14"/>
                <w:color w:val="auto"/>
              </w:rPr>
            </w:pPr>
          </w:p>
        </w:tc>
        <w:tc>
          <w:tcPr>
            <w:tcW w:w="12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7"/>
              </w:rPr>
              <w:t>Average</w:t>
            </w: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Average</w:t>
            </w: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2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40" w:type="dxa"/>
            <w:vAlign w:val="bottom"/>
            <w:vMerge w:val="continue"/>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37,482</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$77.64</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39,943</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$69.30</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49,771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16,251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$64.97</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15,169</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$83.48</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13,927</w:t>
            </w:r>
          </w:p>
        </w:tc>
        <w:tc>
          <w:tcPr>
            <w:tcW w:w="1280" w:type="dxa"/>
            <w:vAlign w:val="bottom"/>
          </w:tcPr>
          <w:p>
            <w:pPr>
              <w:jc w:val="right"/>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Awarded</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(23,631)</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$74.53</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(17,193)</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$63.41</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(1,961)</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$74.52</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$77.52</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28,141</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$73.16</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37,482</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$77.64</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39,943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tab/>
        <w:t>Shares granted include accrued dividends.</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approximately 13,000 restricted stock units granted in February 2022 for the vesting period ending in 2024. The grant date fair value of the restricted stock units granted was $0.8 million. There were approximately 7,000 restricted stock units awarded in February 2022. The grant date fair value of the shares awarded was $0.5 million.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three reportable segments: Regulated Operations, ALLETE Clean Energy, and U.S. Water Services.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U.S. Water Services was our integrated water management company, which reflects operating results until it was sold in March 2019.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approximately 4,000 acres of land in Minnesota, and earnings on cash and investments.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NOTE 13. BUSINESS SEGMENTS (Continued)</w:t>
            </w: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$160.8</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$140.7</w:t>
            </w:r>
          </w:p>
        </w:tc>
        <w:tc>
          <w:tcPr>
            <w:tcW w:w="106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168.6</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Municipal</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52.0</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41.2</w:t>
            </w:r>
          </w:p>
        </w:tc>
        <w:tc>
          <w:tcPr>
            <w:tcW w:w="106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565.5</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432.8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Other Power Suppliers</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168.7</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138.8</w:t>
            </w:r>
          </w:p>
        </w:tc>
        <w:tc>
          <w:tcPr>
            <w:tcW w:w="106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CIP Financial Incentive </w:t>
            </w:r>
            <w:r>
              <w:rPr>
                <w:rFonts w:ascii="Arial" w:cs="Arial" w:eastAsia="Arial" w:hAnsi="Arial"/>
                <w:sz w:val="16"/>
                <w:szCs w:val="16"/>
                <w:i w:val="1"/>
                <w:iCs w:val="1"/>
                <w:color w:val="auto"/>
              </w:rPr>
              <w:t>(a)</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109.9</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23"/>
        </w:trPr>
        <w:tc>
          <w:tcPr>
            <w:tcW w:w="5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Regulated Operations</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1,227.9</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987.3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r>
      <w:tr>
        <w:trPr>
          <w:trHeight w:val="196"/>
        </w:trPr>
        <w:tc>
          <w:tcPr>
            <w:tcW w:w="57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Long-term PSA</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75.5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68.3</w:t>
            </w:r>
          </w:p>
        </w:tc>
        <w:tc>
          <w:tcPr>
            <w:tcW w:w="106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5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11.4</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11.3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5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 ALLETE Clean Energy</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86.9</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79.6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196"/>
        </w:trPr>
        <w:tc>
          <w:tcPr>
            <w:tcW w:w="57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 xml:space="preserve">U.S. Water Services </w:t>
            </w:r>
            <w:r>
              <w:rPr>
                <w:rFonts w:ascii="Arial" w:cs="Arial" w:eastAsia="Arial" w:hAnsi="Arial"/>
                <w:sz w:val="16"/>
                <w:szCs w:val="16"/>
                <w:i w:val="1"/>
                <w:iCs w:val="1"/>
                <w:color w:val="auto"/>
              </w:rPr>
              <w:t>(b)</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Point-in-time</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Contract</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7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Capital Project</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 U.S. Water Services</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196"/>
        </w:trPr>
        <w:tc>
          <w:tcPr>
            <w:tcW w:w="57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Contract</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84.4</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5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Corporate and Other</w:t>
            </w:r>
          </w:p>
        </w:tc>
        <w:tc>
          <w:tcPr>
            <w:tcW w:w="30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104.4</w:t>
            </w:r>
          </w:p>
        </w:tc>
        <w:tc>
          <w:tcPr>
            <w:tcW w:w="13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102.2</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105.1</w:t>
            </w:r>
          </w:p>
        </w:tc>
      </w:tr>
      <w:tr>
        <w:trPr>
          <w:trHeight w:val="223"/>
        </w:trPr>
        <w:tc>
          <w:tcPr>
            <w:tcW w:w="57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Total Operating Revenue</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$1,419.2</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$1,169.1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Net Income (Loss) Attributable to ALLETE </w:t>
            </w:r>
            <w:r>
              <w:rPr>
                <w:rFonts w:ascii="Arial" w:cs="Arial" w:eastAsia="Arial" w:hAnsi="Arial"/>
                <w:sz w:val="16"/>
                <w:szCs w:val="16"/>
                <w:i w:val="1"/>
                <w:iCs w:val="1"/>
                <w:color w:val="auto"/>
              </w:rPr>
              <w:t>(c)</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tcPr>
          <w:p>
            <w:pPr>
              <w:jc w:val="right"/>
              <w:ind w:right="210"/>
              <w:spacing w:after="0"/>
              <w:rPr>
                <w:sz w:val="20"/>
                <w:szCs w:val="20"/>
                <w:color w:val="auto"/>
              </w:rPr>
            </w:pPr>
            <w:r>
              <w:rPr>
                <w:rFonts w:ascii="Arial" w:cs="Arial" w:eastAsia="Arial" w:hAnsi="Arial"/>
                <w:sz w:val="18"/>
                <w:szCs w:val="18"/>
                <w:color w:val="auto"/>
              </w:rPr>
              <w:t>$129.1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$136.3</w:t>
            </w:r>
          </w:p>
        </w:tc>
        <w:tc>
          <w:tcPr>
            <w:tcW w:w="106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26.3</w:t>
            </w: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U.S. Water Services</w:t>
            </w:r>
          </w:p>
        </w:tc>
        <w:tc>
          <w:tcPr>
            <w:tcW w:w="3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(b)(d)</w:t>
            </w:r>
          </w:p>
        </w:tc>
        <w:tc>
          <w:tcPr>
            <w:tcW w:w="30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13.8</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57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3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$169.2</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$174.2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r>
    </w:tbl>
    <w:p>
      <w:pPr>
        <w:spacing w:after="0" w:line="85"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See Note 4. Regulatory Matters.</w:t>
      </w:r>
    </w:p>
    <w:p>
      <w:pPr>
        <w:spacing w:after="0" w:line="19" w:lineRule="exact"/>
        <w:rPr>
          <w:rFonts w:ascii="Arial" w:cs="Arial" w:eastAsia="Arial" w:hAnsi="Arial"/>
          <w:sz w:val="16"/>
          <w:szCs w:val="16"/>
          <w:i w:val="1"/>
          <w:iCs w:val="1"/>
          <w:color w:val="auto"/>
        </w:rPr>
      </w:pPr>
    </w:p>
    <w:p>
      <w:pPr>
        <w:ind w:left="340" w:hanging="332"/>
        <w:spacing w:after="0" w:line="246" w:lineRule="auto"/>
        <w:tabs>
          <w:tab w:leader="none" w:pos="41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In 2019, ALLETE sold U.S. Water Services. The Company recognized a gain on the sale of $13.2 million after-tax which is reflected in Corporate and Other. (See Note 1. Operations and Significant Accounting Policies.)</w:t>
      </w:r>
    </w:p>
    <w:p>
      <w:pPr>
        <w:ind w:left="340" w:hanging="332"/>
        <w:spacing w:after="0"/>
        <w:tabs>
          <w:tab w:leader="none" w:pos="340" w:val="left"/>
        </w:tabs>
        <w:numPr>
          <w:ilvl w:val="0"/>
          <w:numId w:val="40"/>
        </w:numPr>
        <w:rPr>
          <w:rFonts w:ascii="Arial" w:cs="Arial" w:eastAsia="Arial" w:hAnsi="Arial"/>
          <w:sz w:val="15"/>
          <w:szCs w:val="15"/>
          <w:i w:val="1"/>
          <w:iCs w:val="1"/>
          <w:color w:val="auto"/>
        </w:rPr>
      </w:pPr>
      <w:r>
        <w:rPr>
          <w:rFonts w:ascii="Arial" w:cs="Arial" w:eastAsia="Arial" w:hAnsi="Arial"/>
          <w:sz w:val="15"/>
          <w:szCs w:val="15"/>
          <w:i w:val="1"/>
          <w:iCs w:val="1"/>
          <w:color w:val="auto"/>
        </w:rPr>
        <w:t>Includes interest expense resulting from intercompany loan agreements and allocated to certain subsidiaries. The amounts are eliminated in consolidation.</w:t>
      </w:r>
    </w:p>
    <w:p>
      <w:pPr>
        <w:spacing w:after="0" w:line="16" w:lineRule="exact"/>
        <w:rPr>
          <w:rFonts w:ascii="Arial" w:cs="Arial" w:eastAsia="Arial" w:hAnsi="Arial"/>
          <w:sz w:val="15"/>
          <w:szCs w:val="15"/>
          <w:i w:val="1"/>
          <w:iCs w:val="1"/>
          <w:color w:val="auto"/>
        </w:rPr>
      </w:pPr>
    </w:p>
    <w:p>
      <w:pPr>
        <w:ind w:left="340" w:hanging="332"/>
        <w:spacing w:after="0" w:line="290" w:lineRule="auto"/>
        <w:tabs>
          <w:tab w:leader="none" w:pos="428" w:val="left"/>
        </w:tabs>
        <w:numPr>
          <w:ilvl w:val="0"/>
          <w:numId w:val="40"/>
        </w:numPr>
        <w:rPr>
          <w:rFonts w:ascii="Arial" w:cs="Arial" w:eastAsia="Arial" w:hAnsi="Arial"/>
          <w:sz w:val="15"/>
          <w:szCs w:val="15"/>
          <w:i w:val="1"/>
          <w:iCs w:val="1"/>
          <w:color w:val="auto"/>
        </w:rPr>
      </w:pPr>
      <w:r>
        <w:rPr>
          <w:rFonts w:ascii="Arial" w:cs="Arial" w:eastAsia="Arial" w:hAnsi="Arial"/>
          <w:sz w:val="15"/>
          <w:szCs w:val="15"/>
          <w:i w:val="1"/>
          <w:iCs w:val="1"/>
          <w:color w:val="auto"/>
        </w:rPr>
        <w:t>In 2021, South Shore Energy sold a portion of its undivided ownership interest in NTEC to Basin. The closing of the transaction resulted in the recognition of an approximately $8.5 million after-tax gain which is reflected in Corporate and Other. (See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2021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0" w:name="page121"/>
    <w:bookmarkEnd w:id="120"/>
    <w:tbl>
      <w:tblPr>
        <w:tblLayout w:type="fixed"/>
        <w:tblInd w:w="10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13. BUSINESS SEGMENTS (Continued)</w:t>
            </w: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tcPr>
          <w:p>
            <w:pPr>
              <w:jc w:val="right"/>
              <w:ind w:right="310"/>
              <w:spacing w:after="0"/>
              <w:rPr>
                <w:sz w:val="20"/>
                <w:szCs w:val="20"/>
                <w:color w:val="auto"/>
              </w:rPr>
            </w:pPr>
            <w:r>
              <w:rPr>
                <w:rFonts w:ascii="Arial" w:cs="Arial" w:eastAsia="Arial" w:hAnsi="Arial"/>
                <w:sz w:val="18"/>
                <w:szCs w:val="18"/>
                <w:color w:val="auto"/>
              </w:rPr>
              <w:t>$170.7</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$166.9</w:t>
            </w:r>
          </w:p>
        </w:tc>
        <w:tc>
          <w:tcPr>
            <w:tcW w:w="96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49.2</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37.9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U.S. Water Services</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11.8</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5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Depreciation and Amortization</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$231.7</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6"/>
                <w:szCs w:val="16"/>
                <w:i w:val="1"/>
                <w:iCs w:val="1"/>
                <w:color w:val="auto"/>
              </w:rPr>
              <w:t>(a)</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tcPr>
          <w:p>
            <w:pPr>
              <w:jc w:val="right"/>
              <w:ind w:right="310"/>
              <w:spacing w:after="0"/>
              <w:rPr>
                <w:sz w:val="20"/>
                <w:szCs w:val="20"/>
                <w:color w:val="auto"/>
              </w:rPr>
            </w:pPr>
            <w:r>
              <w:rPr>
                <w:rFonts w:ascii="Arial" w:cs="Arial" w:eastAsia="Arial" w:hAnsi="Arial"/>
                <w:sz w:val="18"/>
                <w:szCs w:val="18"/>
                <w:color w:val="auto"/>
              </w:rPr>
              <w:t>$57.3</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$58.5</w:t>
            </w:r>
          </w:p>
        </w:tc>
        <w:tc>
          <w:tcPr>
            <w:tcW w:w="96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U.S. Water Services</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13.2</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Eliminations</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$69.1</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$65.6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Equity Earnings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$21.3</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Earnings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$(16.6)</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tcPr>
          <w:p>
            <w:pPr>
              <w:jc w:val="right"/>
              <w:ind w:right="310"/>
              <w:spacing w:after="0"/>
              <w:rPr>
                <w:sz w:val="20"/>
                <w:szCs w:val="20"/>
                <w:color w:val="auto"/>
              </w:rPr>
            </w:pPr>
            <w:r>
              <w:rPr>
                <w:rFonts w:ascii="Arial" w:cs="Arial" w:eastAsia="Arial" w:hAnsi="Arial"/>
                <w:sz w:val="18"/>
                <w:szCs w:val="18"/>
                <w:color w:val="auto"/>
              </w:rPr>
              <w:t>(16.6)</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(19.1)</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Water Services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Income Tax Benefit</w:t>
            </w:r>
          </w:p>
        </w:tc>
        <w:tc>
          <w:tcPr>
            <w:tcW w:w="3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$(26.9)</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85" w:lineRule="exact"/>
        <w:rPr>
          <w:sz w:val="20"/>
          <w:szCs w:val="20"/>
          <w:color w:val="auto"/>
        </w:rPr>
      </w:pPr>
    </w:p>
    <w:p>
      <w:pPr>
        <w:ind w:left="460" w:hanging="352"/>
        <w:spacing w:after="0"/>
        <w:tabs>
          <w:tab w:leader="none" w:pos="460" w:val="left"/>
        </w:tabs>
        <w:numPr>
          <w:ilvl w:val="0"/>
          <w:numId w:val="41"/>
        </w:numPr>
        <w:rPr>
          <w:rFonts w:ascii="Arial" w:cs="Arial" w:eastAsia="Arial" w:hAnsi="Arial"/>
          <w:sz w:val="15"/>
          <w:szCs w:val="15"/>
          <w:i w:val="1"/>
          <w:iCs w:val="1"/>
          <w:color w:val="auto"/>
        </w:rPr>
      </w:pPr>
      <w:r>
        <w:rPr>
          <w:rFonts w:ascii="Arial" w:cs="Arial" w:eastAsia="Arial" w:hAnsi="Arial"/>
          <w:sz w:val="15"/>
          <w:szCs w:val="15"/>
          <w:i w:val="1"/>
          <w:iCs w:val="1"/>
          <w:color w:val="auto"/>
        </w:rPr>
        <w:t>Includes interest expense resulting from intercompany loan agreements and allocated to certain subsidiaries. The amounts are eliminated in consolidation.</w:t>
      </w:r>
    </w:p>
    <w:p>
      <w:pPr>
        <w:spacing w:after="0" w:line="30" w:lineRule="exact"/>
        <w:rPr>
          <w:rFonts w:ascii="Arial" w:cs="Arial" w:eastAsia="Arial" w:hAnsi="Arial"/>
          <w:sz w:val="15"/>
          <w:szCs w:val="15"/>
          <w:i w:val="1"/>
          <w:iCs w:val="1"/>
          <w:color w:val="auto"/>
        </w:rPr>
      </w:pPr>
    </w:p>
    <w:p>
      <w:pPr>
        <w:ind w:left="440" w:hanging="332"/>
        <w:spacing w:after="0" w:line="257" w:lineRule="auto"/>
        <w:tabs>
          <w:tab w:leader="none" w:pos="345"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In 2019, ALLETE sold U.S. Water Services. The Company recognized income tax expense of $10.4 million for the gain on sale of U.S. Water Services which is reflected in Corporate and Other. (See Note 1. Operations and Significant Accounting Policies.)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ind w:left="60"/>
              <w:spacing w:after="0"/>
              <w:rPr>
                <w:sz w:val="20"/>
                <w:szCs w:val="20"/>
                <w:color w:val="auto"/>
              </w:rPr>
            </w:pPr>
            <w:r>
              <w:rPr>
                <w:rFonts w:ascii="Arial" w:cs="Arial" w:eastAsia="Arial" w:hAnsi="Arial"/>
                <w:sz w:val="18"/>
                <w:szCs w:val="18"/>
                <w:b w:val="1"/>
                <w:bCs w:val="1"/>
                <w:color w:val="auto"/>
              </w:rPr>
              <w:t>of December 31</w:t>
            </w:r>
          </w:p>
        </w:tc>
        <w:tc>
          <w:tcPr>
            <w:tcW w:w="43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r>
        <w:trPr>
          <w:trHeight w:val="20"/>
        </w:trPr>
        <w:tc>
          <w:tcPr>
            <w:tcW w:w="14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illions</w:t>
            </w:r>
          </w:p>
        </w:tc>
        <w:tc>
          <w:tcPr>
            <w:tcW w:w="4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sets</w:t>
            </w:r>
          </w:p>
        </w:tc>
        <w:tc>
          <w:tcPr>
            <w:tcW w:w="4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Regulated Operations</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$4,289.4</w:t>
            </w:r>
          </w:p>
        </w:tc>
        <w:tc>
          <w:tcPr>
            <w:tcW w:w="980" w:type="dxa"/>
            <w:vAlign w:val="bottom"/>
          </w:tcPr>
          <w:p>
            <w:pPr>
              <w:jc w:val="right"/>
              <w:spacing w:after="0"/>
              <w:rPr>
                <w:sz w:val="20"/>
                <w:szCs w:val="20"/>
                <w:color w:val="auto"/>
              </w:rPr>
            </w:pPr>
            <w:r>
              <w:rPr>
                <w:rFonts w:ascii="Arial" w:cs="Arial" w:eastAsia="Arial" w:hAnsi="Arial"/>
                <w:sz w:val="18"/>
                <w:szCs w:val="18"/>
                <w:color w:val="auto"/>
              </w:rPr>
              <w:t>$4,196.8</w:t>
            </w:r>
          </w:p>
        </w:tc>
      </w:tr>
      <w:tr>
        <w:trPr>
          <w:trHeight w:val="230"/>
        </w:trPr>
        <w:tc>
          <w:tcPr>
            <w:tcW w:w="14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43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1,719.4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1,483.3</w:t>
            </w:r>
          </w:p>
        </w:tc>
      </w:tr>
      <w:tr>
        <w:trPr>
          <w:trHeight w:val="230"/>
        </w:trPr>
        <w:tc>
          <w:tcPr>
            <w:tcW w:w="14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and Other</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426.2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404.5</w:t>
            </w:r>
          </w:p>
        </w:tc>
      </w:tr>
      <w:tr>
        <w:trPr>
          <w:trHeight w:val="223"/>
        </w:trPr>
        <w:tc>
          <w:tcPr>
            <w:tcW w:w="14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$6,435.0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$6,084.6</w:t>
            </w:r>
          </w:p>
        </w:tc>
      </w:tr>
      <w:tr>
        <w:trPr>
          <w:trHeight w:val="223"/>
        </w:trPr>
        <w:tc>
          <w:tcPr>
            <w:tcW w:w="5640" w:type="dxa"/>
            <w:vAlign w:val="bottom"/>
            <w:gridSpan w:val="2"/>
          </w:tcPr>
          <w:p>
            <w:pPr>
              <w:ind w:left="40"/>
              <w:spacing w:after="0"/>
              <w:rPr>
                <w:sz w:val="20"/>
                <w:szCs w:val="20"/>
                <w:color w:val="auto"/>
              </w:rPr>
            </w:pPr>
            <w:r>
              <w:rPr>
                <w:rFonts w:ascii="Arial" w:cs="Arial" w:eastAsia="Arial" w:hAnsi="Arial"/>
                <w:sz w:val="18"/>
                <w:szCs w:val="18"/>
                <w:b w:val="1"/>
                <w:bCs w:val="1"/>
                <w:color w:val="auto"/>
              </w:rPr>
              <w:t>pital Expenditures</w:t>
            </w:r>
          </w:p>
        </w:tc>
        <w:tc>
          <w:tcPr>
            <w:tcW w:w="4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Regulated Operations</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$166.8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30"/>
        </w:trPr>
        <w:tc>
          <w:tcPr>
            <w:tcW w:w="1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ALLETE Clean Energy</w:t>
            </w:r>
          </w:p>
        </w:tc>
        <w:tc>
          <w:tcPr>
            <w:tcW w:w="4380" w:type="dxa"/>
            <w:vAlign w:val="bottom"/>
          </w:tcPr>
          <w:p>
            <w:pPr>
              <w:jc w:val="right"/>
              <w:ind w:right="250"/>
              <w:spacing w:after="0"/>
              <w:rPr>
                <w:sz w:val="20"/>
                <w:szCs w:val="20"/>
                <w:color w:val="auto"/>
              </w:rPr>
            </w:pPr>
            <w:r>
              <w:rPr>
                <w:rFonts w:ascii="Arial" w:cs="Arial" w:eastAsia="Arial" w:hAnsi="Arial"/>
                <w:sz w:val="18"/>
                <w:szCs w:val="18"/>
                <w:color w:val="auto"/>
              </w:rPr>
              <w:t>269.9</w:t>
            </w:r>
          </w:p>
        </w:tc>
        <w:tc>
          <w:tcPr>
            <w:tcW w:w="980" w:type="dxa"/>
            <w:vAlign w:val="bottom"/>
          </w:tcPr>
          <w:p>
            <w:pPr>
              <w:jc w:val="right"/>
              <w:spacing w:after="0"/>
              <w:rPr>
                <w:sz w:val="20"/>
                <w:szCs w:val="20"/>
                <w:color w:val="auto"/>
              </w:rPr>
            </w:pPr>
            <w:r>
              <w:rPr>
                <w:rFonts w:ascii="Arial" w:cs="Arial" w:eastAsia="Arial" w:hAnsi="Arial"/>
                <w:sz w:val="18"/>
                <w:szCs w:val="18"/>
                <w:color w:val="auto"/>
              </w:rPr>
              <w:t>507.8</w:t>
            </w:r>
          </w:p>
        </w:tc>
      </w:tr>
      <w:tr>
        <w:trPr>
          <w:trHeight w:val="229"/>
        </w:trPr>
        <w:tc>
          <w:tcPr>
            <w:tcW w:w="14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43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39.7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140" w:type="dxa"/>
            <w:vAlign w:val="bottom"/>
          </w:tcPr>
          <w:p>
            <w:pPr>
              <w:spacing w:after="0"/>
              <w:rPr>
                <w:sz w:val="19"/>
                <w:szCs w:val="19"/>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Capital Expenditures</w:t>
            </w:r>
          </w:p>
        </w:tc>
        <w:tc>
          <w:tcPr>
            <w:tcW w:w="4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$476.4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-1490980</wp:posOffset>
            </wp:positionV>
            <wp:extent cx="690054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5">
                      <a:extLst>
                        <a:ext uri="{28A0092B-C50C-407E-A947-70E740481C1C}"/>
                      </a:extLst>
                    </a:blip>
                    <a:srcRect/>
                    <a:stretch>
                      <a:fillRect/>
                    </a:stretch>
                  </pic:blipFill>
                  <pic:spPr bwMode="auto">
                    <a:xfrm>
                      <a:off x="0" y="0"/>
                      <a:ext cx="6900545" cy="146050"/>
                    </a:xfrm>
                    <a:prstGeom prst="rect">
                      <a:avLst/>
                    </a:prstGeom>
                    <a:noFill/>
                  </pic:spPr>
                </pic:pic>
              </a:graphicData>
            </a:graphic>
          </wp:anchor>
        </w:drawing>
      </w:r>
    </w:p>
    <w:p>
      <w:pPr>
        <w:sectPr>
          <w:pgSz w:w="11900" w:h="16838" w:orient="portrait"/>
          <w:cols w:equalWidth="0" w:num="1">
            <w:col w:w="11340"/>
          </w:cols>
          <w:pgMar w:left="220" w:top="7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ALLETE, Inc. 2021 Form 10-K</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729"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14. QUARTERLY FINANCIAL DATA (UNAUDITED)</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8660" w:type="dxa"/>
            <w:vAlign w:val="bottom"/>
            <w:gridSpan w:val="5"/>
          </w:tcPr>
          <w:p>
            <w:pPr>
              <w:spacing w:after="0"/>
              <w:rPr>
                <w:sz w:val="20"/>
                <w:szCs w:val="20"/>
                <w:color w:val="auto"/>
              </w:rPr>
            </w:pPr>
            <w:r>
              <w:rPr>
                <w:rFonts w:ascii="Arial" w:cs="Arial" w:eastAsia="Arial" w:hAnsi="Arial"/>
                <w:sz w:val="18"/>
                <w:szCs w:val="18"/>
                <w:color w:val="auto"/>
                <w:w w:val="91"/>
              </w:rPr>
              <w:t>Information for any one quarterly period is not necessarily indicative of the results which may be expected for the year.</w:t>
            </w: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w:t>
            </w:r>
          </w:p>
        </w:tc>
        <w:tc>
          <w:tcPr>
            <w:tcW w:w="16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31</w:t>
            </w:r>
          </w:p>
        </w:tc>
        <w:tc>
          <w:tcPr>
            <w:tcW w:w="128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Jun. 30</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Sept. 30</w:t>
            </w:r>
          </w:p>
        </w:tc>
        <w:tc>
          <w:tcPr>
            <w:tcW w:w="122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w w:val="88"/>
              </w:rPr>
              <w:t>Dec. 31</w:t>
            </w: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Millions Except Earnings Per Share</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$339.2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$345.4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$31.1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ALLETE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$0.99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$0.99</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$311.6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$293.9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$357.2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$288.3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ALLETE</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4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1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40" w:type="dxa"/>
            <w:vAlign w:val="bottom"/>
            <w:tcBorders>
              <w:bottom w:val="single" w:sz="8" w:color="auto"/>
            </w:tcBorders>
          </w:tcPr>
          <w:p>
            <w:pPr>
              <w:spacing w:after="0"/>
              <w:rPr>
                <w:sz w:val="19"/>
                <w:szCs w:val="19"/>
                <w:color w:val="auto"/>
              </w:rPr>
            </w:pPr>
          </w:p>
        </w:tc>
      </w:tr>
      <w:tr>
        <w:trPr>
          <w:trHeight w:val="223"/>
        </w:trPr>
        <w:tc>
          <w:tcPr>
            <w:tcW w:w="4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$0.60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 w:type="dxa"/>
            <w:vAlign w:val="bottom"/>
            <w:tcBorders>
              <w:bottom w:val="single" w:sz="8" w:color="auto"/>
            </w:tcBorders>
            <w:shd w:val="clear" w:color="auto" w:fill="CCEEFF"/>
          </w:tcPr>
          <w:p>
            <w:pPr>
              <w:spacing w:after="0"/>
              <w:rPr>
                <w:sz w:val="19"/>
                <w:szCs w:val="19"/>
                <w:color w:val="auto"/>
              </w:rPr>
            </w:pPr>
          </w:p>
        </w:tc>
      </w:tr>
      <w:tr>
        <w:trPr>
          <w:trHeight w:val="965"/>
        </w:trPr>
        <w:tc>
          <w:tcPr>
            <w:tcW w:w="4220" w:type="dxa"/>
            <w:vAlign w:val="bottom"/>
          </w:tcPr>
          <w:p>
            <w:pPr>
              <w:spacing w:after="0"/>
              <w:rPr>
                <w:sz w:val="20"/>
                <w:szCs w:val="20"/>
                <w:color w:val="auto"/>
              </w:rPr>
            </w:pPr>
            <w:r>
              <w:rPr>
                <w:rFonts w:ascii="Arial" w:cs="Arial" w:eastAsia="Arial" w:hAnsi="Arial"/>
                <w:sz w:val="18"/>
                <w:szCs w:val="18"/>
                <w:b w:val="1"/>
                <w:bCs w:val="1"/>
                <w:color w:val="auto"/>
              </w:rPr>
              <w:t>Schedule II</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22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220" w:type="dxa"/>
            <w:vAlign w:val="bottom"/>
          </w:tcPr>
          <w:p>
            <w:pPr>
              <w:spacing w:after="0"/>
              <w:rPr>
                <w:sz w:val="20"/>
                <w:szCs w:val="20"/>
                <w:color w:val="auto"/>
              </w:rPr>
            </w:pPr>
            <w:r>
              <w:rPr>
                <w:rFonts w:ascii="Arial" w:cs="Arial" w:eastAsia="Arial" w:hAnsi="Arial"/>
                <w:sz w:val="18"/>
                <w:szCs w:val="18"/>
                <w:b w:val="1"/>
                <w:bCs w:val="1"/>
                <w:color w:val="auto"/>
                <w:w w:val="99"/>
              </w:rPr>
              <w:t>Valuation and Qualifying Accounts and Reserves</w:t>
            </w:r>
          </w:p>
        </w:tc>
        <w:tc>
          <w:tcPr>
            <w:tcW w:w="1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6"/>
        </w:trPr>
        <w:tc>
          <w:tcPr>
            <w:tcW w:w="4220" w:type="dxa"/>
            <w:vAlign w:val="bottom"/>
          </w:tcPr>
          <w:p>
            <w:pPr>
              <w:spacing w:after="0"/>
              <w:rPr>
                <w:sz w:val="22"/>
                <w:szCs w:val="22"/>
                <w:color w:val="auto"/>
              </w:rPr>
            </w:pPr>
          </w:p>
        </w:tc>
        <w:tc>
          <w:tcPr>
            <w:tcW w:w="162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Balance at</w:t>
            </w:r>
          </w:p>
        </w:tc>
        <w:tc>
          <w:tcPr>
            <w:tcW w:w="2680" w:type="dxa"/>
            <w:vAlign w:val="bottom"/>
            <w:tcBorders>
              <w:bottom w:val="single" w:sz="8" w:color="auto"/>
            </w:tcBorders>
            <w:gridSpan w:val="2"/>
          </w:tcPr>
          <w:p>
            <w:pPr>
              <w:jc w:val="right"/>
              <w:ind w:right="870"/>
              <w:spacing w:after="0"/>
              <w:rPr>
                <w:sz w:val="20"/>
                <w:szCs w:val="20"/>
                <w:color w:val="auto"/>
              </w:rPr>
            </w:pPr>
            <w:r>
              <w:rPr>
                <w:rFonts w:ascii="Arial" w:cs="Arial" w:eastAsia="Arial" w:hAnsi="Arial"/>
                <w:sz w:val="18"/>
                <w:szCs w:val="18"/>
                <w:b w:val="1"/>
                <w:bCs w:val="1"/>
                <w:color w:val="auto"/>
              </w:rPr>
              <w:t>Additions</w:t>
            </w:r>
          </w:p>
        </w:tc>
        <w:tc>
          <w:tcPr>
            <w:tcW w:w="14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Deductions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Balance at</w:t>
            </w:r>
          </w:p>
        </w:tc>
      </w:tr>
      <w:tr>
        <w:trPr>
          <w:trHeight w:val="169"/>
        </w:trPr>
        <w:tc>
          <w:tcPr>
            <w:tcW w:w="4220" w:type="dxa"/>
            <w:vAlign w:val="bottom"/>
          </w:tcPr>
          <w:p>
            <w:pPr>
              <w:spacing w:after="0"/>
              <w:rPr>
                <w:sz w:val="14"/>
                <w:szCs w:val="14"/>
                <w:color w:val="auto"/>
              </w:rPr>
            </w:pPr>
          </w:p>
        </w:tc>
        <w:tc>
          <w:tcPr>
            <w:tcW w:w="162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5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Charged to</w:t>
            </w:r>
          </w:p>
        </w:tc>
        <w:tc>
          <w:tcPr>
            <w:tcW w:w="1280" w:type="dxa"/>
            <w:vAlign w:val="bottom"/>
            <w:gridSpan w:val="2"/>
          </w:tcPr>
          <w:p>
            <w:pPr>
              <w:ind w:left="240"/>
              <w:spacing w:after="0" w:line="169" w:lineRule="exact"/>
              <w:rPr>
                <w:sz w:val="20"/>
                <w:szCs w:val="20"/>
                <w:color w:val="auto"/>
              </w:rPr>
            </w:pPr>
            <w:r>
              <w:rPr>
                <w:rFonts w:ascii="Arial" w:cs="Arial" w:eastAsia="Arial" w:hAnsi="Arial"/>
                <w:sz w:val="18"/>
                <w:szCs w:val="18"/>
                <w:b w:val="1"/>
                <w:bCs w:val="1"/>
                <w:color w:val="auto"/>
              </w:rPr>
              <w:t>Other</w:t>
            </w:r>
          </w:p>
        </w:tc>
        <w:tc>
          <w:tcPr>
            <w:tcW w:w="134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89"/>
              </w:rPr>
              <w:t>from</w:t>
            </w:r>
          </w:p>
        </w:tc>
        <w:tc>
          <w:tcPr>
            <w:tcW w:w="1220" w:type="dxa"/>
            <w:vAlign w:val="bottom"/>
            <w:gridSpan w:val="2"/>
          </w:tcPr>
          <w:p>
            <w:pPr>
              <w:jc w:val="center"/>
              <w:ind w:right="180"/>
              <w:spacing w:after="0" w:line="169" w:lineRule="exact"/>
              <w:rPr>
                <w:sz w:val="20"/>
                <w:szCs w:val="20"/>
                <w:color w:val="auto"/>
              </w:rPr>
            </w:pPr>
            <w:r>
              <w:rPr>
                <w:rFonts w:ascii="Arial" w:cs="Arial" w:eastAsia="Arial" w:hAnsi="Arial"/>
                <w:sz w:val="18"/>
                <w:szCs w:val="18"/>
                <w:b w:val="1"/>
                <w:bCs w:val="1"/>
                <w:color w:val="auto"/>
                <w:w w:val="92"/>
              </w:rPr>
              <w:t>End of</w:t>
            </w:r>
          </w:p>
        </w:tc>
      </w:tr>
      <w:tr>
        <w:trPr>
          <w:trHeight w:val="230"/>
        </w:trPr>
        <w:tc>
          <w:tcPr>
            <w:tcW w:w="4220" w:type="dxa"/>
            <w:vAlign w:val="bottom"/>
          </w:tcPr>
          <w:p>
            <w:pPr>
              <w:spacing w:after="0"/>
              <w:rPr>
                <w:sz w:val="19"/>
                <w:szCs w:val="19"/>
                <w:color w:val="auto"/>
              </w:rPr>
            </w:pPr>
          </w:p>
        </w:tc>
        <w:tc>
          <w:tcPr>
            <w:tcW w:w="16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Period</w:t>
            </w: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Income</w:t>
            </w: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Charges</w:t>
            </w:r>
          </w:p>
        </w:tc>
        <w:tc>
          <w:tcPr>
            <w:tcW w:w="134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Period</w:t>
            </w:r>
          </w:p>
        </w:tc>
      </w:tr>
      <w:tr>
        <w:trPr>
          <w:trHeight w:val="223"/>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16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Deducted from Related Assets</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color w:val="auto"/>
              </w:rPr>
              <w:t>Reserve For Uncollectible Accounts</w:t>
            </w:r>
          </w:p>
        </w:tc>
        <w:tc>
          <w:tcPr>
            <w:tcW w:w="1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2019 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9"/>
                <w:szCs w:val="19"/>
                <w:color w:val="auto"/>
              </w:rPr>
            </w:pPr>
          </w:p>
        </w:tc>
      </w:tr>
      <w:tr>
        <w:trPr>
          <w:trHeight w:val="230"/>
        </w:trPr>
        <w:tc>
          <w:tcPr>
            <w:tcW w:w="4220" w:type="dxa"/>
            <w:vAlign w:val="bottom"/>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r>
      <w:tr>
        <w:trPr>
          <w:trHeight w:val="229"/>
        </w:trPr>
        <w:tc>
          <w:tcPr>
            <w:tcW w:w="4220" w:type="dxa"/>
            <w:vAlign w:val="bottom"/>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 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9"/>
                <w:szCs w:val="19"/>
                <w:color w:val="auto"/>
              </w:rPr>
            </w:pPr>
          </w:p>
        </w:tc>
      </w:tr>
      <w:tr>
        <w:trPr>
          <w:trHeight w:val="230"/>
        </w:trPr>
        <w:tc>
          <w:tcPr>
            <w:tcW w:w="4220" w:type="dxa"/>
            <w:vAlign w:val="bottom"/>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Asset Valuation Allowance</w:t>
            </w:r>
          </w:p>
        </w:tc>
        <w:tc>
          <w:tcPr>
            <w:tcW w:w="16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2019 Deferred Tax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$66.5</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9"/>
                <w:szCs w:val="19"/>
                <w:color w:val="auto"/>
              </w:rPr>
            </w:pPr>
          </w:p>
        </w:tc>
      </w:tr>
      <w:tr>
        <w:trPr>
          <w:trHeight w:val="229"/>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Deferred Tax Assets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0" w:type="dxa"/>
            <w:vAlign w:val="bottom"/>
          </w:tcPr>
          <w:p>
            <w:pPr>
              <w:spacing w:after="0"/>
              <w:rPr>
                <w:sz w:val="19"/>
                <w:szCs w:val="19"/>
                <w:color w:val="auto"/>
              </w:rPr>
            </w:pPr>
          </w:p>
        </w:tc>
      </w:tr>
      <w:tr>
        <w:trPr>
          <w:trHeight w:val="230"/>
        </w:trPr>
        <w:tc>
          <w:tcPr>
            <w:tcW w:w="42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2021 Deferred Tax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$(0.9)</w:t>
            </w:r>
          </w:p>
        </w:tc>
        <w:tc>
          <w:tcPr>
            <w:tcW w:w="128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40" w:type="dxa"/>
            <w:vAlign w:val="bottom"/>
          </w:tcPr>
          <w:p>
            <w:pPr>
              <w:spacing w:after="0"/>
              <w:rPr>
                <w:sz w:val="19"/>
                <w:szCs w:val="19"/>
                <w:color w:val="auto"/>
              </w:rPr>
            </w:pP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tab/>
        <w:t>Includes uncollectible accounts written-off.</w:t>
      </w:r>
    </w:p>
    <w:p>
      <w:pPr>
        <w:sectPr>
          <w:pgSz w:w="11900" w:h="16838" w:orient="portrait"/>
          <w:cols w:equalWidth="0" w:num="1">
            <w:col w:w="11220"/>
          </w:cols>
          <w:pgMar w:left="320" w:top="729" w:right="359" w:bottom="1440" w:gutter="0" w:footer="0" w:header="0"/>
        </w:sect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ALLETE, Inc. 2021 Form 10-K</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729" w:right="35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 TO CREDIT AGREEMENT</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THIS SECOND AMENDMENT TO CREDIT AGREEMENT dated as of November 23,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is among ALLETE, INC., as Borrower, the Lenders party hereto, and JPMORGAN CHASE BANK, N.A., as Administrative Agent. Capitalized terms used but not defined herein have the respective meanings set forth in the Credit Agreement (as defined below).</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WHEREAS, the Borrower, the Administrative Agent, and the Lenders party thereto have entered into the Amended and Restated Credit Agreement dated as of January 10, 2019 (as previously amended,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and the Existing Credit Agreement, as amended by this Amendment is referred to herein as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WHEREAS, the Borrower has requested to extend the maturity of the credit facility and the Administrative Agent and the undersigned Lenders (other than KeyBank National Association (the “</w:t>
      </w:r>
      <w:r>
        <w:rPr>
          <w:rFonts w:ascii="Arial" w:cs="Arial" w:eastAsia="Arial" w:hAnsi="Arial"/>
          <w:sz w:val="20"/>
          <w:szCs w:val="20"/>
          <w:u w:val="single" w:color="auto"/>
          <w:color w:val="auto"/>
        </w:rPr>
        <w:t>Second Amendment Declining Lender</w:t>
      </w:r>
      <w:r>
        <w:rPr>
          <w:rFonts w:ascii="Arial" w:cs="Arial" w:eastAsia="Arial" w:hAnsi="Arial"/>
          <w:sz w:val="20"/>
          <w:szCs w:val="20"/>
          <w:color w:val="auto"/>
        </w:rPr>
        <w:t>”)) are willing to so extend the maturity date under the Existing Credit Agreement on the terms set forth below; and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WHERAS, the Borrower and the undersigned Lenders desire to amend the Credit Agreement in certain other respects;</w:t>
      </w:r>
    </w:p>
    <w:p>
      <w:pPr>
        <w:spacing w:after="0" w:line="175"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NOW, THEREFORE, in consideration of the premises herein contained and other good and valuable consideration, the receipt and sufficiency of which are hereby acknowledged, the parties hereto agree as follows:</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19"/>
          <w:szCs w:val="19"/>
          <w:u w:val="single" w:color="auto"/>
          <w:color w:val="auto"/>
        </w:rPr>
        <w:t>AMENDMENT</w:t>
      </w:r>
      <w:r>
        <w:rPr>
          <w:rFonts w:ascii="Arial" w:cs="Arial" w:eastAsia="Arial" w:hAnsi="Arial"/>
          <w:sz w:val="19"/>
          <w:szCs w:val="19"/>
          <w:color w:val="auto"/>
        </w:rPr>
        <w:t>. Subject to the satisfaction of the conditions precedent set forth in</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4</w:t>
      </w:r>
      <w:r>
        <w:rPr>
          <w:rFonts w:ascii="Arial" w:cs="Arial" w:eastAsia="Arial" w:hAnsi="Arial"/>
          <w:sz w:val="19"/>
          <w:szCs w:val="19"/>
          <w:color w:val="auto"/>
        </w:rPr>
        <w:t>, the Existing Credit</w:t>
      </w:r>
      <w:r>
        <w:rPr>
          <w:rFonts w:ascii="Arial" w:cs="Arial" w:eastAsia="Arial" w:hAnsi="Arial"/>
          <w:sz w:val="22"/>
          <w:szCs w:val="22"/>
          <w:color w:val="auto"/>
        </w:rPr>
        <w:t xml:space="preserve"> </w:t>
      </w:r>
      <w:r>
        <w:rPr>
          <w:rFonts w:ascii="Arial" w:cs="Arial" w:eastAsia="Arial" w:hAnsi="Arial"/>
          <w:sz w:val="19"/>
          <w:szCs w:val="19"/>
          <w:color w:val="auto"/>
        </w:rPr>
        <w:t xml:space="preserve">Agreement is amended in its entirety to read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w:t>
      </w:r>
    </w:p>
    <w:p>
      <w:pPr>
        <w:spacing w:after="0" w:line="13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8"/>
          <w:szCs w:val="18"/>
          <w:u w:val="single" w:color="auto"/>
          <w:color w:val="auto"/>
        </w:rPr>
        <w:t>LIBOR REPLACEMENT</w:t>
      </w:r>
      <w:r>
        <w:rPr>
          <w:rFonts w:ascii="Arial" w:cs="Arial" w:eastAsia="Arial" w:hAnsi="Arial"/>
          <w:sz w:val="18"/>
          <w:szCs w:val="18"/>
          <w:color w:val="auto"/>
        </w:rPr>
        <w:t>. Notwithstanding anything in the Credit Agreement to the contrary, the Loans (under and</w:t>
      </w:r>
    </w:p>
    <w:p>
      <w:pPr>
        <w:jc w:val="both"/>
        <w:spacing w:after="0" w:line="213" w:lineRule="auto"/>
        <w:rPr>
          <w:sz w:val="20"/>
          <w:szCs w:val="20"/>
          <w:color w:val="auto"/>
        </w:rPr>
      </w:pPr>
      <w:r>
        <w:rPr>
          <w:rFonts w:ascii="Arial" w:cs="Arial" w:eastAsia="Arial" w:hAnsi="Arial"/>
          <w:sz w:val="20"/>
          <w:szCs w:val="20"/>
          <w:color w:val="auto"/>
        </w:rPr>
        <w:t>defined in the Existing Credit Agreement) shall continue to bear interest at the Adjusted LIBO Rate (as defined in the Existing Credit Agreement) plus the Applicable Margin (as defined in the Existing Credit Agreement) until the end of the current Interest Period with respect to such Loans.</w:t>
      </w:r>
    </w:p>
    <w:p>
      <w:pPr>
        <w:spacing w:after="0" w:line="150"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The Borrower represents and warrants to the Lenders that,</w:t>
      </w:r>
      <w:r>
        <w:rPr>
          <w:rFonts w:ascii="Arial" w:cs="Arial" w:eastAsia="Arial" w:hAnsi="Arial"/>
          <w:sz w:val="22"/>
          <w:szCs w:val="22"/>
          <w:color w:val="auto"/>
        </w:rPr>
        <w:t xml:space="preserve"> </w:t>
      </w:r>
      <w:r>
        <w:rPr>
          <w:rFonts w:ascii="Arial" w:cs="Arial" w:eastAsia="Arial" w:hAnsi="Arial"/>
          <w:sz w:val="19"/>
          <w:szCs w:val="19"/>
          <w:color w:val="auto"/>
        </w:rPr>
        <w:t>immediately before and upon the effectiveness hereof:</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Borrower set forth in the Loan Documents are and</w:t>
      </w:r>
    </w:p>
    <w:p>
      <w:pPr>
        <w:jc w:val="both"/>
        <w:spacing w:after="0" w:line="213" w:lineRule="auto"/>
        <w:rPr>
          <w:sz w:val="20"/>
          <w:szCs w:val="20"/>
          <w:color w:val="auto"/>
        </w:rPr>
      </w:pPr>
      <w:r>
        <w:rPr>
          <w:rFonts w:ascii="Arial" w:cs="Arial" w:eastAsia="Arial" w:hAnsi="Arial"/>
          <w:sz w:val="20"/>
          <w:szCs w:val="20"/>
          <w:color w:val="auto"/>
        </w:rPr>
        <w:t>will be true and correct with the same effect as though made on and as of the date hereof except to the extent such representations and warranties specifically relate to an earlier date, in which case such representations and warranties shall have been true and correct on and as of such earlier date.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u w:val="single" w:color="auto"/>
          <w:color w:val="auto"/>
        </w:rPr>
        <w:t>Default</w:t>
      </w:r>
      <w:r>
        <w:rPr>
          <w:rFonts w:ascii="Arial" w:cs="Arial" w:eastAsia="Arial" w:hAnsi="Arial"/>
          <w:sz w:val="18"/>
          <w:szCs w:val="18"/>
          <w:color w:val="auto"/>
        </w:rPr>
        <w:t>. No Default has occurred and is continuing.</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u w:val="single" w:color="auto"/>
          <w:color w:val="auto"/>
        </w:rPr>
        <w:t>Authorization; Validity</w:t>
      </w:r>
      <w:r>
        <w:rPr>
          <w:rFonts w:ascii="Arial" w:cs="Arial" w:eastAsia="Arial" w:hAnsi="Arial"/>
          <w:sz w:val="18"/>
          <w:szCs w:val="18"/>
          <w:color w:val="auto"/>
        </w:rPr>
        <w:t>. The execution, delivery and performance by the Borrower of this Amendment is within the corporate</w:t>
      </w:r>
    </w:p>
    <w:p>
      <w:pPr>
        <w:jc w:val="both"/>
        <w:spacing w:after="0" w:line="206" w:lineRule="auto"/>
        <w:rPr>
          <w:sz w:val="20"/>
          <w:szCs w:val="20"/>
          <w:color w:val="auto"/>
        </w:rPr>
      </w:pPr>
      <w:r>
        <w:rPr>
          <w:rFonts w:ascii="Arial" w:cs="Arial" w:eastAsia="Arial" w:hAnsi="Arial"/>
          <w:sz w:val="20"/>
          <w:szCs w:val="20"/>
          <w:color w:val="auto"/>
        </w:rPr>
        <w:t>powers of the Borrower and has been duly authorized by all necessary corporate action. 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subject to applicable bankruptcy, insolvency, reorganization, moratorium or other similar laws affecting creditors’ rights generally and general principles of equity.</w:t>
      </w:r>
    </w:p>
    <w:p>
      <w:pPr>
        <w:sectPr>
          <w:pgSz w:w="11900" w:h="16838" w:orient="portrait"/>
          <w:cols w:equalWidth="0" w:num="1">
            <w:col w:w="11240"/>
          </w:cols>
          <w:pgMar w:left="320" w:top="104"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8"/>
          <w:szCs w:val="18"/>
          <w:u w:val="single" w:color="auto"/>
          <w:color w:val="auto"/>
        </w:rPr>
        <w:t>Government Approval, Regulation, etc</w:t>
      </w:r>
      <w:r>
        <w:rPr>
          <w:rFonts w:ascii="Arial" w:cs="Arial" w:eastAsia="Arial" w:hAnsi="Arial"/>
          <w:sz w:val="18"/>
          <w:szCs w:val="18"/>
          <w:color w:val="auto"/>
        </w:rPr>
        <w:t>. The execution, delivery and performance by the Borrower of this Amendment does</w:t>
      </w:r>
    </w:p>
    <w:p>
      <w:pPr>
        <w:jc w:val="both"/>
        <w:spacing w:after="0" w:line="236" w:lineRule="auto"/>
        <w:rPr>
          <w:sz w:val="20"/>
          <w:szCs w:val="20"/>
          <w:color w:val="auto"/>
        </w:rPr>
      </w:pPr>
      <w:r>
        <w:rPr>
          <w:rFonts w:ascii="Arial" w:cs="Arial" w:eastAsia="Arial" w:hAnsi="Arial"/>
          <w:sz w:val="18"/>
          <w:szCs w:val="18"/>
          <w:color w:val="auto"/>
        </w:rPr>
        <w:t>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3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0"/>
          <w:szCs w:val="20"/>
          <w:u w:val="single" w:color="auto"/>
          <w:color w:val="auto"/>
        </w:rPr>
        <w:t>EFFECTIVENESS</w:t>
      </w:r>
      <w:r>
        <w:rPr>
          <w:rFonts w:ascii="Arial" w:cs="Arial" w:eastAsia="Arial" w:hAnsi="Arial"/>
          <w:sz w:val="20"/>
          <w:szCs w:val="20"/>
          <w:color w:val="auto"/>
        </w:rPr>
        <w:t>. This Amendment shall become effective as of the date first written above when the</w:t>
      </w:r>
    </w:p>
    <w:p>
      <w:pPr>
        <w:jc w:val="both"/>
        <w:spacing w:after="0" w:line="213" w:lineRule="auto"/>
        <w:rPr>
          <w:sz w:val="20"/>
          <w:szCs w:val="20"/>
          <w:color w:val="auto"/>
        </w:rPr>
      </w:pPr>
      <w:r>
        <w:rPr>
          <w:rFonts w:ascii="Arial" w:cs="Arial" w:eastAsia="Arial" w:hAnsi="Arial"/>
          <w:sz w:val="20"/>
          <w:szCs w:val="20"/>
          <w:color w:val="auto"/>
        </w:rPr>
        <w:t>Administrative Agent has received, or shall be satisfied that it will substantially concurrently receive, (a) counterparts hereof signed by the Borrower and the Lenders and (b) all reasonable and documented fees and expenses (including attorney’s fees) of the Administrative Agent in connection herewith.</w:t>
      </w:r>
    </w:p>
    <w:p>
      <w:pPr>
        <w:spacing w:after="0" w:line="15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Ratifications</w:t>
      </w:r>
      <w:r>
        <w:rPr>
          <w:rFonts w:ascii="Arial" w:cs="Arial" w:eastAsia="Arial" w:hAnsi="Arial"/>
          <w:sz w:val="18"/>
          <w:szCs w:val="18"/>
          <w:color w:val="auto"/>
        </w:rPr>
        <w:t>. The terms and provisions set forth in this Amendment shall modify and supersede all inconsistent terms and</w:t>
      </w:r>
    </w:p>
    <w:p>
      <w:pPr>
        <w:jc w:val="both"/>
        <w:spacing w:after="0" w:line="250" w:lineRule="auto"/>
        <w:rPr>
          <w:sz w:val="20"/>
          <w:szCs w:val="20"/>
          <w:color w:val="auto"/>
        </w:rPr>
      </w:pPr>
      <w:r>
        <w:rPr>
          <w:rFonts w:ascii="Arial" w:cs="Arial" w:eastAsia="Arial" w:hAnsi="Arial"/>
          <w:sz w:val="18"/>
          <w:szCs w:val="18"/>
          <w:color w:val="auto"/>
        </w:rPr>
        <w:t>provisions set forth in the Credit Agreement and except as expressly modified and superseded by this Amendment, the terms and provisions of the Credit Agreement and the other Loan Documents are ratified and confirmed and shall continue in full force and effect.</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shall be deemed an original</w:t>
      </w:r>
    </w:p>
    <w:p>
      <w:pPr>
        <w:jc w:val="both"/>
        <w:spacing w:after="0" w:line="213" w:lineRule="auto"/>
        <w:rPr>
          <w:sz w:val="20"/>
          <w:szCs w:val="20"/>
          <w:color w:val="auto"/>
        </w:rPr>
      </w:pPr>
      <w:r>
        <w:rPr>
          <w:rFonts w:ascii="Arial" w:cs="Arial" w:eastAsia="Arial" w:hAnsi="Arial"/>
          <w:sz w:val="20"/>
          <w:szCs w:val="20"/>
          <w:color w:val="auto"/>
        </w:rPr>
        <w:t>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the State of New</w:t>
      </w:r>
    </w:p>
    <w:p>
      <w:pPr>
        <w:spacing w:after="0"/>
        <w:rPr>
          <w:sz w:val="20"/>
          <w:szCs w:val="20"/>
          <w:color w:val="auto"/>
        </w:rPr>
      </w:pPr>
      <w:r>
        <w:rPr>
          <w:rFonts w:ascii="Arial" w:cs="Arial" w:eastAsia="Arial" w:hAnsi="Arial"/>
          <w:sz w:val="20"/>
          <w:szCs w:val="20"/>
          <w:color w:val="auto"/>
        </w:rPr>
        <w:t>York.</w:t>
      </w:r>
    </w:p>
    <w:p>
      <w:pPr>
        <w:spacing w:after="0" w:line="154" w:lineRule="exact"/>
        <w:rPr>
          <w:sz w:val="20"/>
          <w:szCs w:val="20"/>
          <w:color w:val="auto"/>
        </w:rPr>
      </w:pPr>
    </w:p>
    <w:p>
      <w:pPr>
        <w:ind w:firstLine="648"/>
        <w:spacing w:after="0" w:line="22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19"/>
          <w:szCs w:val="19"/>
          <w:u w:val="single" w:color="auto"/>
          <w:color w:val="auto"/>
        </w:rPr>
        <w:t>Incorporation of Credit Agreement Provisions</w:t>
      </w:r>
      <w:r>
        <w:rPr>
          <w:rFonts w:ascii="Arial" w:cs="Arial" w:eastAsia="Arial" w:hAnsi="Arial"/>
          <w:sz w:val="19"/>
          <w:szCs w:val="19"/>
          <w:color w:val="auto"/>
        </w:rPr>
        <w:t>. The provisions of</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10.7</w:t>
      </w:r>
      <w:r>
        <w:rPr>
          <w:rFonts w:ascii="Arial" w:cs="Arial" w:eastAsia="Arial" w:hAnsi="Arial"/>
          <w:sz w:val="22"/>
          <w:szCs w:val="22"/>
          <w:color w:val="auto"/>
        </w:rPr>
        <w:t xml:space="preserve"> </w:t>
      </w:r>
      <w:r>
        <w:rPr>
          <w:rFonts w:ascii="Arial" w:cs="Arial" w:eastAsia="Arial" w:hAnsi="Arial"/>
          <w:sz w:val="19"/>
          <w:szCs w:val="19"/>
          <w:color w:val="auto"/>
        </w:rPr>
        <w:t>(Severability) and</w:t>
      </w:r>
      <w:r>
        <w:rPr>
          <w:rFonts w:ascii="Arial" w:cs="Arial" w:eastAsia="Arial" w:hAnsi="Arial"/>
          <w:sz w:val="22"/>
          <w:szCs w:val="22"/>
          <w:color w:val="auto"/>
        </w:rPr>
        <w:t xml:space="preserve"> </w:t>
      </w:r>
      <w:r>
        <w:rPr>
          <w:rFonts w:ascii="Arial" w:cs="Arial" w:eastAsia="Arial" w:hAnsi="Arial"/>
          <w:sz w:val="19"/>
          <w:szCs w:val="19"/>
          <w:u w:val="single" w:color="auto"/>
          <w:color w:val="auto"/>
        </w:rPr>
        <w:t>Section 10.10</w:t>
      </w:r>
      <w:r>
        <w:rPr>
          <w:rFonts w:ascii="Arial" w:cs="Arial" w:eastAsia="Arial" w:hAnsi="Arial"/>
          <w:sz w:val="22"/>
          <w:szCs w:val="22"/>
          <w:color w:val="auto"/>
        </w:rPr>
        <w:t xml:space="preserve"> </w:t>
      </w:r>
      <w:r>
        <w:rPr>
          <w:rFonts w:ascii="Arial" w:cs="Arial" w:eastAsia="Arial" w:hAnsi="Arial"/>
          <w:sz w:val="19"/>
          <w:szCs w:val="19"/>
          <w:color w:val="auto"/>
        </w:rPr>
        <w:t>(Waiver of</w:t>
      </w:r>
      <w:r>
        <w:rPr>
          <w:rFonts w:ascii="Arial" w:cs="Arial" w:eastAsia="Arial" w:hAnsi="Arial"/>
          <w:sz w:val="22"/>
          <w:szCs w:val="22"/>
          <w:color w:val="auto"/>
        </w:rPr>
        <w:t xml:space="preserve"> </w:t>
      </w:r>
      <w:r>
        <w:rPr>
          <w:rFonts w:ascii="Arial" w:cs="Arial" w:eastAsia="Arial" w:hAnsi="Arial"/>
          <w:sz w:val="19"/>
          <w:szCs w:val="19"/>
          <w:color w:val="auto"/>
        </w:rPr>
        <w:t xml:space="preserve">Jury Trial) of the Credit Agreement are incorporated by reference as if fully set forth herein, </w:t>
      </w:r>
      <w:r>
        <w:rPr>
          <w:rFonts w:ascii="Arial" w:cs="Arial" w:eastAsia="Arial" w:hAnsi="Arial"/>
          <w:sz w:val="19"/>
          <w:szCs w:val="19"/>
          <w:u w:val="single" w:color="auto"/>
          <w:color w:val="auto"/>
        </w:rPr>
        <w:t>mutatis mutandis</w:t>
      </w:r>
      <w:r>
        <w:rPr>
          <w:rFonts w:ascii="Arial" w:cs="Arial" w:eastAsia="Arial" w:hAnsi="Arial"/>
          <w:sz w:val="19"/>
          <w:szCs w:val="19"/>
          <w:color w:val="auto"/>
        </w:rPr>
        <w:t>.</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1.5 </w:t>
      </w:r>
      <w:r>
        <w:rPr>
          <w:rFonts w:ascii="Arial" w:cs="Arial" w:eastAsia="Arial" w:hAnsi="Arial"/>
          <w:sz w:val="19"/>
          <w:szCs w:val="19"/>
          <w:u w:val="single" w:color="auto"/>
          <w:color w:val="auto"/>
        </w:rPr>
        <w:t>References</w:t>
      </w:r>
      <w:r>
        <w:rPr>
          <w:rFonts w:ascii="Arial" w:cs="Arial" w:eastAsia="Arial" w:hAnsi="Arial"/>
          <w:sz w:val="19"/>
          <w:szCs w:val="19"/>
          <w:color w:val="auto"/>
        </w:rPr>
        <w:t>. All references in any of the Loan Documents to the “Agreement” or the “Credit Agreement” shall mean the</w:t>
      </w:r>
      <w:r>
        <w:rPr>
          <w:rFonts w:ascii="Arial" w:cs="Arial" w:eastAsia="Arial" w:hAnsi="Arial"/>
          <w:sz w:val="22"/>
          <w:szCs w:val="22"/>
          <w:color w:val="auto"/>
        </w:rPr>
        <w:t xml:space="preserve"> </w:t>
      </w:r>
      <w:r>
        <w:rPr>
          <w:rFonts w:ascii="Arial" w:cs="Arial" w:eastAsia="Arial" w:hAnsi="Arial"/>
          <w:sz w:val="19"/>
          <w:szCs w:val="19"/>
          <w:color w:val="auto"/>
        </w:rPr>
        <w:t>Agreement or Credit Agreement, as applicable, as amended by this Amendment.</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1.6 </w:t>
      </w:r>
      <w:r>
        <w:rPr>
          <w:rFonts w:ascii="Arial" w:cs="Arial" w:eastAsia="Arial" w:hAnsi="Arial"/>
          <w:sz w:val="19"/>
          <w:szCs w:val="19"/>
          <w:u w:val="single" w:color="auto"/>
          <w:color w:val="auto"/>
        </w:rPr>
        <w:t>Headings</w:t>
      </w:r>
      <w:r>
        <w:rPr>
          <w:rFonts w:ascii="Arial" w:cs="Arial" w:eastAsia="Arial" w:hAnsi="Arial"/>
          <w:sz w:val="19"/>
          <w:szCs w:val="19"/>
          <w:color w:val="auto"/>
        </w:rPr>
        <w:t>. The headings, captions, and arrangements used in this Amendment are for convenience only and shall not affect</w:t>
      </w:r>
      <w:r>
        <w:rPr>
          <w:rFonts w:ascii="Arial" w:cs="Arial" w:eastAsia="Arial" w:hAnsi="Arial"/>
          <w:sz w:val="22"/>
          <w:szCs w:val="22"/>
          <w:color w:val="auto"/>
        </w:rPr>
        <w:t xml:space="preserve"> </w:t>
      </w:r>
      <w:r>
        <w:rPr>
          <w:rFonts w:ascii="Arial" w:cs="Arial" w:eastAsia="Arial" w:hAnsi="Arial"/>
          <w:sz w:val="19"/>
          <w:szCs w:val="19"/>
          <w:color w:val="auto"/>
        </w:rPr>
        <w:t>the interpretation of this Amendment.</w:t>
      </w:r>
    </w:p>
    <w:p>
      <w:pPr>
        <w:spacing w:after="0" w:line="15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Amendment is binding upon and shall inure to the benefit of the Administrative Agent, the</w:t>
      </w:r>
      <w:r>
        <w:rPr>
          <w:rFonts w:ascii="Arial" w:cs="Arial" w:eastAsia="Arial" w:hAnsi="Arial"/>
          <w:sz w:val="22"/>
          <w:szCs w:val="22"/>
          <w:color w:val="auto"/>
        </w:rPr>
        <w:t xml:space="preserve"> </w:t>
      </w:r>
      <w:r>
        <w:rPr>
          <w:rFonts w:ascii="Arial" w:cs="Arial" w:eastAsia="Arial" w:hAnsi="Arial"/>
          <w:sz w:val="19"/>
          <w:szCs w:val="19"/>
          <w:color w:val="auto"/>
        </w:rPr>
        <w:t>Lenders, the Borrower and their respective successors and assigns as provided in the Credit Agreement.</w:t>
      </w:r>
    </w:p>
    <w:p>
      <w:pPr>
        <w:spacing w:after="0" w:line="1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u w:val="single" w:color="auto"/>
          <w:color w:val="auto"/>
        </w:rPr>
        <w:t>Loan Document</w:t>
      </w:r>
      <w:r>
        <w:rPr>
          <w:rFonts w:ascii="Arial" w:cs="Arial" w:eastAsia="Arial" w:hAnsi="Arial"/>
          <w:sz w:val="19"/>
          <w:szCs w:val="19"/>
          <w:color w:val="auto"/>
        </w:rPr>
        <w:t>. The execution, delivery and effectiveness of this Amendment shall not, except as expressly provided</w:t>
      </w:r>
    </w:p>
    <w:p>
      <w:pPr>
        <w:jc w:val="both"/>
        <w:spacing w:after="0" w:line="250" w:lineRule="auto"/>
        <w:rPr>
          <w:sz w:val="20"/>
          <w:szCs w:val="20"/>
          <w:color w:val="auto"/>
        </w:rPr>
      </w:pPr>
      <w:r>
        <w:rPr>
          <w:rFonts w:ascii="Arial" w:cs="Arial" w:eastAsia="Arial" w:hAnsi="Arial"/>
          <w:sz w:val="18"/>
          <w:szCs w:val="18"/>
          <w:color w:val="auto"/>
        </w:rPr>
        <w:t>herein, operate as a waiver of any right, power or remedy of any Lender or the Administrative Agent under any of the Loan Documents, nor constitute a waiver of any provision of any of the Loan Documents. This Amendment shall for all purposes constitute a Loan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this Amendment has been duly executed and delivered as of the day and year first above written.</w:t>
      </w:r>
    </w:p>
    <w:p>
      <w:pPr>
        <w:spacing w:after="0" w:line="200" w:lineRule="exact"/>
        <w:rPr>
          <w:sz w:val="20"/>
          <w:szCs w:val="20"/>
          <w:color w:val="auto"/>
        </w:rPr>
      </w:pPr>
    </w:p>
    <w:p>
      <w:pPr>
        <w:spacing w:after="0" w:line="326"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ALLETE, INC., as Borrower</w:t>
      </w:r>
    </w:p>
    <w:p>
      <w:pPr>
        <w:spacing w:after="0" w:line="200" w:lineRule="exact"/>
        <w:rPr>
          <w:sz w:val="20"/>
          <w:szCs w:val="20"/>
          <w:color w:val="auto"/>
        </w:rPr>
      </w:pPr>
    </w:p>
    <w:p>
      <w:pPr>
        <w:spacing w:after="0" w:line="220" w:lineRule="exact"/>
        <w:rPr>
          <w:sz w:val="20"/>
          <w:szCs w:val="20"/>
          <w:color w:val="auto"/>
        </w:rPr>
      </w:pPr>
    </w:p>
    <w:p>
      <w:pPr>
        <w:ind w:left="3700"/>
        <w:spacing w:after="0"/>
        <w:rPr>
          <w:sz w:val="20"/>
          <w:szCs w:val="20"/>
          <w:color w:val="auto"/>
        </w:rPr>
      </w:pPr>
      <w:r>
        <w:rPr>
          <w:rFonts w:ascii="Arial" w:cs="Arial" w:eastAsia="Arial" w:hAnsi="Arial"/>
          <w:sz w:val="20"/>
          <w:szCs w:val="20"/>
          <w:color w:val="auto"/>
        </w:rPr>
        <w:t>By:______________________________</w:t>
      </w:r>
    </w:p>
    <w:p>
      <w:pPr>
        <w:ind w:left="3700"/>
        <w:spacing w:after="0" w:line="197" w:lineRule="auto"/>
        <w:rPr>
          <w:sz w:val="20"/>
          <w:szCs w:val="20"/>
          <w:color w:val="auto"/>
        </w:rPr>
      </w:pPr>
      <w:r>
        <w:rPr>
          <w:rFonts w:ascii="Arial" w:cs="Arial" w:eastAsia="Arial" w:hAnsi="Arial"/>
          <w:sz w:val="20"/>
          <w:szCs w:val="20"/>
          <w:color w:val="auto"/>
        </w:rPr>
        <w:t>Name:</w:t>
      </w:r>
    </w:p>
    <w:p>
      <w:pPr>
        <w:ind w:left="37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 to Credit Agreement</w:t>
      </w:r>
    </w:p>
    <w:p>
      <w:pPr>
        <w:sectPr>
          <w:pgSz w:w="11900" w:h="16838" w:orient="portrait"/>
          <w:cols w:equalWidth="0" w:num="1">
            <w:col w:w="11040"/>
          </w:cols>
          <w:pgMar w:left="5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right="60"/>
        <w:spacing w:after="0" w:line="229" w:lineRule="auto"/>
        <w:rPr>
          <w:sz w:val="20"/>
          <w:szCs w:val="20"/>
          <w:color w:val="auto"/>
        </w:rPr>
      </w:pPr>
      <w:r>
        <w:rPr>
          <w:rFonts w:ascii="Arial" w:cs="Arial" w:eastAsia="Arial" w:hAnsi="Arial"/>
          <w:sz w:val="20"/>
          <w:szCs w:val="20"/>
          <w:color w:val="auto"/>
        </w:rPr>
        <w:t>JPMORGAN CHASE BANK, N.A., as a Lender, as an Issuing Bank, and as Administrative Agent</w:t>
      </w:r>
    </w:p>
    <w:p>
      <w:pPr>
        <w:spacing w:after="0" w:line="4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ROYAL BANK OF CANADA, as a Lender</w:t>
      </w: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1">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U.S. BANK NATIONAL ASSOCIATION, as a Lender</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WELLS FARGO BANK, NATIONAL ASSOCIATION, as a Lender</w:t>
      </w: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KEYBANK NATIONAL ASSOCIATION, as a Lender</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3">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10(b)3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COBANK, ACB, as a Lender and as an Issuing Bank</w:t>
      </w:r>
    </w:p>
    <w:p>
      <w:pPr>
        <w:spacing w:after="0" w:line="200" w:lineRule="exact"/>
        <w:rPr>
          <w:sz w:val="20"/>
          <w:szCs w:val="20"/>
          <w:color w:val="auto"/>
        </w:rPr>
      </w:pPr>
    </w:p>
    <w:p>
      <w:pPr>
        <w:spacing w:after="0" w:line="22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w:t>
      </w:r>
    </w:p>
    <w:p>
      <w:pPr>
        <w:ind w:left="278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-118745</wp:posOffset>
            </wp:positionV>
            <wp:extent cx="1257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-144780</wp:posOffset>
            </wp:positionV>
            <wp:extent cx="1257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-24765</wp:posOffset>
            </wp:positionV>
            <wp:extent cx="1257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ALLETE 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Amendment</w:t>
      </w:r>
    </w:p>
    <w:p>
      <w:pPr>
        <w:jc w:val="right"/>
        <w:ind w:right="60"/>
        <w:spacing w:after="0"/>
        <w:rPr>
          <w:sz w:val="20"/>
          <w:szCs w:val="20"/>
          <w:color w:val="auto"/>
        </w:rPr>
      </w:pPr>
      <w:r>
        <w:rPr>
          <w:rFonts w:ascii="Arial" w:cs="Arial" w:eastAsia="Arial" w:hAnsi="Arial"/>
          <w:sz w:val="14"/>
          <w:szCs w:val="14"/>
          <w:color w:val="auto"/>
        </w:rPr>
        <w:t>to Credit Agreement</w:t>
      </w:r>
    </w:p>
    <w:p>
      <w:pPr>
        <w:sectPr>
          <w:pgSz w:w="11900" w:h="16838" w:orient="portrait"/>
          <w:cols w:equalWidth="0" w:num="1">
            <w:col w:w="10120"/>
          </w:cols>
          <w:pgMar w:left="144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color w:val="auto"/>
        </w:rPr>
        <w:t>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CREDIT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January 10, 2019</w:t>
      </w:r>
    </w:p>
    <w:p>
      <w:pPr>
        <w:spacing w:after="0" w:line="148"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among</w:t>
      </w:r>
    </w:p>
    <w:p>
      <w:pPr>
        <w:spacing w:after="0" w:line="129"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ALLETE, INC.,</w:t>
      </w:r>
    </w:p>
    <w:p>
      <w:pPr>
        <w:ind w:left="5080"/>
        <w:spacing w:after="0"/>
        <w:rPr>
          <w:sz w:val="20"/>
          <w:szCs w:val="20"/>
          <w:color w:val="auto"/>
        </w:rPr>
      </w:pPr>
      <w:r>
        <w:rPr>
          <w:rFonts w:ascii="Arial" w:cs="Arial" w:eastAsia="Arial" w:hAnsi="Arial"/>
          <w:sz w:val="20"/>
          <w:szCs w:val="20"/>
          <w:b w:val="1"/>
          <w:bCs w:val="1"/>
          <w:color w:val="auto"/>
        </w:rPr>
        <w:t>as Borrower,</w:t>
      </w:r>
    </w:p>
    <w:p>
      <w:pPr>
        <w:spacing w:after="0" w:line="126"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The Lenders Party Hereto,</w:t>
      </w:r>
    </w:p>
    <w:p>
      <w:pPr>
        <w:spacing w:after="0" w:line="129"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JPMORGAN CHASE BANK, N.A.,</w:t>
      </w:r>
    </w:p>
    <w:p>
      <w:pPr>
        <w:ind w:left="4600"/>
        <w:spacing w:after="0"/>
        <w:rPr>
          <w:sz w:val="20"/>
          <w:szCs w:val="20"/>
          <w:color w:val="auto"/>
        </w:rPr>
      </w:pPr>
      <w:r>
        <w:rPr>
          <w:rFonts w:ascii="Arial" w:cs="Arial" w:eastAsia="Arial" w:hAnsi="Arial"/>
          <w:sz w:val="20"/>
          <w:szCs w:val="20"/>
          <w:b w:val="1"/>
          <w:bCs w:val="1"/>
          <w:color w:val="auto"/>
        </w:rPr>
        <w:t>as Administrative Agent</w:t>
      </w:r>
    </w:p>
    <w:p>
      <w:pPr>
        <w:spacing w:after="0" w:line="180"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and</w:t>
      </w:r>
    </w:p>
    <w:p>
      <w:pPr>
        <w:spacing w:after="0" w:line="183"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BANK OF AMERICA, N.A.,</w:t>
      </w:r>
    </w:p>
    <w:p>
      <w:pPr>
        <w:jc w:val="center"/>
        <w:spacing w:after="0" w:line="197" w:lineRule="auto"/>
        <w:rPr>
          <w:sz w:val="20"/>
          <w:szCs w:val="20"/>
          <w:color w:val="auto"/>
        </w:rPr>
      </w:pPr>
      <w:r>
        <w:rPr>
          <w:rFonts w:ascii="Arial" w:cs="Arial" w:eastAsia="Arial" w:hAnsi="Arial"/>
          <w:sz w:val="20"/>
          <w:szCs w:val="20"/>
          <w:b w:val="1"/>
          <w:bCs w:val="1"/>
          <w:color w:val="auto"/>
        </w:rPr>
        <w:t>ROYAL BANK OF CANADA,</w:t>
      </w:r>
    </w:p>
    <w:p>
      <w:pPr>
        <w:jc w:val="center"/>
        <w:spacing w:after="0" w:line="197" w:lineRule="auto"/>
        <w:rPr>
          <w:sz w:val="20"/>
          <w:szCs w:val="20"/>
          <w:color w:val="auto"/>
        </w:rPr>
      </w:pPr>
      <w:r>
        <w:rPr>
          <w:rFonts w:ascii="Arial" w:cs="Arial" w:eastAsia="Arial" w:hAnsi="Arial"/>
          <w:sz w:val="20"/>
          <w:szCs w:val="20"/>
          <w:b w:val="1"/>
          <w:bCs w:val="1"/>
          <w:color w:val="auto"/>
        </w:rPr>
        <w:t>U.S. BANK NATIONAL ASSOCIATION and</w:t>
      </w:r>
    </w:p>
    <w:p>
      <w:pPr>
        <w:jc w:val="center"/>
        <w:spacing w:after="0" w:line="197" w:lineRule="auto"/>
        <w:rPr>
          <w:sz w:val="20"/>
          <w:szCs w:val="20"/>
          <w:color w:val="auto"/>
        </w:rPr>
      </w:pPr>
      <w:r>
        <w:rPr>
          <w:rFonts w:ascii="Arial" w:cs="Arial" w:eastAsia="Arial" w:hAnsi="Arial"/>
          <w:sz w:val="20"/>
          <w:szCs w:val="20"/>
          <w:b w:val="1"/>
          <w:bCs w:val="1"/>
          <w:color w:val="auto"/>
        </w:rPr>
        <w:t>WELLS FARGO BANK, NATIONAL ASSOCIATION,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Documentation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J.P. MORGAN CHASE BANK, N.A.</w:t>
      </w:r>
    </w:p>
    <w:p>
      <w:pPr>
        <w:jc w:val="center"/>
        <w:spacing w:after="0"/>
        <w:rPr>
          <w:sz w:val="20"/>
          <w:szCs w:val="20"/>
          <w:color w:val="auto"/>
        </w:rPr>
      </w:pPr>
      <w:r>
        <w:rPr>
          <w:rFonts w:ascii="Arial" w:cs="Arial" w:eastAsia="Arial" w:hAnsi="Arial"/>
          <w:sz w:val="20"/>
          <w:szCs w:val="20"/>
          <w:b w:val="1"/>
          <w:bCs w:val="1"/>
          <w:color w:val="auto"/>
        </w:rPr>
        <w:t>Sole Lead Arranger and Sole Book 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744315352 11074672</w:t>
      </w:r>
    </w:p>
    <w:p>
      <w:pPr>
        <w:sectPr>
          <w:pgSz w:w="11900" w:h="16838" w:orient="portrait"/>
          <w:cols w:equalWidth="0" w:num="1">
            <w:col w:w="11240"/>
          </w:cols>
          <w:pgMar w:left="320" w:top="108"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gridSpan w:val="10"/>
          </w:tcPr>
          <w:p>
            <w:pPr>
              <w:spacing w:after="0"/>
              <w:rPr>
                <w:sz w:val="20"/>
                <w:szCs w:val="20"/>
                <w:color w:val="auto"/>
              </w:rPr>
            </w:pPr>
            <w:r>
              <w:rPr>
                <w:rFonts w:ascii="Arial" w:cs="Arial" w:eastAsia="Arial" w:hAnsi="Arial"/>
                <w:sz w:val="20"/>
                <w:szCs w:val="20"/>
                <w:b w:val="1"/>
                <w:bCs w:val="1"/>
                <w:color w:val="auto"/>
              </w:rPr>
              <w:t>ARTICLE 1.  DEFINITIONS AND INTERPRETATION</w:t>
            </w:r>
          </w:p>
        </w:tc>
        <w:tc>
          <w:tcPr>
            <w:tcW w:w="540" w:type="dxa"/>
            <w:vAlign w:val="bottom"/>
          </w:tcPr>
          <w:p>
            <w:pPr>
              <w:ind w:left="20"/>
              <w:spacing w:after="0"/>
              <w:rPr>
                <w:sz w:val="20"/>
                <w:szCs w:val="20"/>
                <w:color w:val="auto"/>
              </w:rPr>
            </w:pPr>
            <w:r>
              <w:rPr>
                <w:rFonts w:ascii="Arial" w:cs="Arial" w:eastAsia="Arial" w:hAnsi="Arial"/>
                <w:sz w:val="20"/>
                <w:szCs w:val="20"/>
                <w:b w:val="1"/>
                <w:bCs w:val="1"/>
                <w:color w:val="auto"/>
              </w:rPr>
              <w:t>1</w:t>
            </w: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1.1.</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w w:val="92"/>
              </w:rPr>
              <w:t>Defined Terms</w:t>
            </w:r>
          </w:p>
        </w:tc>
        <w:tc>
          <w:tcPr>
            <w:tcW w:w="240" w:type="dxa"/>
            <w:vAlign w:val="bottom"/>
          </w:tcPr>
          <w:p>
            <w:pPr>
              <w:jc w:val="right"/>
              <w:spacing w:after="0"/>
              <w:rPr>
                <w:sz w:val="20"/>
                <w:szCs w:val="20"/>
                <w:color w:val="auto"/>
              </w:rPr>
            </w:pPr>
            <w:r>
              <w:rPr>
                <w:rFonts w:ascii="Arial" w:cs="Arial" w:eastAsia="Arial" w:hAnsi="Arial"/>
                <w:sz w:val="20"/>
                <w:szCs w:val="20"/>
                <w:color w:val="auto"/>
              </w:rPr>
              <w:t>1</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vMerge w:val="restart"/>
          </w:tcPr>
          <w:p>
            <w:pPr>
              <w:ind w:left="60"/>
              <w:spacing w:after="0"/>
              <w:rPr>
                <w:sz w:val="20"/>
                <w:szCs w:val="20"/>
                <w:color w:val="auto"/>
              </w:rPr>
            </w:pPr>
            <w:r>
              <w:rPr>
                <w:rFonts w:ascii="Arial" w:cs="Arial" w:eastAsia="Arial" w:hAnsi="Arial"/>
                <w:sz w:val="20"/>
                <w:szCs w:val="20"/>
                <w:color w:val="auto"/>
              </w:rPr>
              <w:t>23</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1.2.</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w w:val="94"/>
              </w:rPr>
              <w:t>Classification of Loans and Borrowings</w:t>
            </w:r>
          </w:p>
        </w:tc>
        <w:tc>
          <w:tcPr>
            <w:tcW w:w="5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1.3.</w:t>
            </w:r>
          </w:p>
        </w:tc>
        <w:tc>
          <w:tcPr>
            <w:tcW w:w="1540" w:type="dxa"/>
            <w:vAlign w:val="bottom"/>
            <w:gridSpan w:val="4"/>
          </w:tcPr>
          <w:p>
            <w:pPr>
              <w:ind w:left="60"/>
              <w:spacing w:after="0" w:line="189" w:lineRule="exact"/>
              <w:rPr>
                <w:sz w:val="20"/>
                <w:szCs w:val="20"/>
                <w:color w:val="auto"/>
              </w:rPr>
            </w:pPr>
            <w:r>
              <w:rPr>
                <w:rFonts w:ascii="Arial" w:cs="Arial" w:eastAsia="Arial" w:hAnsi="Arial"/>
                <w:sz w:val="20"/>
                <w:szCs w:val="20"/>
                <w:color w:val="auto"/>
                <w:w w:val="98"/>
              </w:rPr>
              <w:t>Terms Generally</w:t>
            </w:r>
          </w:p>
        </w:tc>
        <w:tc>
          <w:tcPr>
            <w:tcW w:w="380" w:type="dxa"/>
            <w:vAlign w:val="bottom"/>
          </w:tcPr>
          <w:p>
            <w:pPr>
              <w:jc w:val="right"/>
              <w:ind w:right="61"/>
              <w:spacing w:after="0" w:line="189" w:lineRule="exact"/>
              <w:rPr>
                <w:sz w:val="20"/>
                <w:szCs w:val="20"/>
                <w:color w:val="auto"/>
              </w:rPr>
            </w:pPr>
            <w:r>
              <w:rPr>
                <w:rFonts w:ascii="Arial" w:cs="Arial" w:eastAsia="Arial" w:hAnsi="Arial"/>
                <w:sz w:val="20"/>
                <w:szCs w:val="20"/>
                <w:color w:val="auto"/>
                <w:w w:val="89"/>
              </w:rPr>
              <w:t>23</w:t>
            </w:r>
          </w:p>
        </w:tc>
        <w:tc>
          <w:tcPr>
            <w:tcW w:w="320" w:type="dxa"/>
            <w:vAlign w:val="bottom"/>
          </w:tcPr>
          <w:p>
            <w:pPr>
              <w:spacing w:after="0"/>
              <w:rPr>
                <w:sz w:val="16"/>
                <w:szCs w:val="16"/>
                <w:color w:val="auto"/>
              </w:rPr>
            </w:pPr>
          </w:p>
        </w:tc>
        <w:tc>
          <w:tcPr>
            <w:tcW w:w="32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1.4.</w:t>
            </w:r>
          </w:p>
        </w:tc>
        <w:tc>
          <w:tcPr>
            <w:tcW w:w="2240" w:type="dxa"/>
            <w:vAlign w:val="bottom"/>
            <w:gridSpan w:val="6"/>
          </w:tcPr>
          <w:p>
            <w:pPr>
              <w:ind w:left="40"/>
              <w:spacing w:after="0" w:line="189" w:lineRule="exact"/>
              <w:rPr>
                <w:sz w:val="20"/>
                <w:szCs w:val="20"/>
                <w:color w:val="auto"/>
              </w:rPr>
            </w:pPr>
            <w:r>
              <w:rPr>
                <w:rFonts w:ascii="Arial" w:cs="Arial" w:eastAsia="Arial" w:hAnsi="Arial"/>
                <w:sz w:val="20"/>
                <w:szCs w:val="20"/>
                <w:color w:val="auto"/>
                <w:w w:val="95"/>
              </w:rPr>
              <w:t>Accounting Terms; GAAP</w:t>
            </w:r>
          </w:p>
        </w:tc>
        <w:tc>
          <w:tcPr>
            <w:tcW w:w="3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vMerge w:val="restart"/>
          </w:tcPr>
          <w:p>
            <w:pPr>
              <w:ind w:left="20"/>
              <w:spacing w:after="0"/>
              <w:rPr>
                <w:sz w:val="20"/>
                <w:szCs w:val="20"/>
                <w:color w:val="auto"/>
              </w:rPr>
            </w:pPr>
            <w:r>
              <w:rPr>
                <w:rFonts w:ascii="Arial" w:cs="Arial" w:eastAsia="Arial" w:hAnsi="Arial"/>
                <w:sz w:val="20"/>
                <w:szCs w:val="20"/>
                <w:color w:val="auto"/>
              </w:rPr>
              <w:t>24</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1.5.</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w w:val="95"/>
              </w:rPr>
              <w:t>Interest Rates; Benchmark Notification</w:t>
            </w:r>
          </w:p>
        </w:tc>
        <w:tc>
          <w:tcPr>
            <w:tcW w:w="5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1.6.</w:t>
            </w:r>
          </w:p>
        </w:tc>
        <w:tc>
          <w:tcPr>
            <w:tcW w:w="1020" w:type="dxa"/>
            <w:vAlign w:val="bottom"/>
            <w:gridSpan w:val="2"/>
          </w:tcPr>
          <w:p>
            <w:pPr>
              <w:ind w:left="60"/>
              <w:spacing w:after="0" w:line="189" w:lineRule="exact"/>
              <w:rPr>
                <w:sz w:val="20"/>
                <w:szCs w:val="20"/>
                <w:color w:val="auto"/>
              </w:rPr>
            </w:pPr>
            <w:r>
              <w:rPr>
                <w:rFonts w:ascii="Arial" w:cs="Arial" w:eastAsia="Arial" w:hAnsi="Arial"/>
                <w:sz w:val="20"/>
                <w:szCs w:val="20"/>
                <w:color w:val="auto"/>
              </w:rPr>
              <w:t>Rounding</w:t>
            </w:r>
          </w:p>
        </w:tc>
        <w:tc>
          <w:tcPr>
            <w:tcW w:w="280" w:type="dxa"/>
            <w:vAlign w:val="bottom"/>
          </w:tcPr>
          <w:p>
            <w:pPr>
              <w:jc w:val="right"/>
              <w:spacing w:after="0" w:line="189" w:lineRule="exact"/>
              <w:rPr>
                <w:sz w:val="20"/>
                <w:szCs w:val="20"/>
                <w:color w:val="auto"/>
              </w:rPr>
            </w:pPr>
            <w:r>
              <w:rPr>
                <w:rFonts w:ascii="Arial" w:cs="Arial" w:eastAsia="Arial" w:hAnsi="Arial"/>
                <w:sz w:val="20"/>
                <w:szCs w:val="20"/>
                <w:color w:val="auto"/>
                <w:w w:val="80"/>
              </w:rPr>
              <w:t>25</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restart"/>
          </w:tcPr>
          <w:p>
            <w:pPr>
              <w:jc w:val="right"/>
              <w:ind w:right="461"/>
              <w:spacing w:after="0"/>
              <w:rPr>
                <w:sz w:val="20"/>
                <w:szCs w:val="20"/>
                <w:color w:val="auto"/>
              </w:rPr>
            </w:pPr>
            <w:r>
              <w:rPr>
                <w:rFonts w:ascii="Arial" w:cs="Arial" w:eastAsia="Arial" w:hAnsi="Arial"/>
                <w:sz w:val="20"/>
                <w:szCs w:val="20"/>
                <w:color w:val="auto"/>
                <w:w w:val="89"/>
              </w:rPr>
              <w:t>25</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1.7.</w:t>
            </w:r>
          </w:p>
        </w:tc>
        <w:tc>
          <w:tcPr>
            <w:tcW w:w="2560" w:type="dxa"/>
            <w:vAlign w:val="bottom"/>
            <w:gridSpan w:val="7"/>
          </w:tcPr>
          <w:p>
            <w:pPr>
              <w:ind w:left="40"/>
              <w:spacing w:after="0"/>
              <w:rPr>
                <w:sz w:val="20"/>
                <w:szCs w:val="20"/>
                <w:color w:val="auto"/>
              </w:rPr>
            </w:pPr>
            <w:r>
              <w:rPr>
                <w:rFonts w:ascii="Arial" w:cs="Arial" w:eastAsia="Arial" w:hAnsi="Arial"/>
                <w:sz w:val="20"/>
                <w:szCs w:val="20"/>
                <w:color w:val="auto"/>
                <w:w w:val="94"/>
              </w:rPr>
              <w:t>Amendment and Restatement</w:t>
            </w:r>
          </w:p>
        </w:tc>
        <w:tc>
          <w:tcPr>
            <w:tcW w:w="78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0"/>
                <w:szCs w:val="20"/>
                <w:color w:val="auto"/>
              </w:rPr>
            </w:pPr>
            <w:r>
              <w:rPr>
                <w:rFonts w:ascii="Arial" w:cs="Arial" w:eastAsia="Arial" w:hAnsi="Arial"/>
                <w:sz w:val="20"/>
                <w:szCs w:val="20"/>
                <w:b w:val="1"/>
                <w:bCs w:val="1"/>
                <w:color w:val="auto"/>
              </w:rPr>
              <w:t>ARTICLE 2.</w:t>
            </w:r>
          </w:p>
        </w:tc>
        <w:tc>
          <w:tcPr>
            <w:tcW w:w="1560" w:type="dxa"/>
            <w:vAlign w:val="bottom"/>
            <w:gridSpan w:val="3"/>
          </w:tcPr>
          <w:p>
            <w:pPr>
              <w:ind w:left="100"/>
              <w:spacing w:after="0"/>
              <w:rPr>
                <w:sz w:val="20"/>
                <w:szCs w:val="20"/>
                <w:color w:val="auto"/>
              </w:rPr>
            </w:pPr>
            <w:r>
              <w:rPr>
                <w:rFonts w:ascii="Arial" w:cs="Arial" w:eastAsia="Arial" w:hAnsi="Arial"/>
                <w:sz w:val="20"/>
                <w:szCs w:val="20"/>
                <w:b w:val="1"/>
                <w:bCs w:val="1"/>
                <w:color w:val="auto"/>
              </w:rPr>
              <w:t>THE CREDITS</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25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2.1.</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w w:val="98"/>
              </w:rPr>
              <w:t>Commitments</w:t>
            </w:r>
          </w:p>
        </w:tc>
        <w:tc>
          <w:tcPr>
            <w:tcW w:w="620" w:type="dxa"/>
            <w:vAlign w:val="bottom"/>
            <w:gridSpan w:val="2"/>
          </w:tcPr>
          <w:p>
            <w:pPr>
              <w:jc w:val="right"/>
              <w:ind w:right="241"/>
              <w:spacing w:after="0"/>
              <w:rPr>
                <w:sz w:val="20"/>
                <w:szCs w:val="20"/>
                <w:color w:val="auto"/>
              </w:rPr>
            </w:pPr>
            <w:r>
              <w:rPr>
                <w:rFonts w:ascii="Arial" w:cs="Arial" w:eastAsia="Arial" w:hAnsi="Arial"/>
                <w:sz w:val="20"/>
                <w:szCs w:val="20"/>
                <w:color w:val="auto"/>
              </w:rPr>
              <w:t>25</w:t>
            </w:r>
          </w:p>
        </w:tc>
        <w:tc>
          <w:tcPr>
            <w:tcW w:w="64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25</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2.2.</w:t>
            </w:r>
          </w:p>
        </w:tc>
        <w:tc>
          <w:tcPr>
            <w:tcW w:w="1920" w:type="dxa"/>
            <w:vAlign w:val="bottom"/>
            <w:gridSpan w:val="5"/>
          </w:tcPr>
          <w:p>
            <w:pPr>
              <w:ind w:left="60"/>
              <w:spacing w:after="0" w:line="189" w:lineRule="exact"/>
              <w:rPr>
                <w:sz w:val="20"/>
                <w:szCs w:val="20"/>
                <w:color w:val="auto"/>
              </w:rPr>
            </w:pPr>
            <w:r>
              <w:rPr>
                <w:rFonts w:ascii="Arial" w:cs="Arial" w:eastAsia="Arial" w:hAnsi="Arial"/>
                <w:sz w:val="20"/>
                <w:szCs w:val="20"/>
                <w:color w:val="auto"/>
                <w:w w:val="92"/>
              </w:rPr>
              <w:t>Loans and Borrowings</w:t>
            </w:r>
          </w:p>
        </w:tc>
        <w:tc>
          <w:tcPr>
            <w:tcW w:w="64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2.3.</w:t>
            </w:r>
          </w:p>
        </w:tc>
        <w:tc>
          <w:tcPr>
            <w:tcW w:w="2560" w:type="dxa"/>
            <w:vAlign w:val="bottom"/>
            <w:gridSpan w:val="7"/>
          </w:tcPr>
          <w:p>
            <w:pPr>
              <w:ind w:left="60"/>
              <w:spacing w:after="0" w:line="189" w:lineRule="exact"/>
              <w:rPr>
                <w:sz w:val="20"/>
                <w:szCs w:val="20"/>
                <w:color w:val="auto"/>
              </w:rPr>
            </w:pPr>
            <w:r>
              <w:rPr>
                <w:rFonts w:ascii="Arial" w:cs="Arial" w:eastAsia="Arial" w:hAnsi="Arial"/>
                <w:sz w:val="20"/>
                <w:szCs w:val="20"/>
                <w:color w:val="auto"/>
                <w:w w:val="98"/>
              </w:rPr>
              <w:t>Requests for Borrowings  26</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2.4.</w:t>
            </w:r>
          </w:p>
        </w:tc>
        <w:tc>
          <w:tcPr>
            <w:tcW w:w="1920" w:type="dxa"/>
            <w:vAlign w:val="bottom"/>
            <w:gridSpan w:val="5"/>
          </w:tcPr>
          <w:p>
            <w:pPr>
              <w:ind w:left="60"/>
              <w:spacing w:after="0" w:line="189" w:lineRule="exact"/>
              <w:rPr>
                <w:sz w:val="20"/>
                <w:szCs w:val="20"/>
                <w:color w:val="auto"/>
              </w:rPr>
            </w:pPr>
            <w:r>
              <w:rPr>
                <w:rFonts w:ascii="Arial" w:cs="Arial" w:eastAsia="Arial" w:hAnsi="Arial"/>
                <w:sz w:val="20"/>
                <w:szCs w:val="20"/>
                <w:color w:val="auto"/>
                <w:w w:val="91"/>
              </w:rPr>
              <w:t>Funding of Borrowings</w:t>
            </w:r>
          </w:p>
        </w:tc>
        <w:tc>
          <w:tcPr>
            <w:tcW w:w="640" w:type="dxa"/>
            <w:vAlign w:val="bottom"/>
            <w:gridSpan w:val="2"/>
          </w:tcPr>
          <w:p>
            <w:pPr>
              <w:jc w:val="right"/>
              <w:ind w:right="161"/>
              <w:spacing w:after="0" w:line="189" w:lineRule="exact"/>
              <w:rPr>
                <w:sz w:val="20"/>
                <w:szCs w:val="20"/>
                <w:color w:val="auto"/>
              </w:rPr>
            </w:pPr>
            <w:r>
              <w:rPr>
                <w:rFonts w:ascii="Arial" w:cs="Arial" w:eastAsia="Arial" w:hAnsi="Arial"/>
                <w:sz w:val="20"/>
                <w:szCs w:val="20"/>
                <w:color w:val="auto"/>
              </w:rPr>
              <w:t>26</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2.5.</w:t>
            </w:r>
          </w:p>
        </w:tc>
        <w:tc>
          <w:tcPr>
            <w:tcW w:w="5000" w:type="dxa"/>
            <w:vAlign w:val="bottom"/>
            <w:gridSpan w:val="10"/>
          </w:tcPr>
          <w:p>
            <w:pPr>
              <w:ind w:left="60"/>
              <w:spacing w:after="0" w:line="189" w:lineRule="exact"/>
              <w:rPr>
                <w:sz w:val="20"/>
                <w:szCs w:val="20"/>
                <w:color w:val="auto"/>
              </w:rPr>
            </w:pPr>
            <w:r>
              <w:rPr>
                <w:rFonts w:ascii="Arial" w:cs="Arial" w:eastAsia="Arial" w:hAnsi="Arial"/>
                <w:sz w:val="20"/>
                <w:szCs w:val="20"/>
                <w:color w:val="auto"/>
                <w:w w:val="96"/>
              </w:rPr>
              <w:t>Termination, Reduction and Increase of Commitments  27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2.6.</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w w:val="93"/>
              </w:rPr>
              <w:t>Repayment of Loans; Evidence of Debt</w:t>
            </w:r>
          </w:p>
        </w:tc>
        <w:tc>
          <w:tcPr>
            <w:tcW w:w="540" w:type="dxa"/>
            <w:vAlign w:val="bottom"/>
          </w:tcPr>
          <w:p>
            <w:pPr>
              <w:ind w:left="40"/>
              <w:spacing w:after="0" w:line="189" w:lineRule="exact"/>
              <w:rPr>
                <w:sz w:val="20"/>
                <w:szCs w:val="20"/>
                <w:color w:val="auto"/>
              </w:rPr>
            </w:pPr>
            <w:r>
              <w:rPr>
                <w:rFonts w:ascii="Arial" w:cs="Arial" w:eastAsia="Arial" w:hAnsi="Arial"/>
                <w:sz w:val="20"/>
                <w:szCs w:val="20"/>
                <w:color w:val="auto"/>
              </w:rPr>
              <w:t>28</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2.7.</w:t>
            </w:r>
          </w:p>
        </w:tc>
        <w:tc>
          <w:tcPr>
            <w:tcW w:w="1920" w:type="dxa"/>
            <w:vAlign w:val="bottom"/>
            <w:gridSpan w:val="5"/>
          </w:tcPr>
          <w:p>
            <w:pPr>
              <w:ind w:left="60"/>
              <w:spacing w:after="0" w:line="189" w:lineRule="exact"/>
              <w:rPr>
                <w:sz w:val="20"/>
                <w:szCs w:val="20"/>
                <w:color w:val="auto"/>
              </w:rPr>
            </w:pPr>
            <w:r>
              <w:rPr>
                <w:rFonts w:ascii="Arial" w:cs="Arial" w:eastAsia="Arial" w:hAnsi="Arial"/>
                <w:sz w:val="20"/>
                <w:szCs w:val="20"/>
                <w:color w:val="auto"/>
                <w:w w:val="96"/>
              </w:rPr>
              <w:t>Prepayment of Loans</w:t>
            </w:r>
          </w:p>
        </w:tc>
        <w:tc>
          <w:tcPr>
            <w:tcW w:w="320" w:type="dxa"/>
            <w:vAlign w:val="bottom"/>
          </w:tcPr>
          <w:p>
            <w:pPr>
              <w:jc w:val="right"/>
              <w:ind w:right="1"/>
              <w:spacing w:after="0" w:line="189" w:lineRule="exact"/>
              <w:rPr>
                <w:sz w:val="20"/>
                <w:szCs w:val="20"/>
                <w:color w:val="auto"/>
              </w:rPr>
            </w:pPr>
            <w:r>
              <w:rPr>
                <w:rFonts w:ascii="Arial" w:cs="Arial" w:eastAsia="Arial" w:hAnsi="Arial"/>
                <w:sz w:val="20"/>
                <w:szCs w:val="20"/>
                <w:color w:val="auto"/>
                <w:w w:val="89"/>
              </w:rPr>
              <w:t>29</w:t>
            </w:r>
          </w:p>
        </w:tc>
        <w:tc>
          <w:tcPr>
            <w:tcW w:w="1100" w:type="dxa"/>
            <w:vAlign w:val="bottom"/>
            <w:gridSpan w:val="2"/>
            <w:vMerge w:val="restart"/>
          </w:tcPr>
          <w:p>
            <w:pPr>
              <w:jc w:val="right"/>
              <w:ind w:right="621"/>
              <w:spacing w:after="0"/>
              <w:rPr>
                <w:sz w:val="20"/>
                <w:szCs w:val="20"/>
                <w:color w:val="auto"/>
              </w:rPr>
            </w:pPr>
            <w:r>
              <w:rPr>
                <w:rFonts w:ascii="Arial" w:cs="Arial" w:eastAsia="Arial" w:hAnsi="Arial"/>
                <w:sz w:val="20"/>
                <w:szCs w:val="20"/>
                <w:color w:val="auto"/>
              </w:rPr>
              <w:t>30</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2.8.</w:t>
            </w:r>
          </w:p>
        </w:tc>
        <w:tc>
          <w:tcPr>
            <w:tcW w:w="2240" w:type="dxa"/>
            <w:vAlign w:val="bottom"/>
            <w:gridSpan w:val="6"/>
          </w:tcPr>
          <w:p>
            <w:pPr>
              <w:ind w:left="60"/>
              <w:spacing w:after="0" w:line="189" w:lineRule="exact"/>
              <w:rPr>
                <w:sz w:val="20"/>
                <w:szCs w:val="20"/>
                <w:color w:val="auto"/>
              </w:rPr>
            </w:pPr>
            <w:r>
              <w:rPr>
                <w:rFonts w:ascii="Arial" w:cs="Arial" w:eastAsia="Arial" w:hAnsi="Arial"/>
                <w:sz w:val="20"/>
                <w:szCs w:val="20"/>
                <w:color w:val="auto"/>
                <w:w w:val="92"/>
              </w:rPr>
              <w:t>Extension of Maturity Date</w:t>
            </w:r>
          </w:p>
        </w:tc>
        <w:tc>
          <w:tcPr>
            <w:tcW w:w="110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2.9.</w:t>
            </w:r>
          </w:p>
        </w:tc>
        <w:tc>
          <w:tcPr>
            <w:tcW w:w="1540" w:type="dxa"/>
            <w:vAlign w:val="bottom"/>
            <w:gridSpan w:val="4"/>
          </w:tcPr>
          <w:p>
            <w:pPr>
              <w:ind w:left="60"/>
              <w:spacing w:after="0" w:line="189" w:lineRule="exact"/>
              <w:rPr>
                <w:sz w:val="20"/>
                <w:szCs w:val="20"/>
                <w:color w:val="auto"/>
              </w:rPr>
            </w:pPr>
            <w:r>
              <w:rPr>
                <w:rFonts w:ascii="Arial" w:cs="Arial" w:eastAsia="Arial" w:hAnsi="Arial"/>
                <w:sz w:val="20"/>
                <w:szCs w:val="20"/>
                <w:color w:val="auto"/>
              </w:rPr>
              <w:t>Letters of Credit</w:t>
            </w:r>
          </w:p>
        </w:tc>
        <w:tc>
          <w:tcPr>
            <w:tcW w:w="380" w:type="dxa"/>
            <w:vAlign w:val="bottom"/>
          </w:tcPr>
          <w:p>
            <w:pPr>
              <w:jc w:val="right"/>
              <w:ind w:right="61"/>
              <w:spacing w:after="0" w:line="189" w:lineRule="exact"/>
              <w:rPr>
                <w:sz w:val="20"/>
                <w:szCs w:val="20"/>
                <w:color w:val="auto"/>
              </w:rPr>
            </w:pPr>
            <w:r>
              <w:rPr>
                <w:rFonts w:ascii="Arial" w:cs="Arial" w:eastAsia="Arial" w:hAnsi="Arial"/>
                <w:sz w:val="20"/>
                <w:szCs w:val="20"/>
                <w:color w:val="auto"/>
                <w:w w:val="89"/>
              </w:rPr>
              <w:t>30</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2.10.</w:t>
            </w:r>
          </w:p>
        </w:tc>
        <w:tc>
          <w:tcPr>
            <w:tcW w:w="5000" w:type="dxa"/>
            <w:vAlign w:val="bottom"/>
            <w:gridSpan w:val="10"/>
          </w:tcPr>
          <w:p>
            <w:pPr>
              <w:ind w:left="160"/>
              <w:spacing w:after="0" w:line="189" w:lineRule="exact"/>
              <w:rPr>
                <w:sz w:val="20"/>
                <w:szCs w:val="20"/>
                <w:color w:val="auto"/>
              </w:rPr>
            </w:pPr>
            <w:r>
              <w:rPr>
                <w:rFonts w:ascii="Arial" w:cs="Arial" w:eastAsia="Arial" w:hAnsi="Arial"/>
                <w:sz w:val="20"/>
                <w:szCs w:val="20"/>
                <w:color w:val="auto"/>
                <w:w w:val="88"/>
              </w:rPr>
              <w:t>Payments Generally; Pro Rata Treatment; Sharing of Set-offs</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0"/>
              </w:rPr>
              <w:t>Section 2.11.</w:t>
            </w:r>
          </w:p>
        </w:tc>
        <w:tc>
          <w:tcPr>
            <w:tcW w:w="2240" w:type="dxa"/>
            <w:vAlign w:val="bottom"/>
            <w:gridSpan w:val="6"/>
          </w:tcPr>
          <w:p>
            <w:pPr>
              <w:ind w:left="140"/>
              <w:spacing w:after="0"/>
              <w:rPr>
                <w:sz w:val="20"/>
                <w:szCs w:val="20"/>
                <w:color w:val="auto"/>
              </w:rPr>
            </w:pPr>
            <w:r>
              <w:rPr>
                <w:rFonts w:ascii="Arial" w:cs="Arial" w:eastAsia="Arial" w:hAnsi="Arial"/>
                <w:sz w:val="20"/>
                <w:szCs w:val="20"/>
                <w:color w:val="auto"/>
              </w:rPr>
              <w:t>Defaulting Lenders  36</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5620" w:type="dxa"/>
            <w:vAlign w:val="bottom"/>
            <w:gridSpan w:val="11"/>
          </w:tcPr>
          <w:p>
            <w:pPr>
              <w:spacing w:after="0"/>
              <w:rPr>
                <w:sz w:val="20"/>
                <w:szCs w:val="20"/>
                <w:color w:val="auto"/>
              </w:rPr>
            </w:pPr>
            <w:r>
              <w:rPr>
                <w:rFonts w:ascii="Arial" w:cs="Arial" w:eastAsia="Arial" w:hAnsi="Arial"/>
                <w:sz w:val="20"/>
                <w:szCs w:val="20"/>
                <w:b w:val="1"/>
                <w:bCs w:val="1"/>
                <w:color w:val="auto"/>
              </w:rPr>
              <w:t>ARTICLE 3.  INTEREST, FEES, YIELD PROTECTION, ETC</w:t>
            </w:r>
          </w:p>
        </w:tc>
        <w:tc>
          <w:tcPr>
            <w:tcW w:w="1120" w:type="dxa"/>
            <w:vAlign w:val="bottom"/>
          </w:tcPr>
          <w:p>
            <w:pPr>
              <w:jc w:val="right"/>
              <w:ind w:right="761"/>
              <w:spacing w:after="0"/>
              <w:rPr>
                <w:sz w:val="20"/>
                <w:szCs w:val="20"/>
                <w:color w:val="auto"/>
              </w:rPr>
            </w:pPr>
            <w:r>
              <w:rPr>
                <w:rFonts w:ascii="Arial" w:cs="Arial" w:eastAsia="Arial" w:hAnsi="Arial"/>
                <w:sz w:val="20"/>
                <w:szCs w:val="20"/>
                <w:b w:val="1"/>
                <w:bCs w:val="1"/>
                <w:color w:val="auto"/>
              </w:rPr>
              <w:t>38</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3.1.</w:t>
            </w:r>
          </w:p>
        </w:tc>
        <w:tc>
          <w:tcPr>
            <w:tcW w:w="820" w:type="dxa"/>
            <w:vAlign w:val="bottom"/>
          </w:tcPr>
          <w:p>
            <w:pPr>
              <w:ind w:left="60"/>
              <w:spacing w:after="0"/>
              <w:rPr>
                <w:sz w:val="20"/>
                <w:szCs w:val="20"/>
                <w:color w:val="auto"/>
              </w:rPr>
            </w:pPr>
            <w:r>
              <w:rPr>
                <w:rFonts w:ascii="Arial" w:cs="Arial" w:eastAsia="Arial" w:hAnsi="Arial"/>
                <w:sz w:val="20"/>
                <w:szCs w:val="20"/>
                <w:color w:val="auto"/>
              </w:rPr>
              <w:t>Interest</w:t>
            </w:r>
          </w:p>
        </w:tc>
        <w:tc>
          <w:tcPr>
            <w:tcW w:w="480" w:type="dxa"/>
            <w:vAlign w:val="bottom"/>
            <w:gridSpan w:val="2"/>
          </w:tcPr>
          <w:p>
            <w:pPr>
              <w:ind w:left="20"/>
              <w:spacing w:after="0"/>
              <w:rPr>
                <w:sz w:val="20"/>
                <w:szCs w:val="20"/>
                <w:color w:val="auto"/>
              </w:rPr>
            </w:pPr>
            <w:r>
              <w:rPr>
                <w:rFonts w:ascii="Arial" w:cs="Arial" w:eastAsia="Arial" w:hAnsi="Arial"/>
                <w:sz w:val="20"/>
                <w:szCs w:val="20"/>
                <w:color w:val="auto"/>
              </w:rPr>
              <w:t>38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vMerge w:val="restart"/>
          </w:tcPr>
          <w:p>
            <w:pPr>
              <w:ind w:left="200"/>
              <w:spacing w:after="0"/>
              <w:rPr>
                <w:sz w:val="20"/>
                <w:szCs w:val="20"/>
                <w:color w:val="auto"/>
              </w:rPr>
            </w:pPr>
            <w:r>
              <w:rPr>
                <w:rFonts w:ascii="Arial" w:cs="Arial" w:eastAsia="Arial" w:hAnsi="Arial"/>
                <w:sz w:val="20"/>
                <w:szCs w:val="20"/>
                <w:color w:val="auto"/>
              </w:rPr>
              <w:t>38</w:t>
            </w: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3.2.</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w w:val="90"/>
              </w:rPr>
              <w:t>Interest Elections Relating to Borrowings</w:t>
            </w:r>
          </w:p>
        </w:tc>
        <w:tc>
          <w:tcPr>
            <w:tcW w:w="5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3.3.</w:t>
            </w:r>
          </w:p>
        </w:tc>
        <w:tc>
          <w:tcPr>
            <w:tcW w:w="820" w:type="dxa"/>
            <w:vAlign w:val="bottom"/>
          </w:tcPr>
          <w:p>
            <w:pPr>
              <w:ind w:left="60"/>
              <w:spacing w:after="0" w:line="189" w:lineRule="exact"/>
              <w:rPr>
                <w:sz w:val="20"/>
                <w:szCs w:val="20"/>
                <w:color w:val="auto"/>
              </w:rPr>
            </w:pPr>
            <w:r>
              <w:rPr>
                <w:rFonts w:ascii="Arial" w:cs="Arial" w:eastAsia="Arial" w:hAnsi="Arial"/>
                <w:sz w:val="20"/>
                <w:szCs w:val="20"/>
                <w:color w:val="auto"/>
                <w:w w:val="95"/>
              </w:rPr>
              <w:t>Fees  39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vMerge w:val="restart"/>
          </w:tcPr>
          <w:p>
            <w:pPr>
              <w:jc w:val="right"/>
              <w:ind w:right="21"/>
              <w:spacing w:after="0"/>
              <w:rPr>
                <w:sz w:val="20"/>
                <w:szCs w:val="20"/>
                <w:color w:val="auto"/>
              </w:rPr>
            </w:pPr>
            <w:r>
              <w:rPr>
                <w:rFonts w:ascii="Arial" w:cs="Arial" w:eastAsia="Arial" w:hAnsi="Arial"/>
                <w:sz w:val="20"/>
                <w:szCs w:val="20"/>
                <w:color w:val="auto"/>
                <w:w w:val="80"/>
              </w:rPr>
              <w:t>40</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3.4.</w:t>
            </w:r>
          </w:p>
        </w:tc>
        <w:tc>
          <w:tcPr>
            <w:tcW w:w="2240" w:type="dxa"/>
            <w:vAlign w:val="bottom"/>
            <w:gridSpan w:val="6"/>
          </w:tcPr>
          <w:p>
            <w:pPr>
              <w:ind w:left="40"/>
              <w:spacing w:after="0" w:line="189" w:lineRule="exact"/>
              <w:rPr>
                <w:sz w:val="20"/>
                <w:szCs w:val="20"/>
                <w:color w:val="auto"/>
              </w:rPr>
            </w:pPr>
            <w:r>
              <w:rPr>
                <w:rFonts w:ascii="Arial" w:cs="Arial" w:eastAsia="Arial" w:hAnsi="Arial"/>
                <w:sz w:val="20"/>
                <w:szCs w:val="20"/>
                <w:color w:val="auto"/>
                <w:w w:val="98"/>
              </w:rPr>
              <w:t>Alternate Rate of Interest</w:t>
            </w:r>
          </w:p>
        </w:tc>
        <w:tc>
          <w:tcPr>
            <w:tcW w:w="3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3.5.</w:t>
            </w:r>
          </w:p>
        </w:tc>
        <w:tc>
          <w:tcPr>
            <w:tcW w:w="2240" w:type="dxa"/>
            <w:vAlign w:val="bottom"/>
            <w:gridSpan w:val="6"/>
          </w:tcPr>
          <w:p>
            <w:pPr>
              <w:ind w:left="60"/>
              <w:spacing w:after="0" w:line="189" w:lineRule="exact"/>
              <w:rPr>
                <w:sz w:val="20"/>
                <w:szCs w:val="20"/>
                <w:color w:val="auto"/>
              </w:rPr>
            </w:pPr>
            <w:r>
              <w:rPr>
                <w:rFonts w:ascii="Arial" w:cs="Arial" w:eastAsia="Arial" w:hAnsi="Arial"/>
                <w:sz w:val="20"/>
                <w:szCs w:val="20"/>
                <w:color w:val="auto"/>
                <w:w w:val="94"/>
              </w:rPr>
              <w:t>Increased Costs; Illegality</w:t>
            </w:r>
          </w:p>
        </w:tc>
        <w:tc>
          <w:tcPr>
            <w:tcW w:w="320" w:type="dxa"/>
            <w:vAlign w:val="bottom"/>
          </w:tcPr>
          <w:p>
            <w:pPr>
              <w:jc w:val="right"/>
              <w:spacing w:after="0" w:line="189" w:lineRule="exact"/>
              <w:rPr>
                <w:sz w:val="20"/>
                <w:szCs w:val="20"/>
                <w:color w:val="auto"/>
              </w:rPr>
            </w:pPr>
            <w:r>
              <w:rPr>
                <w:rFonts w:ascii="Arial" w:cs="Arial" w:eastAsia="Arial" w:hAnsi="Arial"/>
                <w:sz w:val="20"/>
                <w:szCs w:val="20"/>
                <w:color w:val="auto"/>
              </w:rPr>
              <w:t>42</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3.6.</w:t>
            </w:r>
          </w:p>
        </w:tc>
        <w:tc>
          <w:tcPr>
            <w:tcW w:w="2240" w:type="dxa"/>
            <w:vAlign w:val="bottom"/>
            <w:gridSpan w:val="6"/>
          </w:tcPr>
          <w:p>
            <w:pPr>
              <w:ind w:left="60"/>
              <w:spacing w:after="0" w:line="189" w:lineRule="exact"/>
              <w:rPr>
                <w:sz w:val="20"/>
                <w:szCs w:val="20"/>
                <w:color w:val="auto"/>
              </w:rPr>
            </w:pPr>
            <w:r>
              <w:rPr>
                <w:rFonts w:ascii="Arial" w:cs="Arial" w:eastAsia="Arial" w:hAnsi="Arial"/>
                <w:sz w:val="20"/>
                <w:szCs w:val="20"/>
                <w:color w:val="auto"/>
                <w:w w:val="96"/>
              </w:rPr>
              <w:t>Break Funding Payments</w:t>
            </w:r>
          </w:p>
        </w:tc>
        <w:tc>
          <w:tcPr>
            <w:tcW w:w="320" w:type="dxa"/>
            <w:vAlign w:val="bottom"/>
          </w:tcPr>
          <w:p>
            <w:pPr>
              <w:jc w:val="right"/>
              <w:ind w:right="21"/>
              <w:spacing w:after="0" w:line="189" w:lineRule="exact"/>
              <w:rPr>
                <w:sz w:val="20"/>
                <w:szCs w:val="20"/>
                <w:color w:val="auto"/>
              </w:rPr>
            </w:pPr>
            <w:r>
              <w:rPr>
                <w:rFonts w:ascii="Arial" w:cs="Arial" w:eastAsia="Arial" w:hAnsi="Arial"/>
                <w:sz w:val="20"/>
                <w:szCs w:val="20"/>
                <w:color w:val="auto"/>
                <w:w w:val="80"/>
              </w:rPr>
              <w:t>44</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3.7.</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rPr>
              <w:t>Withholding of Taxes; Gross-Up  44</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3.8.</w:t>
            </w:r>
          </w:p>
        </w:tc>
        <w:tc>
          <w:tcPr>
            <w:tcW w:w="1920" w:type="dxa"/>
            <w:vAlign w:val="bottom"/>
            <w:gridSpan w:val="5"/>
          </w:tcPr>
          <w:p>
            <w:pPr>
              <w:ind w:left="60"/>
              <w:spacing w:after="0" w:line="189" w:lineRule="exact"/>
              <w:rPr>
                <w:sz w:val="20"/>
                <w:szCs w:val="20"/>
                <w:color w:val="auto"/>
              </w:rPr>
            </w:pPr>
            <w:r>
              <w:rPr>
                <w:rFonts w:ascii="Arial" w:cs="Arial" w:eastAsia="Arial" w:hAnsi="Arial"/>
                <w:sz w:val="20"/>
                <w:szCs w:val="20"/>
                <w:color w:val="auto"/>
                <w:w w:val="96"/>
              </w:rPr>
              <w:t>Mitigation Obligations</w:t>
            </w:r>
          </w:p>
        </w:tc>
        <w:tc>
          <w:tcPr>
            <w:tcW w:w="640" w:type="dxa"/>
            <w:vAlign w:val="bottom"/>
            <w:gridSpan w:val="2"/>
          </w:tcPr>
          <w:p>
            <w:pPr>
              <w:jc w:val="right"/>
              <w:ind w:right="201"/>
              <w:spacing w:after="0" w:line="189" w:lineRule="exact"/>
              <w:rPr>
                <w:sz w:val="20"/>
                <w:szCs w:val="20"/>
                <w:color w:val="auto"/>
              </w:rPr>
            </w:pPr>
            <w:r>
              <w:rPr>
                <w:rFonts w:ascii="Arial" w:cs="Arial" w:eastAsia="Arial" w:hAnsi="Arial"/>
                <w:sz w:val="20"/>
                <w:szCs w:val="20"/>
                <w:color w:val="auto"/>
              </w:rPr>
              <w:t>48</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3.9.</w:t>
            </w:r>
          </w:p>
        </w:tc>
        <w:tc>
          <w:tcPr>
            <w:tcW w:w="2240" w:type="dxa"/>
            <w:vAlign w:val="bottom"/>
            <w:gridSpan w:val="6"/>
          </w:tcPr>
          <w:p>
            <w:pPr>
              <w:ind w:left="60"/>
              <w:spacing w:after="0" w:line="189" w:lineRule="exact"/>
              <w:rPr>
                <w:sz w:val="20"/>
                <w:szCs w:val="20"/>
                <w:color w:val="auto"/>
              </w:rPr>
            </w:pPr>
            <w:r>
              <w:rPr>
                <w:rFonts w:ascii="Arial" w:cs="Arial" w:eastAsia="Arial" w:hAnsi="Arial"/>
                <w:sz w:val="20"/>
                <w:szCs w:val="20"/>
                <w:color w:val="auto"/>
                <w:w w:val="95"/>
              </w:rPr>
              <w:t>EEA Financial Institutions</w:t>
            </w:r>
          </w:p>
        </w:tc>
        <w:tc>
          <w:tcPr>
            <w:tcW w:w="320" w:type="dxa"/>
            <w:vAlign w:val="bottom"/>
          </w:tcPr>
          <w:p>
            <w:pPr>
              <w:jc w:val="right"/>
              <w:spacing w:after="0" w:line="189" w:lineRule="exact"/>
              <w:rPr>
                <w:sz w:val="20"/>
                <w:szCs w:val="20"/>
                <w:color w:val="auto"/>
              </w:rPr>
            </w:pPr>
            <w:r>
              <w:rPr>
                <w:rFonts w:ascii="Arial" w:cs="Arial" w:eastAsia="Arial" w:hAnsi="Arial"/>
                <w:sz w:val="20"/>
                <w:szCs w:val="20"/>
                <w:color w:val="auto"/>
              </w:rPr>
              <w:t>49</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0"/>
              </w:rPr>
              <w:t>Section 3.10.</w:t>
            </w:r>
          </w:p>
        </w:tc>
        <w:tc>
          <w:tcPr>
            <w:tcW w:w="3880" w:type="dxa"/>
            <w:vAlign w:val="bottom"/>
            <w:gridSpan w:val="9"/>
          </w:tcPr>
          <w:p>
            <w:pPr>
              <w:ind w:left="160"/>
              <w:spacing w:after="0"/>
              <w:rPr>
                <w:sz w:val="20"/>
                <w:szCs w:val="20"/>
                <w:color w:val="auto"/>
              </w:rPr>
            </w:pPr>
            <w:r>
              <w:rPr>
                <w:rFonts w:ascii="Arial" w:cs="Arial" w:eastAsia="Arial" w:hAnsi="Arial"/>
                <w:sz w:val="20"/>
                <w:szCs w:val="20"/>
                <w:color w:val="auto"/>
              </w:rPr>
              <w:t>Plan Assets; Prohibited Transactions  49</w:t>
            </w: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5080" w:type="dxa"/>
            <w:vAlign w:val="bottom"/>
            <w:gridSpan w:val="10"/>
          </w:tcPr>
          <w:p>
            <w:pPr>
              <w:spacing w:after="0"/>
              <w:rPr>
                <w:sz w:val="20"/>
                <w:szCs w:val="20"/>
                <w:color w:val="auto"/>
              </w:rPr>
            </w:pPr>
            <w:r>
              <w:rPr>
                <w:rFonts w:ascii="Arial" w:cs="Arial" w:eastAsia="Arial" w:hAnsi="Arial"/>
                <w:sz w:val="20"/>
                <w:szCs w:val="20"/>
                <w:b w:val="1"/>
                <w:bCs w:val="1"/>
                <w:color w:val="auto"/>
                <w:w w:val="99"/>
              </w:rPr>
              <w:t>ARTICLE 4.  REPRESENTATIONS AND WARRANTIES</w:t>
            </w:r>
          </w:p>
        </w:tc>
        <w:tc>
          <w:tcPr>
            <w:tcW w:w="540" w:type="dxa"/>
            <w:vAlign w:val="bottom"/>
          </w:tcPr>
          <w:p>
            <w:pPr>
              <w:ind w:left="200"/>
              <w:spacing w:after="0"/>
              <w:rPr>
                <w:sz w:val="20"/>
                <w:szCs w:val="20"/>
                <w:color w:val="auto"/>
              </w:rPr>
            </w:pPr>
            <w:r>
              <w:rPr>
                <w:rFonts w:ascii="Arial" w:cs="Arial" w:eastAsia="Arial" w:hAnsi="Arial"/>
                <w:sz w:val="20"/>
                <w:szCs w:val="20"/>
                <w:b w:val="1"/>
                <w:bCs w:val="1"/>
                <w:color w:val="auto"/>
              </w:rPr>
              <w:t>49</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4.1.</w:t>
            </w:r>
          </w:p>
        </w:tc>
        <w:tc>
          <w:tcPr>
            <w:tcW w:w="1920" w:type="dxa"/>
            <w:vAlign w:val="bottom"/>
            <w:gridSpan w:val="5"/>
          </w:tcPr>
          <w:p>
            <w:pPr>
              <w:ind w:left="60"/>
              <w:spacing w:after="0"/>
              <w:rPr>
                <w:sz w:val="20"/>
                <w:szCs w:val="20"/>
                <w:color w:val="auto"/>
              </w:rPr>
            </w:pPr>
            <w:r>
              <w:rPr>
                <w:rFonts w:ascii="Arial" w:cs="Arial" w:eastAsia="Arial" w:hAnsi="Arial"/>
                <w:sz w:val="20"/>
                <w:szCs w:val="20"/>
                <w:color w:val="auto"/>
                <w:w w:val="96"/>
              </w:rPr>
              <w:t>Organization; Powers</w:t>
            </w:r>
          </w:p>
        </w:tc>
        <w:tc>
          <w:tcPr>
            <w:tcW w:w="320" w:type="dxa"/>
            <w:vAlign w:val="bottom"/>
          </w:tcPr>
          <w:p>
            <w:pPr>
              <w:jc w:val="right"/>
              <w:spacing w:after="0"/>
              <w:rPr>
                <w:sz w:val="20"/>
                <w:szCs w:val="20"/>
                <w:color w:val="auto"/>
              </w:rPr>
            </w:pPr>
            <w:r>
              <w:rPr>
                <w:rFonts w:ascii="Arial" w:cs="Arial" w:eastAsia="Arial" w:hAnsi="Arial"/>
                <w:sz w:val="20"/>
                <w:szCs w:val="20"/>
                <w:color w:val="auto"/>
                <w:w w:val="98"/>
              </w:rPr>
              <w:t>49</w:t>
            </w:r>
          </w:p>
        </w:tc>
        <w:tc>
          <w:tcPr>
            <w:tcW w:w="320" w:type="dxa"/>
            <w:vAlign w:val="bottom"/>
          </w:tcPr>
          <w:p>
            <w:pPr>
              <w:spacing w:after="0"/>
              <w:rPr>
                <w:sz w:val="20"/>
                <w:szCs w:val="20"/>
                <w:color w:val="auto"/>
              </w:rPr>
            </w:pPr>
          </w:p>
        </w:tc>
        <w:tc>
          <w:tcPr>
            <w:tcW w:w="780" w:type="dxa"/>
            <w:vAlign w:val="bottom"/>
            <w:vMerge w:val="restart"/>
          </w:tcPr>
          <w:p>
            <w:pPr>
              <w:jc w:val="right"/>
              <w:ind w:right="461"/>
              <w:spacing w:after="0"/>
              <w:rPr>
                <w:sz w:val="20"/>
                <w:szCs w:val="20"/>
                <w:color w:val="auto"/>
              </w:rPr>
            </w:pPr>
            <w:r>
              <w:rPr>
                <w:rFonts w:ascii="Arial" w:cs="Arial" w:eastAsia="Arial" w:hAnsi="Arial"/>
                <w:sz w:val="20"/>
                <w:szCs w:val="20"/>
                <w:color w:val="auto"/>
                <w:w w:val="89"/>
              </w:rPr>
              <w:t>49</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4.2.</w:t>
            </w:r>
          </w:p>
        </w:tc>
        <w:tc>
          <w:tcPr>
            <w:tcW w:w="2560" w:type="dxa"/>
            <w:vAlign w:val="bottom"/>
            <w:gridSpan w:val="7"/>
          </w:tcPr>
          <w:p>
            <w:pPr>
              <w:ind w:left="40"/>
              <w:spacing w:after="0" w:line="189" w:lineRule="exact"/>
              <w:rPr>
                <w:sz w:val="20"/>
                <w:szCs w:val="20"/>
                <w:color w:val="auto"/>
              </w:rPr>
            </w:pPr>
            <w:r>
              <w:rPr>
                <w:rFonts w:ascii="Arial" w:cs="Arial" w:eastAsia="Arial" w:hAnsi="Arial"/>
                <w:sz w:val="20"/>
                <w:szCs w:val="20"/>
                <w:color w:val="auto"/>
              </w:rPr>
              <w:t>Authorization; Enforceability</w:t>
            </w:r>
          </w:p>
        </w:tc>
        <w:tc>
          <w:tcPr>
            <w:tcW w:w="780" w:type="dxa"/>
            <w:vAlign w:val="bottom"/>
            <w:vMerge w:val="continue"/>
          </w:tcPr>
          <w:p>
            <w:pPr>
              <w:spacing w:after="0"/>
              <w:rPr>
                <w:sz w:val="16"/>
                <w:szCs w:val="16"/>
                <w:color w:val="auto"/>
              </w:rPr>
            </w:pPr>
          </w:p>
        </w:tc>
        <w:tc>
          <w:tcPr>
            <w:tcW w:w="540" w:type="dxa"/>
            <w:vAlign w:val="bottom"/>
            <w:vMerge w:val="restart"/>
          </w:tcPr>
          <w:p>
            <w:pPr>
              <w:ind w:left="40"/>
              <w:spacing w:after="0"/>
              <w:rPr>
                <w:sz w:val="20"/>
                <w:szCs w:val="20"/>
                <w:color w:val="auto"/>
              </w:rPr>
            </w:pPr>
            <w:r>
              <w:rPr>
                <w:rFonts w:ascii="Arial" w:cs="Arial" w:eastAsia="Arial" w:hAnsi="Arial"/>
                <w:sz w:val="20"/>
                <w:szCs w:val="20"/>
                <w:color w:val="auto"/>
              </w:rPr>
              <w:t>49</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4.3.</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w w:val="96"/>
              </w:rPr>
              <w:t>Governmental Approvals; No Conflicts</w:t>
            </w:r>
          </w:p>
        </w:tc>
        <w:tc>
          <w:tcPr>
            <w:tcW w:w="54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4.4.</w:t>
            </w:r>
          </w:p>
        </w:tc>
        <w:tc>
          <w:tcPr>
            <w:tcW w:w="5000" w:type="dxa"/>
            <w:vAlign w:val="bottom"/>
            <w:gridSpan w:val="10"/>
          </w:tcPr>
          <w:p>
            <w:pPr>
              <w:ind w:left="60"/>
              <w:spacing w:after="0" w:line="189" w:lineRule="exact"/>
              <w:rPr>
                <w:sz w:val="20"/>
                <w:szCs w:val="20"/>
                <w:color w:val="auto"/>
              </w:rPr>
            </w:pPr>
            <w:r>
              <w:rPr>
                <w:rFonts w:ascii="Arial" w:cs="Arial" w:eastAsia="Arial" w:hAnsi="Arial"/>
                <w:sz w:val="20"/>
                <w:szCs w:val="20"/>
                <w:color w:val="auto"/>
              </w:rPr>
              <w:t>Financial Condition; No Material Adverse Change  50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4.5.</w:t>
            </w:r>
          </w:p>
        </w:tc>
        <w:tc>
          <w:tcPr>
            <w:tcW w:w="1020" w:type="dxa"/>
            <w:vAlign w:val="bottom"/>
            <w:gridSpan w:val="2"/>
          </w:tcPr>
          <w:p>
            <w:pPr>
              <w:ind w:left="60"/>
              <w:spacing w:after="0" w:line="189" w:lineRule="exact"/>
              <w:rPr>
                <w:sz w:val="20"/>
                <w:szCs w:val="20"/>
                <w:color w:val="auto"/>
              </w:rPr>
            </w:pPr>
            <w:r>
              <w:rPr>
                <w:rFonts w:ascii="Arial" w:cs="Arial" w:eastAsia="Arial" w:hAnsi="Arial"/>
                <w:sz w:val="20"/>
                <w:szCs w:val="20"/>
                <w:color w:val="auto"/>
              </w:rPr>
              <w:t>Litigation</w:t>
            </w:r>
          </w:p>
        </w:tc>
        <w:tc>
          <w:tcPr>
            <w:tcW w:w="280" w:type="dxa"/>
            <w:vAlign w:val="bottom"/>
          </w:tcPr>
          <w:p>
            <w:pPr>
              <w:jc w:val="right"/>
              <w:spacing w:after="0" w:line="189" w:lineRule="exact"/>
              <w:rPr>
                <w:sz w:val="20"/>
                <w:szCs w:val="20"/>
                <w:color w:val="auto"/>
              </w:rPr>
            </w:pPr>
            <w:r>
              <w:rPr>
                <w:rFonts w:ascii="Arial" w:cs="Arial" w:eastAsia="Arial" w:hAnsi="Arial"/>
                <w:sz w:val="20"/>
                <w:szCs w:val="20"/>
                <w:color w:val="auto"/>
                <w:w w:val="80"/>
              </w:rPr>
              <w:t>50</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vMerge w:val="restart"/>
          </w:tcPr>
          <w:p>
            <w:pPr>
              <w:jc w:val="right"/>
              <w:ind w:right="181"/>
              <w:spacing w:after="0"/>
              <w:rPr>
                <w:sz w:val="20"/>
                <w:szCs w:val="20"/>
                <w:color w:val="auto"/>
              </w:rPr>
            </w:pPr>
            <w:r>
              <w:rPr>
                <w:rFonts w:ascii="Arial" w:cs="Arial" w:eastAsia="Arial" w:hAnsi="Arial"/>
                <w:sz w:val="20"/>
                <w:szCs w:val="20"/>
                <w:color w:val="auto"/>
              </w:rPr>
              <w:t>50</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4.6.</w:t>
            </w:r>
          </w:p>
        </w:tc>
        <w:tc>
          <w:tcPr>
            <w:tcW w:w="1920" w:type="dxa"/>
            <w:vAlign w:val="bottom"/>
            <w:gridSpan w:val="5"/>
          </w:tcPr>
          <w:p>
            <w:pPr>
              <w:ind w:left="60"/>
              <w:spacing w:after="0" w:line="189" w:lineRule="exact"/>
              <w:rPr>
                <w:sz w:val="20"/>
                <w:szCs w:val="20"/>
                <w:color w:val="auto"/>
              </w:rPr>
            </w:pPr>
            <w:r>
              <w:rPr>
                <w:rFonts w:ascii="Arial" w:cs="Arial" w:eastAsia="Arial" w:hAnsi="Arial"/>
                <w:sz w:val="20"/>
                <w:szCs w:val="20"/>
                <w:color w:val="auto"/>
                <w:w w:val="91"/>
              </w:rPr>
              <w:t>Environmental Matters</w:t>
            </w:r>
          </w:p>
        </w:tc>
        <w:tc>
          <w:tcPr>
            <w:tcW w:w="64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4.7.</w:t>
            </w:r>
          </w:p>
        </w:tc>
        <w:tc>
          <w:tcPr>
            <w:tcW w:w="3340" w:type="dxa"/>
            <w:vAlign w:val="bottom"/>
            <w:gridSpan w:val="8"/>
          </w:tcPr>
          <w:p>
            <w:pPr>
              <w:ind w:left="60"/>
              <w:spacing w:after="0" w:line="189" w:lineRule="exact"/>
              <w:rPr>
                <w:sz w:val="20"/>
                <w:szCs w:val="20"/>
                <w:color w:val="auto"/>
              </w:rPr>
            </w:pPr>
            <w:r>
              <w:rPr>
                <w:rFonts w:ascii="Arial" w:cs="Arial" w:eastAsia="Arial" w:hAnsi="Arial"/>
                <w:sz w:val="20"/>
                <w:szCs w:val="20"/>
                <w:color w:val="auto"/>
              </w:rPr>
              <w:t>Investment Company Status  50</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4.8.</w:t>
            </w:r>
          </w:p>
        </w:tc>
        <w:tc>
          <w:tcPr>
            <w:tcW w:w="820" w:type="dxa"/>
            <w:vAlign w:val="bottom"/>
          </w:tcPr>
          <w:p>
            <w:pPr>
              <w:ind w:left="60"/>
              <w:spacing w:after="0" w:line="189" w:lineRule="exact"/>
              <w:rPr>
                <w:sz w:val="20"/>
                <w:szCs w:val="20"/>
                <w:color w:val="auto"/>
              </w:rPr>
            </w:pPr>
            <w:r>
              <w:rPr>
                <w:rFonts w:ascii="Arial" w:cs="Arial" w:eastAsia="Arial" w:hAnsi="Arial"/>
                <w:sz w:val="20"/>
                <w:szCs w:val="20"/>
                <w:color w:val="auto"/>
              </w:rPr>
              <w:t>ERISA</w:t>
            </w:r>
          </w:p>
        </w:tc>
        <w:tc>
          <w:tcPr>
            <w:tcW w:w="200" w:type="dxa"/>
            <w:vAlign w:val="bottom"/>
          </w:tcPr>
          <w:p>
            <w:pPr>
              <w:spacing w:after="0" w:line="189" w:lineRule="exact"/>
              <w:rPr>
                <w:sz w:val="20"/>
                <w:szCs w:val="20"/>
                <w:color w:val="auto"/>
              </w:rPr>
            </w:pPr>
            <w:r>
              <w:rPr>
                <w:rFonts w:ascii="Arial" w:cs="Arial" w:eastAsia="Arial" w:hAnsi="Arial"/>
                <w:sz w:val="20"/>
                <w:szCs w:val="20"/>
                <w:color w:val="auto"/>
                <w:w w:val="80"/>
              </w:rPr>
              <w:t>51</w:t>
            </w: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51</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4.9.</w:t>
            </w:r>
          </w:p>
        </w:tc>
        <w:tc>
          <w:tcPr>
            <w:tcW w:w="1020" w:type="dxa"/>
            <w:vAlign w:val="bottom"/>
            <w:gridSpan w:val="2"/>
          </w:tcPr>
          <w:p>
            <w:pPr>
              <w:ind w:left="60"/>
              <w:spacing w:after="0" w:line="189" w:lineRule="exact"/>
              <w:rPr>
                <w:sz w:val="20"/>
                <w:szCs w:val="20"/>
                <w:color w:val="auto"/>
              </w:rPr>
            </w:pPr>
            <w:r>
              <w:rPr>
                <w:rFonts w:ascii="Arial" w:cs="Arial" w:eastAsia="Arial" w:hAnsi="Arial"/>
                <w:sz w:val="20"/>
                <w:szCs w:val="20"/>
                <w:color w:val="auto"/>
              </w:rPr>
              <w:t>Disclosure</w:t>
            </w:r>
          </w:p>
        </w:tc>
        <w:tc>
          <w:tcPr>
            <w:tcW w:w="280" w:type="dxa"/>
            <w:vAlign w:val="bottom"/>
            <w:vMerge w:val="continue"/>
          </w:tcPr>
          <w:p>
            <w:pPr>
              <w:spacing w:after="0"/>
              <w:rPr>
                <w:sz w:val="16"/>
                <w:szCs w:val="16"/>
                <w:color w:val="auto"/>
              </w:rPr>
            </w:pPr>
          </w:p>
        </w:tc>
        <w:tc>
          <w:tcPr>
            <w:tcW w:w="240" w:type="dxa"/>
            <w:vAlign w:val="bottom"/>
            <w:vMerge w:val="restart"/>
          </w:tcPr>
          <w:p>
            <w:pPr>
              <w:jc w:val="right"/>
              <w:spacing w:after="0"/>
              <w:rPr>
                <w:sz w:val="20"/>
                <w:szCs w:val="20"/>
                <w:color w:val="auto"/>
              </w:rPr>
            </w:pPr>
            <w:r>
              <w:rPr>
                <w:rFonts w:ascii="Arial" w:cs="Arial" w:eastAsia="Arial" w:hAnsi="Arial"/>
                <w:sz w:val="20"/>
                <w:szCs w:val="20"/>
                <w:color w:val="auto"/>
                <w:w w:val="89"/>
              </w:rPr>
              <w:t>51</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4.10.</w:t>
            </w:r>
          </w:p>
        </w:tc>
        <w:tc>
          <w:tcPr>
            <w:tcW w:w="1300" w:type="dxa"/>
            <w:vAlign w:val="bottom"/>
            <w:gridSpan w:val="3"/>
          </w:tcPr>
          <w:p>
            <w:pPr>
              <w:ind w:left="160"/>
              <w:spacing w:after="0" w:line="189" w:lineRule="exact"/>
              <w:rPr>
                <w:sz w:val="20"/>
                <w:szCs w:val="20"/>
                <w:color w:val="auto"/>
              </w:rPr>
            </w:pPr>
            <w:r>
              <w:rPr>
                <w:rFonts w:ascii="Arial" w:cs="Arial" w:eastAsia="Arial" w:hAnsi="Arial"/>
                <w:sz w:val="20"/>
                <w:szCs w:val="20"/>
                <w:color w:val="auto"/>
              </w:rPr>
              <w:t>Subsidiaries</w:t>
            </w:r>
          </w:p>
        </w:tc>
        <w:tc>
          <w:tcPr>
            <w:tcW w:w="2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vMerge w:val="restart"/>
          </w:tcPr>
          <w:p>
            <w:pPr>
              <w:jc w:val="right"/>
              <w:ind w:right="701"/>
              <w:spacing w:after="0"/>
              <w:rPr>
                <w:sz w:val="20"/>
                <w:szCs w:val="20"/>
                <w:color w:val="auto"/>
              </w:rPr>
            </w:pPr>
            <w:r>
              <w:rPr>
                <w:rFonts w:ascii="Arial" w:cs="Arial" w:eastAsia="Arial" w:hAnsi="Arial"/>
                <w:sz w:val="20"/>
                <w:szCs w:val="20"/>
                <w:color w:val="auto"/>
              </w:rPr>
              <w:t>51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4.11.</w:t>
            </w:r>
          </w:p>
        </w:tc>
        <w:tc>
          <w:tcPr>
            <w:tcW w:w="3880" w:type="dxa"/>
            <w:vAlign w:val="bottom"/>
            <w:gridSpan w:val="9"/>
          </w:tcPr>
          <w:p>
            <w:pPr>
              <w:ind w:left="140"/>
              <w:spacing w:after="0" w:line="189" w:lineRule="exact"/>
              <w:rPr>
                <w:sz w:val="20"/>
                <w:szCs w:val="20"/>
                <w:color w:val="auto"/>
              </w:rPr>
            </w:pPr>
            <w:r>
              <w:rPr>
                <w:rFonts w:ascii="Arial" w:cs="Arial" w:eastAsia="Arial" w:hAnsi="Arial"/>
                <w:sz w:val="20"/>
                <w:szCs w:val="20"/>
                <w:color w:val="auto"/>
                <w:w w:val="88"/>
              </w:rPr>
              <w:t>Use of Proceeds; Federal Reserve Regulations</w:t>
            </w:r>
          </w:p>
        </w:tc>
        <w:tc>
          <w:tcPr>
            <w:tcW w:w="1120" w:type="dxa"/>
            <w:vAlign w:val="bottom"/>
            <w:vMerge w:val="continue"/>
          </w:tcPr>
          <w:p>
            <w:pPr>
              <w:spacing w:after="0"/>
              <w:rPr>
                <w:sz w:val="16"/>
                <w:szCs w:val="16"/>
                <w:color w:val="auto"/>
              </w:rPr>
            </w:pPr>
          </w:p>
        </w:tc>
        <w:tc>
          <w:tcPr>
            <w:tcW w:w="400" w:type="dxa"/>
            <w:vAlign w:val="bottom"/>
            <w:vMerge w:val="restart"/>
          </w:tcPr>
          <w:p>
            <w:pPr>
              <w:jc w:val="right"/>
              <w:ind w:right="81"/>
              <w:spacing w:after="0"/>
              <w:rPr>
                <w:sz w:val="20"/>
                <w:szCs w:val="20"/>
                <w:color w:val="auto"/>
              </w:rPr>
            </w:pPr>
            <w:r>
              <w:rPr>
                <w:rFonts w:ascii="Arial" w:cs="Arial" w:eastAsia="Arial" w:hAnsi="Arial"/>
                <w:sz w:val="20"/>
                <w:szCs w:val="20"/>
                <w:color w:val="auto"/>
                <w:w w:val="89"/>
              </w:rPr>
              <w:t>52</w:t>
            </w: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4.12.</w:t>
            </w:r>
          </w:p>
        </w:tc>
        <w:tc>
          <w:tcPr>
            <w:tcW w:w="5000" w:type="dxa"/>
            <w:vAlign w:val="bottom"/>
            <w:gridSpan w:val="10"/>
          </w:tcPr>
          <w:p>
            <w:pPr>
              <w:ind w:left="140"/>
              <w:spacing w:after="0" w:line="189" w:lineRule="exact"/>
              <w:rPr>
                <w:sz w:val="20"/>
                <w:szCs w:val="20"/>
                <w:color w:val="auto"/>
              </w:rPr>
            </w:pPr>
            <w:r>
              <w:rPr>
                <w:rFonts w:ascii="Arial" w:cs="Arial" w:eastAsia="Arial" w:hAnsi="Arial"/>
                <w:sz w:val="20"/>
                <w:szCs w:val="20"/>
                <w:color w:val="auto"/>
                <w:w w:val="95"/>
              </w:rPr>
              <w:t>Anti-Money Laundering and Anti-Terrorism Finance Laws</w:t>
            </w: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4.13.</w:t>
            </w:r>
          </w:p>
        </w:tc>
        <w:tc>
          <w:tcPr>
            <w:tcW w:w="2560" w:type="dxa"/>
            <w:vAlign w:val="bottom"/>
            <w:gridSpan w:val="7"/>
          </w:tcPr>
          <w:p>
            <w:pPr>
              <w:ind w:left="160"/>
              <w:spacing w:after="0" w:line="189" w:lineRule="exact"/>
              <w:rPr>
                <w:sz w:val="20"/>
                <w:szCs w:val="20"/>
                <w:color w:val="auto"/>
              </w:rPr>
            </w:pPr>
            <w:r>
              <w:rPr>
                <w:rFonts w:ascii="Arial" w:cs="Arial" w:eastAsia="Arial" w:hAnsi="Arial"/>
                <w:sz w:val="20"/>
                <w:szCs w:val="20"/>
                <w:color w:val="auto"/>
                <w:w w:val="90"/>
              </w:rPr>
              <w:t>Foreign Corrupt Practices Act</w:t>
            </w:r>
          </w:p>
        </w:tc>
        <w:tc>
          <w:tcPr>
            <w:tcW w:w="780" w:type="dxa"/>
            <w:vAlign w:val="bottom"/>
          </w:tcPr>
          <w:p>
            <w:pPr>
              <w:jc w:val="right"/>
              <w:ind w:right="321"/>
              <w:spacing w:after="0" w:line="189" w:lineRule="exact"/>
              <w:rPr>
                <w:sz w:val="20"/>
                <w:szCs w:val="20"/>
                <w:color w:val="auto"/>
              </w:rPr>
            </w:pPr>
            <w:r>
              <w:rPr>
                <w:rFonts w:ascii="Arial" w:cs="Arial" w:eastAsia="Arial" w:hAnsi="Arial"/>
                <w:sz w:val="20"/>
                <w:szCs w:val="20"/>
                <w:color w:val="auto"/>
              </w:rPr>
              <w:t>52</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0"/>
              </w:rPr>
              <w:t>Section 4.14.</w:t>
            </w:r>
          </w:p>
        </w:tc>
        <w:tc>
          <w:tcPr>
            <w:tcW w:w="1540" w:type="dxa"/>
            <w:vAlign w:val="bottom"/>
            <w:gridSpan w:val="4"/>
          </w:tcPr>
          <w:p>
            <w:pPr>
              <w:ind w:left="160"/>
              <w:spacing w:after="0"/>
              <w:rPr>
                <w:sz w:val="20"/>
                <w:szCs w:val="20"/>
                <w:color w:val="auto"/>
              </w:rPr>
            </w:pPr>
            <w:r>
              <w:rPr>
                <w:rFonts w:ascii="Arial" w:cs="Arial" w:eastAsia="Arial" w:hAnsi="Arial"/>
                <w:sz w:val="20"/>
                <w:szCs w:val="20"/>
                <w:color w:val="auto"/>
                <w:w w:val="97"/>
              </w:rPr>
              <w:t>Sanctions Laws</w:t>
            </w:r>
          </w:p>
        </w:tc>
        <w:tc>
          <w:tcPr>
            <w:tcW w:w="380" w:type="dxa"/>
            <w:vAlign w:val="bottom"/>
          </w:tcPr>
          <w:p>
            <w:pPr>
              <w:jc w:val="right"/>
              <w:ind w:right="21"/>
              <w:spacing w:after="0"/>
              <w:rPr>
                <w:sz w:val="20"/>
                <w:szCs w:val="20"/>
                <w:color w:val="auto"/>
              </w:rPr>
            </w:pPr>
            <w:r>
              <w:rPr>
                <w:rFonts w:ascii="Arial" w:cs="Arial" w:eastAsia="Arial" w:hAnsi="Arial"/>
                <w:sz w:val="20"/>
                <w:szCs w:val="20"/>
                <w:color w:val="auto"/>
              </w:rPr>
              <w:t>52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0"/>
                <w:szCs w:val="20"/>
                <w:color w:val="auto"/>
              </w:rPr>
            </w:pPr>
            <w:r>
              <w:rPr>
                <w:rFonts w:ascii="Arial" w:cs="Arial" w:eastAsia="Arial" w:hAnsi="Arial"/>
                <w:sz w:val="20"/>
                <w:szCs w:val="20"/>
                <w:b w:val="1"/>
                <w:bCs w:val="1"/>
                <w:color w:val="auto"/>
              </w:rPr>
              <w:t>ARTICLE 5.</w:t>
            </w:r>
          </w:p>
        </w:tc>
        <w:tc>
          <w:tcPr>
            <w:tcW w:w="1560" w:type="dxa"/>
            <w:vAlign w:val="bottom"/>
            <w:gridSpan w:val="3"/>
          </w:tcPr>
          <w:p>
            <w:pPr>
              <w:ind w:left="100"/>
              <w:spacing w:after="0"/>
              <w:rPr>
                <w:sz w:val="20"/>
                <w:szCs w:val="20"/>
                <w:color w:val="auto"/>
              </w:rPr>
            </w:pPr>
            <w:r>
              <w:rPr>
                <w:rFonts w:ascii="Arial" w:cs="Arial" w:eastAsia="Arial" w:hAnsi="Arial"/>
                <w:sz w:val="20"/>
                <w:szCs w:val="20"/>
                <w:b w:val="1"/>
                <w:bCs w:val="1"/>
                <w:color w:val="auto"/>
              </w:rPr>
              <w:t>CONDITIONS</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w w:val="80"/>
              </w:rPr>
              <w:t>52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5.1.</w:t>
            </w:r>
          </w:p>
        </w:tc>
        <w:tc>
          <w:tcPr>
            <w:tcW w:w="1300" w:type="dxa"/>
            <w:vAlign w:val="bottom"/>
            <w:gridSpan w:val="3"/>
          </w:tcPr>
          <w:p>
            <w:pPr>
              <w:ind w:left="60"/>
              <w:spacing w:after="0"/>
              <w:rPr>
                <w:sz w:val="20"/>
                <w:szCs w:val="20"/>
                <w:color w:val="auto"/>
              </w:rPr>
            </w:pPr>
            <w:r>
              <w:rPr>
                <w:rFonts w:ascii="Arial" w:cs="Arial" w:eastAsia="Arial" w:hAnsi="Arial"/>
                <w:sz w:val="20"/>
                <w:szCs w:val="20"/>
                <w:color w:val="auto"/>
              </w:rPr>
              <w:t>Effectiveness</w:t>
            </w:r>
          </w:p>
        </w:tc>
        <w:tc>
          <w:tcPr>
            <w:tcW w:w="240" w:type="dxa"/>
            <w:vAlign w:val="bottom"/>
          </w:tcPr>
          <w:p>
            <w:pPr>
              <w:jc w:val="right"/>
              <w:spacing w:after="0"/>
              <w:rPr>
                <w:sz w:val="20"/>
                <w:szCs w:val="20"/>
                <w:color w:val="auto"/>
              </w:rPr>
            </w:pPr>
            <w:r>
              <w:rPr>
                <w:rFonts w:ascii="Arial" w:cs="Arial" w:eastAsia="Arial" w:hAnsi="Arial"/>
                <w:sz w:val="20"/>
                <w:szCs w:val="20"/>
                <w:color w:val="auto"/>
                <w:w w:val="89"/>
              </w:rPr>
              <w:t>52</w:t>
            </w:r>
          </w:p>
        </w:tc>
        <w:tc>
          <w:tcPr>
            <w:tcW w:w="380" w:type="dxa"/>
            <w:vAlign w:val="bottom"/>
            <w:vMerge w:val="restart"/>
          </w:tcPr>
          <w:p>
            <w:pPr>
              <w:jc w:val="right"/>
              <w:spacing w:after="0"/>
              <w:rPr>
                <w:sz w:val="20"/>
                <w:szCs w:val="20"/>
                <w:color w:val="auto"/>
              </w:rPr>
            </w:pPr>
            <w:r>
              <w:rPr>
                <w:rFonts w:ascii="Arial" w:cs="Arial" w:eastAsia="Arial" w:hAnsi="Arial"/>
                <w:sz w:val="20"/>
                <w:szCs w:val="20"/>
                <w:color w:val="auto"/>
              </w:rPr>
              <w:t>54</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5.2.</w:t>
            </w:r>
          </w:p>
        </w:tc>
        <w:tc>
          <w:tcPr>
            <w:tcW w:w="1540" w:type="dxa"/>
            <w:vAlign w:val="bottom"/>
            <w:gridSpan w:val="4"/>
          </w:tcPr>
          <w:p>
            <w:pPr>
              <w:ind w:left="60"/>
              <w:spacing w:after="0"/>
              <w:rPr>
                <w:sz w:val="20"/>
                <w:szCs w:val="20"/>
                <w:color w:val="auto"/>
              </w:rPr>
            </w:pPr>
            <w:r>
              <w:rPr>
                <w:rFonts w:ascii="Arial" w:cs="Arial" w:eastAsia="Arial" w:hAnsi="Arial"/>
                <w:sz w:val="20"/>
                <w:szCs w:val="20"/>
                <w:color w:val="auto"/>
                <w:w w:val="90"/>
              </w:rPr>
              <w:t>Each Credit Event</w:t>
            </w:r>
          </w:p>
        </w:tc>
        <w:tc>
          <w:tcPr>
            <w:tcW w:w="3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200" w:type="dxa"/>
            <w:vAlign w:val="bottom"/>
          </w:tcPr>
          <w:p>
            <w:pPr>
              <w:spacing w:after="0"/>
              <w:rPr>
                <w:sz w:val="20"/>
                <w:szCs w:val="20"/>
                <w:color w:val="auto"/>
              </w:rPr>
            </w:pPr>
            <w:r>
              <w:rPr>
                <w:rFonts w:ascii="Arial" w:cs="Arial" w:eastAsia="Arial" w:hAnsi="Arial"/>
                <w:sz w:val="20"/>
                <w:szCs w:val="20"/>
                <w:b w:val="1"/>
                <w:bCs w:val="1"/>
                <w:color w:val="auto"/>
              </w:rPr>
              <w:t>ARTICLE 6.</w:t>
            </w:r>
          </w:p>
        </w:tc>
        <w:tc>
          <w:tcPr>
            <w:tcW w:w="2780" w:type="dxa"/>
            <w:vAlign w:val="bottom"/>
            <w:gridSpan w:val="7"/>
          </w:tcPr>
          <w:p>
            <w:pPr>
              <w:ind w:left="80"/>
              <w:spacing w:after="0"/>
              <w:rPr>
                <w:sz w:val="20"/>
                <w:szCs w:val="20"/>
                <w:color w:val="auto"/>
              </w:rPr>
            </w:pPr>
            <w:r>
              <w:rPr>
                <w:rFonts w:ascii="Arial" w:cs="Arial" w:eastAsia="Arial" w:hAnsi="Arial"/>
                <w:sz w:val="20"/>
                <w:szCs w:val="20"/>
                <w:b w:val="1"/>
                <w:bCs w:val="1"/>
                <w:color w:val="auto"/>
              </w:rPr>
              <w:t>AFFIRMATIVE COVENANTS</w:t>
            </w:r>
          </w:p>
        </w:tc>
        <w:tc>
          <w:tcPr>
            <w:tcW w:w="1100" w:type="dxa"/>
            <w:vAlign w:val="bottom"/>
            <w:gridSpan w:val="2"/>
          </w:tcPr>
          <w:p>
            <w:pPr>
              <w:jc w:val="right"/>
              <w:ind w:right="601"/>
              <w:spacing w:after="0"/>
              <w:rPr>
                <w:sz w:val="20"/>
                <w:szCs w:val="20"/>
                <w:color w:val="auto"/>
              </w:rPr>
            </w:pPr>
            <w:r>
              <w:rPr>
                <w:rFonts w:ascii="Arial" w:cs="Arial" w:eastAsia="Arial" w:hAnsi="Arial"/>
                <w:sz w:val="20"/>
                <w:szCs w:val="20"/>
                <w:b w:val="1"/>
                <w:bCs w:val="1"/>
                <w:color w:val="auto"/>
              </w:rPr>
              <w:t>54</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 xml:space="preserve">(i)  </w:t>
      </w:r>
      <w:r>
        <w:rPr>
          <w:rFonts w:ascii="Arial" w:cs="Arial" w:eastAsia="Arial" w:hAnsi="Arial"/>
          <w:sz w:val="14"/>
          <w:szCs w:val="14"/>
          <w:color w:val="auto"/>
        </w:rPr>
        <w:t>ALLETE CREDIT AGREEMENT</w:t>
      </w:r>
    </w:p>
    <w:p>
      <w:pPr>
        <w:sectPr>
          <w:pgSz w:w="11900" w:h="16838" w:orient="portrait"/>
          <w:cols w:equalWidth="0" w:num="1">
            <w:col w:w="11240"/>
          </w:cols>
          <w:pgMar w:left="320" w:top="460" w:right="3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6.1.</w:t>
            </w:r>
          </w:p>
        </w:tc>
        <w:tc>
          <w:tcPr>
            <w:tcW w:w="60" w:type="dxa"/>
            <w:vAlign w:val="bottom"/>
          </w:tcPr>
          <w:p>
            <w:pPr>
              <w:spacing w:after="0"/>
              <w:rPr>
                <w:sz w:val="19"/>
                <w:szCs w:val="19"/>
                <w:color w:val="auto"/>
              </w:rPr>
            </w:pPr>
          </w:p>
        </w:tc>
        <w:tc>
          <w:tcPr>
            <w:tcW w:w="4480" w:type="dxa"/>
            <w:vAlign w:val="bottom"/>
            <w:gridSpan w:val="12"/>
          </w:tcPr>
          <w:p>
            <w:pPr>
              <w:spacing w:after="0"/>
              <w:rPr>
                <w:sz w:val="20"/>
                <w:szCs w:val="20"/>
                <w:color w:val="auto"/>
              </w:rPr>
            </w:pPr>
            <w:r>
              <w:rPr>
                <w:rFonts w:ascii="Arial" w:cs="Arial" w:eastAsia="Arial" w:hAnsi="Arial"/>
                <w:sz w:val="20"/>
                <w:szCs w:val="20"/>
                <w:color w:val="auto"/>
              </w:rPr>
              <w:t>Financial Statements and Other Information  54</w:t>
            </w: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6.2.</w:t>
            </w:r>
          </w:p>
        </w:tc>
        <w:tc>
          <w:tcPr>
            <w:tcW w:w="60" w:type="dxa"/>
            <w:vAlign w:val="bottom"/>
          </w:tcPr>
          <w:p>
            <w:pPr>
              <w:spacing w:after="0"/>
              <w:rPr>
                <w:sz w:val="16"/>
                <w:szCs w:val="16"/>
                <w:color w:val="auto"/>
              </w:rPr>
            </w:pPr>
          </w:p>
        </w:tc>
        <w:tc>
          <w:tcPr>
            <w:tcW w:w="2200" w:type="dxa"/>
            <w:vAlign w:val="bottom"/>
            <w:gridSpan w:val="7"/>
          </w:tcPr>
          <w:p>
            <w:pPr>
              <w:spacing w:after="0" w:line="189" w:lineRule="exact"/>
              <w:rPr>
                <w:sz w:val="20"/>
                <w:szCs w:val="20"/>
                <w:color w:val="auto"/>
              </w:rPr>
            </w:pPr>
            <w:r>
              <w:rPr>
                <w:rFonts w:ascii="Arial" w:cs="Arial" w:eastAsia="Arial" w:hAnsi="Arial"/>
                <w:sz w:val="20"/>
                <w:szCs w:val="20"/>
                <w:color w:val="auto"/>
                <w:w w:val="93"/>
              </w:rPr>
              <w:t>Notices of Material Events</w:t>
            </w:r>
          </w:p>
        </w:tc>
        <w:tc>
          <w:tcPr>
            <w:tcW w:w="420" w:type="dxa"/>
            <w:vAlign w:val="bottom"/>
            <w:gridSpan w:val="2"/>
          </w:tcPr>
          <w:p>
            <w:pPr>
              <w:jc w:val="right"/>
              <w:ind w:right="1"/>
              <w:spacing w:after="0" w:line="189" w:lineRule="exact"/>
              <w:rPr>
                <w:sz w:val="20"/>
                <w:szCs w:val="20"/>
                <w:color w:val="auto"/>
              </w:rPr>
            </w:pPr>
            <w:r>
              <w:rPr>
                <w:rFonts w:ascii="Arial" w:cs="Arial" w:eastAsia="Arial" w:hAnsi="Arial"/>
                <w:sz w:val="20"/>
                <w:szCs w:val="20"/>
                <w:color w:val="auto"/>
              </w:rPr>
              <w:t>55</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6.3.</w:t>
            </w:r>
          </w:p>
        </w:tc>
        <w:tc>
          <w:tcPr>
            <w:tcW w:w="60" w:type="dxa"/>
            <w:vAlign w:val="bottom"/>
          </w:tcPr>
          <w:p>
            <w:pPr>
              <w:spacing w:after="0"/>
              <w:rPr>
                <w:sz w:val="16"/>
                <w:szCs w:val="16"/>
                <w:color w:val="auto"/>
              </w:rPr>
            </w:pPr>
          </w:p>
        </w:tc>
        <w:tc>
          <w:tcPr>
            <w:tcW w:w="1460" w:type="dxa"/>
            <w:vAlign w:val="bottom"/>
            <w:gridSpan w:val="4"/>
          </w:tcPr>
          <w:p>
            <w:pPr>
              <w:spacing w:after="0" w:line="189" w:lineRule="exact"/>
              <w:rPr>
                <w:sz w:val="20"/>
                <w:szCs w:val="20"/>
                <w:color w:val="auto"/>
              </w:rPr>
            </w:pPr>
            <w:r>
              <w:rPr>
                <w:rFonts w:ascii="Arial" w:cs="Arial" w:eastAsia="Arial" w:hAnsi="Arial"/>
                <w:sz w:val="20"/>
                <w:szCs w:val="20"/>
                <w:color w:val="auto"/>
              </w:rPr>
              <w:t>Legal Existence</w:t>
            </w:r>
          </w:p>
        </w:tc>
        <w:tc>
          <w:tcPr>
            <w:tcW w:w="280" w:type="dxa"/>
            <w:vAlign w:val="bottom"/>
          </w:tcPr>
          <w:p>
            <w:pPr>
              <w:jc w:val="right"/>
              <w:spacing w:after="0" w:line="189" w:lineRule="exact"/>
              <w:rPr>
                <w:sz w:val="20"/>
                <w:szCs w:val="20"/>
                <w:color w:val="auto"/>
              </w:rPr>
            </w:pPr>
            <w:r>
              <w:rPr>
                <w:rFonts w:ascii="Arial" w:cs="Arial" w:eastAsia="Arial" w:hAnsi="Arial"/>
                <w:sz w:val="20"/>
                <w:szCs w:val="20"/>
                <w:color w:val="auto"/>
                <w:w w:val="80"/>
              </w:rPr>
              <w:t>56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6.4.</w:t>
            </w:r>
          </w:p>
        </w:tc>
        <w:tc>
          <w:tcPr>
            <w:tcW w:w="600" w:type="dxa"/>
            <w:vAlign w:val="bottom"/>
            <w:gridSpan w:val="2"/>
          </w:tcPr>
          <w:p>
            <w:pPr>
              <w:ind w:left="60"/>
              <w:spacing w:after="0" w:line="189" w:lineRule="exact"/>
              <w:rPr>
                <w:sz w:val="20"/>
                <w:szCs w:val="20"/>
                <w:color w:val="auto"/>
              </w:rPr>
            </w:pPr>
            <w:r>
              <w:rPr>
                <w:rFonts w:ascii="Arial" w:cs="Arial" w:eastAsia="Arial" w:hAnsi="Arial"/>
                <w:sz w:val="20"/>
                <w:szCs w:val="20"/>
                <w:color w:val="auto"/>
                <w:w w:val="95"/>
              </w:rPr>
              <w:t>Taxes</w:t>
            </w:r>
          </w:p>
        </w:tc>
        <w:tc>
          <w:tcPr>
            <w:tcW w:w="320" w:type="dxa"/>
            <w:vAlign w:val="bottom"/>
          </w:tcPr>
          <w:p>
            <w:pPr>
              <w:jc w:val="right"/>
              <w:spacing w:after="0" w:line="189" w:lineRule="exact"/>
              <w:rPr>
                <w:sz w:val="20"/>
                <w:szCs w:val="20"/>
                <w:color w:val="auto"/>
              </w:rPr>
            </w:pPr>
            <w:r>
              <w:rPr>
                <w:rFonts w:ascii="Arial" w:cs="Arial" w:eastAsia="Arial" w:hAnsi="Arial"/>
                <w:sz w:val="20"/>
                <w:szCs w:val="20"/>
                <w:color w:val="auto"/>
              </w:rPr>
              <w:t>57</w:t>
            </w:r>
          </w:p>
        </w:tc>
        <w:tc>
          <w:tcPr>
            <w:tcW w:w="600" w:type="dxa"/>
            <w:vAlign w:val="bottom"/>
            <w:gridSpan w:val="2"/>
            <w:vMerge w:val="restart"/>
          </w:tcPr>
          <w:p>
            <w:pPr>
              <w:jc w:val="right"/>
              <w:ind w:right="201"/>
              <w:spacing w:after="0"/>
              <w:rPr>
                <w:sz w:val="20"/>
                <w:szCs w:val="20"/>
                <w:color w:val="auto"/>
              </w:rPr>
            </w:pPr>
            <w:r>
              <w:rPr>
                <w:rFonts w:ascii="Arial" w:cs="Arial" w:eastAsia="Arial" w:hAnsi="Arial"/>
                <w:sz w:val="20"/>
                <w:szCs w:val="20"/>
                <w:color w:val="auto"/>
              </w:rPr>
              <w:t>57</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6.5.</w:t>
            </w:r>
          </w:p>
        </w:tc>
        <w:tc>
          <w:tcPr>
            <w:tcW w:w="60" w:type="dxa"/>
            <w:vAlign w:val="bottom"/>
          </w:tcPr>
          <w:p>
            <w:pPr>
              <w:spacing w:after="0"/>
              <w:rPr>
                <w:sz w:val="16"/>
                <w:szCs w:val="16"/>
                <w:color w:val="auto"/>
              </w:rPr>
            </w:pPr>
          </w:p>
        </w:tc>
        <w:tc>
          <w:tcPr>
            <w:tcW w:w="860" w:type="dxa"/>
            <w:vAlign w:val="bottom"/>
            <w:gridSpan w:val="2"/>
          </w:tcPr>
          <w:p>
            <w:pPr>
              <w:spacing w:after="0" w:line="189" w:lineRule="exact"/>
              <w:rPr>
                <w:sz w:val="20"/>
                <w:szCs w:val="20"/>
                <w:color w:val="auto"/>
              </w:rPr>
            </w:pPr>
            <w:r>
              <w:rPr>
                <w:rFonts w:ascii="Arial" w:cs="Arial" w:eastAsia="Arial" w:hAnsi="Arial"/>
                <w:sz w:val="20"/>
                <w:szCs w:val="20"/>
                <w:color w:val="auto"/>
                <w:w w:val="95"/>
              </w:rPr>
              <w:t>Insurance</w:t>
            </w:r>
          </w:p>
        </w:tc>
        <w:tc>
          <w:tcPr>
            <w:tcW w:w="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w w:val="80"/>
              </w:rPr>
              <w:t>57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6.6.</w:t>
            </w:r>
          </w:p>
        </w:tc>
        <w:tc>
          <w:tcPr>
            <w:tcW w:w="60" w:type="dxa"/>
            <w:vAlign w:val="bottom"/>
          </w:tcPr>
          <w:p>
            <w:pPr>
              <w:spacing w:after="0"/>
              <w:rPr>
                <w:sz w:val="16"/>
                <w:szCs w:val="16"/>
                <w:color w:val="auto"/>
              </w:rPr>
            </w:pPr>
          </w:p>
        </w:tc>
        <w:tc>
          <w:tcPr>
            <w:tcW w:w="1740" w:type="dxa"/>
            <w:vAlign w:val="bottom"/>
            <w:gridSpan w:val="5"/>
          </w:tcPr>
          <w:p>
            <w:pPr>
              <w:spacing w:after="0" w:line="189" w:lineRule="exact"/>
              <w:rPr>
                <w:sz w:val="20"/>
                <w:szCs w:val="20"/>
                <w:color w:val="auto"/>
              </w:rPr>
            </w:pPr>
            <w:r>
              <w:rPr>
                <w:rFonts w:ascii="Arial" w:cs="Arial" w:eastAsia="Arial" w:hAnsi="Arial"/>
                <w:sz w:val="20"/>
                <w:szCs w:val="20"/>
                <w:color w:val="auto"/>
                <w:w w:val="91"/>
              </w:rPr>
              <w:t>Condition of Property</w:t>
            </w: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color w:val="auto"/>
                <w:w w:val="89"/>
              </w:rPr>
              <w:t>57</w:t>
            </w: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6.7.</w:t>
            </w:r>
          </w:p>
        </w:tc>
        <w:tc>
          <w:tcPr>
            <w:tcW w:w="60" w:type="dxa"/>
            <w:vAlign w:val="bottom"/>
          </w:tcPr>
          <w:p>
            <w:pPr>
              <w:spacing w:after="0"/>
              <w:rPr>
                <w:sz w:val="16"/>
                <w:szCs w:val="16"/>
                <w:color w:val="auto"/>
              </w:rPr>
            </w:pPr>
          </w:p>
        </w:tc>
        <w:tc>
          <w:tcPr>
            <w:tcW w:w="2960" w:type="dxa"/>
            <w:vAlign w:val="bottom"/>
            <w:gridSpan w:val="10"/>
          </w:tcPr>
          <w:p>
            <w:pPr>
              <w:spacing w:after="0" w:line="189" w:lineRule="exact"/>
              <w:rPr>
                <w:sz w:val="20"/>
                <w:szCs w:val="20"/>
                <w:color w:val="auto"/>
              </w:rPr>
            </w:pPr>
            <w:r>
              <w:rPr>
                <w:rFonts w:ascii="Arial" w:cs="Arial" w:eastAsia="Arial" w:hAnsi="Arial"/>
                <w:sz w:val="20"/>
                <w:szCs w:val="20"/>
                <w:color w:val="auto"/>
                <w:w w:val="93"/>
              </w:rPr>
              <w:t>Observance of Legal Requirements</w:t>
            </w:r>
          </w:p>
        </w:tc>
        <w:tc>
          <w:tcPr>
            <w:tcW w:w="3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vMerge w:val="restart"/>
          </w:tcPr>
          <w:p>
            <w:pPr>
              <w:jc w:val="right"/>
              <w:ind w:right="4441"/>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6.8.</w:t>
            </w:r>
          </w:p>
        </w:tc>
        <w:tc>
          <w:tcPr>
            <w:tcW w:w="60" w:type="dxa"/>
            <w:vAlign w:val="bottom"/>
          </w:tcPr>
          <w:p>
            <w:pPr>
              <w:spacing w:after="0"/>
              <w:rPr>
                <w:sz w:val="21"/>
                <w:szCs w:val="21"/>
                <w:color w:val="auto"/>
              </w:rPr>
            </w:pPr>
          </w:p>
        </w:tc>
        <w:tc>
          <w:tcPr>
            <w:tcW w:w="4480" w:type="dxa"/>
            <w:vAlign w:val="bottom"/>
            <w:gridSpan w:val="12"/>
          </w:tcPr>
          <w:p>
            <w:pPr>
              <w:spacing w:after="0"/>
              <w:rPr>
                <w:sz w:val="20"/>
                <w:szCs w:val="20"/>
                <w:color w:val="auto"/>
              </w:rPr>
            </w:pPr>
            <w:r>
              <w:rPr>
                <w:rFonts w:ascii="Arial" w:cs="Arial" w:eastAsia="Arial" w:hAnsi="Arial"/>
                <w:sz w:val="20"/>
                <w:szCs w:val="20"/>
                <w:color w:val="auto"/>
                <w:w w:val="89"/>
              </w:rPr>
              <w:t>Inspection of Property; Books and Records; Discussions</w:t>
            </w:r>
          </w:p>
        </w:tc>
        <w:tc>
          <w:tcPr>
            <w:tcW w:w="4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240" w:type="dxa"/>
            <w:vAlign w:val="bottom"/>
          </w:tcPr>
          <w:p>
            <w:pPr>
              <w:spacing w:after="0"/>
              <w:rPr>
                <w:sz w:val="20"/>
                <w:szCs w:val="20"/>
                <w:color w:val="auto"/>
              </w:rPr>
            </w:pPr>
            <w:r>
              <w:rPr>
                <w:rFonts w:ascii="Arial" w:cs="Arial" w:eastAsia="Arial" w:hAnsi="Arial"/>
                <w:sz w:val="20"/>
                <w:szCs w:val="20"/>
                <w:b w:val="1"/>
                <w:bCs w:val="1"/>
                <w:color w:val="auto"/>
              </w:rPr>
              <w:t>ARTICLE 7.</w:t>
            </w:r>
          </w:p>
        </w:tc>
        <w:tc>
          <w:tcPr>
            <w:tcW w:w="2480" w:type="dxa"/>
            <w:vAlign w:val="bottom"/>
            <w:gridSpan w:val="8"/>
          </w:tcPr>
          <w:p>
            <w:pPr>
              <w:jc w:val="right"/>
              <w:spacing w:after="0"/>
              <w:rPr>
                <w:sz w:val="20"/>
                <w:szCs w:val="20"/>
                <w:color w:val="auto"/>
              </w:rPr>
            </w:pPr>
            <w:r>
              <w:rPr>
                <w:rFonts w:ascii="Arial" w:cs="Arial" w:eastAsia="Arial" w:hAnsi="Arial"/>
                <w:sz w:val="20"/>
                <w:szCs w:val="20"/>
                <w:b w:val="1"/>
                <w:bCs w:val="1"/>
                <w:color w:val="auto"/>
              </w:rPr>
              <w:t>NEGATIVE COVENANTS</w:t>
            </w:r>
          </w:p>
        </w:tc>
        <w:tc>
          <w:tcPr>
            <w:tcW w:w="480" w:type="dxa"/>
            <w:vAlign w:val="bottom"/>
            <w:gridSpan w:val="2"/>
          </w:tcPr>
          <w:p>
            <w:pPr>
              <w:jc w:val="right"/>
              <w:ind w:right="81"/>
              <w:spacing w:after="0"/>
              <w:rPr>
                <w:sz w:val="20"/>
                <w:szCs w:val="20"/>
                <w:color w:val="auto"/>
              </w:rPr>
            </w:pPr>
            <w:r>
              <w:rPr>
                <w:rFonts w:ascii="Arial" w:cs="Arial" w:eastAsia="Arial" w:hAnsi="Arial"/>
                <w:sz w:val="20"/>
                <w:szCs w:val="20"/>
                <w:b w:val="1"/>
                <w:bCs w:val="1"/>
                <w:color w:val="auto"/>
              </w:rPr>
              <w:t>58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7.1.</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20"/>
                <w:szCs w:val="20"/>
                <w:color w:val="auto"/>
              </w:rPr>
              <w:t>Liens</w:t>
            </w:r>
          </w:p>
        </w:tc>
        <w:tc>
          <w:tcPr>
            <w:tcW w:w="320" w:type="dxa"/>
            <w:vAlign w:val="bottom"/>
          </w:tcPr>
          <w:p>
            <w:pPr>
              <w:jc w:val="right"/>
              <w:spacing w:after="0"/>
              <w:rPr>
                <w:sz w:val="20"/>
                <w:szCs w:val="20"/>
                <w:color w:val="auto"/>
              </w:rPr>
            </w:pPr>
            <w:r>
              <w:rPr>
                <w:rFonts w:ascii="Arial" w:cs="Arial" w:eastAsia="Arial" w:hAnsi="Arial"/>
                <w:sz w:val="20"/>
                <w:szCs w:val="20"/>
                <w:color w:val="auto"/>
              </w:rPr>
              <w:t>58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7.2.</w:t>
            </w:r>
          </w:p>
        </w:tc>
        <w:tc>
          <w:tcPr>
            <w:tcW w:w="60" w:type="dxa"/>
            <w:vAlign w:val="bottom"/>
          </w:tcPr>
          <w:p>
            <w:pPr>
              <w:spacing w:after="0"/>
              <w:rPr>
                <w:sz w:val="16"/>
                <w:szCs w:val="16"/>
                <w:color w:val="auto"/>
              </w:rPr>
            </w:pPr>
          </w:p>
        </w:tc>
        <w:tc>
          <w:tcPr>
            <w:tcW w:w="1920" w:type="dxa"/>
            <w:vAlign w:val="bottom"/>
            <w:gridSpan w:val="6"/>
          </w:tcPr>
          <w:p>
            <w:pPr>
              <w:spacing w:after="0" w:line="189" w:lineRule="exact"/>
              <w:rPr>
                <w:sz w:val="20"/>
                <w:szCs w:val="20"/>
                <w:color w:val="auto"/>
              </w:rPr>
            </w:pPr>
            <w:r>
              <w:rPr>
                <w:rFonts w:ascii="Arial" w:cs="Arial" w:eastAsia="Arial" w:hAnsi="Arial"/>
                <w:sz w:val="20"/>
                <w:szCs w:val="20"/>
                <w:color w:val="auto"/>
                <w:w w:val="97"/>
              </w:rPr>
              <w:t>Merger; Consolidation</w:t>
            </w:r>
          </w:p>
        </w:tc>
        <w:tc>
          <w:tcPr>
            <w:tcW w:w="280" w:type="dxa"/>
            <w:vAlign w:val="bottom"/>
            <w:vMerge w:val="continue"/>
          </w:tcPr>
          <w:p>
            <w:pPr>
              <w:spacing w:after="0"/>
              <w:rPr>
                <w:sz w:val="16"/>
                <w:szCs w:val="16"/>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20"/>
                <w:szCs w:val="20"/>
                <w:color w:val="auto"/>
              </w:rPr>
              <w:t>60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gridSpan w:val="10"/>
          </w:tcPr>
          <w:p>
            <w:pPr>
              <w:ind w:left="660"/>
              <w:spacing w:after="0" w:line="189" w:lineRule="exact"/>
              <w:rPr>
                <w:sz w:val="20"/>
                <w:szCs w:val="20"/>
                <w:color w:val="auto"/>
              </w:rPr>
            </w:pPr>
            <w:r>
              <w:rPr>
                <w:rFonts w:ascii="Arial" w:cs="Arial" w:eastAsia="Arial" w:hAnsi="Arial"/>
                <w:sz w:val="20"/>
                <w:szCs w:val="20"/>
                <w:color w:val="auto"/>
                <w:w w:val="93"/>
              </w:rPr>
              <w:t>Section 7.3.  Transactions with Affiliates</w:t>
            </w:r>
          </w:p>
        </w:tc>
        <w:tc>
          <w:tcPr>
            <w:tcW w:w="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7.4.</w:t>
            </w:r>
          </w:p>
        </w:tc>
        <w:tc>
          <w:tcPr>
            <w:tcW w:w="60" w:type="dxa"/>
            <w:vAlign w:val="bottom"/>
          </w:tcPr>
          <w:p>
            <w:pPr>
              <w:spacing w:after="0"/>
              <w:rPr>
                <w:sz w:val="16"/>
                <w:szCs w:val="16"/>
                <w:color w:val="auto"/>
              </w:rPr>
            </w:pPr>
          </w:p>
        </w:tc>
        <w:tc>
          <w:tcPr>
            <w:tcW w:w="2400" w:type="dxa"/>
            <w:vAlign w:val="bottom"/>
            <w:gridSpan w:val="8"/>
          </w:tcPr>
          <w:p>
            <w:pPr>
              <w:spacing w:after="0" w:line="189" w:lineRule="exact"/>
              <w:rPr>
                <w:sz w:val="20"/>
                <w:szCs w:val="20"/>
                <w:color w:val="auto"/>
              </w:rPr>
            </w:pPr>
            <w:r>
              <w:rPr>
                <w:rFonts w:ascii="Arial" w:cs="Arial" w:eastAsia="Arial" w:hAnsi="Arial"/>
                <w:sz w:val="20"/>
                <w:szCs w:val="20"/>
                <w:color w:val="auto"/>
                <w:w w:val="90"/>
              </w:rPr>
              <w:t>Permitted Hedge Agreements</w:t>
            </w:r>
          </w:p>
        </w:tc>
        <w:tc>
          <w:tcPr>
            <w:tcW w:w="560" w:type="dxa"/>
            <w:vAlign w:val="bottom"/>
            <w:gridSpan w:val="2"/>
          </w:tcPr>
          <w:p>
            <w:pPr>
              <w:jc w:val="right"/>
              <w:ind w:right="121"/>
              <w:spacing w:after="0" w:line="189" w:lineRule="exact"/>
              <w:rPr>
                <w:sz w:val="20"/>
                <w:szCs w:val="20"/>
                <w:color w:val="auto"/>
              </w:rPr>
            </w:pPr>
            <w:r>
              <w:rPr>
                <w:rFonts w:ascii="Arial" w:cs="Arial" w:eastAsia="Arial" w:hAnsi="Arial"/>
                <w:sz w:val="20"/>
                <w:szCs w:val="20"/>
                <w:color w:val="auto"/>
              </w:rPr>
              <w:t>60</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7.5.</w:t>
            </w:r>
          </w:p>
        </w:tc>
        <w:tc>
          <w:tcPr>
            <w:tcW w:w="60" w:type="dxa"/>
            <w:vAlign w:val="bottom"/>
          </w:tcPr>
          <w:p>
            <w:pPr>
              <w:spacing w:after="0"/>
              <w:rPr>
                <w:sz w:val="16"/>
                <w:szCs w:val="16"/>
                <w:color w:val="auto"/>
              </w:rPr>
            </w:pPr>
          </w:p>
        </w:tc>
        <w:tc>
          <w:tcPr>
            <w:tcW w:w="1740" w:type="dxa"/>
            <w:vAlign w:val="bottom"/>
            <w:gridSpan w:val="5"/>
          </w:tcPr>
          <w:p>
            <w:pPr>
              <w:spacing w:after="0" w:line="189" w:lineRule="exact"/>
              <w:rPr>
                <w:sz w:val="20"/>
                <w:szCs w:val="20"/>
                <w:color w:val="auto"/>
              </w:rPr>
            </w:pPr>
            <w:r>
              <w:rPr>
                <w:rFonts w:ascii="Arial" w:cs="Arial" w:eastAsia="Arial" w:hAnsi="Arial"/>
                <w:sz w:val="20"/>
                <w:szCs w:val="20"/>
                <w:color w:val="auto"/>
              </w:rPr>
              <w:t>Financial Covenant</w:t>
            </w:r>
          </w:p>
        </w:tc>
        <w:tc>
          <w:tcPr>
            <w:tcW w:w="460" w:type="dxa"/>
            <w:vAlign w:val="bottom"/>
            <w:gridSpan w:val="2"/>
          </w:tcPr>
          <w:p>
            <w:pPr>
              <w:jc w:val="right"/>
              <w:ind w:right="161"/>
              <w:spacing w:after="0" w:line="189" w:lineRule="exact"/>
              <w:rPr>
                <w:sz w:val="20"/>
                <w:szCs w:val="20"/>
                <w:color w:val="auto"/>
              </w:rPr>
            </w:pPr>
            <w:r>
              <w:rPr>
                <w:rFonts w:ascii="Arial" w:cs="Arial" w:eastAsia="Arial" w:hAnsi="Arial"/>
                <w:sz w:val="20"/>
                <w:szCs w:val="20"/>
                <w:color w:val="auto"/>
                <w:w w:val="80"/>
              </w:rPr>
              <w:t>61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7.6.</w:t>
            </w:r>
          </w:p>
        </w:tc>
        <w:tc>
          <w:tcPr>
            <w:tcW w:w="9460" w:type="dxa"/>
            <w:vAlign w:val="bottom"/>
            <w:gridSpan w:val="14"/>
          </w:tcPr>
          <w:p>
            <w:pPr>
              <w:ind w:left="40"/>
              <w:spacing w:after="0" w:line="189" w:lineRule="exact"/>
              <w:rPr>
                <w:sz w:val="20"/>
                <w:szCs w:val="20"/>
                <w:color w:val="auto"/>
              </w:rPr>
            </w:pPr>
            <w:r>
              <w:rPr>
                <w:rFonts w:ascii="Arial" w:cs="Arial" w:eastAsia="Arial" w:hAnsi="Arial"/>
                <w:sz w:val="20"/>
                <w:szCs w:val="20"/>
                <w:color w:val="auto"/>
                <w:w w:val="91"/>
              </w:rPr>
              <w:t>Anti-Money Laundering and Anti-Terrorism Finance Laws; Foreign Corrupt Practices Act; Sanctions Laws; Restricted</w:t>
            </w:r>
          </w:p>
        </w:tc>
        <w:tc>
          <w:tcPr>
            <w:tcW w:w="0" w:type="dxa"/>
            <w:vAlign w:val="bottom"/>
          </w:tcPr>
          <w:p>
            <w:pPr>
              <w:spacing w:after="0"/>
              <w:rPr>
                <w:sz w:val="1"/>
                <w:szCs w:val="1"/>
                <w:color w:val="auto"/>
              </w:rPr>
            </w:pPr>
          </w:p>
        </w:tc>
      </w:tr>
      <w:tr>
        <w:trPr>
          <w:trHeight w:val="250"/>
        </w:trPr>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tcPr>
          <w:p>
            <w:pPr>
              <w:ind w:left="280"/>
              <w:spacing w:after="0"/>
              <w:rPr>
                <w:sz w:val="20"/>
                <w:szCs w:val="20"/>
                <w:color w:val="auto"/>
              </w:rPr>
            </w:pPr>
            <w:r>
              <w:rPr>
                <w:rFonts w:ascii="Arial" w:cs="Arial" w:eastAsia="Arial" w:hAnsi="Arial"/>
                <w:sz w:val="20"/>
                <w:szCs w:val="20"/>
                <w:color w:val="auto"/>
                <w:w w:val="88"/>
              </w:rPr>
              <w:t>Person</w:t>
            </w:r>
          </w:p>
        </w:tc>
        <w:tc>
          <w:tcPr>
            <w:tcW w:w="600" w:type="dxa"/>
            <w:vAlign w:val="bottom"/>
            <w:gridSpan w:val="2"/>
          </w:tcPr>
          <w:p>
            <w:pPr>
              <w:jc w:val="right"/>
              <w:ind w:right="141"/>
              <w:spacing w:after="0"/>
              <w:rPr>
                <w:sz w:val="20"/>
                <w:szCs w:val="20"/>
                <w:color w:val="auto"/>
              </w:rPr>
            </w:pPr>
            <w:r>
              <w:rPr>
                <w:rFonts w:ascii="Arial" w:cs="Arial" w:eastAsia="Arial" w:hAnsi="Arial"/>
                <w:sz w:val="20"/>
                <w:szCs w:val="20"/>
                <w:color w:val="auto"/>
              </w:rPr>
              <w:t>61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540" w:type="dxa"/>
            <w:vAlign w:val="bottom"/>
            <w:gridSpan w:val="8"/>
          </w:tcPr>
          <w:p>
            <w:pPr>
              <w:spacing w:after="0"/>
              <w:rPr>
                <w:sz w:val="20"/>
                <w:szCs w:val="20"/>
                <w:color w:val="auto"/>
              </w:rPr>
            </w:pPr>
            <w:r>
              <w:rPr>
                <w:rFonts w:ascii="Arial" w:cs="Arial" w:eastAsia="Arial" w:hAnsi="Arial"/>
                <w:sz w:val="20"/>
                <w:szCs w:val="20"/>
                <w:b w:val="1"/>
                <w:bCs w:val="1"/>
                <w:color w:val="auto"/>
              </w:rPr>
              <w:t>ARTICLE 8.  EVENTS OF DEFAULT</w:t>
            </w:r>
          </w:p>
        </w:tc>
        <w:tc>
          <w:tcPr>
            <w:tcW w:w="460" w:type="dxa"/>
            <w:vAlign w:val="bottom"/>
            <w:gridSpan w:val="2"/>
          </w:tcPr>
          <w:p>
            <w:pPr>
              <w:jc w:val="right"/>
              <w:ind w:right="141"/>
              <w:spacing w:after="0"/>
              <w:rPr>
                <w:sz w:val="20"/>
                <w:szCs w:val="20"/>
                <w:color w:val="auto"/>
              </w:rPr>
            </w:pPr>
            <w:r>
              <w:rPr>
                <w:rFonts w:ascii="Arial" w:cs="Arial" w:eastAsia="Arial" w:hAnsi="Arial"/>
                <w:sz w:val="20"/>
                <w:szCs w:val="20"/>
                <w:b w:val="1"/>
                <w:bCs w:val="1"/>
                <w:color w:val="auto"/>
                <w:w w:val="89"/>
              </w:rPr>
              <w:t>61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20" w:type="dxa"/>
            <w:vAlign w:val="bottom"/>
            <w:gridSpan w:val="12"/>
          </w:tcPr>
          <w:p>
            <w:pPr>
              <w:spacing w:after="0"/>
              <w:rPr>
                <w:sz w:val="20"/>
                <w:szCs w:val="20"/>
                <w:color w:val="auto"/>
              </w:rPr>
            </w:pPr>
            <w:r>
              <w:rPr>
                <w:rFonts w:ascii="Arial" w:cs="Arial" w:eastAsia="Arial" w:hAnsi="Arial"/>
                <w:sz w:val="20"/>
                <w:szCs w:val="20"/>
                <w:b w:val="1"/>
                <w:bCs w:val="1"/>
                <w:color w:val="auto"/>
              </w:rPr>
              <w:t>ARTICLE 9.  THE ADMINISTRATIVE AGENT</w:t>
            </w:r>
          </w:p>
        </w:tc>
        <w:tc>
          <w:tcPr>
            <w:tcW w:w="340" w:type="dxa"/>
            <w:vAlign w:val="bottom"/>
          </w:tcPr>
          <w:p>
            <w:pPr>
              <w:jc w:val="right"/>
              <w:spacing w:after="0"/>
              <w:rPr>
                <w:sz w:val="20"/>
                <w:szCs w:val="20"/>
                <w:color w:val="auto"/>
              </w:rPr>
            </w:pPr>
            <w:r>
              <w:rPr>
                <w:rFonts w:ascii="Arial" w:cs="Arial" w:eastAsia="Arial" w:hAnsi="Arial"/>
                <w:sz w:val="20"/>
                <w:szCs w:val="20"/>
                <w:b w:val="1"/>
                <w:bCs w:val="1"/>
                <w:color w:val="auto"/>
              </w:rPr>
              <w:t>63</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00" w:type="dxa"/>
            <w:vAlign w:val="bottom"/>
            <w:gridSpan w:val="10"/>
          </w:tcPr>
          <w:p>
            <w:pPr>
              <w:ind w:left="660"/>
              <w:spacing w:after="0"/>
              <w:rPr>
                <w:sz w:val="20"/>
                <w:szCs w:val="20"/>
                <w:color w:val="auto"/>
              </w:rPr>
            </w:pPr>
            <w:r>
              <w:rPr>
                <w:rFonts w:ascii="Arial" w:cs="Arial" w:eastAsia="Arial" w:hAnsi="Arial"/>
                <w:sz w:val="20"/>
                <w:szCs w:val="20"/>
                <w:color w:val="auto"/>
                <w:w w:val="99"/>
              </w:rPr>
              <w:t>Section 9.1.  Authorization and Action</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63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20" w:type="dxa"/>
            <w:vAlign w:val="bottom"/>
            <w:vMerge w:val="restart"/>
          </w:tcPr>
          <w:p>
            <w:pPr>
              <w:jc w:val="right"/>
              <w:ind w:right="4601"/>
              <w:spacing w:after="0"/>
              <w:rPr>
                <w:sz w:val="20"/>
                <w:szCs w:val="20"/>
                <w:color w:val="auto"/>
              </w:rPr>
            </w:pPr>
            <w:r>
              <w:rPr>
                <w:rFonts w:ascii="Arial" w:cs="Arial" w:eastAsia="Arial" w:hAnsi="Arial"/>
                <w:sz w:val="20"/>
                <w:szCs w:val="20"/>
                <w:color w:val="auto"/>
                <w:w w:val="89"/>
              </w:rPr>
              <w:t>66</w:t>
            </w:r>
          </w:p>
        </w:tc>
        <w:tc>
          <w:tcPr>
            <w:tcW w:w="0" w:type="dxa"/>
            <w:vAlign w:val="bottom"/>
          </w:tcPr>
          <w:p>
            <w:pPr>
              <w:spacing w:after="0"/>
              <w:rPr>
                <w:sz w:val="1"/>
                <w:szCs w:val="1"/>
                <w:color w:val="auto"/>
              </w:rPr>
            </w:pPr>
          </w:p>
        </w:tc>
      </w:tr>
      <w:tr>
        <w:trPr>
          <w:trHeight w:val="189"/>
        </w:trPr>
        <w:tc>
          <w:tcPr>
            <w:tcW w:w="6280" w:type="dxa"/>
            <w:vAlign w:val="bottom"/>
            <w:gridSpan w:val="15"/>
          </w:tcPr>
          <w:p>
            <w:pPr>
              <w:ind w:left="660"/>
              <w:spacing w:after="0" w:line="189" w:lineRule="exact"/>
              <w:rPr>
                <w:sz w:val="20"/>
                <w:szCs w:val="20"/>
                <w:color w:val="auto"/>
              </w:rPr>
            </w:pPr>
            <w:r>
              <w:rPr>
                <w:rFonts w:ascii="Arial" w:cs="Arial" w:eastAsia="Arial" w:hAnsi="Arial"/>
                <w:sz w:val="20"/>
                <w:szCs w:val="20"/>
                <w:color w:val="auto"/>
                <w:w w:val="95"/>
              </w:rPr>
              <w:t>Section 9.2.  Administrative Agent’s Reliance, Indemnification, Etc</w:t>
            </w:r>
          </w:p>
        </w:tc>
        <w:tc>
          <w:tcPr>
            <w:tcW w:w="4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9.3.</w:t>
            </w:r>
          </w:p>
        </w:tc>
        <w:tc>
          <w:tcPr>
            <w:tcW w:w="60" w:type="dxa"/>
            <w:vAlign w:val="bottom"/>
          </w:tcPr>
          <w:p>
            <w:pPr>
              <w:spacing w:after="0"/>
              <w:rPr>
                <w:sz w:val="16"/>
                <w:szCs w:val="16"/>
                <w:color w:val="auto"/>
              </w:rPr>
            </w:pPr>
          </w:p>
        </w:tc>
        <w:tc>
          <w:tcPr>
            <w:tcW w:w="2400" w:type="dxa"/>
            <w:vAlign w:val="bottom"/>
            <w:gridSpan w:val="8"/>
          </w:tcPr>
          <w:p>
            <w:pPr>
              <w:spacing w:after="0" w:line="189" w:lineRule="exact"/>
              <w:rPr>
                <w:sz w:val="20"/>
                <w:szCs w:val="20"/>
                <w:color w:val="auto"/>
              </w:rPr>
            </w:pPr>
            <w:r>
              <w:rPr>
                <w:rFonts w:ascii="Arial" w:cs="Arial" w:eastAsia="Arial" w:hAnsi="Arial"/>
                <w:sz w:val="20"/>
                <w:szCs w:val="20"/>
                <w:color w:val="auto"/>
                <w:w w:val="97"/>
              </w:rPr>
              <w:t>Posting of Communications</w:t>
            </w:r>
          </w:p>
        </w:tc>
        <w:tc>
          <w:tcPr>
            <w:tcW w:w="220" w:type="dxa"/>
            <w:vAlign w:val="bottom"/>
          </w:tcPr>
          <w:p>
            <w:pPr>
              <w:jc w:val="right"/>
              <w:spacing w:after="0" w:line="189" w:lineRule="exact"/>
              <w:rPr>
                <w:sz w:val="20"/>
                <w:szCs w:val="20"/>
                <w:color w:val="auto"/>
              </w:rPr>
            </w:pPr>
            <w:r>
              <w:rPr>
                <w:rFonts w:ascii="Arial" w:cs="Arial" w:eastAsia="Arial" w:hAnsi="Arial"/>
                <w:sz w:val="20"/>
                <w:szCs w:val="20"/>
                <w:color w:val="auto"/>
                <w:w w:val="80"/>
              </w:rPr>
              <w:t>67</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ind w:right="901"/>
              <w:spacing w:after="0"/>
              <w:rPr>
                <w:sz w:val="20"/>
                <w:szCs w:val="20"/>
                <w:color w:val="auto"/>
              </w:rPr>
            </w:pPr>
            <w:r>
              <w:rPr>
                <w:rFonts w:ascii="Arial" w:cs="Arial" w:eastAsia="Arial" w:hAnsi="Arial"/>
                <w:sz w:val="20"/>
                <w:szCs w:val="20"/>
                <w:color w:val="auto"/>
                <w:w w:val="89"/>
              </w:rPr>
              <w:t>68</w:t>
            </w: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gridSpan w:val="14"/>
          </w:tcPr>
          <w:p>
            <w:pPr>
              <w:ind w:left="660"/>
              <w:spacing w:after="0" w:line="189" w:lineRule="exact"/>
              <w:rPr>
                <w:sz w:val="20"/>
                <w:szCs w:val="20"/>
                <w:color w:val="auto"/>
              </w:rPr>
            </w:pPr>
            <w:r>
              <w:rPr>
                <w:rFonts w:ascii="Arial" w:cs="Arial" w:eastAsia="Arial" w:hAnsi="Arial"/>
                <w:sz w:val="20"/>
                <w:szCs w:val="20"/>
                <w:color w:val="auto"/>
                <w:w w:val="98"/>
              </w:rPr>
              <w:t>Section 9.4.  The Administrative Agent Individually</w:t>
            </w:r>
          </w:p>
        </w:tc>
        <w:tc>
          <w:tcPr>
            <w:tcW w:w="1220" w:type="dxa"/>
            <w:vAlign w:val="bottom"/>
            <w:vMerge w:val="continue"/>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9.5.</w:t>
            </w:r>
          </w:p>
        </w:tc>
        <w:tc>
          <w:tcPr>
            <w:tcW w:w="60" w:type="dxa"/>
            <w:vAlign w:val="bottom"/>
          </w:tcPr>
          <w:p>
            <w:pPr>
              <w:spacing w:after="0"/>
              <w:rPr>
                <w:sz w:val="16"/>
                <w:szCs w:val="16"/>
                <w:color w:val="auto"/>
              </w:rPr>
            </w:pPr>
          </w:p>
        </w:tc>
        <w:tc>
          <w:tcPr>
            <w:tcW w:w="2620" w:type="dxa"/>
            <w:vAlign w:val="bottom"/>
            <w:gridSpan w:val="9"/>
          </w:tcPr>
          <w:p>
            <w:pPr>
              <w:spacing w:after="0" w:line="189" w:lineRule="exact"/>
              <w:rPr>
                <w:sz w:val="20"/>
                <w:szCs w:val="20"/>
                <w:color w:val="auto"/>
              </w:rPr>
            </w:pPr>
            <w:r>
              <w:rPr>
                <w:rFonts w:ascii="Arial" w:cs="Arial" w:eastAsia="Arial" w:hAnsi="Arial"/>
                <w:sz w:val="20"/>
                <w:szCs w:val="20"/>
                <w:color w:val="auto"/>
                <w:w w:val="92"/>
              </w:rPr>
              <w:t>Successor Administrative Agent</w:t>
            </w:r>
          </w:p>
        </w:tc>
        <w:tc>
          <w:tcPr>
            <w:tcW w:w="340" w:type="dxa"/>
            <w:vAlign w:val="bottom"/>
          </w:tcPr>
          <w:p>
            <w:pPr>
              <w:jc w:val="right"/>
              <w:spacing w:after="0" w:line="189" w:lineRule="exact"/>
              <w:rPr>
                <w:sz w:val="20"/>
                <w:szCs w:val="20"/>
                <w:color w:val="auto"/>
              </w:rPr>
            </w:pPr>
            <w:r>
              <w:rPr>
                <w:rFonts w:ascii="Arial" w:cs="Arial" w:eastAsia="Arial" w:hAnsi="Arial"/>
                <w:sz w:val="20"/>
                <w:szCs w:val="20"/>
                <w:color w:val="auto"/>
              </w:rPr>
              <w:t>68</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rPr>
              <w:t>Section 9.6.</w:t>
            </w:r>
          </w:p>
        </w:tc>
        <w:tc>
          <w:tcPr>
            <w:tcW w:w="4540" w:type="dxa"/>
            <w:vAlign w:val="bottom"/>
            <w:gridSpan w:val="13"/>
          </w:tcPr>
          <w:p>
            <w:pPr>
              <w:ind w:left="40"/>
              <w:spacing w:after="0" w:line="189" w:lineRule="exact"/>
              <w:rPr>
                <w:sz w:val="20"/>
                <w:szCs w:val="20"/>
                <w:color w:val="auto"/>
              </w:rPr>
            </w:pPr>
            <w:r>
              <w:rPr>
                <w:rFonts w:ascii="Arial" w:cs="Arial" w:eastAsia="Arial" w:hAnsi="Arial"/>
                <w:sz w:val="20"/>
                <w:szCs w:val="20"/>
                <w:color w:val="auto"/>
                <w:w w:val="94"/>
              </w:rPr>
              <w:t>Acknowledgements of Lenders and Issuing Banks  69</w:t>
            </w: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740" w:type="dxa"/>
            <w:vAlign w:val="bottom"/>
            <w:gridSpan w:val="2"/>
          </w:tcPr>
          <w:p>
            <w:pPr>
              <w:ind w:left="660"/>
              <w:spacing w:after="0"/>
              <w:rPr>
                <w:sz w:val="20"/>
                <w:szCs w:val="20"/>
                <w:color w:val="auto"/>
              </w:rPr>
            </w:pPr>
            <w:r>
              <w:rPr>
                <w:rFonts w:ascii="Arial" w:cs="Arial" w:eastAsia="Arial" w:hAnsi="Arial"/>
                <w:sz w:val="20"/>
                <w:szCs w:val="20"/>
                <w:color w:val="auto"/>
              </w:rPr>
              <w:t>Section 9.7.</w:t>
            </w:r>
          </w:p>
        </w:tc>
        <w:tc>
          <w:tcPr>
            <w:tcW w:w="60" w:type="dxa"/>
            <w:vAlign w:val="bottom"/>
          </w:tcPr>
          <w:p>
            <w:pPr>
              <w:spacing w:after="0"/>
              <w:rPr>
                <w:sz w:val="21"/>
                <w:szCs w:val="21"/>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auto"/>
                <w:w w:val="93"/>
              </w:rPr>
              <w:t>Certain ERISA Matters</w:t>
            </w:r>
          </w:p>
        </w:tc>
        <w:tc>
          <w:tcPr>
            <w:tcW w:w="480" w:type="dxa"/>
            <w:vAlign w:val="bottom"/>
            <w:gridSpan w:val="2"/>
          </w:tcPr>
          <w:p>
            <w:pPr>
              <w:jc w:val="right"/>
              <w:ind w:right="61"/>
              <w:spacing w:after="0"/>
              <w:rPr>
                <w:sz w:val="20"/>
                <w:szCs w:val="20"/>
                <w:color w:val="auto"/>
              </w:rPr>
            </w:pPr>
            <w:r>
              <w:rPr>
                <w:rFonts w:ascii="Arial" w:cs="Arial" w:eastAsia="Arial" w:hAnsi="Arial"/>
                <w:sz w:val="20"/>
                <w:szCs w:val="20"/>
                <w:color w:val="auto"/>
              </w:rPr>
              <w:t>70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1240" w:type="dxa"/>
            <w:vAlign w:val="bottom"/>
          </w:tcPr>
          <w:p>
            <w:pPr>
              <w:spacing w:after="0"/>
              <w:rPr>
                <w:sz w:val="20"/>
                <w:szCs w:val="20"/>
                <w:color w:val="auto"/>
              </w:rPr>
            </w:pPr>
            <w:r>
              <w:rPr>
                <w:rFonts w:ascii="Arial" w:cs="Arial" w:eastAsia="Arial" w:hAnsi="Arial"/>
                <w:sz w:val="20"/>
                <w:szCs w:val="20"/>
                <w:b w:val="1"/>
                <w:bCs w:val="1"/>
                <w:color w:val="auto"/>
              </w:rPr>
              <w:t>ARTICLE 10.</w:t>
            </w:r>
          </w:p>
        </w:tc>
        <w:tc>
          <w:tcPr>
            <w:tcW w:w="2020" w:type="dxa"/>
            <w:vAlign w:val="bottom"/>
            <w:gridSpan w:val="6"/>
          </w:tcPr>
          <w:p>
            <w:pPr>
              <w:jc w:val="right"/>
              <w:ind w:right="21"/>
              <w:spacing w:after="0"/>
              <w:rPr>
                <w:sz w:val="20"/>
                <w:szCs w:val="20"/>
                <w:color w:val="auto"/>
              </w:rPr>
            </w:pPr>
            <w:r>
              <w:rPr>
                <w:rFonts w:ascii="Arial" w:cs="Arial" w:eastAsia="Arial" w:hAnsi="Arial"/>
                <w:sz w:val="20"/>
                <w:szCs w:val="20"/>
                <w:b w:val="1"/>
                <w:bCs w:val="1"/>
                <w:color w:val="auto"/>
              </w:rPr>
              <w:t>MISCELLANEOUS</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72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gridSpan w:val="2"/>
          </w:tcPr>
          <w:p>
            <w:pPr>
              <w:ind w:left="660"/>
              <w:spacing w:after="0"/>
              <w:rPr>
                <w:sz w:val="20"/>
                <w:szCs w:val="20"/>
                <w:color w:val="auto"/>
              </w:rPr>
            </w:pPr>
            <w:r>
              <w:rPr>
                <w:rFonts w:ascii="Arial" w:cs="Arial" w:eastAsia="Arial" w:hAnsi="Arial"/>
                <w:sz w:val="20"/>
                <w:szCs w:val="20"/>
                <w:color w:val="auto"/>
                <w:w w:val="90"/>
              </w:rPr>
              <w:t>Section 10.1.</w:t>
            </w:r>
          </w:p>
        </w:tc>
        <w:tc>
          <w:tcPr>
            <w:tcW w:w="6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20"/>
                <w:szCs w:val="20"/>
                <w:color w:val="auto"/>
              </w:rPr>
              <w:t>Notices</w:t>
            </w:r>
          </w:p>
        </w:tc>
        <w:tc>
          <w:tcPr>
            <w:tcW w:w="260" w:type="dxa"/>
            <w:vAlign w:val="bottom"/>
          </w:tcPr>
          <w:p>
            <w:pPr>
              <w:jc w:val="right"/>
              <w:spacing w:after="0"/>
              <w:rPr>
                <w:sz w:val="20"/>
                <w:szCs w:val="20"/>
                <w:color w:val="auto"/>
              </w:rPr>
            </w:pPr>
            <w:r>
              <w:rPr>
                <w:rFonts w:ascii="Arial" w:cs="Arial" w:eastAsia="Arial" w:hAnsi="Arial"/>
                <w:sz w:val="20"/>
                <w:szCs w:val="20"/>
                <w:color w:val="auto"/>
                <w:w w:val="98"/>
              </w:rPr>
              <w:t>72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vMerge w:val="restart"/>
          </w:tcPr>
          <w:p>
            <w:pPr>
              <w:jc w:val="right"/>
              <w:ind w:right="21"/>
              <w:spacing w:after="0"/>
              <w:rPr>
                <w:sz w:val="20"/>
                <w:szCs w:val="20"/>
                <w:color w:val="auto"/>
              </w:rPr>
            </w:pPr>
            <w:r>
              <w:rPr>
                <w:rFonts w:ascii="Arial" w:cs="Arial" w:eastAsia="Arial" w:hAnsi="Arial"/>
                <w:sz w:val="20"/>
                <w:szCs w:val="20"/>
                <w:color w:val="auto"/>
              </w:rPr>
              <w:t>73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10.2.</w:t>
            </w:r>
          </w:p>
        </w:tc>
        <w:tc>
          <w:tcPr>
            <w:tcW w:w="60" w:type="dxa"/>
            <w:vAlign w:val="bottom"/>
          </w:tcPr>
          <w:p>
            <w:pPr>
              <w:spacing w:after="0"/>
              <w:rPr>
                <w:sz w:val="16"/>
                <w:szCs w:val="16"/>
                <w:color w:val="auto"/>
              </w:rPr>
            </w:pPr>
          </w:p>
        </w:tc>
        <w:tc>
          <w:tcPr>
            <w:tcW w:w="1920" w:type="dxa"/>
            <w:vAlign w:val="bottom"/>
            <w:gridSpan w:val="6"/>
          </w:tcPr>
          <w:p>
            <w:pPr>
              <w:ind w:left="80"/>
              <w:spacing w:after="0" w:line="189" w:lineRule="exact"/>
              <w:rPr>
                <w:sz w:val="20"/>
                <w:szCs w:val="20"/>
                <w:color w:val="auto"/>
              </w:rPr>
            </w:pPr>
            <w:r>
              <w:rPr>
                <w:rFonts w:ascii="Arial" w:cs="Arial" w:eastAsia="Arial" w:hAnsi="Arial"/>
                <w:sz w:val="20"/>
                <w:szCs w:val="20"/>
                <w:color w:val="auto"/>
                <w:w w:val="90"/>
              </w:rPr>
              <w:t>Waivers; Amendments</w:t>
            </w:r>
          </w:p>
        </w:tc>
        <w:tc>
          <w:tcPr>
            <w:tcW w:w="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ind w:right="841"/>
              <w:spacing w:after="0"/>
              <w:rPr>
                <w:sz w:val="20"/>
                <w:szCs w:val="20"/>
                <w:color w:val="auto"/>
              </w:rPr>
            </w:pPr>
            <w:r>
              <w:rPr>
                <w:rFonts w:ascii="Arial" w:cs="Arial" w:eastAsia="Arial" w:hAnsi="Arial"/>
                <w:sz w:val="20"/>
                <w:szCs w:val="20"/>
                <w:color w:val="auto"/>
              </w:rPr>
              <w:t>74</w:t>
            </w: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10.3.</w:t>
            </w:r>
          </w:p>
        </w:tc>
        <w:tc>
          <w:tcPr>
            <w:tcW w:w="60" w:type="dxa"/>
            <w:vAlign w:val="bottom"/>
          </w:tcPr>
          <w:p>
            <w:pPr>
              <w:spacing w:after="0"/>
              <w:rPr>
                <w:sz w:val="16"/>
                <w:szCs w:val="16"/>
                <w:color w:val="auto"/>
              </w:rPr>
            </w:pPr>
          </w:p>
        </w:tc>
        <w:tc>
          <w:tcPr>
            <w:tcW w:w="3260" w:type="dxa"/>
            <w:vAlign w:val="bottom"/>
            <w:gridSpan w:val="11"/>
          </w:tcPr>
          <w:p>
            <w:pPr>
              <w:ind w:left="100"/>
              <w:spacing w:after="0" w:line="189" w:lineRule="exact"/>
              <w:rPr>
                <w:sz w:val="20"/>
                <w:szCs w:val="20"/>
                <w:color w:val="auto"/>
              </w:rPr>
            </w:pPr>
            <w:r>
              <w:rPr>
                <w:rFonts w:ascii="Arial" w:cs="Arial" w:eastAsia="Arial" w:hAnsi="Arial"/>
                <w:sz w:val="20"/>
                <w:szCs w:val="20"/>
                <w:color w:val="auto"/>
                <w:w w:val="92"/>
              </w:rPr>
              <w:t>Expenses; Indemnity; Damage Waiver</w:t>
            </w:r>
          </w:p>
        </w:tc>
        <w:tc>
          <w:tcPr>
            <w:tcW w:w="1220" w:type="dxa"/>
            <w:vAlign w:val="bottom"/>
            <w:vMerge w:val="continue"/>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10.4.</w:t>
            </w:r>
          </w:p>
        </w:tc>
        <w:tc>
          <w:tcPr>
            <w:tcW w:w="60" w:type="dxa"/>
            <w:vAlign w:val="bottom"/>
          </w:tcPr>
          <w:p>
            <w:pPr>
              <w:spacing w:after="0"/>
              <w:rPr>
                <w:sz w:val="16"/>
                <w:szCs w:val="16"/>
                <w:color w:val="auto"/>
              </w:rPr>
            </w:pPr>
          </w:p>
        </w:tc>
        <w:tc>
          <w:tcPr>
            <w:tcW w:w="2400" w:type="dxa"/>
            <w:vAlign w:val="bottom"/>
            <w:gridSpan w:val="8"/>
          </w:tcPr>
          <w:p>
            <w:pPr>
              <w:ind w:left="100"/>
              <w:spacing w:after="0" w:line="189" w:lineRule="exact"/>
              <w:rPr>
                <w:sz w:val="20"/>
                <w:szCs w:val="20"/>
                <w:color w:val="auto"/>
              </w:rPr>
            </w:pPr>
            <w:r>
              <w:rPr>
                <w:rFonts w:ascii="Arial" w:cs="Arial" w:eastAsia="Arial" w:hAnsi="Arial"/>
                <w:sz w:val="20"/>
                <w:szCs w:val="20"/>
                <w:color w:val="auto"/>
                <w:w w:val="90"/>
              </w:rPr>
              <w:t>Successors and Assigns  76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10.5.</w:t>
            </w:r>
          </w:p>
        </w:tc>
        <w:tc>
          <w:tcPr>
            <w:tcW w:w="60" w:type="dxa"/>
            <w:vAlign w:val="bottom"/>
          </w:tcPr>
          <w:p>
            <w:pPr>
              <w:spacing w:after="0"/>
              <w:rPr>
                <w:sz w:val="16"/>
                <w:szCs w:val="16"/>
                <w:color w:val="auto"/>
              </w:rPr>
            </w:pPr>
          </w:p>
        </w:tc>
        <w:tc>
          <w:tcPr>
            <w:tcW w:w="860" w:type="dxa"/>
            <w:vAlign w:val="bottom"/>
            <w:gridSpan w:val="2"/>
          </w:tcPr>
          <w:p>
            <w:pPr>
              <w:ind w:left="100"/>
              <w:spacing w:after="0" w:line="189" w:lineRule="exact"/>
              <w:rPr>
                <w:sz w:val="20"/>
                <w:szCs w:val="20"/>
                <w:color w:val="auto"/>
              </w:rPr>
            </w:pPr>
            <w:r>
              <w:rPr>
                <w:rFonts w:ascii="Arial" w:cs="Arial" w:eastAsia="Arial" w:hAnsi="Arial"/>
                <w:sz w:val="20"/>
                <w:szCs w:val="20"/>
                <w:color w:val="auto"/>
              </w:rPr>
              <w:t>Survival</w:t>
            </w:r>
          </w:p>
        </w:tc>
        <w:tc>
          <w:tcPr>
            <w:tcW w:w="600" w:type="dxa"/>
            <w:vAlign w:val="bottom"/>
            <w:gridSpan w:val="2"/>
          </w:tcPr>
          <w:p>
            <w:pPr>
              <w:jc w:val="right"/>
              <w:ind w:right="201"/>
              <w:spacing w:after="0" w:line="189" w:lineRule="exact"/>
              <w:rPr>
                <w:sz w:val="20"/>
                <w:szCs w:val="20"/>
                <w:color w:val="auto"/>
              </w:rPr>
            </w:pPr>
            <w:r>
              <w:rPr>
                <w:rFonts w:ascii="Arial" w:cs="Arial" w:eastAsia="Arial" w:hAnsi="Arial"/>
                <w:sz w:val="20"/>
                <w:szCs w:val="20"/>
                <w:color w:val="auto"/>
              </w:rPr>
              <w:t>79</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ind w:right="741"/>
              <w:spacing w:after="0"/>
              <w:rPr>
                <w:sz w:val="20"/>
                <w:szCs w:val="20"/>
                <w:color w:val="auto"/>
              </w:rPr>
            </w:pPr>
            <w:r>
              <w:rPr>
                <w:rFonts w:ascii="Arial" w:cs="Arial" w:eastAsia="Arial" w:hAnsi="Arial"/>
                <w:sz w:val="20"/>
                <w:szCs w:val="20"/>
                <w:color w:val="auto"/>
              </w:rPr>
              <w:t>80</w:t>
            </w: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10.6.</w:t>
            </w:r>
          </w:p>
        </w:tc>
        <w:tc>
          <w:tcPr>
            <w:tcW w:w="60" w:type="dxa"/>
            <w:vAlign w:val="bottom"/>
          </w:tcPr>
          <w:p>
            <w:pPr>
              <w:spacing w:after="0"/>
              <w:rPr>
                <w:sz w:val="16"/>
                <w:szCs w:val="16"/>
                <w:color w:val="auto"/>
              </w:rPr>
            </w:pPr>
          </w:p>
        </w:tc>
        <w:tc>
          <w:tcPr>
            <w:tcW w:w="3260" w:type="dxa"/>
            <w:vAlign w:val="bottom"/>
            <w:gridSpan w:val="11"/>
          </w:tcPr>
          <w:p>
            <w:pPr>
              <w:ind w:left="100"/>
              <w:spacing w:after="0" w:line="189" w:lineRule="exact"/>
              <w:rPr>
                <w:sz w:val="20"/>
                <w:szCs w:val="20"/>
                <w:color w:val="auto"/>
              </w:rPr>
            </w:pPr>
            <w:r>
              <w:rPr>
                <w:rFonts w:ascii="Arial" w:cs="Arial" w:eastAsia="Arial" w:hAnsi="Arial"/>
                <w:sz w:val="20"/>
                <w:szCs w:val="20"/>
                <w:color w:val="auto"/>
                <w:w w:val="89"/>
              </w:rPr>
              <w:t>Counterparts; Integration; Effectiveness</w:t>
            </w:r>
          </w:p>
        </w:tc>
        <w:tc>
          <w:tcPr>
            <w:tcW w:w="1220" w:type="dxa"/>
            <w:vAlign w:val="bottom"/>
            <w:vMerge w:val="continue"/>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10.7.</w:t>
            </w:r>
          </w:p>
        </w:tc>
        <w:tc>
          <w:tcPr>
            <w:tcW w:w="60" w:type="dxa"/>
            <w:vAlign w:val="bottom"/>
          </w:tcPr>
          <w:p>
            <w:pPr>
              <w:spacing w:after="0"/>
              <w:rPr>
                <w:sz w:val="16"/>
                <w:szCs w:val="16"/>
                <w:color w:val="auto"/>
              </w:rPr>
            </w:pPr>
          </w:p>
        </w:tc>
        <w:tc>
          <w:tcPr>
            <w:tcW w:w="1120" w:type="dxa"/>
            <w:vAlign w:val="bottom"/>
            <w:gridSpan w:val="3"/>
          </w:tcPr>
          <w:p>
            <w:pPr>
              <w:ind w:left="100"/>
              <w:spacing w:after="0" w:line="189" w:lineRule="exact"/>
              <w:rPr>
                <w:sz w:val="20"/>
                <w:szCs w:val="20"/>
                <w:color w:val="auto"/>
              </w:rPr>
            </w:pPr>
            <w:r>
              <w:rPr>
                <w:rFonts w:ascii="Arial" w:cs="Arial" w:eastAsia="Arial" w:hAnsi="Arial"/>
                <w:sz w:val="20"/>
                <w:szCs w:val="20"/>
                <w:color w:val="auto"/>
                <w:w w:val="96"/>
              </w:rPr>
              <w:t>Severability</w:t>
            </w:r>
          </w:p>
        </w:tc>
        <w:tc>
          <w:tcPr>
            <w:tcW w:w="340" w:type="dxa"/>
            <w:vAlign w:val="bottom"/>
          </w:tcPr>
          <w:p>
            <w:pPr>
              <w:jc w:val="right"/>
              <w:spacing w:after="0" w:line="189" w:lineRule="exact"/>
              <w:rPr>
                <w:sz w:val="20"/>
                <w:szCs w:val="20"/>
                <w:color w:val="auto"/>
              </w:rPr>
            </w:pPr>
            <w:r>
              <w:rPr>
                <w:rFonts w:ascii="Arial" w:cs="Arial" w:eastAsia="Arial" w:hAnsi="Arial"/>
                <w:sz w:val="20"/>
                <w:szCs w:val="20"/>
                <w:color w:val="auto"/>
              </w:rPr>
              <w:t>81</w:t>
            </w:r>
          </w:p>
        </w:tc>
        <w:tc>
          <w:tcPr>
            <w:tcW w:w="460" w:type="dxa"/>
            <w:vAlign w:val="bottom"/>
            <w:gridSpan w:val="2"/>
            <w:vMerge w:val="restart"/>
          </w:tcPr>
          <w:p>
            <w:pPr>
              <w:jc w:val="right"/>
              <w:ind w:right="81"/>
              <w:spacing w:after="0"/>
              <w:rPr>
                <w:sz w:val="20"/>
                <w:szCs w:val="20"/>
                <w:color w:val="auto"/>
              </w:rPr>
            </w:pPr>
            <w:r>
              <w:rPr>
                <w:rFonts w:ascii="Arial" w:cs="Arial" w:eastAsia="Arial" w:hAnsi="Arial"/>
                <w:sz w:val="20"/>
                <w:szCs w:val="20"/>
                <w:color w:val="auto"/>
              </w:rPr>
              <w:t>81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10.8.</w:t>
            </w:r>
          </w:p>
        </w:tc>
        <w:tc>
          <w:tcPr>
            <w:tcW w:w="60" w:type="dxa"/>
            <w:vAlign w:val="bottom"/>
          </w:tcPr>
          <w:p>
            <w:pPr>
              <w:spacing w:after="0"/>
              <w:rPr>
                <w:sz w:val="16"/>
                <w:szCs w:val="16"/>
                <w:color w:val="auto"/>
              </w:rPr>
            </w:pPr>
          </w:p>
        </w:tc>
        <w:tc>
          <w:tcPr>
            <w:tcW w:w="1460" w:type="dxa"/>
            <w:vAlign w:val="bottom"/>
            <w:gridSpan w:val="4"/>
          </w:tcPr>
          <w:p>
            <w:pPr>
              <w:ind w:left="100"/>
              <w:spacing w:after="0" w:line="189" w:lineRule="exact"/>
              <w:rPr>
                <w:sz w:val="20"/>
                <w:szCs w:val="20"/>
                <w:color w:val="auto"/>
              </w:rPr>
            </w:pPr>
            <w:r>
              <w:rPr>
                <w:rFonts w:ascii="Arial" w:cs="Arial" w:eastAsia="Arial" w:hAnsi="Arial"/>
                <w:sz w:val="20"/>
                <w:szCs w:val="20"/>
                <w:color w:val="auto"/>
              </w:rPr>
              <w:t>Right of Set-off</w:t>
            </w:r>
          </w:p>
        </w:tc>
        <w:tc>
          <w:tcPr>
            <w:tcW w:w="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40" w:type="dxa"/>
            <w:vAlign w:val="bottom"/>
            <w:gridSpan w:val="2"/>
          </w:tcPr>
          <w:p>
            <w:pPr>
              <w:ind w:left="660"/>
              <w:spacing w:after="0" w:line="189" w:lineRule="exact"/>
              <w:rPr>
                <w:sz w:val="20"/>
                <w:szCs w:val="20"/>
                <w:color w:val="auto"/>
              </w:rPr>
            </w:pPr>
            <w:r>
              <w:rPr>
                <w:rFonts w:ascii="Arial" w:cs="Arial" w:eastAsia="Arial" w:hAnsi="Arial"/>
                <w:sz w:val="20"/>
                <w:szCs w:val="20"/>
                <w:color w:val="auto"/>
                <w:w w:val="90"/>
              </w:rPr>
              <w:t>Section 10.9.</w:t>
            </w:r>
          </w:p>
        </w:tc>
        <w:tc>
          <w:tcPr>
            <w:tcW w:w="60" w:type="dxa"/>
            <w:vAlign w:val="bottom"/>
          </w:tcPr>
          <w:p>
            <w:pPr>
              <w:spacing w:after="0"/>
              <w:rPr>
                <w:sz w:val="16"/>
                <w:szCs w:val="16"/>
                <w:color w:val="auto"/>
              </w:rPr>
            </w:pPr>
          </w:p>
        </w:tc>
        <w:tc>
          <w:tcPr>
            <w:tcW w:w="9400" w:type="dxa"/>
            <w:vAlign w:val="bottom"/>
            <w:gridSpan w:val="13"/>
          </w:tcPr>
          <w:p>
            <w:pPr>
              <w:ind w:left="100"/>
              <w:spacing w:after="0" w:line="189" w:lineRule="exact"/>
              <w:rPr>
                <w:sz w:val="20"/>
                <w:szCs w:val="20"/>
                <w:color w:val="auto"/>
              </w:rPr>
            </w:pPr>
            <w:r>
              <w:rPr>
                <w:rFonts w:ascii="Arial" w:cs="Arial" w:eastAsia="Arial" w:hAnsi="Arial"/>
                <w:sz w:val="20"/>
                <w:szCs w:val="20"/>
                <w:color w:val="auto"/>
              </w:rPr>
              <w:t>Governing Law; Jurisdiction; Consent to Service of Process  81</w:t>
            </w: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10.10.</w:t>
            </w:r>
          </w:p>
        </w:tc>
        <w:tc>
          <w:tcPr>
            <w:tcW w:w="1920" w:type="dxa"/>
            <w:vAlign w:val="bottom"/>
            <w:gridSpan w:val="6"/>
          </w:tcPr>
          <w:p>
            <w:pPr>
              <w:ind w:left="180"/>
              <w:spacing w:after="0" w:line="189" w:lineRule="exact"/>
              <w:rPr>
                <w:sz w:val="20"/>
                <w:szCs w:val="20"/>
                <w:color w:val="auto"/>
              </w:rPr>
            </w:pPr>
            <w:r>
              <w:rPr>
                <w:rFonts w:ascii="Arial" w:cs="Arial" w:eastAsia="Arial" w:hAnsi="Arial"/>
                <w:sz w:val="20"/>
                <w:szCs w:val="20"/>
                <w:color w:val="auto"/>
                <w:w w:val="99"/>
              </w:rPr>
              <w:t>Waiver of Jury Trial</w:t>
            </w:r>
          </w:p>
        </w:tc>
        <w:tc>
          <w:tcPr>
            <w:tcW w:w="280" w:type="dxa"/>
            <w:vAlign w:val="bottom"/>
          </w:tcPr>
          <w:p>
            <w:pPr>
              <w:jc w:val="right"/>
              <w:spacing w:after="0" w:line="189" w:lineRule="exact"/>
              <w:rPr>
                <w:sz w:val="20"/>
                <w:szCs w:val="20"/>
                <w:color w:val="auto"/>
              </w:rPr>
            </w:pPr>
            <w:r>
              <w:rPr>
                <w:rFonts w:ascii="Arial" w:cs="Arial" w:eastAsia="Arial" w:hAnsi="Arial"/>
                <w:sz w:val="20"/>
                <w:szCs w:val="20"/>
                <w:color w:val="auto"/>
              </w:rPr>
              <w:t>82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10.11.</w:t>
            </w:r>
          </w:p>
        </w:tc>
        <w:tc>
          <w:tcPr>
            <w:tcW w:w="1120" w:type="dxa"/>
            <w:vAlign w:val="bottom"/>
            <w:gridSpan w:val="3"/>
          </w:tcPr>
          <w:p>
            <w:pPr>
              <w:ind w:left="180"/>
              <w:spacing w:after="0" w:line="189" w:lineRule="exact"/>
              <w:rPr>
                <w:sz w:val="20"/>
                <w:szCs w:val="20"/>
                <w:color w:val="auto"/>
              </w:rPr>
            </w:pPr>
            <w:r>
              <w:rPr>
                <w:rFonts w:ascii="Arial" w:cs="Arial" w:eastAsia="Arial" w:hAnsi="Arial"/>
                <w:sz w:val="20"/>
                <w:szCs w:val="20"/>
                <w:color w:val="auto"/>
              </w:rPr>
              <w:t>Headings</w:t>
            </w:r>
          </w:p>
        </w:tc>
        <w:tc>
          <w:tcPr>
            <w:tcW w:w="340" w:type="dxa"/>
            <w:vAlign w:val="bottom"/>
          </w:tcPr>
          <w:p>
            <w:pPr>
              <w:jc w:val="right"/>
              <w:ind w:right="41"/>
              <w:spacing w:after="0" w:line="189" w:lineRule="exact"/>
              <w:rPr>
                <w:sz w:val="20"/>
                <w:szCs w:val="20"/>
                <w:color w:val="auto"/>
              </w:rPr>
            </w:pPr>
            <w:r>
              <w:rPr>
                <w:rFonts w:ascii="Arial" w:cs="Arial" w:eastAsia="Arial" w:hAnsi="Arial"/>
                <w:sz w:val="20"/>
                <w:szCs w:val="20"/>
                <w:color w:val="auto"/>
                <w:w w:val="80"/>
              </w:rPr>
              <w:t>82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gridSpan w:val="2"/>
            <w:vMerge w:val="restart"/>
          </w:tcPr>
          <w:p>
            <w:pPr>
              <w:jc w:val="right"/>
              <w:ind w:right="41"/>
              <w:spacing w:after="0"/>
              <w:rPr>
                <w:sz w:val="20"/>
                <w:szCs w:val="20"/>
                <w:color w:val="auto"/>
              </w:rPr>
            </w:pPr>
            <w:r>
              <w:rPr>
                <w:rFonts w:ascii="Arial" w:cs="Arial" w:eastAsia="Arial" w:hAnsi="Arial"/>
                <w:sz w:val="20"/>
                <w:szCs w:val="20"/>
                <w:color w:val="auto"/>
              </w:rPr>
              <w:t>82</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10.12.</w:t>
            </w:r>
          </w:p>
        </w:tc>
        <w:tc>
          <w:tcPr>
            <w:tcW w:w="2200" w:type="dxa"/>
            <w:vAlign w:val="bottom"/>
            <w:gridSpan w:val="7"/>
          </w:tcPr>
          <w:p>
            <w:pPr>
              <w:ind w:left="200"/>
              <w:spacing w:after="0" w:line="189" w:lineRule="exact"/>
              <w:rPr>
                <w:sz w:val="20"/>
                <w:szCs w:val="20"/>
                <w:color w:val="auto"/>
              </w:rPr>
            </w:pPr>
            <w:r>
              <w:rPr>
                <w:rFonts w:ascii="Arial" w:cs="Arial" w:eastAsia="Arial" w:hAnsi="Arial"/>
                <w:sz w:val="20"/>
                <w:szCs w:val="20"/>
                <w:color w:val="auto"/>
                <w:w w:val="96"/>
              </w:rPr>
              <w:t>Interest Rate Limitation</w:t>
            </w:r>
          </w:p>
        </w:tc>
        <w:tc>
          <w:tcPr>
            <w:tcW w:w="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10.13.</w:t>
            </w:r>
          </w:p>
        </w:tc>
        <w:tc>
          <w:tcPr>
            <w:tcW w:w="1460" w:type="dxa"/>
            <w:vAlign w:val="bottom"/>
            <w:gridSpan w:val="4"/>
          </w:tcPr>
          <w:p>
            <w:pPr>
              <w:ind w:left="180"/>
              <w:spacing w:after="0" w:line="189" w:lineRule="exact"/>
              <w:rPr>
                <w:sz w:val="20"/>
                <w:szCs w:val="20"/>
                <w:color w:val="auto"/>
              </w:rPr>
            </w:pPr>
            <w:r>
              <w:rPr>
                <w:rFonts w:ascii="Arial" w:cs="Arial" w:eastAsia="Arial" w:hAnsi="Arial"/>
                <w:sz w:val="20"/>
                <w:szCs w:val="20"/>
                <w:color w:val="auto"/>
                <w:w w:val="98"/>
              </w:rPr>
              <w:t>Advertisement</w:t>
            </w:r>
          </w:p>
        </w:tc>
        <w:tc>
          <w:tcPr>
            <w:tcW w:w="460" w:type="dxa"/>
            <w:vAlign w:val="bottom"/>
            <w:gridSpan w:val="2"/>
          </w:tcPr>
          <w:p>
            <w:pPr>
              <w:jc w:val="right"/>
              <w:ind w:right="81"/>
              <w:spacing w:after="0" w:line="189" w:lineRule="exact"/>
              <w:rPr>
                <w:sz w:val="20"/>
                <w:szCs w:val="20"/>
                <w:color w:val="auto"/>
              </w:rPr>
            </w:pPr>
            <w:r>
              <w:rPr>
                <w:rFonts w:ascii="Arial" w:cs="Arial" w:eastAsia="Arial" w:hAnsi="Arial"/>
                <w:sz w:val="20"/>
                <w:szCs w:val="20"/>
                <w:color w:val="auto"/>
              </w:rPr>
              <w:t>82</w:t>
            </w: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w w:val="98"/>
              </w:rPr>
              <w:t>82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10.14.</w:t>
            </w:r>
          </w:p>
        </w:tc>
        <w:tc>
          <w:tcPr>
            <w:tcW w:w="1920" w:type="dxa"/>
            <w:vAlign w:val="bottom"/>
            <w:gridSpan w:val="6"/>
          </w:tcPr>
          <w:p>
            <w:pPr>
              <w:ind w:left="200"/>
              <w:spacing w:after="0" w:line="189" w:lineRule="exact"/>
              <w:rPr>
                <w:sz w:val="20"/>
                <w:szCs w:val="20"/>
                <w:color w:val="auto"/>
              </w:rPr>
            </w:pPr>
            <w:r>
              <w:rPr>
                <w:rFonts w:ascii="Arial" w:cs="Arial" w:eastAsia="Arial" w:hAnsi="Arial"/>
                <w:sz w:val="20"/>
                <w:szCs w:val="20"/>
                <w:color w:val="auto"/>
              </w:rPr>
              <w:t>USA PATRIOT Act</w:t>
            </w:r>
          </w:p>
        </w:tc>
        <w:tc>
          <w:tcPr>
            <w:tcW w:w="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10.15.</w:t>
            </w:r>
          </w:p>
        </w:tc>
        <w:tc>
          <w:tcPr>
            <w:tcW w:w="2960" w:type="dxa"/>
            <w:vAlign w:val="bottom"/>
            <w:gridSpan w:val="10"/>
          </w:tcPr>
          <w:p>
            <w:pPr>
              <w:ind w:left="180"/>
              <w:spacing w:after="0" w:line="189" w:lineRule="exact"/>
              <w:rPr>
                <w:sz w:val="20"/>
                <w:szCs w:val="20"/>
                <w:color w:val="auto"/>
              </w:rPr>
            </w:pPr>
            <w:r>
              <w:rPr>
                <w:rFonts w:ascii="Arial" w:cs="Arial" w:eastAsia="Arial" w:hAnsi="Arial"/>
                <w:sz w:val="20"/>
                <w:szCs w:val="20"/>
                <w:color w:val="auto"/>
                <w:w w:val="95"/>
              </w:rPr>
              <w:t>Treatment of Certain Information</w:t>
            </w:r>
          </w:p>
        </w:tc>
        <w:tc>
          <w:tcPr>
            <w:tcW w:w="3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10.16.</w:t>
            </w:r>
          </w:p>
        </w:tc>
        <w:tc>
          <w:tcPr>
            <w:tcW w:w="2200" w:type="dxa"/>
            <w:vAlign w:val="bottom"/>
            <w:gridSpan w:val="7"/>
          </w:tcPr>
          <w:p>
            <w:pPr>
              <w:ind w:left="200"/>
              <w:spacing w:after="0" w:line="189" w:lineRule="exact"/>
              <w:rPr>
                <w:sz w:val="20"/>
                <w:szCs w:val="20"/>
                <w:color w:val="auto"/>
              </w:rPr>
            </w:pPr>
            <w:r>
              <w:rPr>
                <w:rFonts w:ascii="Arial" w:cs="Arial" w:eastAsia="Arial" w:hAnsi="Arial"/>
                <w:sz w:val="20"/>
                <w:szCs w:val="20"/>
                <w:color w:val="auto"/>
              </w:rPr>
              <w:t>No Fiduciary Duty, etc</w:t>
            </w:r>
          </w:p>
        </w:tc>
        <w:tc>
          <w:tcPr>
            <w:tcW w:w="200" w:type="dxa"/>
            <w:vAlign w:val="bottom"/>
          </w:tcPr>
          <w:p>
            <w:pPr>
              <w:jc w:val="right"/>
              <w:spacing w:after="0" w:line="189" w:lineRule="exact"/>
              <w:rPr>
                <w:sz w:val="20"/>
                <w:szCs w:val="20"/>
                <w:color w:val="auto"/>
              </w:rPr>
            </w:pPr>
            <w:r>
              <w:rPr>
                <w:rFonts w:ascii="Arial" w:cs="Arial" w:eastAsia="Arial" w:hAnsi="Arial"/>
                <w:sz w:val="20"/>
                <w:szCs w:val="20"/>
                <w:color w:val="auto"/>
                <w:w w:val="80"/>
              </w:rPr>
              <w:t>83</w:t>
            </w:r>
          </w:p>
        </w:tc>
        <w:tc>
          <w:tcPr>
            <w:tcW w:w="220" w:type="dxa"/>
            <w:vAlign w:val="bottom"/>
          </w:tcPr>
          <w:p>
            <w:pPr>
              <w:spacing w:after="0"/>
              <w:rPr>
                <w:sz w:val="16"/>
                <w:szCs w:val="16"/>
                <w:color w:val="auto"/>
              </w:rPr>
            </w:pPr>
          </w:p>
        </w:tc>
        <w:tc>
          <w:tcPr>
            <w:tcW w:w="340" w:type="dxa"/>
            <w:vAlign w:val="bottom"/>
            <w:vMerge w:val="restart"/>
          </w:tcPr>
          <w:p>
            <w:pPr>
              <w:jc w:val="right"/>
              <w:ind w:right="1"/>
              <w:spacing w:after="0"/>
              <w:rPr>
                <w:sz w:val="20"/>
                <w:szCs w:val="20"/>
                <w:color w:val="auto"/>
              </w:rPr>
            </w:pPr>
            <w:r>
              <w:rPr>
                <w:rFonts w:ascii="Arial" w:cs="Arial" w:eastAsia="Arial" w:hAnsi="Arial"/>
                <w:sz w:val="20"/>
                <w:szCs w:val="20"/>
                <w:color w:val="auto"/>
                <w:w w:val="98"/>
              </w:rPr>
              <w:t>84</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gridSpan w:val="3"/>
          </w:tcPr>
          <w:p>
            <w:pPr>
              <w:ind w:left="660"/>
              <w:spacing w:after="0" w:line="189" w:lineRule="exact"/>
              <w:rPr>
                <w:sz w:val="20"/>
                <w:szCs w:val="20"/>
                <w:color w:val="auto"/>
              </w:rPr>
            </w:pPr>
            <w:r>
              <w:rPr>
                <w:rFonts w:ascii="Arial" w:cs="Arial" w:eastAsia="Arial" w:hAnsi="Arial"/>
                <w:sz w:val="20"/>
                <w:szCs w:val="20"/>
                <w:color w:val="auto"/>
                <w:w w:val="87"/>
              </w:rPr>
              <w:t>Section 10.17.</w:t>
            </w:r>
          </w:p>
        </w:tc>
        <w:tc>
          <w:tcPr>
            <w:tcW w:w="2620" w:type="dxa"/>
            <w:vAlign w:val="bottom"/>
            <w:gridSpan w:val="9"/>
          </w:tcPr>
          <w:p>
            <w:pPr>
              <w:ind w:left="200"/>
              <w:spacing w:after="0" w:line="189" w:lineRule="exact"/>
              <w:rPr>
                <w:sz w:val="20"/>
                <w:szCs w:val="20"/>
                <w:color w:val="auto"/>
              </w:rPr>
            </w:pPr>
            <w:r>
              <w:rPr>
                <w:rFonts w:ascii="Arial" w:cs="Arial" w:eastAsia="Arial" w:hAnsi="Arial"/>
                <w:sz w:val="20"/>
                <w:szCs w:val="20"/>
                <w:color w:val="auto"/>
                <w:w w:val="96"/>
              </w:rPr>
              <w:t>CoBank Equity and Security</w:t>
            </w:r>
          </w:p>
        </w:tc>
        <w:tc>
          <w:tcPr>
            <w:tcW w:w="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0" w:type="dxa"/>
            <w:vAlign w:val="bottom"/>
            <w:gridSpan w:val="3"/>
          </w:tcPr>
          <w:p>
            <w:pPr>
              <w:ind w:left="660"/>
              <w:spacing w:after="0"/>
              <w:rPr>
                <w:sz w:val="20"/>
                <w:szCs w:val="20"/>
                <w:color w:val="auto"/>
              </w:rPr>
            </w:pPr>
            <w:r>
              <w:rPr>
                <w:rFonts w:ascii="Arial" w:cs="Arial" w:eastAsia="Arial" w:hAnsi="Arial"/>
                <w:sz w:val="20"/>
                <w:szCs w:val="20"/>
                <w:color w:val="auto"/>
                <w:w w:val="87"/>
              </w:rPr>
              <w:t>Section 10.18.</w:t>
            </w:r>
          </w:p>
        </w:tc>
        <w:tc>
          <w:tcPr>
            <w:tcW w:w="9400" w:type="dxa"/>
            <w:vAlign w:val="bottom"/>
            <w:gridSpan w:val="13"/>
          </w:tcPr>
          <w:p>
            <w:pPr>
              <w:ind w:left="180"/>
              <w:spacing w:after="0"/>
              <w:rPr>
                <w:sz w:val="20"/>
                <w:szCs w:val="20"/>
                <w:color w:val="auto"/>
              </w:rPr>
            </w:pPr>
            <w:r>
              <w:rPr>
                <w:rFonts w:ascii="Arial" w:cs="Arial" w:eastAsia="Arial" w:hAnsi="Arial"/>
                <w:sz w:val="20"/>
                <w:szCs w:val="20"/>
                <w:color w:val="auto"/>
              </w:rPr>
              <w:t>Acknowledgement and Consent to Bail-In of Affected Financial Institutions  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 xml:space="preserve">(ii)  </w:t>
      </w:r>
      <w:r>
        <w:rPr>
          <w:rFonts w:ascii="Arial" w:cs="Arial" w:eastAsia="Arial" w:hAnsi="Arial"/>
          <w:sz w:val="14"/>
          <w:szCs w:val="14"/>
          <w:color w:val="auto"/>
        </w:rPr>
        <w:t>ALLETE CREDIT AGREEMENT</w:t>
      </w:r>
    </w:p>
    <w:p>
      <w:pPr>
        <w:sectPr>
          <w:pgSz w:w="11900" w:h="16838" w:orient="portrait"/>
          <w:cols w:equalWidth="0" w:num="1">
            <w:col w:w="11240"/>
          </w:cols>
          <w:pgMar w:left="320" w:top="108"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0"/>
          <w:szCs w:val="20"/>
          <w:u w:val="single" w:color="auto"/>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 xml:space="preserve">(iii)  </w:t>
      </w:r>
      <w:r>
        <w:rPr>
          <w:rFonts w:ascii="Arial" w:cs="Arial" w:eastAsia="Arial" w:hAnsi="Arial"/>
          <w:sz w:val="14"/>
          <w:szCs w:val="14"/>
          <w:color w:val="auto"/>
        </w:rPr>
        <w:t>ALLETE CREDIT AGREEMENT</w:t>
      </w:r>
    </w:p>
    <w:p>
      <w:pPr>
        <w:sectPr>
          <w:pgSz w:w="11900" w:h="16838" w:orient="portrait"/>
          <w:cols w:equalWidth="0" w:num="1">
            <w:col w:w="11240"/>
          </w:cols>
          <w:pgMar w:left="320" w:top="460" w:right="339" w:bottom="1440" w:gutter="0" w:footer="0" w:header="0"/>
        </w:sectPr>
      </w:pPr>
    </w:p>
    <w:bookmarkStart w:id="136" w:name="page137"/>
    <w:bookmarkEnd w:id="136"/>
    <w:p>
      <w:pPr>
        <w:spacing w:after="0" w:line="2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96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1</w:t>
            </w:r>
          </w:p>
        </w:tc>
        <w:tc>
          <w:tcPr>
            <w:tcW w:w="80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Applicable Margin</w:t>
            </w:r>
          </w:p>
        </w:tc>
      </w:tr>
      <w:tr>
        <w:trPr>
          <w:trHeight w:val="243"/>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2</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Letter of Credit Commitments</w:t>
            </w:r>
          </w:p>
        </w:tc>
      </w:tr>
      <w:tr>
        <w:trPr>
          <w:trHeight w:val="236"/>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2.1</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List of Commitments</w:t>
            </w:r>
          </w:p>
        </w:tc>
      </w:tr>
      <w:tr>
        <w:trPr>
          <w:trHeight w:val="237"/>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2.9</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Existing Letters of Credit</w:t>
            </w:r>
          </w:p>
        </w:tc>
      </w:tr>
      <w:tr>
        <w:trPr>
          <w:trHeight w:val="237"/>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4.5/4.6</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Disclosed Matters</w:t>
            </w:r>
          </w:p>
        </w:tc>
      </w:tr>
      <w:tr>
        <w:trPr>
          <w:trHeight w:val="243"/>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Schedule 4.10</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List of Subsidiaries</w:t>
            </w:r>
          </w:p>
        </w:tc>
      </w:tr>
      <w:tr>
        <w:trPr>
          <w:trHeight w:val="634"/>
        </w:trPr>
        <w:tc>
          <w:tcPr>
            <w:tcW w:w="2960" w:type="dxa"/>
            <w:vAlign w:val="bottom"/>
            <w:gridSpan w:val="2"/>
          </w:tcPr>
          <w:p>
            <w:pPr>
              <w:spacing w:after="0"/>
              <w:rPr>
                <w:sz w:val="20"/>
                <w:szCs w:val="20"/>
                <w:color w:val="auto"/>
              </w:rPr>
            </w:pPr>
            <w:r>
              <w:rPr>
                <w:rFonts w:ascii="Arial" w:cs="Arial" w:eastAsia="Arial" w:hAnsi="Arial"/>
                <w:sz w:val="20"/>
                <w:szCs w:val="20"/>
                <w:color w:val="auto"/>
              </w:rPr>
              <w:t>EXHIBITS:</w:t>
            </w:r>
          </w:p>
        </w:tc>
        <w:tc>
          <w:tcPr>
            <w:tcW w:w="8040" w:type="dxa"/>
            <w:vAlign w:val="bottom"/>
          </w:tcPr>
          <w:p>
            <w:pPr>
              <w:spacing w:after="0"/>
              <w:rPr>
                <w:sz w:val="24"/>
                <w:szCs w:val="24"/>
                <w:color w:val="auto"/>
              </w:rPr>
            </w:pPr>
          </w:p>
        </w:tc>
      </w:tr>
      <w:tr>
        <w:trPr>
          <w:trHeight w:val="163"/>
        </w:trPr>
        <w:tc>
          <w:tcPr>
            <w:tcW w:w="960" w:type="dxa"/>
            <w:vAlign w:val="bottom"/>
            <w:tcBorders>
              <w:top w:val="single" w:sz="8" w:color="auto"/>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243"/>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A</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Assignment and Assumption</w:t>
            </w:r>
          </w:p>
        </w:tc>
      </w:tr>
      <w:tr>
        <w:trPr>
          <w:trHeight w:val="237"/>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B</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Credit Request</w:t>
            </w:r>
          </w:p>
        </w:tc>
      </w:tr>
      <w:tr>
        <w:trPr>
          <w:trHeight w:val="237"/>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C</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Note</w:t>
            </w:r>
          </w:p>
        </w:tc>
      </w:tr>
      <w:tr>
        <w:trPr>
          <w:trHeight w:val="236"/>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D</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Compliance Certificate</w:t>
            </w:r>
          </w:p>
        </w:tc>
      </w:tr>
      <w:tr>
        <w:trPr>
          <w:trHeight w:val="237"/>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E</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Increase Supplement</w:t>
            </w:r>
          </w:p>
        </w:tc>
      </w:tr>
      <w:tr>
        <w:trPr>
          <w:trHeight w:val="243"/>
        </w:trPr>
        <w:tc>
          <w:tcPr>
            <w:tcW w:w="2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Exhibit F</w:t>
            </w:r>
          </w:p>
        </w:tc>
        <w:tc>
          <w:tcPr>
            <w:tcW w:w="8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Form of U.S. Tax Compliance Certificates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380" w:val="left"/>
          <w:tab w:leader="none" w:pos="1720" w:val="left"/>
        </w:tabs>
        <w:rPr>
          <w:sz w:val="20"/>
          <w:szCs w:val="20"/>
          <w:color w:val="auto"/>
        </w:rPr>
      </w:pPr>
      <w:r>
        <w:rPr>
          <w:rFonts w:ascii="Arial" w:cs="Arial" w:eastAsia="Arial" w:hAnsi="Arial"/>
          <w:sz w:val="14"/>
          <w:szCs w:val="14"/>
          <w:color w:val="auto"/>
        </w:rPr>
        <w:t>744315352 11074672</w:t>
        <w:tab/>
        <w:t>(iv)</w:t>
        <w:tab/>
        <w:t>ALLETE CREDIT AGREEMENT</w:t>
      </w:r>
    </w:p>
    <w:p>
      <w:pPr>
        <w:sectPr>
          <w:pgSz w:w="11900" w:h="16838" w:orient="portrait"/>
          <w:cols w:equalWidth="0" w:num="1">
            <w:col w:w="11000"/>
          </w:cols>
          <w:pgMar w:left="320" w:top="1440" w:right="579" w:bottom="1440" w:gutter="0" w:footer="0" w:header="0"/>
        </w:sectPr>
      </w:pPr>
    </w:p>
    <w:bookmarkStart w:id="137" w:name="page138"/>
    <w:bookmarkEnd w:id="137"/>
    <w:p>
      <w:pPr>
        <w:spacing w:after="0" w:line="10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THIS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January 10, 2019, is among ALLETE,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party hereto and JPMORGAN CHASE BANK, N.A., as Administrative Agent.</w:t>
      </w:r>
    </w:p>
    <w:p>
      <w:pPr>
        <w:spacing w:after="0" w:line="151"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the Borrower, various financial institutions and JPMorgan Chase Bank, N.A., as administrative agent, have entered into a credit agreement dated as of November 4, 2013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parties hereto have agreed to amend and restate the Existing Credit Agreement pursuant to this Agreement; and</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WHEREAS, the parties hereto intend that this Agreement and the documents executed in connection herewith not effect a novation of the obligations of the Borrower under the Existing Credit Agreement, but merely a restatement of and, where applicable, an amendment to the terms governing such obligations;</w:t>
      </w:r>
    </w:p>
    <w:p>
      <w:pPr>
        <w:spacing w:after="0" w:line="16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NOW, THEREFORE, for good and valuable consideration, the receipt and sufficiency of which are acknowledged hereby, the parties hereto agree as follows:</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w:t>
      </w:r>
    </w:p>
    <w:p>
      <w:pPr>
        <w:spacing w:after="0" w:line="1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DEFINITIONS AND INTERPRETATION</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Alternate Base Rate. For the avoidance of doubt, a Loan that bears interest at a rate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shall, for all purposes of this Agreement, be deemed to be an ABR Loan and not a Term Benchmark Loan.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Accountants</w:t>
      </w:r>
      <w:r>
        <w:rPr>
          <w:rFonts w:ascii="Arial" w:cs="Arial" w:eastAsia="Arial" w:hAnsi="Arial"/>
          <w:sz w:val="18"/>
          <w:szCs w:val="18"/>
          <w:color w:val="auto"/>
        </w:rPr>
        <w:t>” means PricewaterhouseCoopers, L.L.P. or another registered public accounting firm of recognized national</w:t>
      </w:r>
    </w:p>
    <w:p>
      <w:pPr>
        <w:spacing w:after="0"/>
        <w:rPr>
          <w:sz w:val="20"/>
          <w:szCs w:val="20"/>
          <w:color w:val="auto"/>
        </w:rPr>
      </w:pPr>
      <w:r>
        <w:rPr>
          <w:rFonts w:ascii="Arial" w:cs="Arial" w:eastAsia="Arial" w:hAnsi="Arial"/>
          <w:sz w:val="20"/>
          <w:szCs w:val="20"/>
          <w:color w:val="auto"/>
        </w:rPr>
        <w:t>standing.</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Daily Simple SOFR</w:t>
      </w:r>
      <w:r>
        <w:rPr>
          <w:rFonts w:ascii="Arial" w:cs="Arial" w:eastAsia="Arial" w:hAnsi="Arial"/>
          <w:sz w:val="20"/>
          <w:szCs w:val="20"/>
          <w:color w:val="auto"/>
        </w:rPr>
        <w:t xml:space="preserve">” means an interest rate per annum equal to (a) the Daily Simple SOFR, plus (b) 0.10%; </w:t>
      </w:r>
      <w:r>
        <w:rPr>
          <w:rFonts w:ascii="Arial" w:cs="Arial" w:eastAsia="Arial" w:hAnsi="Arial"/>
          <w:sz w:val="20"/>
          <w:szCs w:val="20"/>
          <w:i w:val="1"/>
          <w:iCs w:val="1"/>
          <w:color w:val="auto"/>
        </w:rPr>
        <w:t xml:space="preserve">provided that </w:t>
      </w:r>
      <w:r>
        <w:rPr>
          <w:rFonts w:ascii="Arial" w:cs="Arial" w:eastAsia="Arial" w:hAnsi="Arial"/>
          <w:sz w:val="20"/>
          <w:szCs w:val="20"/>
          <w:color w:val="auto"/>
        </w:rPr>
        <w:t>if the Adjusted Daily Simple SOFR as so determined would be less than the Floor, such rate shall be deemed to be equal to the</w:t>
      </w:r>
      <w:r>
        <w:rPr>
          <w:rFonts w:ascii="Arial" w:cs="Arial" w:eastAsia="Arial" w:hAnsi="Arial"/>
          <w:sz w:val="20"/>
          <w:szCs w:val="20"/>
          <w:i w:val="1"/>
          <w:iCs w:val="1"/>
          <w:color w:val="auto"/>
        </w:rPr>
        <w:t xml:space="preserve"> </w:t>
      </w:r>
      <w:r>
        <w:rPr>
          <w:rFonts w:ascii="Arial" w:cs="Arial" w:eastAsia="Arial" w:hAnsi="Arial"/>
          <w:sz w:val="20"/>
          <w:szCs w:val="20"/>
          <w:color w:val="auto"/>
        </w:rPr>
        <w:t>Floor for the purposes of this Agreement.</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Term SOFR Rate</w:t>
      </w:r>
      <w:r>
        <w:rPr>
          <w:rFonts w:ascii="Arial" w:cs="Arial" w:eastAsia="Arial" w:hAnsi="Arial"/>
          <w:sz w:val="20"/>
          <w:szCs w:val="20"/>
          <w:color w:val="auto"/>
        </w:rPr>
        <w:t xml:space="preserve">” means for any Interest Period, an interest rate per annum equal to (a) the Term SOFR Rate for such Interest Period, </w:t>
      </w:r>
      <w:r>
        <w:rPr>
          <w:rFonts w:ascii="Arial" w:cs="Arial" w:eastAsia="Arial" w:hAnsi="Arial"/>
          <w:sz w:val="20"/>
          <w:szCs w:val="20"/>
          <w:i w:val="1"/>
          <w:iCs w:val="1"/>
          <w:color w:val="auto"/>
        </w:rPr>
        <w:t>plus</w:t>
      </w:r>
      <w:r>
        <w:rPr>
          <w:rFonts w:ascii="Arial" w:cs="Arial" w:eastAsia="Arial" w:hAnsi="Arial"/>
          <w:sz w:val="20"/>
          <w:szCs w:val="20"/>
          <w:color w:val="auto"/>
        </w:rPr>
        <w:t xml:space="preserve"> (b) 0.10%; provided that if the Adjusted Term SOFR Rate as so determined would be less than 0.0%, such rate shall be deemed to be equal to 0.0% for the purposes of this Agreement.</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 its capacity as administrative agent for the Lenders hereunder, and any successor in such capacity.</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“Affected Financial Institution”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01" w:lineRule="exact"/>
        <w:rPr>
          <w:sz w:val="20"/>
          <w:szCs w:val="20"/>
          <w:color w:val="auto"/>
        </w:rPr>
      </w:pPr>
    </w:p>
    <w:p>
      <w:pPr>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w:t>
      </w:r>
    </w:p>
    <w:p>
      <w:pPr>
        <w:spacing w:after="0" w:line="21" w:lineRule="exact"/>
        <w:rPr>
          <w:sz w:val="20"/>
          <w:szCs w:val="20"/>
          <w:color w:val="auto"/>
        </w:rPr>
      </w:pPr>
    </w:p>
    <w:p>
      <w:pPr>
        <w:jc w:val="both"/>
        <w:ind w:firstLine="8"/>
        <w:spacing w:after="0" w:line="223" w:lineRule="auto"/>
        <w:tabs>
          <w:tab w:leader="none" w:pos="2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NYFRB Rate in effect on such day plus ½ of 1%, and (c) the Adjusted Term SOFR Rate for a one-month Interest Period as published two U.S. Government Securities Business Days prior to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(for the avoidance of doubt, only until the Benchmark Replacement has been determined pursuant to Section 3.4(b)), then the Alternate Base Rate shall be the greater of clauses (a) and (b) above and shall be determined without reference to clause (c) above. For the avoidance of doubt, if the Alternate Base Rate as determined pursuant to the foregoing would be less than 1.0%, such rate shall be deemed to be 1.0% for purposes of this Agreement.</w:t>
      </w:r>
    </w:p>
    <w:p>
      <w:pPr>
        <w:spacing w:after="0" w:line="16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4.12</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 xml:space="preserve">” means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determined pursuant to </w:t>
      </w:r>
      <w:r>
        <w:rPr>
          <w:rFonts w:ascii="Arial" w:cs="Arial" w:eastAsia="Arial" w:hAnsi="Arial"/>
          <w:sz w:val="20"/>
          <w:szCs w:val="20"/>
          <w:u w:val="single" w:color="auto"/>
          <w:color w:val="auto"/>
        </w:rPr>
        <w:t>Schedule 1</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Parties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9.3(c)</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the percentage of the total Commitments represented by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when a Defaulting Lender shall exist, “Applicable Percentage” shall mean the percentage of the total Commitments (disregarding any Defaulting Lender’s Commitments) represented by such Lender’s Commitments. If the Commitments have terminated or expired, the Applicable Percentages shall be determined based upon the Commitments most recently in effect, giving effect to any assignments and to any Lender’s status as a Defaulting Lender at the time of such determination.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Platform</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9.3(a)</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with respect to any Lender that is a fund that invests in commercial loans, any other fund that invests in commercial loans and is managed or advised by the same investment advisor as such Lender or by an Affiliate of such investment advisor.</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and accepted by the Administrative Agent,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in such other form as shall be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01"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Maturity Date and, if different, the date of termination of the Commitments.</w:t>
      </w:r>
    </w:p>
    <w:p>
      <w:pPr>
        <w:spacing w:after="0" w:line="15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3.4</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9"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means, initially, the Term SOFR Rate; provided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of Section 3.4.</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p>
    <w:p>
      <w:pPr>
        <w:spacing w:after="0" w:line="166" w:lineRule="exact"/>
        <w:rPr>
          <w:sz w:val="20"/>
          <w:szCs w:val="20"/>
          <w:color w:val="auto"/>
        </w:rPr>
      </w:pPr>
    </w:p>
    <w:p>
      <w:pPr>
        <w:ind w:left="1940" w:hanging="636"/>
        <w:spacing w:after="0"/>
        <w:tabs>
          <w:tab w:leader="none" w:pos="1940" w:val="left"/>
        </w:tabs>
        <w:numPr>
          <w:ilvl w:val="0"/>
          <w:numId w:val="43"/>
        </w:numPr>
        <w:rPr>
          <w:rFonts w:ascii="Arial" w:cs="Arial" w:eastAsia="Arial" w:hAnsi="Arial"/>
          <w:sz w:val="22"/>
          <w:szCs w:val="22"/>
          <w:color w:val="auto"/>
        </w:rPr>
      </w:pPr>
      <w:r>
        <w:rPr>
          <w:rFonts w:ascii="Arial" w:cs="Arial" w:eastAsia="Arial" w:hAnsi="Arial"/>
          <w:sz w:val="20"/>
          <w:szCs w:val="20"/>
          <w:color w:val="auto"/>
        </w:rPr>
        <w:t>the Adjusted Daily Simple SOFR;</w:t>
      </w:r>
    </w:p>
    <w:p>
      <w:pPr>
        <w:spacing w:after="0" w:line="181" w:lineRule="exact"/>
        <w:rPr>
          <w:rFonts w:ascii="Arial" w:cs="Arial" w:eastAsia="Arial" w:hAnsi="Arial"/>
          <w:sz w:val="22"/>
          <w:szCs w:val="22"/>
          <w:color w:val="auto"/>
        </w:rPr>
      </w:pPr>
    </w:p>
    <w:p>
      <w:pPr>
        <w:jc w:val="both"/>
        <w:ind w:firstLine="1304"/>
        <w:spacing w:after="0" w:line="208" w:lineRule="auto"/>
        <w:tabs>
          <w:tab w:leader="none" w:pos="1939" w:val="left"/>
        </w:tabs>
        <w:numPr>
          <w:ilvl w:val="0"/>
          <w:numId w:val="43"/>
        </w:numPr>
        <w:rPr>
          <w:rFonts w:ascii="Arial" w:cs="Arial" w:eastAsia="Arial" w:hAnsi="Arial"/>
          <w:sz w:val="22"/>
          <w:szCs w:val="22"/>
          <w:color w:val="auto"/>
        </w:rPr>
      </w:pPr>
      <w:r>
        <w:rPr>
          <w:rFonts w:ascii="Arial" w:cs="Arial" w:eastAsia="Arial" w:hAnsi="Arial"/>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credit facilities at such time in the United States and (b) the related Benchmark Replacement Adjustment.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55" w:lineRule="exact"/>
        <w:rPr>
          <w:sz w:val="20"/>
          <w:szCs w:val="20"/>
          <w:color w:val="auto"/>
        </w:rPr>
      </w:pPr>
    </w:p>
    <w:p>
      <w:pPr>
        <w:jc w:val="both"/>
        <w:ind w:firstLine="846"/>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Adjustment</w:t>
      </w:r>
      <w:r>
        <w:rPr>
          <w:rFonts w:ascii="Arial" w:cs="Arial" w:eastAsia="Arial" w:hAnsi="Arial"/>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55" w:lineRule="exact"/>
        <w:rPr>
          <w:sz w:val="20"/>
          <w:szCs w:val="20"/>
          <w:color w:val="auto"/>
        </w:rPr>
      </w:pPr>
    </w:p>
    <w:p>
      <w:pPr>
        <w:jc w:val="both"/>
        <w:ind w:firstLine="1048"/>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Credit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57" w:lineRule="exact"/>
        <w:rPr>
          <w:sz w:val="20"/>
          <w:szCs w:val="20"/>
          <w:color w:val="auto"/>
        </w:rPr>
      </w:pPr>
    </w:p>
    <w:p>
      <w:pPr>
        <w:jc w:val="both"/>
        <w:ind w:right="20" w:firstLine="859"/>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with respect to any Benchmark, the earliest to occur of the following events with respect to such then-current Benchmark:</w:t>
      </w:r>
    </w:p>
    <w:p>
      <w:pPr>
        <w:spacing w:after="0" w:line="155" w:lineRule="exact"/>
        <w:rPr>
          <w:sz w:val="20"/>
          <w:szCs w:val="20"/>
          <w:color w:val="auto"/>
        </w:rPr>
      </w:pPr>
    </w:p>
    <w:p>
      <w:pPr>
        <w:jc w:val="both"/>
        <w:ind w:left="660" w:firstLine="644"/>
        <w:spacing w:after="0" w:line="213" w:lineRule="auto"/>
        <w:tabs>
          <w:tab w:leader="none" w:pos="160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55" w:lineRule="exact"/>
        <w:rPr>
          <w:rFonts w:ascii="Arial" w:cs="Arial" w:eastAsia="Arial" w:hAnsi="Arial"/>
          <w:sz w:val="20"/>
          <w:szCs w:val="20"/>
          <w:color w:val="auto"/>
        </w:rPr>
      </w:pPr>
    </w:p>
    <w:p>
      <w:pPr>
        <w:jc w:val="both"/>
        <w:ind w:left="660" w:firstLine="644"/>
        <w:spacing w:after="0" w:line="233" w:lineRule="auto"/>
        <w:tabs>
          <w:tab w:leader="none" w:pos="159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0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155" w:lineRule="exact"/>
        <w:rPr>
          <w:sz w:val="20"/>
          <w:szCs w:val="20"/>
          <w:color w:val="auto"/>
        </w:rPr>
      </w:pPr>
    </w:p>
    <w:p>
      <w:pPr>
        <w:jc w:val="both"/>
        <w:ind w:left="660" w:firstLine="644"/>
        <w:spacing w:after="0" w:line="210" w:lineRule="auto"/>
        <w:tabs>
          <w:tab w:leader="none" w:pos="1589"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54" w:lineRule="exact"/>
        <w:rPr>
          <w:rFonts w:ascii="Arial" w:cs="Arial" w:eastAsia="Arial" w:hAnsi="Arial"/>
          <w:sz w:val="20"/>
          <w:szCs w:val="20"/>
          <w:color w:val="auto"/>
        </w:rPr>
      </w:pPr>
    </w:p>
    <w:p>
      <w:pPr>
        <w:jc w:val="both"/>
        <w:ind w:left="660" w:firstLine="644"/>
        <w:spacing w:after="0" w:line="228" w:lineRule="auto"/>
        <w:tabs>
          <w:tab w:leader="none" w:pos="15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the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4" w:lineRule="exact"/>
        <w:rPr>
          <w:rFonts w:ascii="Arial" w:cs="Arial" w:eastAsia="Arial" w:hAnsi="Arial"/>
          <w:sz w:val="18"/>
          <w:szCs w:val="18"/>
          <w:color w:val="auto"/>
        </w:rPr>
      </w:pPr>
    </w:p>
    <w:p>
      <w:pPr>
        <w:jc w:val="both"/>
        <w:ind w:left="660" w:firstLine="644"/>
        <w:spacing w:after="0" w:line="218" w:lineRule="auto"/>
        <w:tabs>
          <w:tab w:leader="none" w:pos="159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6"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3.4 and (y) ending at the time that a Benchmark Replacement has replaced such then-current Benchmark for all purposes hereunder and under any Loan Document in accordance with Section 3.4.</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as required by the Beneficial Ownership Regulation.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0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ALLETE, Inc., a Minnesota corporation.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Financial Statements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4.4(a)</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Loans of the same Type made, converted or continued on the same date and, in the case of Term Benchmark Loans, as to which a single Interest Period is in effect.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that is not a Saturday, Sunday or other day on which commercial banks in New York City are authorized or required by law to remain closed; provided that, in relation to any interest rate setting with respect to Term Benchmark Loans, any such day that is only an U.S. Government Securities Business Day.</w:t>
      </w:r>
    </w:p>
    <w:p>
      <w:pPr>
        <w:spacing w:after="0" w:line="156"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(a) the consummation of any transaction the result of which is that any “person” or “group” (within the meaning of Section 13(d)(3) of the Securities Exchange Act of 1934 but excluding any employee benefit plan of the Borrower or its Subsidiaries, and any Person acting in its capacity as trustee, agent or other fiduciary or administrator of any such plan) becomes the “beneficial owner” (as such term is defined in Rule 13d-3 under the Securities Exchange Act of 1934) of more than 30% of the total voting power in the aggregate of all classes of the Voting Securities of the Borrower then outstanding, (b) during any period of two consecutive calendar years, individuals who at the beginning of such period constituted the board of directors of the Borrower cease for any reason to constitute a majority of the directors of the Borrower then in office unless (i) such new directors were elected or nominated by a majority of the directors of the Borrower who constituted the board of directors of the Borrower at the beginning of such period or (ii) the reason for such directors failing to constitute a majority is a result of retirement by directors due to age, death or disability or (c) any event or condition relating to a change of control of the Borrower shall occur which requires or permits the holder or holders of indebtedness of the Borrower in an aggregate principal amount of $35,000,000 or more, or any agent or trustee for such holders, to require payment, purchase, redemption or defeasance of such indebtedness prior to its expressed maturity.</w:t>
      </w:r>
    </w:p>
    <w:p>
      <w:pPr>
        <w:spacing w:after="0" w:line="155"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any United States or foreign regulatory authority, in each case pursuant to Basel III, shall, in each case referred to in the foregoing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be deemed to be a “Change in Law”, regardless of the date enacted, adopted or issued.</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 Term SOFR Administrator</w:t>
      </w:r>
      <w:r>
        <w:rPr>
          <w:rFonts w:ascii="Arial" w:cs="Arial" w:eastAsia="Arial" w:hAnsi="Arial"/>
          <w:sz w:val="20"/>
          <w:szCs w:val="20"/>
          <w:color w:val="auto"/>
        </w:rPr>
        <w:t>” means CME Group Benchmark Administration Limited as administrator of the forward-looking term SOFR (or a successor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0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w:t>
      </w:r>
      <w:r>
        <w:rPr>
          <w:rFonts w:ascii="Arial" w:cs="Arial" w:eastAsia="Arial" w:hAnsi="Arial"/>
          <w:sz w:val="20"/>
          <w:szCs w:val="20"/>
          <w:color w:val="auto"/>
        </w:rPr>
        <w:t>” means CoBank ACB.</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CoBank Equities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10.17(a)</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175" w:lineRule="exact"/>
        <w:rPr>
          <w:sz w:val="20"/>
          <w:szCs w:val="20"/>
          <w:color w:val="auto"/>
        </w:rPr>
      </w:pPr>
    </w:p>
    <w:p>
      <w:pPr>
        <w:jc w:val="both"/>
        <w:ind w:firstLine="1296"/>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with respect to each Lender, the commitment of such Lender to make Loans and to acquire participations in Letters of Credit hereunder in an aggregate outstanding amount not exceeding the amount of such Lender’s Commitment as set forth on </w:t>
      </w:r>
      <w:r>
        <w:rPr>
          <w:rFonts w:ascii="Arial" w:cs="Arial" w:eastAsia="Arial" w:hAnsi="Arial"/>
          <w:sz w:val="20"/>
          <w:szCs w:val="20"/>
          <w:u w:val="single" w:color="auto"/>
          <w:color w:val="auto"/>
        </w:rPr>
        <w:t>Schedule 2.1 plus</w:t>
      </w:r>
      <w:r>
        <w:rPr>
          <w:rFonts w:ascii="Arial" w:cs="Arial" w:eastAsia="Arial" w:hAnsi="Arial"/>
          <w:sz w:val="20"/>
          <w:szCs w:val="20"/>
          <w:color w:val="auto"/>
        </w:rPr>
        <w:t xml:space="preserve">, the amount of any increase set forth in each Increase Supplement executed and delivered by such Lender, the Borrower and the Administrative Agent or in the Assignment and Assumption pursuant to which such Lender shall have assumed its Commitment in accordance with </w:t>
      </w:r>
      <w:r>
        <w:rPr>
          <w:rFonts w:ascii="Arial" w:cs="Arial" w:eastAsia="Arial" w:hAnsi="Arial"/>
          <w:sz w:val="20"/>
          <w:szCs w:val="20"/>
          <w:u w:val="single" w:color="auto"/>
          <w:color w:val="auto"/>
        </w:rPr>
        <w:t>Section 10.4(b)</w:t>
      </w:r>
      <w:r>
        <w:rPr>
          <w:rFonts w:ascii="Arial" w:cs="Arial" w:eastAsia="Arial" w:hAnsi="Arial"/>
          <w:sz w:val="20"/>
          <w:szCs w:val="20"/>
          <w:color w:val="auto"/>
        </w:rPr>
        <w:t xml:space="preserve">, as applicable, as such Commitment may be adjusted from time to time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2.5</w:t>
      </w:r>
      <w:r>
        <w:rPr>
          <w:rFonts w:ascii="Arial" w:cs="Arial" w:eastAsia="Arial" w:hAnsi="Arial"/>
          <w:sz w:val="20"/>
          <w:szCs w:val="20"/>
          <w:color w:val="auto"/>
        </w:rPr>
        <w:t xml:space="preserve"> or pursuant to assignments by or to such Lender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 The initial aggregate amount of the Commitments is $400,000,000.</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9.3(c)</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Assets</w:t>
      </w:r>
      <w:r>
        <w:rPr>
          <w:rFonts w:ascii="Arial" w:cs="Arial" w:eastAsia="Arial" w:hAnsi="Arial"/>
          <w:sz w:val="20"/>
          <w:szCs w:val="20"/>
          <w:color w:val="auto"/>
        </w:rPr>
        <w:t>” means the total amount of assets shown on the consolidated balance sheet of the Borrower and its Subsidiaries, determined in accordance with GAAP and prepared as of the end of the fiscal quarter then most recently ended for which financial statements have been filed with the SEC.</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The terms “Controlling” and “Controlled” have meanings correlative thereto.</w:t>
      </w:r>
    </w:p>
    <w:p>
      <w:pPr>
        <w:spacing w:after="0" w:line="156"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Corresponding Tenor</w:t>
      </w:r>
      <w:r>
        <w:rPr>
          <w:rFonts w:ascii="Arial" w:cs="Arial" w:eastAsia="Arial" w:hAnsi="Arial"/>
          <w:sz w:val="19"/>
          <w:szCs w:val="19"/>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with respect to any Lender at any time, the sum of the aggregate outstanding principal amount of such Lender’s Loans and its LC Exposure at such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Parties</w:t>
      </w:r>
      <w:r>
        <w:rPr>
          <w:rFonts w:ascii="Arial" w:cs="Arial" w:eastAsia="Arial" w:hAnsi="Arial"/>
          <w:sz w:val="20"/>
          <w:szCs w:val="20"/>
          <w:color w:val="auto"/>
        </w:rPr>
        <w:t>” means the Administrative Agent, the Issuing Banks and the Lenders.</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Request</w:t>
      </w:r>
      <w:r>
        <w:rPr>
          <w:rFonts w:ascii="Arial" w:cs="Arial" w:eastAsia="Arial" w:hAnsi="Arial"/>
          <w:sz w:val="20"/>
          <w:szCs w:val="20"/>
          <w:color w:val="auto"/>
        </w:rPr>
        <w:t xml:space="preserve">” means a Credit Request,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or in such other form as shall be acceptable to the Administrative Agent.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SOFR</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SOFR Rate Day</w:t>
      </w:r>
      <w:r>
        <w:rPr>
          <w:rFonts w:ascii="Arial" w:cs="Arial" w:eastAsia="Arial" w:hAnsi="Arial"/>
          <w:sz w:val="19"/>
          <w:szCs w:val="19"/>
          <w:color w:val="auto"/>
        </w:rPr>
        <w:t>”), a rate per annum equal to SOFR for the day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spacing w:after="0" w:line="159"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Declining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shall include the Second Amendment Declining Lender.</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upon notice, lapse of time or both would, unless cured or waived,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01" w:lineRule="exact"/>
        <w:rPr>
          <w:sz w:val="20"/>
          <w:szCs w:val="20"/>
          <w:color w:val="auto"/>
        </w:rPr>
      </w:pPr>
    </w:p>
    <w:p>
      <w:pPr>
        <w:ind w:firstLine="1296"/>
        <w:spacing w:after="0" w:line="22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as determined by the Administrative Agent (or if the Administrative Agent is the Defaulting Lender, by the Required Lenders), that (a) has failed, within three (3) Business Days of the date required to be funded or paid, to</w:t>
      </w:r>
    </w:p>
    <w:p>
      <w:pPr>
        <w:spacing w:after="0" w:line="1" w:lineRule="exact"/>
        <w:rPr>
          <w:sz w:val="20"/>
          <w:szCs w:val="20"/>
          <w:color w:val="auto"/>
        </w:rPr>
      </w:pPr>
    </w:p>
    <w:p>
      <w:pPr>
        <w:jc w:val="both"/>
        <w:ind w:firstLine="8"/>
        <w:spacing w:after="0" w:line="223" w:lineRule="auto"/>
        <w:tabs>
          <w:tab w:leader="none" w:pos="2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fund any portion of its Loans, (ii) fund any portion of its participations in Letters of Credit or (iii) pay over to any Credit Party any other amount required to be paid by it hereunder, unless,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or generally under other agreements in which it commits to extend credit, (c) has failed, within three (3) Business Days after request by a Credit Party (based on the reasonable belief that it may not fulfill its funding obligation),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such Credit Party’s receipt of such certification in form and substance satisfactory to it and the Administrative Agent, or (d) has become the subject of (A) a Bankruptcy Event or (B) a Bail-In Action.</w:t>
      </w:r>
    </w:p>
    <w:p>
      <w:pPr>
        <w:spacing w:after="0" w:line="163"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Disclosed Matters</w:t>
      </w:r>
      <w:r>
        <w:rPr>
          <w:rFonts w:ascii="Arial" w:cs="Arial" w:eastAsia="Arial" w:hAnsi="Arial"/>
          <w:sz w:val="20"/>
          <w:szCs w:val="20"/>
          <w:color w:val="auto"/>
        </w:rPr>
        <w:t xml:space="preserve">” means the actions, suits, proceedings and environmental matters disclosed in (a) </w:t>
      </w:r>
      <w:r>
        <w:rPr>
          <w:rFonts w:ascii="Arial" w:cs="Arial" w:eastAsia="Arial" w:hAnsi="Arial"/>
          <w:sz w:val="20"/>
          <w:szCs w:val="20"/>
          <w:u w:val="single" w:color="auto"/>
          <w:color w:val="auto"/>
        </w:rPr>
        <w:t>Schedule 4.5/4.6</w:t>
      </w:r>
      <w:r>
        <w:rPr>
          <w:rFonts w:ascii="Arial" w:cs="Arial" w:eastAsia="Arial" w:hAnsi="Arial"/>
          <w:sz w:val="20"/>
          <w:szCs w:val="20"/>
          <w:color w:val="auto"/>
        </w:rPr>
        <w:t>, (b) the current and periodic reports filed by the Borrower from time to time with the SEC pursuant to the requirements of the Securities Exchange Act of 1934 and the rules and regulations promulgated thereunder, or (c) disclosed by the Borrower to the Lenders (either directly or indirectly through the Administrative Agent) in writing.</w:t>
      </w:r>
    </w:p>
    <w:p>
      <w:pPr>
        <w:spacing w:after="0" w:line="15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17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18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means January 10, 2019.</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01"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Assignees</w:t>
      </w:r>
      <w:r>
        <w:rPr>
          <w:rFonts w:ascii="Arial" w:cs="Arial" w:eastAsia="Arial" w:hAnsi="Arial"/>
          <w:sz w:val="19"/>
          <w:szCs w:val="19"/>
          <w:color w:val="auto"/>
        </w:rPr>
        <w:t xml:space="preserve">” means any of the following (a) any commercial banks, finance companies, insurance companies and other financial institutions and funds (whether a corporation, partnership or other entity) engaged generally in making, purchasing or otherwise investing in commercial loans in the ordinary course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such entity is a Lender or an Affiliate of a Lender, such entity has been approved by the Administrative Agent, the Issuing Banks and, unless an Event of Default has occurred and is continuing at the time of assignment to such entity, the Borrower (each such approval not to be unreasonably withheld or delayed),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such entity shall be entitled, as of the date such entity becomes a Lender, to receive payments under its Note without deduction or withholding with respect to United States federal income tax, (b) each of the Lenders and (c) any Affiliate or Approved Fund of a Lender, and each is an “Eligible Assignee”.</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and all applicable present and future treaties, laws, rules, regulations, codes, ordinances, orders, decrees, judgments, injunctions, notices or binding agreements issued, promulgated or entered into by or with any Governmental Authority, relating in any way to the environment, preservation or reclamation of natural resources, the presence, management, release or threatened release of any Hazardous Material or to health and safety matters.</w:t>
      </w:r>
    </w:p>
    <w:p>
      <w:pPr>
        <w:spacing w:after="0" w:line="15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xml:space="preserve">” 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56" w:lineRule="exact"/>
        <w:rPr>
          <w:sz w:val="20"/>
          <w:szCs w:val="20"/>
          <w:color w:val="auto"/>
        </w:rPr>
      </w:pPr>
    </w:p>
    <w:p>
      <w:pPr>
        <w:jc w:val="both"/>
        <w:ind w:firstLine="1296"/>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 day notice period is waived), (b) any failure to satisfy the minimum funding standards of Section 412 of the Code or Section 302 of ERISA with respect to any Plan, whether or not waived, (c) the incurrence by the Borrower, any Subsidiary or any ERISA Affiliate of any liability under Title IV of ERISA with respect to the termination of any Plan, (d) the receipt by the Borrower, any Subsidiary or any ERISA Affiliate from the PBGC or a plan administrator of any notice relating to an intention to terminate any Plan or Plans or to appoint a trustee to administer any Plan, (e) the incurrence by the Borrower, any Subsidiary or any ERISA Affiliate of any liability with respect to the withdrawal or partial withdrawal from any Plan or Multiemployer Plan or (f)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or in reorganization, within the meaning of Title IV of ERISA.</w:t>
      </w:r>
    </w:p>
    <w:p>
      <w:pPr>
        <w:spacing w:after="0" w:line="15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6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0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Arial" w:cs="Arial" w:eastAsia="Arial" w:hAnsi="Arial"/>
          <w:sz w:val="18"/>
          <w:szCs w:val="18"/>
          <w:u w:val="single" w:color="auto"/>
          <w:color w:val="auto"/>
        </w:rPr>
        <w:t>Section 3.8(b)</w:t>
      </w:r>
      <w:r>
        <w:rPr>
          <w:rFonts w:ascii="Arial" w:cs="Arial" w:eastAsia="Arial" w:hAnsi="Arial"/>
          <w:sz w:val="18"/>
          <w:szCs w:val="18"/>
          <w:color w:val="auto"/>
        </w:rPr>
        <w:t>) or</w:t>
      </w:r>
    </w:p>
    <w:p>
      <w:pPr>
        <w:spacing w:after="0" w:line="1" w:lineRule="exact"/>
        <w:rPr>
          <w:sz w:val="20"/>
          <w:szCs w:val="20"/>
          <w:color w:val="auto"/>
        </w:rPr>
      </w:pPr>
    </w:p>
    <w:p>
      <w:pPr>
        <w:jc w:val="both"/>
        <w:ind w:firstLine="8"/>
        <w:spacing w:after="0" w:line="209" w:lineRule="auto"/>
        <w:tabs>
          <w:tab w:leader="none" w:pos="294" w:val="left"/>
        </w:tabs>
        <w:numPr>
          <w:ilvl w:val="0"/>
          <w:numId w:val="47"/>
        </w:numPr>
        <w:rPr>
          <w:rFonts w:ascii="Arial" w:cs="Arial" w:eastAsia="Arial" w:hAnsi="Arial"/>
          <w:sz w:val="20"/>
          <w:szCs w:val="20"/>
          <w:color w:val="auto"/>
        </w:rPr>
      </w:pPr>
      <w:r>
        <w:rPr>
          <w:rFonts w:ascii="Arial" w:cs="Arial" w:eastAsia="Arial" w:hAnsi="Arial"/>
          <w:sz w:val="20"/>
          <w:szCs w:val="20"/>
          <w:color w:val="auto"/>
        </w:rPr>
        <w:t xml:space="preserve">such Lender changes its lending office, except in each case to the extent that,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3.7(f)</w:t>
      </w:r>
      <w:r>
        <w:rPr>
          <w:rFonts w:ascii="Arial" w:cs="Arial" w:eastAsia="Arial" w:hAnsi="Arial"/>
          <w:sz w:val="20"/>
          <w:szCs w:val="20"/>
          <w:color w:val="auto"/>
        </w:rPr>
        <w:t>, and (d) any withholding Taxes imposed under FATCA.</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has the meaning assigned to such term in the recitals.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Effective Date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Request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2.8</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5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zero for the purposes of this Agreement.</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Borrower.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Ratings Inc., or any successor thereto.</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the benchmark rate floor, if any, provided in this Agreement initially (as of the execution of this Agreement, the modification, amendment or renewal of this Agreement or otherwise) with respect to the Adjusted Term SOFR Rate. For the avoidance of doubt, the initial Floor shall be 0.0%.</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56"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set forth in the opinions and pronouncements of the Accounting Principles Board and the American Institute of Certified Public Accountants and in the statements and pronouncements of the Financial Accounting Standards Board or in such other statement by such other entity as may be approved by a significant segment of the accounting profession, which are applicable to the circumstances as of the date of determination, consistently applied;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Borrower converts to use the International Financial Reporting Standards by the International Accounting Standards Board or other method of accounting, as may hereafter be required or permitted by the SEC, then the term “GAAP” as used in this Agreement shall be deemed to mean and refer to such International Financial Reporting Standards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such other method of accounting instead, which are applicable to the circumstances as of the date of determination, consistently applied.</w:t>
      </w:r>
    </w:p>
    <w:p>
      <w:pPr>
        <w:spacing w:after="0" w:line="19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commission, exchange, association, board, authority, instrumentality, regulatory body, court, central bank or other entity exercising executive, legislative, judicial, taxing, regulatory or administrative powers or functions of or pertaining to government (including supranational bodies such as the European Union or European Central Bank).</w:t>
      </w:r>
    </w:p>
    <w:p>
      <w:pPr>
        <w:spacing w:after="0" w:line="158"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obligations of such other Person under such Permitted Hedge Agreement with such counterparty shall be terminable at the election of such other Person in the event of a default by such counterparty in its obligations to such other Person.</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Agreement</w:t>
      </w:r>
      <w:r>
        <w:rPr>
          <w:rFonts w:ascii="Arial" w:cs="Arial" w:eastAsia="Arial" w:hAnsi="Arial"/>
          <w:sz w:val="19"/>
          <w:szCs w:val="19"/>
          <w:color w:val="auto"/>
        </w:rPr>
        <w:t>” 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spacing w:after="0" w:line="155" w:lineRule="exact"/>
        <w:rPr>
          <w:sz w:val="20"/>
          <w:szCs w:val="20"/>
          <w:color w:val="auto"/>
        </w:rPr>
      </w:pPr>
    </w:p>
    <w:p>
      <w:pPr>
        <w:jc w:val="both"/>
        <w:ind w:right="2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 Subsidiary that (a) has consolidated total assets with a book value not exceeding 5% of Consolidated Assets as of the end of the most recent fiscal quarter for which financial statements have been filed with the SEC and (b) had total revenues not exceeding 5% of the Borrower’s consolidated total revenues for the period ending on the last day of such fiscal quarter.</w:t>
      </w:r>
    </w:p>
    <w:p>
      <w:pPr>
        <w:spacing w:after="0" w:line="152"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Transaction</w:t>
      </w:r>
      <w:r>
        <w:rPr>
          <w:rFonts w:ascii="Arial" w:cs="Arial" w:eastAsia="Arial" w:hAnsi="Arial"/>
          <w:sz w:val="20"/>
          <w:szCs w:val="20"/>
          <w:color w:val="auto"/>
        </w:rPr>
        <w:t xml:space="preserve">” means any transaction or event described in </w:t>
      </w:r>
      <w:r>
        <w:rPr>
          <w:rFonts w:ascii="Arial" w:cs="Arial" w:eastAsia="Arial" w:hAnsi="Arial"/>
          <w:sz w:val="20"/>
          <w:szCs w:val="20"/>
          <w:u w:val="single" w:color="auto"/>
          <w:color w:val="auto"/>
        </w:rPr>
        <w:t>paragraph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(j)</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so long as, after giving effect to such transaction or event, all Subsidiaries that have become subject to such transactions or events during the 12-month period ending on the date of such transaction or event (a) had consolidated total assets with a fair market value not exceeding 5% of Consolidated Assets as of the end of the most recent fiscal quarter for which financial statements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been filed with the SEC and (b) had total revenues not exceeding 5% of the Borrower’s consolidated total revenues for the period ending on the last day of such fiscal quarter.</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Supplement</w:t>
      </w:r>
      <w:r>
        <w:rPr>
          <w:rFonts w:ascii="Arial" w:cs="Arial" w:eastAsia="Arial" w:hAnsi="Arial"/>
          <w:sz w:val="20"/>
          <w:szCs w:val="20"/>
          <w:color w:val="auto"/>
        </w:rPr>
        <w:t xml:space="preserve">” means an increase supplement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Borrower’s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Guarantees of such Person in respect of Indebtedness of others, and (j) to the extent not otherwise included, all net obligations of such Person under Permitted Hedge Agreements.</w:t>
      </w:r>
    </w:p>
    <w:p>
      <w:pPr>
        <w:spacing w:after="0" w:line="166" w:lineRule="exact"/>
        <w:rPr>
          <w:sz w:val="20"/>
          <w:szCs w:val="20"/>
          <w:color w:val="auto"/>
        </w:rPr>
      </w:pPr>
    </w:p>
    <w:p>
      <w:pPr>
        <w:jc w:val="both"/>
        <w:ind w:firstLine="1296"/>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the Borrower under any Loan Document and (b) to the extent not otherwise described in (a) hereof, Other Taxes.</w:t>
      </w:r>
    </w:p>
    <w:p>
      <w:pPr>
        <w:spacing w:after="0" w:line="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10.3(b)</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10.15</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Maturity Date</w:t>
      </w:r>
      <w:r>
        <w:rPr>
          <w:rFonts w:ascii="Arial" w:cs="Arial" w:eastAsia="Arial" w:hAnsi="Arial"/>
          <w:sz w:val="20"/>
          <w:szCs w:val="20"/>
          <w:color w:val="auto"/>
        </w:rPr>
        <w:t>” means January 10, 2024.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copyrights, trademarks, servicemarks, patents, trade names and service names.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request by the Borrower to convert or continue a Borrowing in accordance with </w:t>
      </w:r>
      <w:r>
        <w:rPr>
          <w:rFonts w:ascii="Arial" w:cs="Arial" w:eastAsia="Arial" w:hAnsi="Arial"/>
          <w:sz w:val="18"/>
          <w:szCs w:val="18"/>
          <w:u w:val="single" w:color="auto"/>
          <w:color w:val="auto"/>
        </w:rPr>
        <w:t>Section</w:t>
      </w:r>
    </w:p>
    <w:p>
      <w:pPr>
        <w:spacing w:after="0"/>
        <w:rPr>
          <w:sz w:val="20"/>
          <w:szCs w:val="20"/>
          <w:color w:val="auto"/>
        </w:rPr>
      </w:pPr>
      <w:r>
        <w:rPr>
          <w:rFonts w:ascii="Arial" w:cs="Arial" w:eastAsia="Arial" w:hAnsi="Arial"/>
          <w:sz w:val="20"/>
          <w:szCs w:val="20"/>
          <w:u w:val="single" w:color="auto"/>
          <w:color w:val="auto"/>
        </w:rPr>
        <w:t>3.2</w:t>
      </w:r>
      <w:r>
        <w:rPr>
          <w:rFonts w:ascii="Arial" w:cs="Arial" w:eastAsia="Arial" w:hAnsi="Arial"/>
          <w:sz w:val="20"/>
          <w:szCs w:val="20"/>
          <w:color w:val="auto"/>
        </w:rPr>
        <w:t>.</w:t>
      </w:r>
    </w:p>
    <w:p>
      <w:pPr>
        <w:spacing w:after="0" w:line="159"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means (a) with respect to any ABR Loan, the last day of each March, June, September and December and the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of the Benchmark applicable to the relevant Loan or Commitment),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0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3.4(e) shall be available for specification in such Credit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7.2.</w:t>
      </w:r>
    </w:p>
    <w:p>
      <w:pPr>
        <w:spacing w:after="0" w:line="175"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xml:space="preserve">” means JPMorgan Chase, CoBank and any other Lender that agrees to act as an Issuing Bank, each in its capacity as the issuer of Letters of Credit hereunder, and its successors in such capacity as provided in </w:t>
      </w:r>
      <w:r>
        <w:rPr>
          <w:rFonts w:ascii="Arial" w:cs="Arial" w:eastAsia="Arial" w:hAnsi="Arial"/>
          <w:sz w:val="18"/>
          <w:szCs w:val="18"/>
          <w:u w:val="single" w:color="auto"/>
          <w:color w:val="auto"/>
        </w:rPr>
        <w:t>Section 2.9(i)</w:t>
      </w:r>
      <w:r>
        <w:rPr>
          <w:rFonts w:ascii="Arial" w:cs="Arial" w:eastAsia="Arial" w:hAnsi="Arial"/>
          <w:sz w:val="18"/>
          <w:szCs w:val="18"/>
          <w:color w:val="auto"/>
        </w:rPr>
        <w:t>.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 Chase</w:t>
      </w:r>
      <w:r>
        <w:rPr>
          <w:rFonts w:ascii="Arial" w:cs="Arial" w:eastAsia="Arial" w:hAnsi="Arial"/>
          <w:sz w:val="20"/>
          <w:szCs w:val="20"/>
          <w:color w:val="auto"/>
        </w:rPr>
        <w:t>” means JPMorgan Chase Bank, N.A.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an Issuing Bank pursuant to a Letter of Credit.</w:t>
      </w:r>
    </w:p>
    <w:p>
      <w:pPr>
        <w:spacing w:after="0" w:line="17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xml:space="preserve">” means, at any time, (a) with respect to all of the Lenders, the sum, without duplication, of (i) the aggregate undrawn amount of all outstanding Letters of Credit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aggregate amount of all LC Disbursements that have not yet been reimbursed by or on behalf of the Borrower at such time and (b) with respect to each Lender, its Applicable Percentage of the amount determined under </w:t>
      </w:r>
      <w:r>
        <w:rPr>
          <w:rFonts w:ascii="Arial" w:cs="Arial" w:eastAsia="Arial" w:hAnsi="Arial"/>
          <w:sz w:val="20"/>
          <w:szCs w:val="20"/>
          <w:u w:val="single" w:color="auto"/>
          <w:color w:val="auto"/>
        </w:rPr>
        <w:t>clause (a)</w:t>
      </w:r>
      <w:r>
        <w:rPr>
          <w:rFonts w:ascii="Arial" w:cs="Arial" w:eastAsia="Arial" w:hAnsi="Arial"/>
          <w:sz w:val="20"/>
          <w:szCs w:val="20"/>
          <w:color w:val="auto"/>
        </w:rPr>
        <w:t>.</w:t>
      </w:r>
    </w:p>
    <w:p>
      <w:pPr>
        <w:spacing w:after="0" w:line="156" w:lineRule="exact"/>
        <w:rPr>
          <w:sz w:val="20"/>
          <w:szCs w:val="20"/>
          <w:color w:val="auto"/>
        </w:rPr>
      </w:pPr>
    </w:p>
    <w:p>
      <w:pPr>
        <w:jc w:val="both"/>
        <w:ind w:right="20"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w:t>
      </w:r>
      <w:r>
        <w:rPr>
          <w:rFonts w:ascii="Arial" w:cs="Arial" w:eastAsia="Arial" w:hAnsi="Arial"/>
          <w:sz w:val="20"/>
          <w:szCs w:val="20"/>
          <w:u w:val="single" w:color="auto"/>
          <w:color w:val="auto"/>
        </w:rPr>
        <w:t>Schedule 2.1</w:t>
      </w:r>
      <w:r>
        <w:rPr>
          <w:rFonts w:ascii="Arial" w:cs="Arial" w:eastAsia="Arial" w:hAnsi="Arial"/>
          <w:sz w:val="20"/>
          <w:szCs w:val="20"/>
          <w:color w:val="auto"/>
        </w:rPr>
        <w:t xml:space="preserve"> and any other Person that shall have become a party hereto pursuant to an Assignment and Assumption or an Increase Supplement other than any such Person that ceases to be a party hereto pursuant to an Assignment and Assumption.</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xml:space="preserve">” means any standby letter of credit (and any successive renewals thereof) issued pursuant to this Agreement. For the avoidance of doubt, as of the Second Amendment Effective Date, the outstanding Letters of Credit are set forth on </w:t>
      </w:r>
      <w:r>
        <w:rPr>
          <w:rFonts w:ascii="Arial" w:cs="Arial" w:eastAsia="Arial" w:hAnsi="Arial"/>
          <w:sz w:val="20"/>
          <w:szCs w:val="20"/>
          <w:u w:val="single" w:color="auto"/>
          <w:color w:val="auto"/>
        </w:rPr>
        <w:t>Schedule 2.9</w:t>
      </w:r>
      <w:r>
        <w:rPr>
          <w:rFonts w:ascii="Arial" w:cs="Arial" w:eastAsia="Arial" w:hAnsi="Arial"/>
          <w:sz w:val="20"/>
          <w:szCs w:val="20"/>
          <w:color w:val="auto"/>
        </w:rPr>
        <w:t>.</w:t>
      </w:r>
    </w:p>
    <w:p>
      <w:pPr>
        <w:spacing w:after="0" w:line="156"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Commitment</w:t>
      </w:r>
      <w:r>
        <w:rPr>
          <w:rFonts w:ascii="Arial" w:cs="Arial" w:eastAsia="Arial" w:hAnsi="Arial"/>
          <w:sz w:val="20"/>
          <w:szCs w:val="20"/>
          <w:color w:val="auto"/>
        </w:rPr>
        <w:t xml:space="preserve">” means, with respect to each Issuing Bank, the commitment of such Issuing Bank to issue Letters of Credit hereunder. The initial amount of each Issuing Bank’s Letter of Credit Commitment is set forth on </w:t>
      </w:r>
      <w:r>
        <w:rPr>
          <w:rFonts w:ascii="Arial" w:cs="Arial" w:eastAsia="Arial" w:hAnsi="Arial"/>
          <w:sz w:val="20"/>
          <w:szCs w:val="20"/>
          <w:u w:val="single" w:color="auto"/>
          <w:color w:val="auto"/>
        </w:rPr>
        <w:t>Schedule 2</w:t>
      </w:r>
      <w:r>
        <w:rPr>
          <w:rFonts w:ascii="Arial" w:cs="Arial" w:eastAsia="Arial" w:hAnsi="Arial"/>
          <w:sz w:val="20"/>
          <w:szCs w:val="20"/>
          <w:color w:val="auto"/>
        </w:rPr>
        <w:t>,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any losses, claims (including intraparty claims), demands, damages or liabilities of any kind.</w:t>
      </w:r>
    </w:p>
    <w:p>
      <w:pPr>
        <w:spacing w:after="0" w:line="175" w:lineRule="exact"/>
        <w:rPr>
          <w:sz w:val="20"/>
          <w:szCs w:val="20"/>
          <w:color w:val="auto"/>
        </w:rPr>
      </w:pPr>
    </w:p>
    <w:p>
      <w:pPr>
        <w:jc w:val="both"/>
        <w:ind w:right="20" w:firstLine="1296"/>
        <w:spacing w:after="0" w:line="2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(statutory or other), assignment, deposit arrangement, pledge, hypothecation, encumbrance or preference, priority, charge or other security interest in, on or of such asset, (b) the interest of a vendor or a lessor under any conditional sale agreement, capital lease or title retention agreement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such asset and (c) in the case of securities, any purchase option, call or similar right of a third party with respect to such securities.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 loan referred to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and made pursuant to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2.9(e)</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this Agreement, each Note issued pursuant to </w:t>
      </w:r>
      <w:r>
        <w:rPr>
          <w:rFonts w:ascii="Arial" w:cs="Arial" w:eastAsia="Arial" w:hAnsi="Arial"/>
          <w:sz w:val="20"/>
          <w:szCs w:val="20"/>
          <w:u w:val="single" w:color="auto"/>
          <w:color w:val="auto"/>
        </w:rPr>
        <w:t>Section 2.6(e)</w:t>
      </w:r>
      <w:r>
        <w:rPr>
          <w:rFonts w:ascii="Arial" w:cs="Arial" w:eastAsia="Arial" w:hAnsi="Arial"/>
          <w:sz w:val="20"/>
          <w:szCs w:val="20"/>
          <w:color w:val="auto"/>
        </w:rPr>
        <w:t xml:space="preserve"> and each Letter of Credit and the related documentation.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has the meaning assigned to such term in Regulation U.</w:t>
      </w:r>
    </w:p>
    <w:p>
      <w:pPr>
        <w:spacing w:after="0" w:line="17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 means a material adverse change in (a) the financial condition, operations, business or property of (i) 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financial condition, operations, business or property of</w:t>
      </w:r>
    </w:p>
    <w:p>
      <w:pPr>
        <w:ind w:firstLine="8"/>
        <w:spacing w:after="0" w:line="232" w:lineRule="auto"/>
        <w:tabs>
          <w:tab w:leader="none" w:pos="236"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Borrower or (ii) the Borrower and its Subsidiaries, taken as a whole, (b) the ability of the Borrower to perform its obligations under the Loan Documents, or (c) the ability of the Credit Parties to enforce their rights and remedies under the Loan Documents.</w:t>
      </w:r>
    </w:p>
    <w:p>
      <w:pPr>
        <w:spacing w:after="0" w:line="156"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Obligations</w:t>
      </w:r>
      <w:r>
        <w:rPr>
          <w:rFonts w:ascii="Arial" w:cs="Arial" w:eastAsia="Arial" w:hAnsi="Arial"/>
          <w:sz w:val="20"/>
          <w:szCs w:val="20"/>
          <w:color w:val="auto"/>
        </w:rPr>
        <w:t>” means as of any date, Indebtedness (other than Indebtedness under the Loan Documents) or operating leases of any one or more of the Borrower or any Subsidiary or, in the case of the Borrower only, any Guarantee, in an aggregate principal amount exceeding $35,000,000. For purposes of determining Material Obligations, the “principal amount” of Indebtedness, operating leases or Guarantees at any time shall be the maximum aggregate amount (giving effect to any netting agreements) that the Borrower or such Subsidiary, as applicable, would be required to pay if such Indebtedness, operating leases or Guarantees became due and payable on such day.</w:t>
      </w:r>
    </w:p>
    <w:p>
      <w:pPr>
        <w:spacing w:after="0" w:line="160"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 with respect to the Second Amendment Declining Lender, the Initial Maturity Date and (b) with respect to all other Lenders, January 10, 2025.</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10.12</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or any successor thereto.</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the Mortgage and Deed of Trust, dated as of September 1, 1945, among the Borrower, The Bank of New York Mellon (formerly Irving Trust Company) and Eva Waite (successor to Richard H. West), Trustees.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MPUC</w:t>
      </w:r>
      <w:r>
        <w:rPr>
          <w:rFonts w:ascii="Arial" w:cs="Arial" w:eastAsia="Arial" w:hAnsi="Arial"/>
          <w:sz w:val="20"/>
          <w:szCs w:val="20"/>
          <w:color w:val="auto"/>
        </w:rPr>
        <w:t>” means the Minnesota Public Utilities Commission or any Governmental Authority succeeding to the functions</w:t>
      </w:r>
    </w:p>
    <w:p>
      <w:pPr>
        <w:spacing w:after="0"/>
        <w:rPr>
          <w:sz w:val="20"/>
          <w:szCs w:val="20"/>
          <w:color w:val="auto"/>
        </w:rPr>
      </w:pPr>
      <w:r>
        <w:rPr>
          <w:rFonts w:ascii="Arial" w:cs="Arial" w:eastAsia="Arial" w:hAnsi="Arial"/>
          <w:sz w:val="20"/>
          <w:szCs w:val="20"/>
          <w:color w:val="auto"/>
        </w:rPr>
        <w:t>thereof.</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Lender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2.5(d)</w:t>
      </w:r>
      <w:r>
        <w:rPr>
          <w:rFonts w:ascii="Arial" w:cs="Arial" w:eastAsia="Arial" w:hAnsi="Arial"/>
          <w:sz w:val="20"/>
          <w:szCs w:val="20"/>
          <w:color w:val="auto"/>
        </w:rPr>
        <w:t>.</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issued at the request of a Lender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2.6(e)</w:t>
      </w:r>
      <w:r>
        <w:rPr>
          <w:rFonts w:ascii="Arial" w:cs="Arial" w:eastAsia="Arial" w:hAnsi="Arial"/>
          <w:sz w:val="20"/>
          <w:szCs w:val="20"/>
          <w:color w:val="auto"/>
        </w:rPr>
        <w:t xml:space="preserve"> to evidence its Loans.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01"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if any of the aforesaid rates as so determined be less than zero, such rate shall be deemed to be zero for purposes of this Agreement.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NYFRB’s Website</w:t>
      </w:r>
      <w:r>
        <w:rPr>
          <w:rFonts w:ascii="Arial" w:cs="Arial" w:eastAsia="Arial" w:hAnsi="Arial"/>
          <w:sz w:val="20"/>
          <w:szCs w:val="20"/>
          <w:color w:val="auto"/>
        </w:rPr>
        <w:t>” means the website of the NYFRB at http://www.newyorkfed.org, or any successor source.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28"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5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means, for any day, the rate comprised of both overnight federal funds and overnight interbank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10.4(d)</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“Uniting and Strengthening America by Providing Appropriate Tools Required to Intercept and Obstruct Terrorism Act of 2001” (Title III of Pub. L. 107-56 (signed into law October 26, 2001)).</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175" w:lineRule="exact"/>
        <w:rPr>
          <w:sz w:val="20"/>
          <w:szCs w:val="20"/>
          <w:color w:val="auto"/>
        </w:rPr>
      </w:pPr>
    </w:p>
    <w:p>
      <w:pPr>
        <w:jc w:val="both"/>
        <w:ind w:firstLine="1952"/>
        <w:spacing w:after="0" w:line="218" w:lineRule="auto"/>
        <w:tabs>
          <w:tab w:leader="none" w:pos="2582"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Liens imposed by law for taxes, assessments or similar charges incurred in the ordinary course of business that are not yet due or are being contested in compliance with </w:t>
      </w:r>
      <w:r>
        <w:rPr>
          <w:rFonts w:ascii="Arial" w:cs="Arial" w:eastAsia="Arial" w:hAnsi="Arial"/>
          <w:sz w:val="20"/>
          <w:szCs w:val="20"/>
          <w:u w:val="single" w:color="auto"/>
          <w:color w:val="auto"/>
        </w:rPr>
        <w:t>Section 6.4</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156" w:lineRule="exact"/>
        <w:rPr>
          <w:rFonts w:ascii="Arial" w:cs="Arial" w:eastAsia="Arial" w:hAnsi="Arial"/>
          <w:sz w:val="20"/>
          <w:szCs w:val="20"/>
          <w:color w:val="auto"/>
        </w:rPr>
      </w:pPr>
    </w:p>
    <w:p>
      <w:pPr>
        <w:jc w:val="both"/>
        <w:ind w:firstLine="1952"/>
        <w:spacing w:after="0" w:line="218" w:lineRule="auto"/>
        <w:tabs>
          <w:tab w:leader="none" w:pos="2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 xml:space="preserve">landlords’, vendors’, carriers’, warehousemen’s, mechanics’, materialmen’s, contractors’, repairmen’s and other like Liens imposed by law, arising in the ordinary course of business and securing obligations which are not delinquent or are being contested,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enforcement of such Liens is stayed pending such contest;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01" w:lineRule="exact"/>
        <w:rPr>
          <w:sz w:val="20"/>
          <w:szCs w:val="20"/>
          <w:color w:val="auto"/>
        </w:rPr>
      </w:pPr>
    </w:p>
    <w:p>
      <w:pPr>
        <w:ind w:firstLine="1952"/>
        <w:spacing w:after="0" w:line="229" w:lineRule="auto"/>
        <w:tabs>
          <w:tab w:leader="none" w:pos="25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 (but not ERISA);</w:t>
      </w:r>
    </w:p>
    <w:p>
      <w:pPr>
        <w:spacing w:after="0" w:line="155" w:lineRule="exact"/>
        <w:rPr>
          <w:rFonts w:ascii="Arial" w:cs="Arial" w:eastAsia="Arial" w:hAnsi="Arial"/>
          <w:sz w:val="20"/>
          <w:szCs w:val="20"/>
          <w:color w:val="auto"/>
        </w:rPr>
      </w:pPr>
    </w:p>
    <w:p>
      <w:pPr>
        <w:jc w:val="both"/>
        <w:ind w:firstLine="1952"/>
        <w:spacing w:after="0" w:line="244" w:lineRule="auto"/>
        <w:tabs>
          <w:tab w:leader="none" w:pos="2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pledges and deposits to secure the performance of bids, trade contracts, leases, purchase agreements, government contracts, statutory obligations, surety and appeal bonds, performance bonds and other obligations of a like nature, in each case in the ordinary course of business, and other than promissory notes and contracts for the repayment of borrowed money;</w:t>
      </w:r>
    </w:p>
    <w:p>
      <w:pPr>
        <w:spacing w:after="0" w:line="151" w:lineRule="exact"/>
        <w:rPr>
          <w:rFonts w:ascii="Arial" w:cs="Arial" w:eastAsia="Arial" w:hAnsi="Arial"/>
          <w:sz w:val="18"/>
          <w:szCs w:val="18"/>
          <w:color w:val="auto"/>
        </w:rPr>
      </w:pPr>
    </w:p>
    <w:p>
      <w:pPr>
        <w:jc w:val="both"/>
        <w:ind w:firstLine="1952"/>
        <w:spacing w:after="0" w:line="210" w:lineRule="auto"/>
        <w:tabs>
          <w:tab w:leader="none" w:pos="2582"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(including contractual security interests) in favor of a financial institution (including securities firms) encumbering deposit accounts or checks or instruments for collection, commodity accounts or securities accounts (including the right of set-off) at or held by such financial institution in the ordinary course of its commercial business and which secure only liabilities owed to such financial institution arising out of or resulting from its maintenance of such account or otherwise are within the general parameters customary in the financial industry;</w:t>
      </w:r>
    </w:p>
    <w:p>
      <w:pPr>
        <w:spacing w:after="0" w:line="152" w:lineRule="exact"/>
        <w:rPr>
          <w:rFonts w:ascii="Arial" w:cs="Arial" w:eastAsia="Arial" w:hAnsi="Arial"/>
          <w:sz w:val="20"/>
          <w:szCs w:val="20"/>
          <w:color w:val="auto"/>
        </w:rPr>
      </w:pPr>
    </w:p>
    <w:p>
      <w:pPr>
        <w:ind w:left="2600" w:hanging="648"/>
        <w:spacing w:after="0"/>
        <w:tabs>
          <w:tab w:leader="none" w:pos="2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judgment liens in respect of judgments that do not constitute an Event of Default under </w:t>
      </w:r>
      <w:r>
        <w:rPr>
          <w:rFonts w:ascii="Arial" w:cs="Arial" w:eastAsia="Arial" w:hAnsi="Arial"/>
          <w:sz w:val="18"/>
          <w:szCs w:val="18"/>
          <w:u w:val="single" w:color="auto"/>
          <w:color w:val="auto"/>
        </w:rPr>
        <w:t>paragraph (k)</w:t>
      </w:r>
      <w:r>
        <w:rPr>
          <w:rFonts w:ascii="Arial" w:cs="Arial" w:eastAsia="Arial" w:hAnsi="Arial"/>
          <w:sz w:val="18"/>
          <w:szCs w:val="18"/>
          <w:color w:val="auto"/>
        </w:rPr>
        <w:t xml:space="preserve"> of</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Article 8</w:t>
      </w:r>
      <w:r>
        <w:rPr>
          <w:rFonts w:ascii="Arial" w:cs="Arial" w:eastAsia="Arial" w:hAnsi="Arial"/>
          <w:sz w:val="20"/>
          <w:szCs w:val="20"/>
          <w:color w:val="auto"/>
        </w:rPr>
        <w:t>;</w:t>
      </w:r>
    </w:p>
    <w:p>
      <w:pPr>
        <w:spacing w:after="0" w:line="159" w:lineRule="exact"/>
        <w:rPr>
          <w:rFonts w:ascii="Arial" w:cs="Arial" w:eastAsia="Arial" w:hAnsi="Arial"/>
          <w:sz w:val="18"/>
          <w:szCs w:val="18"/>
          <w:color w:val="auto"/>
        </w:rPr>
      </w:pPr>
    </w:p>
    <w:p>
      <w:pPr>
        <w:ind w:firstLine="1952"/>
        <w:spacing w:after="0" w:line="242" w:lineRule="auto"/>
        <w:tabs>
          <w:tab w:leader="none" w:pos="25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interest of a lessor or licensor in property under an operating lease under which the Borrower or any Subsidiary is lessee or licensee, and any restriction or encumbrance to which the interest of such lessor or licensor is subject;</w:t>
      </w:r>
    </w:p>
    <w:p>
      <w:pPr>
        <w:spacing w:after="0" w:line="128" w:lineRule="exact"/>
        <w:rPr>
          <w:rFonts w:ascii="Arial" w:cs="Arial" w:eastAsia="Arial" w:hAnsi="Arial"/>
          <w:sz w:val="19"/>
          <w:szCs w:val="19"/>
          <w:color w:val="auto"/>
        </w:rPr>
      </w:pPr>
    </w:p>
    <w:p>
      <w:pPr>
        <w:ind w:left="2580" w:hanging="628"/>
        <w:spacing w:after="0"/>
        <w:tabs>
          <w:tab w:leader="none" w:pos="2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arising from filed UCC-1 financing statements relating solely to leases not prohibited by this</w:t>
      </w:r>
    </w:p>
    <w:p>
      <w:pPr>
        <w:spacing w:after="0"/>
        <w:rPr>
          <w:rFonts w:ascii="Arial" w:cs="Arial" w:eastAsia="Arial" w:hAnsi="Arial"/>
          <w:sz w:val="20"/>
          <w:szCs w:val="20"/>
          <w:color w:val="auto"/>
        </w:rPr>
      </w:pPr>
      <w:r>
        <w:rPr>
          <w:rFonts w:ascii="Arial" w:cs="Arial" w:eastAsia="Arial" w:hAnsi="Arial"/>
          <w:sz w:val="20"/>
          <w:szCs w:val="20"/>
          <w:color w:val="auto"/>
        </w:rPr>
        <w:t>Agreement;</w:t>
      </w:r>
    </w:p>
    <w:p>
      <w:pPr>
        <w:spacing w:after="0" w:line="159" w:lineRule="exact"/>
        <w:rPr>
          <w:rFonts w:ascii="Arial" w:cs="Arial" w:eastAsia="Arial" w:hAnsi="Arial"/>
          <w:sz w:val="20"/>
          <w:szCs w:val="20"/>
          <w:color w:val="auto"/>
        </w:rPr>
      </w:pPr>
    </w:p>
    <w:p>
      <w:pPr>
        <w:ind w:firstLine="1952"/>
        <w:spacing w:after="0" w:line="229" w:lineRule="auto"/>
        <w:tabs>
          <w:tab w:leader="none" w:pos="259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leases or subleases granted to others that do not materially interfere with the ordinary conduct of business of the Borrower and its Subsidiaries;</w:t>
      </w:r>
    </w:p>
    <w:p>
      <w:pPr>
        <w:spacing w:after="0" w:line="155" w:lineRule="exact"/>
        <w:rPr>
          <w:rFonts w:ascii="Arial" w:cs="Arial" w:eastAsia="Arial" w:hAnsi="Arial"/>
          <w:sz w:val="20"/>
          <w:szCs w:val="20"/>
          <w:color w:val="auto"/>
        </w:rPr>
      </w:pPr>
    </w:p>
    <w:p>
      <w:pPr>
        <w:ind w:firstLine="1952"/>
        <w:spacing w:after="0" w:line="229" w:lineRule="auto"/>
        <w:tabs>
          <w:tab w:leader="none" w:pos="259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licenses of Intellectual Property granted by the Borrower or any Subsidiary in the ordinary course of business and not materially interfering with the ordinary conduct of the business of the Borrower and its Subsidiaries;</w:t>
      </w:r>
    </w:p>
    <w:p>
      <w:pPr>
        <w:spacing w:after="0" w:line="155" w:lineRule="exact"/>
        <w:rPr>
          <w:rFonts w:ascii="Arial" w:cs="Arial" w:eastAsia="Arial" w:hAnsi="Arial"/>
          <w:sz w:val="20"/>
          <w:szCs w:val="20"/>
          <w:color w:val="auto"/>
        </w:rPr>
      </w:pPr>
    </w:p>
    <w:p>
      <w:pPr>
        <w:jc w:val="both"/>
        <w:ind w:firstLine="1952"/>
        <w:spacing w:after="0" w:line="224" w:lineRule="auto"/>
        <w:tabs>
          <w:tab w:leader="none" w:pos="258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easements, servitudes (contractual and legal), zoning restrictions, rights of way, encroachments, minor defects and irregularities in title and other similar encumbrances on real property imposed by law or arising in the ordinary course of business that do not secure any monetary obligations and do not render title to such property unmarketable or materially interfere with the ability of the Borrower and its Subsidiaries, as the case may be, to utilize their respective properties for their intended purposes;</w:t>
      </w:r>
    </w:p>
    <w:p>
      <w:pPr>
        <w:spacing w:after="0" w:line="156" w:lineRule="exact"/>
        <w:rPr>
          <w:rFonts w:ascii="Arial" w:cs="Arial" w:eastAsia="Arial" w:hAnsi="Arial"/>
          <w:sz w:val="19"/>
          <w:szCs w:val="19"/>
          <w:color w:val="auto"/>
        </w:rPr>
      </w:pPr>
    </w:p>
    <w:p>
      <w:pPr>
        <w:jc w:val="both"/>
        <w:ind w:firstLine="1952"/>
        <w:spacing w:after="0" w:line="210" w:lineRule="auto"/>
        <w:tabs>
          <w:tab w:leader="none" w:pos="259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securing obligations, neither assumed by the Borrower or any Subsidiary nor on account of which the Borrower or any Subsidiary customarily pays interest, upon real estate on which the Borrower or any Subsidiary has a right-of-way, easement, franchise or other servitude or of which the Borrower or any Subsidiary is the lessee, for the purpose of locating transmission and distribution lines and related support structures, pipe lines, substations, measuring stations, tanks, pumping or delivery equipment or similar equipment, or service buildings incidental to any of the foregoing;</w:t>
      </w:r>
    </w:p>
    <w:p>
      <w:pPr>
        <w:spacing w:after="0" w:line="154" w:lineRule="exact"/>
        <w:rPr>
          <w:rFonts w:ascii="Arial" w:cs="Arial" w:eastAsia="Arial" w:hAnsi="Arial"/>
          <w:sz w:val="20"/>
          <w:szCs w:val="20"/>
          <w:color w:val="auto"/>
        </w:rPr>
      </w:pPr>
    </w:p>
    <w:p>
      <w:pPr>
        <w:jc w:val="both"/>
        <w:ind w:firstLine="1952"/>
        <w:spacing w:after="0" w:line="224" w:lineRule="auto"/>
        <w:tabs>
          <w:tab w:leader="none" w:pos="2581" w:val="left"/>
        </w:tabs>
        <w:numPr>
          <w:ilvl w:val="0"/>
          <w:numId w:val="50"/>
        </w:numPr>
        <w:rPr>
          <w:rFonts w:ascii="Arial" w:cs="Arial" w:eastAsia="Arial" w:hAnsi="Arial"/>
          <w:sz w:val="19"/>
          <w:szCs w:val="19"/>
          <w:color w:val="auto"/>
        </w:rPr>
      </w:pPr>
      <w:r>
        <w:rPr>
          <w:rFonts w:ascii="Arial" w:cs="Arial" w:eastAsia="Arial" w:hAnsi="Arial"/>
          <w:sz w:val="19"/>
          <w:szCs w:val="19"/>
          <w:color w:val="auto"/>
        </w:rPr>
        <w:t>Liens with respect to properties involved in the production of oil, gas and other minerals, unitization and pooling agreements and orders, operating agreements, royalties, reversionary interests, preferential purchase rights, farmout agreements, gas balancing agreements and other agreements, in each case that are customary in the oil, gas and mineral production business in the general area of such property and that are entered into in the ordinary course of business;</w:t>
      </w:r>
    </w:p>
    <w:p>
      <w:pPr>
        <w:spacing w:after="0" w:line="156" w:lineRule="exact"/>
        <w:rPr>
          <w:rFonts w:ascii="Arial" w:cs="Arial" w:eastAsia="Arial" w:hAnsi="Arial"/>
          <w:sz w:val="19"/>
          <w:szCs w:val="19"/>
          <w:color w:val="auto"/>
        </w:rPr>
      </w:pPr>
    </w:p>
    <w:p>
      <w:pPr>
        <w:ind w:firstLine="1952"/>
        <w:spacing w:after="0" w:line="229" w:lineRule="auto"/>
        <w:tabs>
          <w:tab w:leader="none" w:pos="2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in favor of Governmental Authorities encumbering assets acquired in connection with a government grant program, and the right reserved to, or vested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Governmental Authority by the terms of any right, power, franchise, grant, license, or permit, or by any provision of law, to purchase, condemn, recapture or designate a purchaser of any property;</w:t>
      </w:r>
    </w:p>
    <w:p>
      <w:pPr>
        <w:spacing w:after="0" w:line="155" w:lineRule="exact"/>
        <w:rPr>
          <w:sz w:val="20"/>
          <w:szCs w:val="20"/>
          <w:color w:val="auto"/>
        </w:rPr>
      </w:pPr>
    </w:p>
    <w:p>
      <w:pPr>
        <w:ind w:left="2580" w:hanging="628"/>
        <w:spacing w:after="0"/>
        <w:tabs>
          <w:tab w:leader="none" w:pos="2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Margin Stock to the extent that a prohibition on such Liens would violate Regulation U;</w:t>
      </w:r>
    </w:p>
    <w:p>
      <w:pPr>
        <w:spacing w:after="0" w:line="175" w:lineRule="exact"/>
        <w:rPr>
          <w:rFonts w:ascii="Arial" w:cs="Arial" w:eastAsia="Arial" w:hAnsi="Arial"/>
          <w:sz w:val="20"/>
          <w:szCs w:val="20"/>
          <w:color w:val="auto"/>
        </w:rPr>
      </w:pPr>
    </w:p>
    <w:p>
      <w:pPr>
        <w:jc w:val="both"/>
        <w:ind w:firstLine="1952"/>
        <w:spacing w:after="0" w:line="218" w:lineRule="auto"/>
        <w:tabs>
          <w:tab w:leader="none" w:pos="2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any cash collateral for Letters of Credit issued under (i) the Borrower’s primary revolving credit facility upon the occurrence of an event of default thereunder or to cover an issuing lender’s credit exposure under such facility with respect to a defaulting lender thereunder and (ii) this Agreement or for a Defaulting Lender’s LC Exposure;</w:t>
      </w:r>
    </w:p>
    <w:p>
      <w:pPr>
        <w:spacing w:after="0" w:line="156" w:lineRule="exact"/>
        <w:rPr>
          <w:rFonts w:ascii="Arial" w:cs="Arial" w:eastAsia="Arial" w:hAnsi="Arial"/>
          <w:sz w:val="20"/>
          <w:szCs w:val="20"/>
          <w:color w:val="auto"/>
        </w:rPr>
      </w:pPr>
    </w:p>
    <w:p>
      <w:pPr>
        <w:ind w:firstLine="1952"/>
        <w:spacing w:after="0" w:line="229" w:lineRule="auto"/>
        <w:tabs>
          <w:tab w:leader="none" w:pos="25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customary Liens for the fees and expenses of trustees and escrow agents pursuant to any indenture, escrow agreement or similar agreement establishing a trust or escrow arrangement;</w:t>
      </w:r>
    </w:p>
    <w:p>
      <w:pPr>
        <w:spacing w:after="0" w:line="155" w:lineRule="exact"/>
        <w:rPr>
          <w:rFonts w:ascii="Arial" w:cs="Arial" w:eastAsia="Arial" w:hAnsi="Arial"/>
          <w:sz w:val="20"/>
          <w:szCs w:val="20"/>
          <w:color w:val="auto"/>
        </w:rPr>
      </w:pPr>
    </w:p>
    <w:p>
      <w:pPr>
        <w:jc w:val="both"/>
        <w:ind w:firstLine="1952"/>
        <w:spacing w:after="0" w:line="213" w:lineRule="auto"/>
        <w:tabs>
          <w:tab w:leader="none" w:pos="2587" w:val="left"/>
        </w:tabs>
        <w:numPr>
          <w:ilvl w:val="0"/>
          <w:numId w:val="51"/>
        </w:numPr>
        <w:rPr>
          <w:rFonts w:ascii="Arial" w:cs="Arial" w:eastAsia="Arial" w:hAnsi="Arial"/>
          <w:sz w:val="20"/>
          <w:szCs w:val="20"/>
          <w:color w:val="auto"/>
        </w:rPr>
      </w:pPr>
      <w:r>
        <w:rPr>
          <w:rFonts w:ascii="Arial" w:cs="Arial" w:eastAsia="Arial" w:hAnsi="Arial"/>
          <w:sz w:val="20"/>
          <w:szCs w:val="20"/>
          <w:color w:val="auto"/>
        </w:rPr>
        <w:t>agreements for and obligations (other than repayment of borrowed money) relating to the joint or common ownership, operation, and use of property, including Liens under joint venture or similar agreements securing obligations incurred in the conduct of operations or consisting of a purchase option, call or right of first refusal with respect to the Equity Interests in such jointly owned Person; and</w:t>
      </w:r>
    </w:p>
    <w:p>
      <w:pPr>
        <w:spacing w:after="0" w:line="155" w:lineRule="exact"/>
        <w:rPr>
          <w:rFonts w:ascii="Arial" w:cs="Arial" w:eastAsia="Arial" w:hAnsi="Arial"/>
          <w:sz w:val="20"/>
          <w:szCs w:val="20"/>
          <w:color w:val="auto"/>
        </w:rPr>
      </w:pPr>
    </w:p>
    <w:p>
      <w:pPr>
        <w:jc w:val="both"/>
        <w:ind w:firstLine="1952"/>
        <w:spacing w:after="0" w:line="230" w:lineRule="auto"/>
        <w:tabs>
          <w:tab w:leader="none" w:pos="2585"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Liens granted on cash or invested funds constituting proceeds of any sale or disposition of property deposited into escrow accounts to secure indemnification, adjustment of purchase price or similar obligations incurred in connection with such sale or disposition, in an amount not to exceed the amount of gross proceeds received from such sale or disposition.</w:t>
      </w:r>
    </w:p>
    <w:p>
      <w:pPr>
        <w:spacing w:after="0" w:line="155"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Hedge Agreement</w:t>
      </w:r>
      <w:r>
        <w:rPr>
          <w:rFonts w:ascii="Arial" w:cs="Arial" w:eastAsia="Arial" w:hAnsi="Arial"/>
          <w:sz w:val="19"/>
          <w:szCs w:val="19"/>
          <w:color w:val="auto"/>
        </w:rPr>
        <w:t>” 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any Subsidiary or any ERISA Affiliate is (or, if such plan were terminated, would under Section 4069 of ERISA be deemed to be) an “employer” as defined in Section 3(5) of ERISA.</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 Regulations</w:t>
      </w:r>
      <w:r>
        <w:rPr>
          <w:rFonts w:ascii="Arial" w:cs="Arial" w:eastAsia="Arial" w:hAnsi="Arial"/>
          <w:sz w:val="18"/>
          <w:szCs w:val="18"/>
          <w:color w:val="auto"/>
        </w:rPr>
        <w:t xml:space="preserve">” means 29 CFR § 2510.3-101 </w:t>
      </w:r>
      <w:r>
        <w:rPr>
          <w:rFonts w:ascii="Arial" w:cs="Arial" w:eastAsia="Arial" w:hAnsi="Arial"/>
          <w:sz w:val="18"/>
          <w:szCs w:val="18"/>
          <w:i w:val="1"/>
          <w:iCs w:val="1"/>
          <w:color w:val="auto"/>
        </w:rPr>
        <w:t>et seq.</w:t>
      </w:r>
      <w:r>
        <w:rPr>
          <w:rFonts w:ascii="Arial" w:cs="Arial" w:eastAsia="Arial" w:hAnsi="Arial"/>
          <w:sz w:val="18"/>
          <w:szCs w:val="18"/>
          <w:color w:val="auto"/>
        </w:rPr>
        <w:t>, as modified by Section 3(42) of ERISA, as amended from</w:t>
      </w:r>
    </w:p>
    <w:p>
      <w:pPr>
        <w:spacing w:after="0"/>
        <w:rPr>
          <w:sz w:val="20"/>
          <w:szCs w:val="20"/>
          <w:color w:val="auto"/>
        </w:rPr>
      </w:pPr>
      <w:r>
        <w:rPr>
          <w:rFonts w:ascii="Arial" w:cs="Arial" w:eastAsia="Arial" w:hAnsi="Arial"/>
          <w:sz w:val="20"/>
          <w:szCs w:val="20"/>
          <w:color w:val="auto"/>
        </w:rPr>
        <w:t>time to time.</w:t>
      </w:r>
    </w:p>
    <w:p>
      <w:pPr>
        <w:spacing w:after="0" w:line="159"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of interest last quoted by The Wall Street Journal as the “Prime Rate” in the U.S. or, if The Wall Street Journal ceases to quote such rate, the highest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01"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Agencies</w:t>
      </w:r>
      <w:r>
        <w:rPr>
          <w:rFonts w:ascii="Arial" w:cs="Arial" w:eastAsia="Arial" w:hAnsi="Arial"/>
          <w:sz w:val="18"/>
          <w:szCs w:val="18"/>
          <w:color w:val="auto"/>
        </w:rPr>
        <w:t>” means Fitch, Moody’s and S&amp;P (or, if any of the foregoing ceases to provide Senior Debt Ratings as contemplated hereby, such other nationally recognized rating agency as shall be agreed by the Borrower and the Administrative Agent).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 the Administrative Agent, (b) any Lender and (c) any Issuing Bank, as applicable.</w:t>
      </w:r>
    </w:p>
    <w:p>
      <w:pPr>
        <w:spacing w:after="0" w:line="175" w:lineRule="exact"/>
        <w:rPr>
          <w:sz w:val="20"/>
          <w:szCs w:val="20"/>
          <w:color w:val="auto"/>
        </w:rPr>
      </w:pPr>
    </w:p>
    <w:p>
      <w:pPr>
        <w:jc w:val="both"/>
        <w:ind w:right="20"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(a) if such Benchmark is the Term SOFR Rate, 5:00 a.m. (Chicago time) on the day that is two Business Days preceding the date of such setting, (b) if the Benchmark is Adjusted Daily Simple SOFR, then four (4) Business Days prior to such setting or (c) if such Benchmark is neither the Term SOFR Rate nor Adjusted Daily Simple SOFR, the time determined by the Administrative Agent in its reasonable discretion.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10.4(c)</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D</w:t>
      </w:r>
      <w:r>
        <w:rPr>
          <w:rFonts w:ascii="Arial" w:cs="Arial" w:eastAsia="Arial" w:hAnsi="Arial"/>
          <w:sz w:val="20"/>
          <w:szCs w:val="20"/>
          <w:color w:val="auto"/>
        </w:rPr>
        <w:t>” means Regulation D of the Board as from time to time in effect and all official rulings and interpretations thereunder or thereof.</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T</w:t>
      </w:r>
      <w:r>
        <w:rPr>
          <w:rFonts w:ascii="Arial" w:cs="Arial" w:eastAsia="Arial" w:hAnsi="Arial"/>
          <w:sz w:val="20"/>
          <w:szCs w:val="20"/>
          <w:color w:val="auto"/>
        </w:rPr>
        <w:t>” means Regulation T of the Board as from time to time in effect and all official rulings and interpretations thereunder or thereof.</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Board as from time to time in effect and all official rulings and interpretations thereunder or thereof.</w:t>
      </w:r>
    </w:p>
    <w:p>
      <w:pPr>
        <w:spacing w:after="0" w:line="155"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means Regulation X of the Board as from time to time in effect and all official rulings and interpretations thereunder or thereof.</w:t>
      </w:r>
    </w:p>
    <w:p>
      <w:pPr>
        <w:spacing w:after="0" w:line="15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and advisors of such Person and such Person’s Affiliates.</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Board and/or the NYFRB, the CME Term SOFR Administrator, as applicable, or a committee officially endorsed or convened by the Board and/or the NYFRB, or, in each case, any successor thereto.</w:t>
      </w:r>
    </w:p>
    <w:p>
      <w:pPr>
        <w:spacing w:after="0" w:line="153"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Deposit Amount</w:t>
      </w:r>
      <w:r>
        <w:rPr>
          <w:rFonts w:ascii="Arial" w:cs="Arial" w:eastAsia="Arial" w:hAnsi="Arial"/>
          <w:sz w:val="18"/>
          <w:szCs w:val="18"/>
          <w:color w:val="auto"/>
        </w:rPr>
        <w:t xml:space="preserve">” means in the event that as a result of the deposit of cash collateral with the Administrative Agent pursuant to </w:t>
      </w:r>
      <w:r>
        <w:rPr>
          <w:rFonts w:ascii="Arial" w:cs="Arial" w:eastAsia="Arial" w:hAnsi="Arial"/>
          <w:sz w:val="18"/>
          <w:szCs w:val="18"/>
          <w:u w:val="single" w:color="auto"/>
          <w:color w:val="auto"/>
        </w:rPr>
        <w:t>Section 2.9(j)</w:t>
      </w:r>
      <w:r>
        <w:rPr>
          <w:rFonts w:ascii="Arial" w:cs="Arial" w:eastAsia="Arial" w:hAnsi="Arial"/>
          <w:sz w:val="18"/>
          <w:szCs w:val="18"/>
          <w:color w:val="auto"/>
        </w:rPr>
        <w:t xml:space="preserve"> the Borrower (a) is not required to grant a security interest in such cash collateral to any other Person, an amount equal to the LC Exposure on the date on which cash collateral is required to be deposited, or (b) is required to grant a security interest in such cash collateral to any other Person, an amount equal to the LC Exposure on the date on which cash collateral is required to be deposited multiplied by a fraction, the numerator of which is the sum of the LC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principal amount of all other obligations to be secured by such cash collateral and the denominator of which is the amount of such LC Exposure.</w:t>
      </w:r>
    </w:p>
    <w:p>
      <w:pPr>
        <w:spacing w:after="0" w:line="155"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means, at any time, Lenders having unused Commitments, LC Exposure and outstanding Loans representing more than 50% of the sum of the unused Commitments, LC Exposure and outstanding Loans of all Lenders.</w:t>
      </w:r>
    </w:p>
    <w:p>
      <w:pPr>
        <w:spacing w:after="0" w:line="153"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Person</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4.14</w:t>
      </w:r>
      <w:r>
        <w:rPr>
          <w:rFonts w:ascii="Arial" w:cs="Arial" w:eastAsia="Arial" w:hAnsi="Arial"/>
          <w:sz w:val="20"/>
          <w:szCs w:val="20"/>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Standard &amp; Poor’s Financial Services LLC business, or any successor</w:t>
      </w: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the functions thereof.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Effective Date</w:t>
      </w:r>
      <w:r>
        <w:rPr>
          <w:rFonts w:ascii="Arial" w:cs="Arial" w:eastAsia="Arial" w:hAnsi="Arial"/>
          <w:sz w:val="20"/>
          <w:szCs w:val="20"/>
          <w:color w:val="auto"/>
        </w:rPr>
        <w:t>” means November 23, 2021.</w:t>
      </w:r>
    </w:p>
    <w:p>
      <w:pPr>
        <w:spacing w:after="0" w:line="175" w:lineRule="exact"/>
        <w:rPr>
          <w:sz w:val="20"/>
          <w:szCs w:val="20"/>
          <w:color w:val="auto"/>
        </w:rPr>
      </w:pPr>
    </w:p>
    <w:p>
      <w:pPr>
        <w:jc w:val="both"/>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Amendment Declining Lender</w:t>
      </w:r>
      <w:r>
        <w:rPr>
          <w:rFonts w:ascii="Arial" w:cs="Arial" w:eastAsia="Arial" w:hAnsi="Arial"/>
          <w:sz w:val="20"/>
          <w:szCs w:val="20"/>
          <w:color w:val="auto"/>
        </w:rPr>
        <w:t>” has the meaning given such term in the Second Amendment dated as of the Second Amendment Effective Date among the Borrower, the lenders party thereto and the Administrative Agent.</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Debt Rating</w:t>
      </w:r>
      <w:r>
        <w:rPr>
          <w:rFonts w:ascii="Arial" w:cs="Arial" w:eastAsia="Arial" w:hAnsi="Arial"/>
          <w:sz w:val="20"/>
          <w:szCs w:val="20"/>
          <w:color w:val="auto"/>
        </w:rPr>
        <w:t>” means, at any date, the credit rating identified by a Rating Agency as the credit rating that (i) it has assigned to long term unsecured senior debt of the Borrower or (ii) would assign to long term unsecured senior debt of the Borrower were the Borrower to issue or have outstanding any long term unsecured senior debt on such date.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175" w:lineRule="exact"/>
        <w:rPr>
          <w:sz w:val="20"/>
          <w:szCs w:val="20"/>
          <w:color w:val="auto"/>
        </w:rPr>
      </w:pPr>
    </w:p>
    <w:p>
      <w:pPr>
        <w:jc w:val="both"/>
        <w:ind w:firstLine="1296"/>
        <w:spacing w:after="0" w:line="20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NYFRB’s Website or any successor source for the secured overnight financing rate identified as such by the SOFR Administrator from time to time.</w:t>
      </w:r>
    </w:p>
    <w:p>
      <w:pPr>
        <w:spacing w:after="0" w:line="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Sole Lead Arranger and Sole Bookrunner</w:t>
      </w:r>
      <w:r>
        <w:rPr>
          <w:rFonts w:ascii="Arial" w:cs="Arial" w:eastAsia="Arial" w:hAnsi="Arial"/>
          <w:sz w:val="20"/>
          <w:szCs w:val="20"/>
          <w:color w:val="auto"/>
        </w:rPr>
        <w:t>” means J.P. Morgan Chase, in its capacity as Sole Lead Arranger and Sole Bookrunner hereunder.</w:t>
      </w:r>
    </w:p>
    <w:p>
      <w:pPr>
        <w:spacing w:after="0" w:line="156" w:lineRule="exact"/>
        <w:rPr>
          <w:sz w:val="20"/>
          <w:szCs w:val="20"/>
          <w:color w:val="auto"/>
        </w:rPr>
      </w:pPr>
    </w:p>
    <w:p>
      <w:pPr>
        <w:jc w:val="both"/>
        <w:ind w:firstLine="1296"/>
        <w:spacing w:after="0" w:line="20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as to any Person, any corporation, association, partnership, limited liability company, joint venture or other business entity of which such Person or any Subsidiary of such Person, directly or indirectly, either (i) in respect of a corporation, owns or controls more than 50% of the outstanding Equity Interests having ordinary voting power to elect a majority of the board of directors or similar managing body, irrespective of whether a class or classes shall or might have voting power by reason of the happening of any contingency, or (ii) in respect of an association, partnership, joint venture or other business entity, is entitled to share in more than 50% of the profits and losses, however determined. Unless the context otherwise requires, any reference to a Subsidiary shall be deemed to refer to a Subsidiary of the Borrower.</w:t>
      </w:r>
    </w:p>
    <w:p>
      <w:pPr>
        <w:spacing w:after="0" w:line="15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SWLP Mortgage</w:t>
      </w:r>
      <w:r>
        <w:rPr>
          <w:rFonts w:ascii="Arial" w:cs="Arial" w:eastAsia="Arial" w:hAnsi="Arial"/>
          <w:sz w:val="20"/>
          <w:szCs w:val="20"/>
          <w:color w:val="auto"/>
        </w:rPr>
        <w:t>” means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spacing w:after="0" w:line="15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present or future tax, levy, assessment, impost, duty, charge, fee, deduction or withholding of any nature, and whatever called, by a Governmental Authority, on whomsoever and wherever imposed, levied, collected, withheld or assessed.</w:t>
      </w:r>
    </w:p>
    <w:p>
      <w:pPr>
        <w:spacing w:after="0" w:line="130"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Benchmark</w:t>
      </w:r>
      <w:r>
        <w:rPr>
          <w:rFonts w:ascii="Arial" w:cs="Arial" w:eastAsia="Arial" w:hAnsi="Arial"/>
          <w:sz w:val="20"/>
          <w:szCs w:val="20"/>
          <w:color w:val="auto"/>
        </w:rPr>
        <w:t xml:space="preserve">”, when used in reference to any Loan or Borrowing, refers to whether such Loan, or the Loans comprising such Borrowing, are bearing interest at a rate determined by reference to the Adjusted Term SOFR Rate. For the avoidance of doubt, a Loan that bears interest at a rate determined pursuant to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the definition of Alternate Base Rate shall, for all purposes of this Agreement, be deemed to be an ABR Loan and not a Term Benchmark Loan.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Determination Day</w:t>
      </w:r>
      <w:r>
        <w:rPr>
          <w:rFonts w:ascii="Arial" w:cs="Arial" w:eastAsia="Arial" w:hAnsi="Arial"/>
          <w:sz w:val="19"/>
          <w:szCs w:val="19"/>
          <w:color w:val="auto"/>
        </w:rPr>
        <w:t>” has the meaning assigned to it under the definition of Term SOFR Reference Rate.</w:t>
      </w:r>
    </w:p>
    <w:p>
      <w:pPr>
        <w:spacing w:after="0" w:line="187"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Rate</w:t>
      </w:r>
      <w:r>
        <w:rPr>
          <w:rFonts w:ascii="Arial" w:cs="Arial" w:eastAsia="Arial" w:hAnsi="Arial"/>
          <w:sz w:val="20"/>
          <w:szCs w:val="20"/>
          <w:color w:val="auto"/>
        </w:rPr>
        <w:t>” means, with respect to any Term Benchmark Borrowing and for any tenor comparable to the applicable Interest Period, the Term SOFR Reference Rate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19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approximately 5:00 a.m., Chicago time, two (2) U.S. Government Securities Business Days prior to the commencement of such tenor comparable to the applicable Interest Period, as such rate is published by the CME Term SOFR Administrator.</w:t>
      </w:r>
    </w:p>
    <w:p>
      <w:pPr>
        <w:spacing w:after="0" w:line="15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Reference Rate</w:t>
      </w:r>
      <w:r>
        <w:rPr>
          <w:rFonts w:ascii="Arial" w:cs="Arial" w:eastAsia="Arial" w:hAnsi="Arial"/>
          <w:sz w:val="19"/>
          <w:szCs w:val="19"/>
          <w:color w:val="auto"/>
        </w:rPr>
        <w:t>” means, for any day and time (such day, the “</w:t>
      </w:r>
      <w:r>
        <w:rPr>
          <w:rFonts w:ascii="Arial" w:cs="Arial" w:eastAsia="Arial" w:hAnsi="Arial"/>
          <w:sz w:val="19"/>
          <w:szCs w:val="19"/>
          <w:u w:val="single" w:color="auto"/>
          <w:color w:val="auto"/>
        </w:rPr>
        <w:t>Term SOFR Determination Day</w:t>
      </w:r>
      <w:r>
        <w:rPr>
          <w:rFonts w:ascii="Arial" w:cs="Arial" w:eastAsia="Arial" w:hAnsi="Arial"/>
          <w:sz w:val="19"/>
          <w:szCs w:val="19"/>
          <w:color w:val="auto"/>
        </w:rPr>
        <w:t>”),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5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Capitalization</w:t>
      </w:r>
      <w:r>
        <w:rPr>
          <w:rFonts w:ascii="Arial" w:cs="Arial" w:eastAsia="Arial" w:hAnsi="Arial"/>
          <w:sz w:val="19"/>
          <w:szCs w:val="19"/>
          <w:color w:val="auto"/>
        </w:rPr>
        <w:t xml:space="preserve">” means, at any time, the difference between (a) the sum of each of the following at such time with respect to the Borrower and the Subsidiaries, determined on a consolidated basis in accordance with GAAP: (i) preferred Equity Interests,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common Equity Interests and any premium on Equity Interests thereon (as such term is used in the Borrower Financial Statements), excluding accumulated other comprehensive income or loss,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retained earnings,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Total Indebtedness, and (b) stock of the Borrower acquired by the Borrower and (ii) stock of a Subsidiary acquired by such Subsidiary, in each case at such time, as applicable, determined on a consolidated basis in accordance with GAAP.</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Indebtedness</w:t>
      </w:r>
      <w:r>
        <w:rPr>
          <w:rFonts w:ascii="Arial" w:cs="Arial" w:eastAsia="Arial" w:hAnsi="Arial"/>
          <w:sz w:val="20"/>
          <w:szCs w:val="20"/>
          <w:color w:val="auto"/>
        </w:rPr>
        <w:t>” means at any time, all Indebtedness (net of unamortized premium and discount (as such term is used in the Borrower Financial Statements)) at such time of the Borrower and the Subsidiaries, determined on a consolidated basis in accordance with GAAP.</w:t>
      </w:r>
    </w:p>
    <w:p>
      <w:pPr>
        <w:spacing w:after="0" w:line="156"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Transactions</w:t>
      </w:r>
      <w:r>
        <w:rPr>
          <w:rFonts w:ascii="Arial" w:cs="Arial" w:eastAsia="Arial" w:hAnsi="Arial"/>
          <w:sz w:val="20"/>
          <w:szCs w:val="20"/>
          <w:color w:val="auto"/>
        </w:rPr>
        <w:t>” means (a) the execution, delivery and performance by the Borrower of each Loan Document to which it is a party, (b) the borrowing of the Loans and the issuance of the Letters of Credit and (c) the use of the proceeds of the Loans and the Letters of Credit.</w:t>
      </w:r>
    </w:p>
    <w:p>
      <w:pPr>
        <w:spacing w:after="0" w:line="156" w:lineRule="exact"/>
        <w:rPr>
          <w:sz w:val="20"/>
          <w:szCs w:val="20"/>
          <w:color w:val="auto"/>
        </w:rPr>
      </w:pPr>
    </w:p>
    <w:p>
      <w:pPr>
        <w:jc w:val="both"/>
        <w:ind w:right="2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(a) the Adjusted Term SOFR Rate or (b) the Alternate Base Rate.</w:t>
      </w:r>
    </w:p>
    <w:p>
      <w:pPr>
        <w:spacing w:after="0" w:line="130" w:lineRule="exact"/>
        <w:rPr>
          <w:sz w:val="20"/>
          <w:szCs w:val="20"/>
          <w:color w:val="auto"/>
        </w:rPr>
      </w:pPr>
    </w:p>
    <w:p>
      <w:pPr>
        <w:jc w:val="both"/>
        <w:ind w:firstLine="1296"/>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Institutions</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28"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4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0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3.7(f)(ii)(B)(3)</w:t>
      </w:r>
      <w:r>
        <w:rPr>
          <w:rFonts w:ascii="Arial" w:cs="Arial" w:eastAsia="Arial" w:hAnsi="Arial"/>
          <w:sz w:val="20"/>
          <w:szCs w:val="20"/>
          <w:color w:val="auto"/>
        </w:rPr>
        <w:t>.</w:t>
      </w:r>
    </w:p>
    <w:p>
      <w:pPr>
        <w:spacing w:after="0" w:line="175"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Security</w:t>
      </w:r>
      <w:r>
        <w:rPr>
          <w:rFonts w:ascii="Arial" w:cs="Arial" w:eastAsia="Arial" w:hAnsi="Arial"/>
          <w:sz w:val="20"/>
          <w:szCs w:val="20"/>
          <w:color w:val="auto"/>
        </w:rPr>
        <w:t>” means a security which ordinarily has voting power for the election of the board of directors (or other governing body), whether at all times or only so long as no senior class of Equity Interests has such voting power by reason of any contingency.</w:t>
      </w:r>
    </w:p>
    <w:p>
      <w:pPr>
        <w:spacing w:after="0" w:line="156" w:lineRule="exact"/>
        <w:rPr>
          <w:sz w:val="20"/>
          <w:szCs w:val="20"/>
          <w:color w:val="auto"/>
        </w:rPr>
      </w:pPr>
    </w:p>
    <w:p>
      <w:pPr>
        <w:jc w:val="both"/>
        <w:ind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WPS</w:t>
      </w:r>
      <w:r>
        <w:rPr>
          <w:rFonts w:ascii="Arial" w:cs="Arial" w:eastAsia="Arial" w:hAnsi="Arial"/>
          <w:sz w:val="18"/>
          <w:szCs w:val="18"/>
          <w:color w:val="auto"/>
        </w:rPr>
        <w:t>” means the Public Service Commission of Wisconsin or any Governmental Authority succeeding to the functions</w:t>
      </w:r>
    </w:p>
    <w:p>
      <w:pPr>
        <w:spacing w:after="0"/>
        <w:rPr>
          <w:sz w:val="20"/>
          <w:szCs w:val="20"/>
          <w:color w:val="auto"/>
        </w:rPr>
      </w:pPr>
      <w:r>
        <w:rPr>
          <w:rFonts w:ascii="Arial" w:cs="Arial" w:eastAsia="Arial" w:hAnsi="Arial"/>
          <w:sz w:val="20"/>
          <w:szCs w:val="20"/>
          <w:color w:val="auto"/>
        </w:rPr>
        <w:t>thereof.</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For purposes of this Agreement, (a) Loans may be classified and referred to by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u w:val="single" w:color="auto"/>
          <w:color w:val="auto"/>
        </w:rPr>
        <w:t>Term Benchmark Loan</w:t>
      </w:r>
      <w:r>
        <w:rPr>
          <w:rFonts w:ascii="Arial" w:cs="Arial" w:eastAsia="Arial" w:hAnsi="Arial"/>
          <w:sz w:val="20"/>
          <w:szCs w:val="20"/>
          <w:color w:val="auto"/>
        </w:rPr>
        <w:t>”) and (b) Borrowings may also be classified and referred to by Type (</w:t>
      </w:r>
      <w:r>
        <w:rPr>
          <w:rFonts w:ascii="Arial" w:cs="Arial" w:eastAsia="Arial" w:hAnsi="Arial"/>
          <w:sz w:val="20"/>
          <w:szCs w:val="20"/>
          <w:u w:val="single" w:color="auto"/>
          <w:color w:val="auto"/>
        </w:rPr>
        <w:t>e.g.</w:t>
      </w:r>
      <w:r>
        <w:rPr>
          <w:rFonts w:ascii="Arial" w:cs="Arial" w:eastAsia="Arial" w:hAnsi="Arial"/>
          <w:sz w:val="20"/>
          <w:szCs w:val="20"/>
          <w:color w:val="auto"/>
        </w:rPr>
        <w:t>, a “</w:t>
      </w:r>
      <w:r>
        <w:rPr>
          <w:rFonts w:ascii="Arial" w:cs="Arial" w:eastAsia="Arial" w:hAnsi="Arial"/>
          <w:sz w:val="20"/>
          <w:szCs w:val="20"/>
          <w:u w:val="single" w:color="auto"/>
          <w:color w:val="auto"/>
        </w:rPr>
        <w:t>Term Benchmark</w:t>
      </w:r>
      <w:r>
        <w:rPr>
          <w:rFonts w:ascii="Arial" w:cs="Arial" w:eastAsia="Arial" w:hAnsi="Arial"/>
          <w:sz w:val="20"/>
          <w:szCs w:val="20"/>
          <w:color w:val="auto"/>
        </w:rPr>
        <w:t xml:space="preserve"> </w:t>
      </w:r>
      <w:r>
        <w:rPr>
          <w:rFonts w:ascii="Arial" w:cs="Arial" w:eastAsia="Arial" w:hAnsi="Arial"/>
          <w:sz w:val="20"/>
          <w:szCs w:val="20"/>
          <w:u w:val="single" w:color="auto"/>
          <w:color w:val="auto"/>
        </w:rPr>
        <w:t>Borrowing</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(b) any definition of or reference to any law shall be construed as referring to such law as from time to time amended and any successor thereto and the rules and regulations promulgated from time to time thereunder, (c) any reference herein to any Person shall be construed to include such Person’s successors and assigns,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the words “asset” and “property” shall be construed to have the same meaning and effect and to refer to all tangible and intangible assets and properties, including cash, securities, accounts and contract rights, and (g) any reference to a fiscal quarter or fiscal year means a fiscal quarter or fiscal year of the Borrower. Unless otherwise specified, each reference herein to a time of day shall mean such time in New York, New York.</w:t>
      </w:r>
    </w:p>
    <w:p>
      <w:pPr>
        <w:spacing w:after="0" w:line="1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herein, as used in the Loan Documents and in any certificate, opinion or other document made or delivered pursuant thereto, accounting terms not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accounting terms partly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to the extent not defined, shall have the respective meanings given to them under GAAP. If at any time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0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change in GAAP (including any change to the International Financial Reporting Standards by the International Accounting Standards Board or other method of accounting, as may hereafter be required or permitted by the SEC) would affect the computation of any financial requirement set forth in this Agreement, the Administrative Agent, the Lenders and the Borrower shall negotiate in good faith to amend such requirement to reflect such change in GAAP (subject to the approval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(i) such requirement shall continue to be computed in accordance with GAAP prior to such change therein and (ii) the Borrower shall provide to the Credit Parties financial statements and other documents required under this Agreement or as reasonably requested hereunder setting forth a reconciliation between calculations of such requirement made before and after giving effect to such change in GAAP.</w:t>
      </w:r>
    </w:p>
    <w:p>
      <w:pPr>
        <w:spacing w:after="0" w:line="157" w:lineRule="exact"/>
        <w:rPr>
          <w:sz w:val="20"/>
          <w:szCs w:val="20"/>
          <w:color w:val="auto"/>
        </w:rPr>
      </w:pPr>
    </w:p>
    <w:p>
      <w:pPr>
        <w:jc w:val="both"/>
        <w:ind w:firstLine="1304"/>
        <w:spacing w:after="0" w:line="210" w:lineRule="auto"/>
        <w:tabs>
          <w:tab w:leader="none" w:pos="1932"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w:t>
      </w:r>
      <w:r>
        <w:rPr>
          <w:rFonts w:ascii="Arial" w:cs="Arial" w:eastAsia="Arial" w:hAnsi="Arial"/>
          <w:sz w:val="20"/>
          <w:szCs w:val="20"/>
          <w:u w:val="single" w:color="auto"/>
          <w:color w:val="auto"/>
        </w:rPr>
        <w:t>Section 1.4(a)</w:t>
      </w:r>
      <w:r>
        <w:rPr>
          <w:rFonts w:ascii="Arial" w:cs="Arial" w:eastAsia="Arial" w:hAnsi="Arial"/>
          <w:sz w:val="20"/>
          <w:szCs w:val="20"/>
          <w:color w:val="auto"/>
        </w:rPr>
        <w:t xml:space="preserve"> or in the definition of “Capital Lease Obligations,” in the event of an accounting change requiring all leases to be capitalized, only those leases (assuming for purposes hereof that such leases were in existence on the date hereof) that would constitute capital leases in conformity with GAAP on the date hereof shall be considered capital leases, and all calculations and deliverables under this Agreement or any other Loan Document shall be made or delivered, as applicable, in accordance therewith.</w:t>
      </w:r>
    </w:p>
    <w:p>
      <w:pPr>
        <w:spacing w:after="0" w:line="15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Interest Rates; Benchmark Notification</w:t>
      </w:r>
      <w:r>
        <w:rPr>
          <w:rFonts w:ascii="Arial" w:cs="Arial" w:eastAsia="Arial" w:hAnsi="Arial"/>
          <w:sz w:val="18"/>
          <w:szCs w:val="18"/>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3"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Rounding</w:t>
      </w:r>
      <w:r>
        <w:rPr>
          <w:rFonts w:ascii="Arial" w:cs="Arial" w:eastAsia="Arial" w:hAnsi="Arial"/>
          <w:sz w:val="20"/>
          <w:szCs w:val="20"/>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Amendment and Restatement</w:t>
      </w:r>
      <w:r>
        <w:rPr>
          <w:rFonts w:ascii="Arial" w:cs="Arial" w:eastAsia="Arial" w:hAnsi="Arial"/>
          <w:sz w:val="20"/>
          <w:szCs w:val="20"/>
          <w:color w:val="auto"/>
        </w:rPr>
        <w:t xml:space="preserve">. The Borrower and the Lenders acknowledge and agree that (a) effective at the time at which all conditions precedent set forth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have been satisfied, this Agreement shall amend and restate in its entirety the Existing Credit Agreement and (b) there are no outstanding Loans under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01"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2.</w:t>
      </w:r>
    </w:p>
    <w:p>
      <w:pPr>
        <w:spacing w:after="0" w:line="14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THE CREDITS</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hereof, each Lender severally agrees to make Loans to the Borrower in dollars from time to time during the Availability Period in an aggregate principal amount that will not result in such Lender’s Credit Exposure exceeding such Lender’s Commitment. Within the foregoing limits, the Borrower may borrow, prepay and reborrow Loans.</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3" w:lineRule="auto"/>
        <w:tabs>
          <w:tab w:leader="none" w:pos="1934" w:val="left"/>
        </w:tabs>
        <w:numPr>
          <w:ilvl w:val="0"/>
          <w:numId w:val="54"/>
        </w:numPr>
        <w:rPr>
          <w:rFonts w:ascii="Arial" w:cs="Arial" w:eastAsia="Arial" w:hAnsi="Arial"/>
          <w:sz w:val="20"/>
          <w:szCs w:val="20"/>
          <w:color w:val="auto"/>
        </w:rPr>
      </w:pPr>
      <w:r>
        <w:rPr>
          <w:rFonts w:ascii="Arial" w:cs="Arial" w:eastAsia="Arial" w:hAnsi="Arial"/>
          <w:sz w:val="20"/>
          <w:szCs w:val="20"/>
          <w:color w:val="auto"/>
        </w:rPr>
        <w:t xml:space="preserve">Each Loan shall be made as part of a Borrowing consisting of Loans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Commitments of the Lenders are several, and no Lender shall be responsible for any other Lender’s failure to make any Loan as required.</w:t>
      </w:r>
    </w:p>
    <w:p>
      <w:pPr>
        <w:spacing w:after="0" w:line="155"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each Borrowing shall be comprised entirely of ABR Loans or Term Benchmark Loans, as applicable, in each case as the Borrower may request in accordance herewith. Each Lender at its option may make any Term Benchmark Loan (and any ABR Loan, the interest on which is determined pursuant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the definition of Alternate Base Rate)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55" w:lineRule="exact"/>
        <w:rPr>
          <w:rFonts w:ascii="Arial" w:cs="Arial" w:eastAsia="Arial" w:hAnsi="Arial"/>
          <w:sz w:val="19"/>
          <w:szCs w:val="19"/>
          <w:color w:val="auto"/>
        </w:rPr>
      </w:pPr>
    </w:p>
    <w:p>
      <w:pPr>
        <w:jc w:val="both"/>
        <w:ind w:firstLine="1304"/>
        <w:spacing w:after="0" w:line="231" w:lineRule="auto"/>
        <w:tabs>
          <w:tab w:leader="none" w:pos="19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Term Benchmark Borrowing, such Borrowing shall be in an aggregate amount that is $5,000,000 or a higher integral multiple of $1,000,000. At the time that each ABR Borrowing is made, such Borrowing shall be in an aggregate amount that is $5,000,000 or a higher integral multiple of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ABR Borrowing may be in an aggregate amount that is equal to the entire unused balance of the total Commitments or in an aggregate amount that is required to finance the reimbursement of an LC Disbursement as contemplated by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Borrowings of more than one Type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ten Term Benchmark Borrowings outstanding.</w:t>
      </w:r>
    </w:p>
    <w:p>
      <w:pPr>
        <w:spacing w:after="0" w:line="154" w:lineRule="exact"/>
        <w:rPr>
          <w:rFonts w:ascii="Arial" w:cs="Arial" w:eastAsia="Arial" w:hAnsi="Arial"/>
          <w:sz w:val="18"/>
          <w:szCs w:val="18"/>
          <w:color w:val="auto"/>
        </w:rPr>
      </w:pPr>
    </w:p>
    <w:p>
      <w:pPr>
        <w:ind w:firstLine="1304"/>
        <w:spacing w:after="0" w:line="242" w:lineRule="auto"/>
        <w:tabs>
          <w:tab w:leader="none" w:pos="1932"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Borrower shall not be entitled to request, or to elect to convert or continue, any Borrowing if the Interest Period requested with respect thereto would end after the Maturity Date.</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4" w:lineRule="auto"/>
        <w:tabs>
          <w:tab w:leader="none" w:pos="1934"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To request a Borrowing, the Borrower shall deliver a Credit Request to the Administrative Agent (x) in the case of a Term Benchmark Borrowing, not later than 12:30 p.m. three Business Days before the date of the proposed Borrowing or (y) in the case of an ABR Borrowing, not later than 12:30 p.m. on the date of the proposed Borrowing. Each such Credit Request shall be irrevocable (except as otherwise provided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and shall specify the following information in compliance with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2600" w:hanging="648"/>
        <w:spacing w:after="0"/>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Term Benchmark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01" w:lineRule="exact"/>
        <w:rPr>
          <w:sz w:val="20"/>
          <w:szCs w:val="20"/>
          <w:color w:val="auto"/>
        </w:rPr>
      </w:pPr>
    </w:p>
    <w:p>
      <w:pPr>
        <w:ind w:left="1300" w:firstLine="652"/>
        <w:spacing w:after="0" w:line="229" w:lineRule="auto"/>
        <w:tabs>
          <w:tab w:leader="none" w:pos="2585" w:val="left"/>
        </w:tabs>
        <w:numPr>
          <w:ilvl w:val="1"/>
          <w:numId w:val="56"/>
        </w:numPr>
        <w:rPr>
          <w:rFonts w:ascii="Arial" w:cs="Arial" w:eastAsia="Arial" w:hAnsi="Arial"/>
          <w:sz w:val="20"/>
          <w:szCs w:val="20"/>
          <w:color w:val="auto"/>
        </w:rPr>
      </w:pPr>
      <w:r>
        <w:rPr>
          <w:rFonts w:ascii="Arial" w:cs="Arial" w:eastAsia="Arial" w:hAnsi="Arial"/>
          <w:sz w:val="20"/>
          <w:szCs w:val="20"/>
          <w:color w:val="auto"/>
        </w:rPr>
        <w:t>in the case of a Term Benchmark Borrowing, the initial Interest Period to be applicable thereto, which shall be a period contemplated by the definition of the term “Interest Period”; and</w:t>
      </w:r>
    </w:p>
    <w:p>
      <w:pPr>
        <w:spacing w:after="0" w:line="155" w:lineRule="exact"/>
        <w:rPr>
          <w:rFonts w:ascii="Arial" w:cs="Arial" w:eastAsia="Arial" w:hAnsi="Arial"/>
          <w:sz w:val="20"/>
          <w:szCs w:val="20"/>
          <w:color w:val="auto"/>
        </w:rPr>
      </w:pPr>
    </w:p>
    <w:p>
      <w:pPr>
        <w:ind w:left="1300" w:firstLine="652"/>
        <w:spacing w:after="0" w:line="229" w:lineRule="auto"/>
        <w:tabs>
          <w:tab w:leader="none" w:pos="2584"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10" w:lineRule="auto"/>
        <w:tabs>
          <w:tab w:leader="none" w:pos="1932"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no election as to the Type of Borrowing is specified, then the requested Borrowing shall be an ABR Borrowing. If no Interest Period is specified with respect to any requested Term Benchmark Borrowing, then the Borrower shall be deemed to have selected an Interest Period of one month’s duration. Promptly following receipt of a Credit Request in accordance with this Section, the Administrative Agent shall advise each Lender of the details thereof and of the amount of such Lender’s Loan to be made as part of the requested Borrowing.</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Each Lender shall make each Loan to be made by it hereunder on the proposed date thereof by wire transfer of immediately available funds by 2:00 p.m. to the account of the Administrative Agent most recently designated by it for such purpose by notice to the Lenders. Subject to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the Administrative Agent will make such Loans available to the Borrower by promptly crediting or otherwise transferring the amounts so received, in like funds, to an account of the Borrower designated by the Borrower in the applicable Credit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made to finance the reimbursement of an LC Disbursement as provided in </w:t>
      </w:r>
      <w:r>
        <w:rPr>
          <w:rFonts w:ascii="Arial" w:cs="Arial" w:eastAsia="Arial" w:hAnsi="Arial"/>
          <w:sz w:val="19"/>
          <w:szCs w:val="19"/>
          <w:u w:val="single" w:color="auto"/>
          <w:color w:val="auto"/>
        </w:rPr>
        <w:t>Section 2.9(e)</w:t>
      </w:r>
      <w:r>
        <w:rPr>
          <w:rFonts w:ascii="Arial" w:cs="Arial" w:eastAsia="Arial" w:hAnsi="Arial"/>
          <w:sz w:val="19"/>
          <w:szCs w:val="19"/>
          <w:color w:val="auto"/>
        </w:rPr>
        <w:t xml:space="preserve"> shall be remitted by the Administrative Agent to the applicable Issuing Bank.</w:t>
      </w:r>
    </w:p>
    <w:p>
      <w:pPr>
        <w:spacing w:after="0" w:line="159" w:lineRule="exact"/>
        <w:rPr>
          <w:rFonts w:ascii="Arial" w:cs="Arial" w:eastAsia="Arial" w:hAnsi="Arial"/>
          <w:sz w:val="19"/>
          <w:szCs w:val="19"/>
          <w:color w:val="auto"/>
        </w:rPr>
      </w:pPr>
    </w:p>
    <w:p>
      <w:pPr>
        <w:jc w:val="both"/>
        <w:ind w:firstLine="1304"/>
        <w:spacing w:after="0" w:line="224" w:lineRule="auto"/>
        <w:tabs>
          <w:tab w:leader="none" w:pos="19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Unless the Administrative Agent shall have received notice from a Lender prior to the proposed date of any Borrowing (or purchase of participations pursuant to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that such Lender will not make available to the Administrative Agent such Lender’s share of such Borrowing (or the amount of its participation), the Administrative Agent may assume that such Lender has made such share available on such date in accordance with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and may, in reliance upon such assumption, make available to the Borrower or the applicable Issuing Bank, as applicable, a corresponding amount. In such event, if a Lender has not in fact made its share of the applicable Borrowing available to the Administrative Agent, then the applicable Lender and the Borrower (and, if applicable, the applicable Issuing Bank) severally agree to pay to the Administrative Agent forthwith on demand such corresponding amount with interest thereon, for each day from and including the date such amount is made available to the Borrower or such Issuing Bank, as applicable, to but excluding the date of payment to the Administrative Agent, at (i) in the case of such Lender or an Issuing Bank, the greater of the Federal Funds Effective Rate and a rate determined by the Administrative Agent in accordance with banking industry rules on interbank compensation or (ii) in the case of the Borrower, the interest rate that would be otherwise applicable to such Borrowing (or such participating interest). Any payment by the Borrower or an Issuing Bank, however, shall be without prejudice to its rights against the applicable Lender. If such Lender pays such amount to the Administrative Agent, then such amount shall constitute such Lender’s Loan included in such Borrowing (or participation in the applicable LC Disbursement).</w:t>
      </w:r>
    </w:p>
    <w:p>
      <w:pPr>
        <w:spacing w:after="0" w:line="1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6"/>
          <w:szCs w:val="16"/>
          <w:u w:val="single" w:color="auto"/>
          <w:color w:val="auto"/>
        </w:rPr>
        <w:t>Termination, Reduction and Increase of Commitments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3" w:lineRule="auto"/>
        <w:tabs>
          <w:tab w:leader="none" w:pos="19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Unless previously terminated, the Commitments shall terminate on the Maturity Date. For the avoidance of doubt, the Commitment of the Second Amendment Declining Lender shall terminate on the Initial Maturity Date and the total Commitments hereunder shall be reduced by the Commitment of the Second Amendment Declining Lender so terminated on such date except to the extent that the Borrower has required the Second Amendment Declining Lender to assign its rights under this Agreement to one or more Eligible Assignees that have agreed to extend their respective Commitments to terminate on the Maturity Date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01" w:lineRule="exact"/>
        <w:rPr>
          <w:sz w:val="20"/>
          <w:szCs w:val="20"/>
          <w:color w:val="auto"/>
        </w:rPr>
      </w:pPr>
    </w:p>
    <w:p>
      <w:pPr>
        <w:jc w:val="both"/>
        <w:ind w:firstLine="1304"/>
        <w:spacing w:after="0" w:line="213" w:lineRule="auto"/>
        <w:tabs>
          <w:tab w:leader="none" w:pos="1932"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The Borrower may at any time terminate, or from time to time reduce, the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terminate or reduce the Commitments if, after giving effect to any concurrent prepayment or repayment of the Loans in accordance with </w:t>
      </w:r>
      <w:r>
        <w:rPr>
          <w:rFonts w:ascii="Arial" w:cs="Arial" w:eastAsia="Arial" w:hAnsi="Arial"/>
          <w:sz w:val="20"/>
          <w:szCs w:val="20"/>
          <w:u w:val="single" w:color="auto"/>
          <w:color w:val="auto"/>
        </w:rPr>
        <w:t>Section 2.7</w:t>
      </w:r>
      <w:r>
        <w:rPr>
          <w:rFonts w:ascii="Arial" w:cs="Arial" w:eastAsia="Arial" w:hAnsi="Arial"/>
          <w:sz w:val="20"/>
          <w:szCs w:val="20"/>
          <w:color w:val="auto"/>
        </w:rPr>
        <w:t>, the sum of the Credit Exposures would exceed the total Commitments and each such reduction of the Commitments shall be in the amount of $5,000,000 or a higher integral multiple of $1,000,000.</w:t>
      </w:r>
    </w:p>
    <w:p>
      <w:pPr>
        <w:spacing w:after="0" w:line="155" w:lineRule="exact"/>
        <w:rPr>
          <w:rFonts w:ascii="Arial" w:cs="Arial" w:eastAsia="Arial" w:hAnsi="Arial"/>
          <w:sz w:val="20"/>
          <w:szCs w:val="20"/>
          <w:color w:val="auto"/>
        </w:rPr>
      </w:pPr>
    </w:p>
    <w:p>
      <w:pPr>
        <w:jc w:val="both"/>
        <w:ind w:firstLine="1304"/>
        <w:spacing w:after="0" w:line="228" w:lineRule="auto"/>
        <w:tabs>
          <w:tab w:leader="none" w:pos="19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Borrower shall notify the Administrative Agent of any election to terminate or reduce the Commitments under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Commitments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 Each reduction, and any termination, of the Commitments shall be permanent and each reduction of the Commitments shall be made ratably among the Lenders in accordance with their respective Commitments.</w:t>
      </w:r>
    </w:p>
    <w:p>
      <w:pPr>
        <w:spacing w:after="0" w:line="154" w:lineRule="exact"/>
        <w:rPr>
          <w:rFonts w:ascii="Arial" w:cs="Arial" w:eastAsia="Arial" w:hAnsi="Arial"/>
          <w:sz w:val="18"/>
          <w:szCs w:val="18"/>
          <w:color w:val="auto"/>
        </w:rPr>
      </w:pPr>
    </w:p>
    <w:p>
      <w:pPr>
        <w:jc w:val="both"/>
        <w:ind w:firstLine="1304"/>
        <w:spacing w:after="0" w:line="212" w:lineRule="auto"/>
        <w:tabs>
          <w:tab w:leader="none" w:pos="1932"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Borrower may at any time and from time to time prior to the Maturity Date, at its sole cost, expense and effort, request any one or more of the Lenders to increase its Commitment (the decision to increase the Commitment of a Lender to be within the sole and absolute discretion of such Lender), or any other Person reasonably satisfactory to the Administrative Agent and the Issuing Banks to provide a new Commitment, by submitting to the Administrative Agent and the Issuing Banks an Increase Supplement duly executed by the Borrower and each such Lender or other Person, as the case may be, together with such other documentation and deliveries as the Administrative Agent shall reasonably require (which may include copies of resolutions authorizing such increase and/or opinion of counsel). If such Increase Supplement is in all respects reasonably satisfactory to the Administrative Agent and the Issuing Banks, the Administrative Agent shall execute such Increase Supplement and the Administrative Agent shall deliver a copy thereof to the Borrower and each such Lender or other Person, as the case may be. Upon execution and delivery of such Increase Supplement by the Administrative Agent and the Issuing Banks, (i) in the case of each such Lender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its Commitment shall be increased to the amount set forth in such Increase Supplement, (ii) in the case of each such other Person (a “</w:t>
      </w:r>
      <w:r>
        <w:rPr>
          <w:rFonts w:ascii="Arial" w:cs="Arial" w:eastAsia="Arial" w:hAnsi="Arial"/>
          <w:sz w:val="19"/>
          <w:szCs w:val="19"/>
          <w:u w:val="single" w:color="auto"/>
          <w:color w:val="auto"/>
        </w:rPr>
        <w:t>New Lender</w:t>
      </w:r>
      <w:r>
        <w:rPr>
          <w:rFonts w:ascii="Arial" w:cs="Arial" w:eastAsia="Arial" w:hAnsi="Arial"/>
          <w:sz w:val="19"/>
          <w:szCs w:val="19"/>
          <w:color w:val="auto"/>
        </w:rPr>
        <w:t xml:space="preserve">”), such New Lender shall become a party hereto and have the rights and obligations of a Lender under the Loan Documents and its Commitment shall be as set forth in such Increase Supplement;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64" w:lineRule="exact"/>
        <w:rPr>
          <w:rFonts w:ascii="Arial" w:cs="Arial" w:eastAsia="Arial" w:hAnsi="Arial"/>
          <w:sz w:val="19"/>
          <w:szCs w:val="19"/>
          <w:color w:val="auto"/>
        </w:rPr>
      </w:pPr>
    </w:p>
    <w:p>
      <w:pPr>
        <w:jc w:val="both"/>
        <w:ind w:left="1300" w:firstLine="652"/>
        <w:spacing w:after="0" w:line="213" w:lineRule="auto"/>
        <w:tabs>
          <w:tab w:leader="none" w:pos="2587"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immediately after giving effect thereto, the sum of all increases (other than any increase in any Lender’s Commitment in order to replace another Lender pursuant to </w:t>
      </w:r>
      <w:r>
        <w:rPr>
          <w:rFonts w:ascii="Arial" w:cs="Arial" w:eastAsia="Arial" w:hAnsi="Arial"/>
          <w:sz w:val="20"/>
          <w:szCs w:val="20"/>
          <w:u w:val="single" w:color="auto"/>
          <w:color w:val="auto"/>
        </w:rPr>
        <w:t>Section 3.8(b)</w:t>
      </w:r>
      <w:r>
        <w:rPr>
          <w:rFonts w:ascii="Arial" w:cs="Arial" w:eastAsia="Arial" w:hAnsi="Arial"/>
          <w:sz w:val="20"/>
          <w:szCs w:val="20"/>
          <w:color w:val="auto"/>
        </w:rPr>
        <w:t xml:space="preserve">) in the aggregate Commitments made pursuant to this </w:t>
      </w:r>
      <w:r>
        <w:rPr>
          <w:rFonts w:ascii="Arial" w:cs="Arial" w:eastAsia="Arial" w:hAnsi="Arial"/>
          <w:sz w:val="20"/>
          <w:szCs w:val="20"/>
          <w:u w:val="single" w:color="auto"/>
          <w:color w:val="auto"/>
        </w:rPr>
        <w:t>Section 2.5(d)</w:t>
      </w:r>
      <w:r>
        <w:rPr>
          <w:rFonts w:ascii="Arial" w:cs="Arial" w:eastAsia="Arial" w:hAnsi="Arial"/>
          <w:sz w:val="20"/>
          <w:szCs w:val="20"/>
          <w:color w:val="auto"/>
        </w:rPr>
        <w:t xml:space="preserve"> shall not exceed the sum of (x) $150,000,000 plus (y) the amount of the Commitment of each Lender that becomes a Defaulting Lender;</w:t>
      </w:r>
    </w:p>
    <w:p>
      <w:pPr>
        <w:spacing w:after="0" w:line="155" w:lineRule="exact"/>
        <w:rPr>
          <w:rFonts w:ascii="Arial" w:cs="Arial" w:eastAsia="Arial" w:hAnsi="Arial"/>
          <w:sz w:val="20"/>
          <w:szCs w:val="20"/>
          <w:color w:val="auto"/>
        </w:rPr>
      </w:pPr>
    </w:p>
    <w:p>
      <w:pPr>
        <w:ind w:left="1300" w:firstLine="652"/>
        <w:spacing w:after="0" w:line="229" w:lineRule="auto"/>
        <w:tabs>
          <w:tab w:leader="none" w:pos="2590" w:val="left"/>
        </w:tabs>
        <w:numPr>
          <w:ilvl w:val="1"/>
          <w:numId w:val="60"/>
        </w:numPr>
        <w:rPr>
          <w:rFonts w:ascii="Arial" w:cs="Arial" w:eastAsia="Arial" w:hAnsi="Arial"/>
          <w:sz w:val="20"/>
          <w:szCs w:val="20"/>
          <w:color w:val="auto"/>
        </w:rPr>
      </w:pPr>
      <w:r>
        <w:rPr>
          <w:rFonts w:ascii="Arial" w:cs="Arial" w:eastAsia="Arial" w:hAnsi="Arial"/>
          <w:sz w:val="20"/>
          <w:szCs w:val="20"/>
          <w:color w:val="auto"/>
        </w:rPr>
        <w:t>each such increase of the aggregate Commitments shall be in an amount not less than $10,000,000 or a higher integral multiple of $5,000,000;</w:t>
      </w:r>
    </w:p>
    <w:p>
      <w:pPr>
        <w:spacing w:after="0" w:line="155" w:lineRule="exact"/>
        <w:rPr>
          <w:rFonts w:ascii="Arial" w:cs="Arial" w:eastAsia="Arial" w:hAnsi="Arial"/>
          <w:sz w:val="20"/>
          <w:szCs w:val="20"/>
          <w:color w:val="auto"/>
        </w:rPr>
      </w:pPr>
    </w:p>
    <w:p>
      <w:pPr>
        <w:jc w:val="both"/>
        <w:ind w:left="1300" w:firstLine="652"/>
        <w:spacing w:after="0" w:line="216" w:lineRule="auto"/>
        <w:tabs>
          <w:tab w:leader="none" w:pos="2590"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if Loans would be outstanding immediately after giving effect to any such increase, then simultaneously with such increase (1) each such Increasing Lender, each New Lender and each other Lender shall be deemed to have entered into an Assignment and Assumption, pursuant to which each such other Lender shall have assigned to each such Increasing Lender and each such New Lender a portion of its Commitment, Loans and LC Exposure necessary to reflect proportionately the Commitments as adjusted in accordance with this </w:t>
      </w:r>
      <w:r>
        <w:rPr>
          <w:rFonts w:ascii="Arial" w:cs="Arial" w:eastAsia="Arial" w:hAnsi="Arial"/>
          <w:sz w:val="19"/>
          <w:szCs w:val="19"/>
          <w:u w:val="single" w:color="auto"/>
          <w:color w:val="auto"/>
        </w:rPr>
        <w:t>paragraph (d)</w:t>
      </w:r>
      <w:r>
        <w:rPr>
          <w:rFonts w:ascii="Arial" w:cs="Arial" w:eastAsia="Arial" w:hAnsi="Arial"/>
          <w:sz w:val="19"/>
          <w:szCs w:val="19"/>
          <w:color w:val="auto"/>
        </w:rPr>
        <w:t>, and (2) in connection with such assignment, each such Increasing Lender and each such New Lender shall pay to the Administrative Agent, for the account of each such other Lender, such amount as shall be necessary to reflect the assignment to it of Loans, and in connection with such master assignment each such other Lender may treat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01" w:lineRule="exact"/>
        <w:rPr>
          <w:sz w:val="20"/>
          <w:szCs w:val="20"/>
          <w:color w:val="auto"/>
        </w:rPr>
      </w:pPr>
    </w:p>
    <w:p>
      <w:pPr>
        <w:ind w:left="1300" w:right="20"/>
        <w:spacing w:after="0" w:line="229" w:lineRule="auto"/>
        <w:rPr>
          <w:sz w:val="20"/>
          <w:szCs w:val="20"/>
          <w:color w:val="auto"/>
        </w:rPr>
      </w:pPr>
      <w:r>
        <w:rPr>
          <w:rFonts w:ascii="Arial" w:cs="Arial" w:eastAsia="Arial" w:hAnsi="Arial"/>
          <w:sz w:val="20"/>
          <w:szCs w:val="20"/>
          <w:color w:val="auto"/>
        </w:rPr>
        <w:t xml:space="preserve">assignment of Term Benchmark Borrowings as a prepayment of such Term Benchmark Borrowings for purposes of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3.6</w:t>
      </w:r>
      <w:r>
        <w:rPr>
          <w:rFonts w:ascii="Arial" w:cs="Arial" w:eastAsia="Arial" w:hAnsi="Arial"/>
          <w:sz w:val="20"/>
          <w:szCs w:val="20"/>
          <w:color w:val="auto"/>
        </w:rPr>
        <w:t>;</w:t>
      </w:r>
    </w:p>
    <w:p>
      <w:pPr>
        <w:spacing w:after="0" w:line="155" w:lineRule="exact"/>
        <w:rPr>
          <w:sz w:val="20"/>
          <w:szCs w:val="20"/>
          <w:color w:val="auto"/>
        </w:rPr>
      </w:pPr>
    </w:p>
    <w:p>
      <w:pPr>
        <w:ind w:left="1300" w:firstLine="652"/>
        <w:spacing w:after="0" w:line="229" w:lineRule="auto"/>
        <w:tabs>
          <w:tab w:leader="none" w:pos="2587"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each such other Person shall have delivered to the Administrative Agent and the Borrower all forms, if any, that are required to be delivered by such other Person pursuant to </w:t>
      </w:r>
      <w:r>
        <w:rPr>
          <w:rFonts w:ascii="Arial" w:cs="Arial" w:eastAsia="Arial" w:hAnsi="Arial"/>
          <w:sz w:val="20"/>
          <w:szCs w:val="20"/>
          <w:u w:val="single" w:color="auto"/>
          <w:color w:val="auto"/>
        </w:rPr>
        <w:t>Section 3.7</w:t>
      </w:r>
      <w:r>
        <w:rPr>
          <w:rFonts w:ascii="Arial" w:cs="Arial" w:eastAsia="Arial" w:hAnsi="Arial"/>
          <w:sz w:val="20"/>
          <w:szCs w:val="20"/>
          <w:color w:val="auto"/>
        </w:rPr>
        <w:t>; and</w:t>
      </w:r>
    </w:p>
    <w:p>
      <w:pPr>
        <w:spacing w:after="0" w:line="155" w:lineRule="exact"/>
        <w:rPr>
          <w:rFonts w:ascii="Arial" w:cs="Arial" w:eastAsia="Arial" w:hAnsi="Arial"/>
          <w:sz w:val="20"/>
          <w:szCs w:val="20"/>
          <w:color w:val="auto"/>
        </w:rPr>
      </w:pPr>
    </w:p>
    <w:p>
      <w:pPr>
        <w:jc w:val="both"/>
        <w:ind w:left="1300" w:firstLine="652"/>
        <w:spacing w:after="0" w:line="213" w:lineRule="auto"/>
        <w:tabs>
          <w:tab w:leader="none" w:pos="2592"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Borrower shall have delivered to the Administrative Agent sufficient copies for each Lender of a certificate of a Financial Officer demonstrating pro forma compliance with the terms of this Agreement through the Maturity Date and the Administrative Agent shall have received such certificates and other items as it shall reasonably request in connection with such increase.</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9" w:lineRule="auto"/>
        <w:tabs>
          <w:tab w:leader="none" w:pos="19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to the Administrative Agent for the account of each Lender the then unpaid principal amount of each Loan on the Maturity Date. For the avoidance of doubt, on the Initial Maturity Date, the Borrower shall make prepayments of the outstanding Loans and provide such cash collateral (or make such other arrangements satisfactory to the applicable Issuing Bank) with respect to the outstanding Letters of Credit as shall be required such that, after giving effect to the termination of the Commitment of the Second Amendment Declining Lender pursuant to Section 2.5(a), the aggregate Credit Exposure less the face amount of any Letter of Credit supported by any such cash collateral (or other satisfactory arrangements) so provided does not exceed the aggregate amount of Commitments after giving effect to such Commitment termination.</w:t>
      </w:r>
    </w:p>
    <w:p>
      <w:pPr>
        <w:spacing w:after="0" w:line="156" w:lineRule="exact"/>
        <w:rPr>
          <w:rFonts w:ascii="Arial" w:cs="Arial" w:eastAsia="Arial" w:hAnsi="Arial"/>
          <w:sz w:val="18"/>
          <w:szCs w:val="18"/>
          <w:color w:val="auto"/>
        </w:rPr>
      </w:pPr>
    </w:p>
    <w:p>
      <w:pPr>
        <w:jc w:val="both"/>
        <w:ind w:firstLine="1304"/>
        <w:spacing w:after="0" w:line="218" w:lineRule="auto"/>
        <w:tabs>
          <w:tab w:leader="none" w:pos="1932" w:val="left"/>
        </w:tabs>
        <w:numPr>
          <w:ilvl w:val="0"/>
          <w:numId w:val="62"/>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debt of the Borrower to such Lender resulting from each Loan made by such Lender, including the amounts of principal and interest payable and paid to such Lender from time to time hereunder.</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the amount of each Loan made hereunder, the Type thereof and the Interest Period, if any, applicable thereto, the amount of any principal or interest due and payable or to become due and payable from the Borrower to each Lender hereunder and the amount of any sum received by the Administrative Agent hereunder for the account of the Lenders and each Lender’s share thereof.</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of this Section shall be prima facie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55" w:lineRule="exact"/>
        <w:rPr>
          <w:rFonts w:ascii="Arial" w:cs="Arial" w:eastAsia="Arial" w:hAnsi="Arial"/>
          <w:sz w:val="20"/>
          <w:szCs w:val="20"/>
          <w:color w:val="auto"/>
        </w:rPr>
      </w:pPr>
    </w:p>
    <w:p>
      <w:pPr>
        <w:jc w:val="both"/>
        <w:ind w:firstLine="1304"/>
        <w:spacing w:after="0" w:line="268" w:lineRule="auto"/>
        <w:tabs>
          <w:tab w:leader="none" w:pos="1934"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Any Lender may request that its Loans be evidenced by a Note. In such event, the Borrower shall prepare, execute and deliver to such Lender a Note payable to the order of such Lender. Thereafter, the Loans evidenced by such Note and interest thereon shall at all times (including after any assignment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be represented by a Note payable to the order of the payee named therein or any Eligible Assignee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except to the extent that any such Lender or Eligible Assignee subsequently returns any such Note for cancellation and requests that such Loans once again be evidenced as described in </w:t>
      </w:r>
      <w:r>
        <w:rPr>
          <w:rFonts w:ascii="Arial" w:cs="Arial" w:eastAsia="Arial" w:hAnsi="Arial"/>
          <w:sz w:val="16"/>
          <w:szCs w:val="16"/>
          <w:u w:val="single" w:color="auto"/>
          <w:color w:val="auto"/>
        </w:rPr>
        <w:t>paragraphs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29" w:lineRule="auto"/>
        <w:tabs>
          <w:tab w:leader="none" w:pos="1934"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Voluntary Prepayments</w:t>
      </w:r>
      <w:r>
        <w:rPr>
          <w:rFonts w:ascii="Arial" w:cs="Arial" w:eastAsia="Arial" w:hAnsi="Arial"/>
          <w:sz w:val="20"/>
          <w:szCs w:val="20"/>
          <w:color w:val="auto"/>
        </w:rPr>
        <w:t>. The Borrower shall have the right at any time and from time to time to prepay any Borrowing in whole or in part, subject to the requirements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01" w:lineRule="exact"/>
        <w:rPr>
          <w:sz w:val="20"/>
          <w:szCs w:val="20"/>
          <w:color w:val="auto"/>
        </w:rPr>
      </w:pPr>
    </w:p>
    <w:p>
      <w:pPr>
        <w:jc w:val="both"/>
        <w:ind w:firstLine="1304"/>
        <w:spacing w:after="0" w:line="210" w:lineRule="auto"/>
        <w:tabs>
          <w:tab w:leader="none" w:pos="19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Prepayments Resulting from the Reduction of the Total Commitments</w:t>
      </w:r>
      <w:r>
        <w:rPr>
          <w:rFonts w:ascii="Arial" w:cs="Arial" w:eastAsia="Arial" w:hAnsi="Arial"/>
          <w:sz w:val="20"/>
          <w:szCs w:val="20"/>
          <w:color w:val="auto"/>
        </w:rPr>
        <w:t>. In the event of any partial reduction or termination of the Commitments, then at or prior to the date of such reduction or termination, the Administrative Agent shall notify the Borrower and the Lenders of the sum of the Credit Exposures after giving effect thereto and if such sum would exceed the total Commitments after giving effect to such reduction or termination, then the Borrower shall, on the date of such reduction or termination, prepay Borrowings in an amount sufficient to eliminate such excess.</w:t>
      </w:r>
    </w:p>
    <w:p>
      <w:pPr>
        <w:spacing w:after="0" w:line="154" w:lineRule="exact"/>
        <w:rPr>
          <w:rFonts w:ascii="Arial" w:cs="Arial" w:eastAsia="Arial" w:hAnsi="Arial"/>
          <w:sz w:val="20"/>
          <w:szCs w:val="20"/>
          <w:color w:val="auto"/>
        </w:rPr>
      </w:pPr>
    </w:p>
    <w:p>
      <w:pPr>
        <w:jc w:val="both"/>
        <w:ind w:firstLine="1304"/>
        <w:spacing w:after="0" w:line="223" w:lineRule="auto"/>
        <w:tabs>
          <w:tab w:leader="none" w:pos="193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 of Prepayment; Application of Prepayments</w:t>
      </w:r>
      <w:r>
        <w:rPr>
          <w:rFonts w:ascii="Arial" w:cs="Arial" w:eastAsia="Arial" w:hAnsi="Arial"/>
          <w:sz w:val="18"/>
          <w:szCs w:val="18"/>
          <w:color w:val="auto"/>
        </w:rPr>
        <w:t xml:space="preserve">. The Borrower shall notify the Administrative Agent by telephone (confirmed by facsimile) of any prepayment hereunder, (i) in the case of a prepayment of a Term Benchmark Borrowing, not later than 11:30 a.m. three Business Days before the date of prepayment or (ii) in the case of prepayment of an ABR Borrowing, not later than 11:30 a.m. on the date of the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then such notice of prepayment may be revoked if such notice of termination is revoked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Promptly following receipt of any such notice relating to a Borrowing, the Administrative Agent shall advise the Lenders of the contents thereof. Each partial prepayment of any Borrowing shall be in an integral multiple of $1,000,000 and not less than $5,000,000 (or, if the outstanding principal balance of the applicable Borrowing is less than such minimum amount, then such lesser outstanding principal balance);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a result of any ABR Borrowing to reimburse an LC Disbursement pursuant to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the aggregate principal amount of all ABR Borrowings is not an integral multiple of $1,000,000, then any prepayment of ABR Borrowings shall be in an amount that will cause the aggregate principal amount of all ABR Borrowings to be an integral multiple of $1,000,000. Each prepayment of a Borrowing shall be applied ratably to the Loans included in the prepaid Borrowing. Prepayments shall be accompanied by accrued interest to the extent required by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if applicable, shall be subject to the provisions of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Notwithstanding any provision of this </w:t>
      </w:r>
      <w:r>
        <w:rPr>
          <w:rFonts w:ascii="Arial" w:cs="Arial" w:eastAsia="Arial" w:hAnsi="Arial"/>
          <w:sz w:val="18"/>
          <w:szCs w:val="18"/>
          <w:u w:val="single" w:color="auto"/>
          <w:color w:val="auto"/>
        </w:rPr>
        <w:t>Section 2.7(c)</w:t>
      </w:r>
      <w:r>
        <w:rPr>
          <w:rFonts w:ascii="Arial" w:cs="Arial" w:eastAsia="Arial" w:hAnsi="Arial"/>
          <w:sz w:val="18"/>
          <w:szCs w:val="18"/>
          <w:color w:val="auto"/>
        </w:rPr>
        <w:t xml:space="preserve"> to the contrary, if any Lender becomes a Defaulting Lender, then the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 for so long as such Lender is a Defaulting Lender.</w:t>
      </w:r>
    </w:p>
    <w:p>
      <w:pPr>
        <w:spacing w:after="0" w:line="16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18"/>
          <w:szCs w:val="18"/>
          <w:color w:val="auto"/>
        </w:rPr>
        <w:t>After November 23, 2021, the Borrower may, on one occasion during the term of this Agreement, request an extension of the Maturity Date for an additional one-year period by submitting a request for extension (an “</w:t>
      </w:r>
      <w:r>
        <w:rPr>
          <w:rFonts w:ascii="Arial" w:cs="Arial" w:eastAsia="Arial" w:hAnsi="Arial"/>
          <w:sz w:val="18"/>
          <w:szCs w:val="18"/>
          <w:u w:val="single" w:color="auto"/>
          <w:color w:val="auto"/>
        </w:rPr>
        <w:t>Extension Request</w:t>
      </w:r>
      <w:r>
        <w:rPr>
          <w:rFonts w:ascii="Arial" w:cs="Arial" w:eastAsia="Arial" w:hAnsi="Arial"/>
          <w:sz w:val="18"/>
          <w:szCs w:val="18"/>
          <w:color w:val="auto"/>
        </w:rPr>
        <w:t>”) to the Administrative Agent (which shall promptly advise each Lender) not more than 75 days or less than 30 days prior to the effective date of the proposed extension (the “</w:t>
      </w:r>
      <w:r>
        <w:rPr>
          <w:rFonts w:ascii="Arial" w:cs="Arial" w:eastAsia="Arial" w:hAnsi="Arial"/>
          <w:sz w:val="18"/>
          <w:szCs w:val="18"/>
          <w:u w:val="single" w:color="auto"/>
          <w:color w:val="auto"/>
        </w:rPr>
        <w:t>Extension Effective Date</w:t>
      </w:r>
      <w:r>
        <w:rPr>
          <w:rFonts w:ascii="Arial" w:cs="Arial" w:eastAsia="Arial" w:hAnsi="Arial"/>
          <w:sz w:val="18"/>
          <w:szCs w:val="18"/>
          <w:color w:val="auto"/>
        </w:rPr>
        <w:t xml:space="preserve">”). In response to such request, each Lender shall, not later than 20 days prior to the applicable Extension Effective Date, notify the Administrative Agent whether it is willing (in its sole and complete discretion) to extend the scheduled Maturity Date for an additional one-year period (and any Lender that fails to give such notice to the Administrative Agent shall be deemed to have elected not to extend the scheduled Maturity Date). The Administrative Agent will notify the Borrower of the Lenders’ decisions no later than 15 days prior to such Extension Effective Date. If Lenders holding more than 50% of the Commitments elect to extend the scheduled Maturity Date, then on such Extension Effective Date the Commitments of such Lenders shall be extended for an additional one-year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Default exists on such Extension Effective Date and (ii) all representations and warranties are true and correct on such Extension Effective Date, as though made as of such Extension Effective Date (or, if any such representation or warranty is expressly stated to have been made as of a specific date, as of such specific date). No Lender shall be required to consent to any Extension Request and any Lender that elects, or is deemed to have elected, not to extend the scheduled Maturity Date (a “</w:t>
      </w:r>
      <w:r>
        <w:rPr>
          <w:rFonts w:ascii="Arial" w:cs="Arial" w:eastAsia="Arial" w:hAnsi="Arial"/>
          <w:sz w:val="18"/>
          <w:szCs w:val="18"/>
          <w:u w:val="single" w:color="auto"/>
          <w:color w:val="auto"/>
        </w:rPr>
        <w:t>Declining Lender</w:t>
      </w:r>
      <w:r>
        <w:rPr>
          <w:rFonts w:ascii="Arial" w:cs="Arial" w:eastAsia="Arial" w:hAnsi="Arial"/>
          <w:sz w:val="18"/>
          <w:szCs w:val="18"/>
          <w:color w:val="auto"/>
        </w:rPr>
        <w:t>”) will have its Commitment terminated on the then existing scheduled Maturity Date (without regard to any extension by other Lenders). The Borrower may, at its sole expense and effort, upon notice to any Declining Lender and the Administrative Agent, require any Declining Lender to assign and delegate its rights and obligations under this Agreement to an Eligible Assignee selected by the Borrower and willing to accept such assignment (in accordance with, and subject to, the restrictions and consents otherwise required for assignments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0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6" w:lineRule="auto"/>
        <w:tabs>
          <w:tab w:leader="none" w:pos="193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the Borrower may request the issuance of Letters of Credit denominated in dollars as the applicant thereof for the support of its or its Subsidiaries’ obligations, in a form acceptable to the Administrative Agent and the applicable Issuing Bank, at any time and from time to time during the period from the Effective Date to the tenth Business Day preceding the last day of the Availability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of the Credit Exposure of all Lenders shall not exceed the total Commitments and (ii) the aggregate amount of all LC Exposure shall not at any time exceed $100,000,000. In the event of any inconsistency between the terms and conditions of this Agreement and the terms and conditions of any form of letter of credit application or other agreement submitted by the Borrower to, or entered into by the Borrower with, an Issuing Bank relating to any Letter of Credit, the terms and conditions of this Agreement shall control.</w:t>
      </w:r>
    </w:p>
    <w:p>
      <w:pPr>
        <w:spacing w:after="0" w:line="154"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xml:space="preserve">. To request the issuance of a Letter of Credit (or the amendment, renewal or extension of an outstanding Letter of Credit), the Borrower shall hand deliver or facsimile (or transmit by electronic communication, pursuant to arrangements for doing so approved by the applicable Issuing Bank) to the applicable Issuing Bank and the Administrative Agent (not later than three Business Days before the requested date of issuance, amendment, renewal or extension) a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the amount of such Letter of Credit, the name and address of the beneficiary thereof and such other information as shall be necessary to prepare, amend, renew or extend such Letter of Credit. If requested by an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 shall be deemed to represent and warrant that), after giving effect to such issuance, amendment, renewal or extension, (i) (x) the aggregate undrawn amount of all outstanding Letters of Credit issued by the Issuing Bank at such time plus (y) the aggregate amount of all LC Disbursements made by the Issuing Bank that have not yet been reimbursed by or on behalf of the Borrower at such time shall not exceed its Letter of Credit Commitment, (ii) the LC Exposure shall not exceed the total Letter of Credit Commitments, (iii) the total Credit Exposures shall not exceed the total Commitments. The Borrower may, at any time and from time to time, reduce the Letter of Credit Commitment of any Issuing Bank with the consent of such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reduce the Letter of Credit Commitment of any Issuing Bank if, after giving effect of such reduction, the conditions set forth in clauses (i) and (ii) above shall not be satisfied.</w:t>
      </w:r>
    </w:p>
    <w:p>
      <w:pPr>
        <w:spacing w:after="0" w:line="156" w:lineRule="exact"/>
        <w:rPr>
          <w:rFonts w:ascii="Arial" w:cs="Arial" w:eastAsia="Arial" w:hAnsi="Arial"/>
          <w:sz w:val="18"/>
          <w:szCs w:val="18"/>
          <w:color w:val="auto"/>
        </w:rPr>
      </w:pPr>
    </w:p>
    <w:p>
      <w:pPr>
        <w:jc w:val="both"/>
        <w:ind w:firstLine="1304"/>
        <w:spacing w:after="0" w:line="231" w:lineRule="auto"/>
        <w:tabs>
          <w:tab w:leader="none" w:pos="193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Each Letter of Credit shall expire at or prior to the close of business on the earlier of (i) the date that is one year after the date of the issuance of such Letter of Credit (or, in the case of any renewal or extension thereof, one year after such renewal or extension), and (ii) the date that is ten Business Days prior to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Letter of Credit may provide for the automatic renewal thereof for any period (unless the applicable Issuing Bank elects not to extend) so long as such period ends at least ten Business Days prior to the Maturity Date or if the Borrower shall have deposited cash collateral with the Administrative Agent to the extent required by </w:t>
      </w:r>
      <w:r>
        <w:rPr>
          <w:rFonts w:ascii="Arial" w:cs="Arial" w:eastAsia="Arial" w:hAnsi="Arial"/>
          <w:sz w:val="18"/>
          <w:szCs w:val="18"/>
          <w:u w:val="single" w:color="auto"/>
          <w:color w:val="auto"/>
        </w:rPr>
        <w:t>Section 2.9(j)</w:t>
      </w:r>
      <w:r>
        <w:rPr>
          <w:rFonts w:ascii="Arial" w:cs="Arial" w:eastAsia="Arial" w:hAnsi="Arial"/>
          <w:sz w:val="18"/>
          <w:szCs w:val="18"/>
          <w:color w:val="auto"/>
        </w:rPr>
        <w:t xml:space="preserve"> for such Letter of Credit, not later than the first anniversary of the Maturity Date.</w:t>
      </w:r>
    </w:p>
    <w:p>
      <w:pPr>
        <w:spacing w:after="0" w:line="154" w:lineRule="exact"/>
        <w:rPr>
          <w:rFonts w:ascii="Arial" w:cs="Arial" w:eastAsia="Arial" w:hAnsi="Arial"/>
          <w:sz w:val="18"/>
          <w:szCs w:val="18"/>
          <w:color w:val="auto"/>
        </w:rPr>
      </w:pPr>
    </w:p>
    <w:p>
      <w:pPr>
        <w:jc w:val="both"/>
        <w:ind w:firstLine="1304"/>
        <w:spacing w:after="0" w:line="207" w:lineRule="auto"/>
        <w:tabs>
          <w:tab w:leader="none" w:pos="1932"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of the aggregate amount available to be drawn under such Letter of Credit. In consideration and in furtherance of the foregoing, each such Lender hereby absolutely and unconditionally agrees to pay to the Administrative Agent, for the account of such Issuing Bank,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01"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 xml:space="preserve">Lender’s Applicable Percentage of each LC Disbursement made by such Issuing Bank and not reimbursed by the Borrower on the date due as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or of any reimbursement payment required to be refunded to the Borrower for any reason. Each such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59" w:lineRule="exact"/>
        <w:rPr>
          <w:sz w:val="20"/>
          <w:szCs w:val="20"/>
          <w:color w:val="auto"/>
        </w:rPr>
      </w:pPr>
    </w:p>
    <w:p>
      <w:pPr>
        <w:jc w:val="both"/>
        <w:ind w:firstLine="1304"/>
        <w:spacing w:after="0" w:line="220" w:lineRule="auto"/>
        <w:tabs>
          <w:tab w:leader="none" w:pos="1934"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If any Issuing Bank shall make an LC Disbursement in respect of a Letter of Credit, then such Issuing Bank shall promptly notify the Borrower of such LC Disbursement and the Borrower shall reimburse such LC Disbursement by paying to the Administrative Agent, for the account of such Issuing Bank, an amount equal to such LC Disbursement and any accrued interest thereon (collectively,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by not later than (i) if the Borrower shall have received notice of such LC Disbursement prior to 11:00 a.m. on such date, 2:00 p.m. on such date, or (ii) otherwise, 2:00 p.m. on the Business Day immediately following the day that the Borrower receives such notice. If the Borrower fails to reimburse an Issuing Bank in full for an LC Disbursement prior to the time required pursuant to the preceding sentence, then such Issuing Bank may (and the Borrower authorizes such Issuing Bank to) request, on behalf of the Borrower by notice to the Administrative Agent (which shall promptly advise each Lender), that the Lenders fund an ABR Borrowing in an amount equal to the Unreimbursed Amount, without regard to the minimum and integral multiple requirements in </w:t>
      </w:r>
      <w:r>
        <w:rPr>
          <w:rFonts w:ascii="Arial" w:cs="Arial" w:eastAsia="Arial" w:hAnsi="Arial"/>
          <w:sz w:val="18"/>
          <w:szCs w:val="18"/>
          <w:u w:val="single" w:color="auto"/>
          <w:color w:val="auto"/>
        </w:rPr>
        <w:t>Section 2.2(c)</w:t>
      </w:r>
      <w:r>
        <w:rPr>
          <w:rFonts w:ascii="Arial" w:cs="Arial" w:eastAsia="Arial" w:hAnsi="Arial"/>
          <w:sz w:val="18"/>
          <w:szCs w:val="18"/>
          <w:color w:val="auto"/>
        </w:rPr>
        <w:t>, and each Lender shall make its Loan as part of such ABR Borrowing (by wire transfer of immediately available funds to the account most recently designated by the Administrative Agent for such purpose by notice to the Lenders) not later than</w:t>
      </w:r>
    </w:p>
    <w:p>
      <w:pPr>
        <w:spacing w:after="0" w:line="7" w:lineRule="exact"/>
        <w:rPr>
          <w:rFonts w:ascii="Arial" w:cs="Arial" w:eastAsia="Arial" w:hAnsi="Arial"/>
          <w:sz w:val="18"/>
          <w:szCs w:val="18"/>
          <w:color w:val="auto"/>
        </w:rPr>
      </w:pPr>
    </w:p>
    <w:p>
      <w:pPr>
        <w:jc w:val="both"/>
        <w:ind w:firstLine="8"/>
        <w:spacing w:after="0" w:line="223" w:lineRule="auto"/>
        <w:tabs>
          <w:tab w:leader="none" w:pos="2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if such Lender shall have received notice of such Borrowing from the Administrative Agent prior to 12:00 noon on such date, 2:00 p.m. on such date or (y) otherwise, 2:00 p.m. on the Business Day immediately following the day that such Lender receives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conditions precedent to a Borrowing specified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are not satisfied, then the request by the Issuing Bank shall be deemed to be a request for the funding of the Lenders’ participations in such Unreimbursed Amount and the amounts made available by the Lenders to the Administrative Agent as provided above shall constitute the Lenders’ funding of their respective participations in such Unreimbursed Amount. The Administrative Agent will make the proceeds of such Loans or participations, as applicable, available to the applicable Issuing Bank by promptly crediting or otherwise transferring the amounts so received, in like funds, to such Issuing Bank for the purpose of repaying in full the LC Disbursement and all accrued interest thereon. Any Lender that fails to make the proceeds of its Loan or its participation available to the Administrative Agent in accordance with the provisions of this </w:t>
      </w:r>
      <w:r>
        <w:rPr>
          <w:rFonts w:ascii="Arial" w:cs="Arial" w:eastAsia="Arial" w:hAnsi="Arial"/>
          <w:sz w:val="18"/>
          <w:szCs w:val="18"/>
          <w:u w:val="single" w:color="auto"/>
          <w:color w:val="auto"/>
        </w:rPr>
        <w:t>Section 2.9(e)</w:t>
      </w:r>
      <w:r>
        <w:rPr>
          <w:rFonts w:ascii="Arial" w:cs="Arial" w:eastAsia="Arial" w:hAnsi="Arial"/>
          <w:sz w:val="18"/>
          <w:szCs w:val="18"/>
          <w:color w:val="auto"/>
        </w:rPr>
        <w:t xml:space="preserve"> shall pay interest thereon, for the account of the applicable Issuing Bank, for each day from and including the date such amount is due to but excluding the date such amount is received by the Administrative Agent, at the greater of the Federal Funds Effective Rate and a rate determined by the Administrative Agent in accordance with banking industry rules on interbank compensation.</w:t>
      </w:r>
    </w:p>
    <w:p>
      <w:pPr>
        <w:spacing w:after="0" w:line="160" w:lineRule="exact"/>
        <w:rPr>
          <w:rFonts w:ascii="Arial" w:cs="Arial" w:eastAsia="Arial" w:hAnsi="Arial"/>
          <w:sz w:val="18"/>
          <w:szCs w:val="18"/>
          <w:color w:val="auto"/>
        </w:rPr>
      </w:pPr>
    </w:p>
    <w:p>
      <w:pPr>
        <w:jc w:val="both"/>
        <w:ind w:firstLine="1304"/>
        <w:spacing w:after="0" w:line="225" w:lineRule="auto"/>
        <w:tabs>
          <w:tab w:leader="none" w:pos="1939"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The Borrower’s obligations to reimburse LC Disbursements as provided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shall be absolute, unconditional and irrevocable, and shall be performed strictly in accordance with the terms of this Agreement under any and all circumstances whatsoever and irrespective of any lack of validity or enforceability of any Letter of Credit or any Loan Document, or any term or provision therein, any draft or other document presented under a Letter of Credit proving to be forged, fraudulent, insufficient or invalid in any respect or any statement therein being untrue or inaccurate in any respect, payment by any Issuing Bank under a Letter of Credit against presentation of a draft or other document that does not comply with the terms of such Letter of Credit, any amendment or waiver of or any consent to departure from all or any of the provisions of any Letter of Credit or any Loan Document, the existence of any claim, set-off, defense or other right that the Borrower, any other party guaranteeing, or otherwise obligated with, such Borrower, any Subsidiary or other Affiliate thereof or any other Person may at any time have against the beneficiary under any Letter of Credit, any Credit Party or any other Person, whether in connection with this Agreement, any other Loan Document or any other related or unrelated agreement or transaction, or any other act or omission to act or delay of any kind of any Credit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29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0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or any other Person or any other event or circumstance whatsoever, whether or not similar to any of the foregoing, that might, but for the provisions of this Section, constitute a legal or equitable discharge of, or provide a right of set-off against, the Borrower’s obligations hereunder. Neither any Credit Party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an Issuing Bank from liability to the Borrower to the extent of any direct damages (as opposed to consequential damages, claims in respect of which are hereby waived by the Borrower to the extent permitted by applicable law) suffered by the Borrower that are caused by any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0" w:lineRule="exact"/>
        <w:rPr>
          <w:sz w:val="20"/>
          <w:szCs w:val="20"/>
          <w:color w:val="auto"/>
        </w:rPr>
      </w:pPr>
    </w:p>
    <w:p>
      <w:pPr>
        <w:jc w:val="both"/>
        <w:ind w:firstLine="1304"/>
        <w:spacing w:after="0" w:line="233" w:lineRule="auto"/>
        <w:tabs>
          <w:tab w:leader="none" w:pos="19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Each Issuing Bank shall, promptly following its receipt thereof, examine all documents purporting to represent a demand for payment under a Letter of Credit. Each Issuing Bank shall promptly notify the Administrative Agent and the Borrower by telephone (confirmed by telecopy or electronic mail) of such demand for payment and whether the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 of its obligation to reimburse the applicable Issuing Bank and the Lenders with respect to any such LC Disbursement.</w:t>
      </w:r>
    </w:p>
    <w:p>
      <w:pPr>
        <w:spacing w:after="0" w:line="156" w:lineRule="exact"/>
        <w:rPr>
          <w:rFonts w:ascii="Arial" w:cs="Arial" w:eastAsia="Arial" w:hAnsi="Arial"/>
          <w:sz w:val="18"/>
          <w:szCs w:val="18"/>
          <w:color w:val="auto"/>
        </w:rPr>
      </w:pPr>
    </w:p>
    <w:p>
      <w:pPr>
        <w:jc w:val="both"/>
        <w:ind w:firstLine="1304"/>
        <w:spacing w:after="0" w:line="229" w:lineRule="auto"/>
        <w:tabs>
          <w:tab w:leader="none" w:pos="193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then applicable to ABR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fails to reimburse such LC Disbursement when due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then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to reimburse the applicable Issuing Bank shall be for the account of such Lender to the extent of such payment.</w:t>
      </w:r>
    </w:p>
    <w:p>
      <w:pPr>
        <w:spacing w:after="0" w:line="156" w:lineRule="exact"/>
        <w:rPr>
          <w:rFonts w:ascii="Arial" w:cs="Arial" w:eastAsia="Arial" w:hAnsi="Arial"/>
          <w:sz w:val="18"/>
          <w:szCs w:val="18"/>
          <w:color w:val="auto"/>
        </w:rPr>
      </w:pPr>
    </w:p>
    <w:p>
      <w:pPr>
        <w:jc w:val="both"/>
        <w:ind w:firstLine="1304"/>
        <w:spacing w:after="0" w:line="227" w:lineRule="auto"/>
        <w:tabs>
          <w:tab w:leader="none" w:pos="194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Replacement and Resignation of an Issuing Bank</w:t>
      </w:r>
      <w:r>
        <w:rPr>
          <w:rFonts w:ascii="Arial" w:cs="Arial" w:eastAsia="Arial" w:hAnsi="Arial"/>
          <w:sz w:val="18"/>
          <w:szCs w:val="18"/>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18"/>
          <w:szCs w:val="18"/>
          <w:u w:val="single" w:color="auto"/>
          <w:color w:val="auto"/>
        </w:rPr>
        <w:t>Section 3.3(b)</w:t>
      </w:r>
      <w:r>
        <w:rPr>
          <w:rFonts w:ascii="Arial" w:cs="Arial" w:eastAsia="Arial" w:hAnsi="Arial"/>
          <w:sz w:val="18"/>
          <w:szCs w:val="18"/>
          <w:color w:val="auto"/>
        </w:rPr>
        <w:t>. From and after the effective date of any such replacement, (x) the successor Issuing Bank shall have all the rights and obligations of Issuing Banks under this Agreement with respect to Letters of Credit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Credit issued by it prior to such replacement, but shall not be required to issue additional Letters of Credit.</w:t>
      </w:r>
    </w:p>
    <w:p>
      <w:pPr>
        <w:spacing w:after="0" w:line="175" w:lineRule="exact"/>
        <w:rPr>
          <w:sz w:val="20"/>
          <w:szCs w:val="20"/>
          <w:color w:val="auto"/>
        </w:rPr>
      </w:pPr>
    </w:p>
    <w:p>
      <w:pPr>
        <w:jc w:val="both"/>
        <w:ind w:left="660" w:firstLine="644"/>
        <w:spacing w:after="0" w:line="218" w:lineRule="auto"/>
        <w:tabs>
          <w:tab w:leader="none" w:pos="1603"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Subject to the appointment and acceptance of a successor Issuing Bank, any Issuing Bank may resign as an Issuing Bank at any time upon 30 days’ prior written notice to the Administrative Agent, the Borrower and the Lenders, in which case, such resigning Issuing Bank shall be replaced in accordance with </w:t>
      </w:r>
      <w:r>
        <w:rPr>
          <w:rFonts w:ascii="Arial" w:cs="Arial" w:eastAsia="Arial" w:hAnsi="Arial"/>
          <w:sz w:val="20"/>
          <w:szCs w:val="20"/>
          <w:u w:val="single" w:color="auto"/>
          <w:color w:val="auto"/>
        </w:rPr>
        <w:t>Section 2.9(i)</w:t>
      </w:r>
      <w:r>
        <w:rPr>
          <w:rFonts w:ascii="Arial" w:cs="Arial" w:eastAsia="Arial" w:hAnsi="Arial"/>
          <w:sz w:val="20"/>
          <w:szCs w:val="20"/>
          <w:color w:val="auto"/>
        </w:rPr>
        <w:t xml:space="preserve"> above.</w:t>
      </w:r>
    </w:p>
    <w:p>
      <w:pPr>
        <w:spacing w:after="0" w:line="156" w:lineRule="exact"/>
        <w:rPr>
          <w:sz w:val="20"/>
          <w:szCs w:val="20"/>
          <w:color w:val="auto"/>
        </w:rPr>
      </w:pPr>
    </w:p>
    <w:p>
      <w:pPr>
        <w:jc w:val="both"/>
        <w:ind w:firstLine="1304"/>
        <w:spacing w:after="0" w:line="221" w:lineRule="auto"/>
        <w:tabs>
          <w:tab w:leader="none" w:pos="194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In the event that (i) an Event of Default shall occur and be continuing or (ii) any Letter of Credit has an expiry date on or after the tenth Business Day prior to the Maturity Date (or any LC Disbursements remain unreimbursed on or after such date), the Borrower shall deposit with the Administrative Agent in immediately available funds on the Business Day on which it receives notice from the Administrative Agent or Required Lenders demanding the deposit of cash collateral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no later than the tenth Business Day prior to the Maturity Date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an amount equal to the Required Deposit Amount, which amount shall be held by the Administrative Agent for the benefit of the Lenders as cash collateral pursuant to a cash collateral agreement in form and substance satisfactory to the Administrative Agent and the applicable Issuing Banks to secure the Borrower’s reimbursement obligations with respect to LC Disbursements;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Such deposit shall not bear interest, nor shall the Administrative Agent be under any obligation whatsoever to invest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request of the Borrower, such deposit shall be invested by the Administrative Agent in direct short term obligations of, or short term obligations the principal of and interest on which are unconditionally guaranteed by, the United States of America, in each case maturing no later than the expiry date of the Letter of Credit giving rise to the relevant LC Exposure.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Required Lenders),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 If the Borrower is required to provide cash collateral hereunder as a result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sentence of this paragraph, the amount thereof (to the extent not applied as aforesaid) shall be returned to the Borrower when the LC Exposure is zero and all applicable Letters of Credit shall have been returned to the applicable Issuing Banks and shall have been cancelled.</w:t>
      </w:r>
    </w:p>
    <w:p>
      <w:pPr>
        <w:spacing w:after="0" w:line="176" w:lineRule="exact"/>
        <w:rPr>
          <w:rFonts w:ascii="Arial" w:cs="Arial" w:eastAsia="Arial" w:hAnsi="Arial"/>
          <w:sz w:val="18"/>
          <w:szCs w:val="18"/>
          <w:color w:val="auto"/>
        </w:rPr>
      </w:pPr>
    </w:p>
    <w:p>
      <w:pPr>
        <w:ind w:firstLine="1304"/>
        <w:spacing w:after="0" w:line="229" w:lineRule="auto"/>
        <w:tabs>
          <w:tab w:leader="none" w:pos="1932"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Notwithstanding any provision of this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to the contrary, if any Lender becomes a Defaulting Lender, then the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apply for so long as such Lender is a Defaulting Lender.</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31" w:lineRule="auto"/>
        <w:tabs>
          <w:tab w:leader="none" w:pos="19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Borrower shall make each payment required to be made by it hereunder or under any other Loan Document (whether of principal of Loans, LC Disbursements, interest or fees, or of amounts payable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10.3</w:t>
      </w:r>
      <w:r>
        <w:rPr>
          <w:rFonts w:ascii="Arial" w:cs="Arial" w:eastAsia="Arial" w:hAnsi="Arial"/>
          <w:sz w:val="18"/>
          <w:szCs w:val="18"/>
          <w:color w:val="auto"/>
        </w:rPr>
        <w:t>, or otherwise) prior to 1:00 p.m.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 at 10 S. Dearborn, Chicago, Illinois, or such other office as to which the Administrative Agent may notify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01"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 xml:space="preserve">except that payments pursuant to </w:t>
      </w:r>
      <w:r>
        <w:rPr>
          <w:rFonts w:ascii="Arial" w:cs="Arial" w:eastAsia="Arial" w:hAnsi="Arial"/>
          <w:sz w:val="20"/>
          <w:szCs w:val="20"/>
          <w:u w:val="single" w:color="auto"/>
          <w:color w:val="auto"/>
        </w:rPr>
        <w:t>Sections 3.3(b)</w:t>
      </w:r>
      <w:r>
        <w:rPr>
          <w:rFonts w:ascii="Arial" w:cs="Arial" w:eastAsia="Arial" w:hAnsi="Arial"/>
          <w:sz w:val="20"/>
          <w:szCs w:val="20"/>
          <w:color w:val="auto"/>
        </w:rPr>
        <w:t xml:space="preserve"> (with respect to the fronting fee and other amounts payable to the Issuing Banks), </w:t>
      </w:r>
      <w:r>
        <w:rPr>
          <w:rFonts w:ascii="Arial" w:cs="Arial" w:eastAsia="Arial" w:hAnsi="Arial"/>
          <w:sz w:val="20"/>
          <w:szCs w:val="20"/>
          <w:u w:val="single" w:color="auto"/>
          <w:color w:val="auto"/>
        </w:rPr>
        <w:t>3.3(c)</w:t>
      </w:r>
      <w:r>
        <w:rPr>
          <w:rFonts w:ascii="Arial" w:cs="Arial" w:eastAsia="Arial" w:hAnsi="Arial"/>
          <w:sz w:val="20"/>
          <w:szCs w:val="20"/>
          <w:color w:val="auto"/>
        </w:rPr>
        <w:t xml:space="preserve">,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w:t>
      </w:r>
      <w:r>
        <w:rPr>
          <w:rFonts w:ascii="Arial" w:cs="Arial" w:eastAsia="Arial" w:hAnsi="Arial"/>
          <w:sz w:val="20"/>
          <w:szCs w:val="20"/>
          <w:u w:val="single" w:color="auto"/>
          <w:color w:val="auto"/>
        </w:rPr>
        <w:t>3.6</w:t>
      </w:r>
      <w:r>
        <w:rPr>
          <w:rFonts w:ascii="Arial" w:cs="Arial" w:eastAsia="Arial" w:hAnsi="Arial"/>
          <w:sz w:val="20"/>
          <w:szCs w:val="20"/>
          <w:color w:val="auto"/>
        </w:rPr>
        <w:t xml:space="preserve">, </w:t>
      </w:r>
      <w:r>
        <w:rPr>
          <w:rFonts w:ascii="Arial" w:cs="Arial" w:eastAsia="Arial" w:hAnsi="Arial"/>
          <w:sz w:val="20"/>
          <w:szCs w:val="20"/>
          <w:u w:val="single" w:color="auto"/>
          <w:color w:val="auto"/>
        </w:rPr>
        <w:t>3.7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10.3</w:t>
      </w:r>
      <w:r>
        <w:rPr>
          <w:rFonts w:ascii="Arial" w:cs="Arial" w:eastAsia="Arial" w:hAnsi="Arial"/>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0" w:lineRule="exact"/>
        <w:rPr>
          <w:sz w:val="20"/>
          <w:szCs w:val="20"/>
          <w:color w:val="auto"/>
        </w:rPr>
      </w:pPr>
    </w:p>
    <w:p>
      <w:pPr>
        <w:jc w:val="both"/>
        <w:ind w:firstLine="1304"/>
        <w:spacing w:after="0" w:line="213" w:lineRule="auto"/>
        <w:tabs>
          <w:tab w:leader="none" w:pos="1932"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Borrowing, each payment or prepayment of principal of any Borrowing, each payment of interest on the Loans, each payment of fees, each reduction of the Commitments and each conversion of any Borrowing to or continuation of any Borrowing as a Borrowing of any Type shall be allocated pro rata among the Lenders in accordance with their respective applicable Commitments (or, if such Commitments shall have expired or been terminated, in accordance with the respective principal amounts of their outstanding Loans). Each Lender agrees that in computing such Lender’s portion of any Borrowing to be made hereunder, the Administrative Agent may, in its discretion, round each Lender’s percentage of such Borrowing to the next higher or lower whole dollar amount. If at any time insufficient funds are received by and available to the Administrative Agent to pay fully all amounts of principal of Loans, unreimbursed LC Disbursements, interest, fees and commissions then due hereunder, such funds shall be applied first, towards payment of interest, fees and commissions then due hereunder, ratably among the parties entitled thereto in accordance with the amounts of interest, fees and commissions then due to such parties and second, towards payment of principal of Loans and unreimbursed LC Disbursements then due hereunder, ratably among the parties entitled thereto in accordance with the amounts of principal of Loans and unreimbursed LC Disbursements then due to such parties.</w:t>
      </w:r>
    </w:p>
    <w:p>
      <w:pPr>
        <w:spacing w:after="0" w:line="157" w:lineRule="exact"/>
        <w:rPr>
          <w:rFonts w:ascii="Arial" w:cs="Arial" w:eastAsia="Arial" w:hAnsi="Arial"/>
          <w:sz w:val="19"/>
          <w:szCs w:val="19"/>
          <w:color w:val="auto"/>
        </w:rPr>
      </w:pPr>
    </w:p>
    <w:p>
      <w:pPr>
        <w:jc w:val="both"/>
        <w:ind w:firstLine="1304"/>
        <w:spacing w:after="0" w:line="223" w:lineRule="auto"/>
        <w:tabs>
          <w:tab w:leader="none" w:pos="193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such participations are purchased and all or any portion of the payment giving rise thereto is recovered, such participations shall be rescinded and the purchase price restored to the extent of such recovery, without interest, and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rFonts w:ascii="Arial" w:cs="Arial" w:eastAsia="Arial" w:hAnsi="Arial"/>
          <w:sz w:val="18"/>
          <w:szCs w:val="18"/>
          <w:color w:val="auto"/>
        </w:rPr>
      </w:pPr>
    </w:p>
    <w:p>
      <w:pPr>
        <w:jc w:val="both"/>
        <w:ind w:firstLine="1304"/>
        <w:spacing w:after="0" w:line="217" w:lineRule="auto"/>
        <w:tabs>
          <w:tab w:leader="none" w:pos="1932" w:val="left"/>
        </w:tabs>
        <w:numPr>
          <w:ilvl w:val="0"/>
          <w:numId w:val="72"/>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the Borrower prior to the date on which any payment is due to the Administrative Agent for the account of the applicable Credit Parties hereunder that the Borrower will not make such payment, the Administrative Agent may assume that the Borrower has made such payment on such date in accordance herewith and may, in reliance upon such assumption, distribute to such Credit Parties the amount due. In such event, if the Borrower has not in fact made such payment, then each such Credit Party severally agrees to repay to the Administrative Agent forthwith on demand the amount so distributed to such Credit Party with interest thereon, for each day from and including the date such amount is distributed to it to but excluding the date of payment to the Administrative Agent,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greater of the Federal Funds Effective Rate and a rate determined by the Administrative Agent in accordance with banking industry rules on interbank compensation.</w:t>
      </w:r>
    </w:p>
    <w:p>
      <w:pPr>
        <w:spacing w:after="0" w:line="155" w:lineRule="exact"/>
        <w:rPr>
          <w:sz w:val="20"/>
          <w:szCs w:val="20"/>
          <w:color w:val="auto"/>
        </w:rPr>
      </w:pPr>
    </w:p>
    <w:p>
      <w:pPr>
        <w:jc w:val="both"/>
        <w:ind w:firstLine="1304"/>
        <w:spacing w:after="0" w:line="229" w:lineRule="auto"/>
        <w:tabs>
          <w:tab w:leader="none" w:pos="193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If any Credit Party shall fail to make any payment required to be made by it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2.10(d)</w:t>
      </w:r>
      <w:r>
        <w:rPr>
          <w:rFonts w:ascii="Arial" w:cs="Arial" w:eastAsia="Arial" w:hAnsi="Arial"/>
          <w:sz w:val="18"/>
          <w:szCs w:val="18"/>
          <w:color w:val="auto"/>
        </w:rPr>
        <w:t xml:space="preserve">, then the Administrative Agent may, in its discretion (notwithstanding any contrary provision hereof), (i) apply any amounts thereafter received by the Administrative Agent for the account of such Credit Party to satisfy such Credit Party’s obligations under such Sections until all such unsatisfied obligations are fully paid and (ii) hold any such amounts in a segregated account as cash collateral for, and application to, any future funding obligations of such Lender under such Sections; in the case of each of (i) and (ii) above, in any order as determined by the Administrative Agent in its discretion. Notwithstanding any provision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to the contrary, if any Lender becomes a Defaulting Lender, then the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apply for so long as such Lender is a Defaulting Lender.</w:t>
      </w:r>
    </w:p>
    <w:p>
      <w:pPr>
        <w:spacing w:after="0" w:line="13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9"/>
          <w:szCs w:val="19"/>
          <w:u w:val="single" w:color="auto"/>
          <w:color w:val="auto"/>
        </w:rPr>
        <w:t>Defaulting Lenders</w:t>
      </w:r>
      <w:r>
        <w:rPr>
          <w:rFonts w:ascii="Arial" w:cs="Arial" w:eastAsia="Arial" w:hAnsi="Arial"/>
          <w:sz w:val="19"/>
          <w:szCs w:val="19"/>
          <w:color w:val="auto"/>
        </w:rPr>
        <w:t>. Notwithstanding any provision of this Agreement to the contrary, if any Lender becomes a</w:t>
      </w:r>
    </w:p>
    <w:p>
      <w:pPr>
        <w:spacing w:after="0"/>
        <w:rPr>
          <w:sz w:val="20"/>
          <w:szCs w:val="20"/>
          <w:color w:val="auto"/>
        </w:rPr>
      </w:pPr>
      <w:r>
        <w:rPr>
          <w:rFonts w:ascii="Arial" w:cs="Arial" w:eastAsia="Arial" w:hAnsi="Arial"/>
          <w:sz w:val="20"/>
          <w:szCs w:val="20"/>
          <w:color w:val="auto"/>
        </w:rPr>
        <w:t>Defaulting Lender, then the following provisions shall apply for so long as such Lender is a Defaulting Lender:</w:t>
      </w:r>
    </w:p>
    <w:p>
      <w:pPr>
        <w:spacing w:after="0" w:line="157" w:lineRule="exact"/>
        <w:rPr>
          <w:sz w:val="20"/>
          <w:szCs w:val="20"/>
          <w:color w:val="auto"/>
        </w:rPr>
      </w:pPr>
    </w:p>
    <w:p>
      <w:pPr>
        <w:ind w:left="1940" w:hanging="636"/>
        <w:spacing w:after="0"/>
        <w:tabs>
          <w:tab w:leader="none" w:pos="1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Fees pursuant to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shall cease to accrue on the unfunded portion of the Commitment of such Defaulting</w:t>
      </w: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ind w:left="1940" w:hanging="636"/>
        <w:spacing w:after="0"/>
        <w:tabs>
          <w:tab w:leader="none" w:pos="19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If any LC Exposure exists at the time a Lender becomes a Defaulting Lender then:</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594"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All or any part of such LC Exposure shall be reallocated among the non-Defaulting Lenders in accordance with their respective Applicable Percentages but only to the extent (x) the sum of all non-Defaulting Lenders’ Credit Exposures plus such Defaulting Lender’s LC Exposure does not exceed the total of all non-Defaulting Lenders’ Commitments and (y) the conditions set forth in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are satisfied at such time;</w:t>
      </w:r>
    </w:p>
    <w:p>
      <w:pPr>
        <w:spacing w:after="0" w:line="155" w:lineRule="exact"/>
        <w:rPr>
          <w:rFonts w:ascii="Arial" w:cs="Arial" w:eastAsia="Arial" w:hAnsi="Arial"/>
          <w:sz w:val="20"/>
          <w:szCs w:val="20"/>
          <w:color w:val="auto"/>
        </w:rPr>
      </w:pPr>
    </w:p>
    <w:p>
      <w:pPr>
        <w:jc w:val="both"/>
        <w:ind w:left="1300" w:firstLine="652"/>
        <w:spacing w:after="0" w:line="213" w:lineRule="auto"/>
        <w:tabs>
          <w:tab w:leader="none" w:pos="2595"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cannot, or can only partially, be effected, the Borrower shall within two Business Days following notice by the Administrative Agent cash collateralize such Defaulting Lender’s LC Exposure (after giving effect to any partial reallocation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in accordance with the procedures set forth in </w:t>
      </w:r>
      <w:r>
        <w:rPr>
          <w:rFonts w:ascii="Arial" w:cs="Arial" w:eastAsia="Arial" w:hAnsi="Arial"/>
          <w:sz w:val="20"/>
          <w:szCs w:val="20"/>
          <w:u w:val="single" w:color="auto"/>
          <w:color w:val="auto"/>
        </w:rPr>
        <w:t>Section 2.9(j)</w:t>
      </w:r>
      <w:r>
        <w:rPr>
          <w:rFonts w:ascii="Arial" w:cs="Arial" w:eastAsia="Arial" w:hAnsi="Arial"/>
          <w:sz w:val="20"/>
          <w:szCs w:val="20"/>
          <w:color w:val="auto"/>
        </w:rPr>
        <w:t xml:space="preserve"> for so long as such LC Exposure is outstanding;</w:t>
      </w:r>
    </w:p>
    <w:p>
      <w:pPr>
        <w:spacing w:after="0" w:line="155" w:lineRule="exact"/>
        <w:rPr>
          <w:rFonts w:ascii="Arial" w:cs="Arial" w:eastAsia="Arial" w:hAnsi="Arial"/>
          <w:sz w:val="20"/>
          <w:szCs w:val="20"/>
          <w:color w:val="auto"/>
        </w:rPr>
      </w:pPr>
    </w:p>
    <w:p>
      <w:pPr>
        <w:jc w:val="both"/>
        <w:ind w:left="1300" w:firstLine="652"/>
        <w:spacing w:after="0" w:line="213" w:lineRule="auto"/>
        <w:tabs>
          <w:tab w:leader="none" w:pos="2596"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Borrower cash collateralizes any portion of such Defaulting Lender’s LC Exposure pursuant to this </w:t>
      </w:r>
      <w:r>
        <w:rPr>
          <w:rFonts w:ascii="Arial" w:cs="Arial" w:eastAsia="Arial" w:hAnsi="Arial"/>
          <w:sz w:val="20"/>
          <w:szCs w:val="20"/>
          <w:u w:val="single" w:color="auto"/>
          <w:color w:val="auto"/>
        </w:rPr>
        <w:t>Section 2.11(b)</w:t>
      </w:r>
      <w:r>
        <w:rPr>
          <w:rFonts w:ascii="Arial" w:cs="Arial" w:eastAsia="Arial" w:hAnsi="Arial"/>
          <w:sz w:val="20"/>
          <w:szCs w:val="20"/>
          <w:color w:val="auto"/>
        </w:rPr>
        <w:t xml:space="preserve">, the Borrower shall not be required to pay any fees to such Defaulting Lender pursuant to </w:t>
      </w:r>
      <w:r>
        <w:rPr>
          <w:rFonts w:ascii="Arial" w:cs="Arial" w:eastAsia="Arial" w:hAnsi="Arial"/>
          <w:sz w:val="20"/>
          <w:szCs w:val="20"/>
          <w:u w:val="single" w:color="auto"/>
          <w:color w:val="auto"/>
        </w:rPr>
        <w:t>Section 3.3(b)</w:t>
      </w:r>
      <w:r>
        <w:rPr>
          <w:rFonts w:ascii="Arial" w:cs="Arial" w:eastAsia="Arial" w:hAnsi="Arial"/>
          <w:sz w:val="20"/>
          <w:szCs w:val="20"/>
          <w:color w:val="auto"/>
        </w:rPr>
        <w:t xml:space="preserve"> with respect to such Defaulting Lender’s LC Exposure during the period such Defaulting Lender’s LC Exposure is cash collateralized;</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85" w:val="left"/>
        </w:tabs>
        <w:numPr>
          <w:ilvl w:val="1"/>
          <w:numId w:val="75"/>
        </w:numPr>
        <w:rPr>
          <w:rFonts w:ascii="Arial" w:cs="Arial" w:eastAsia="Arial" w:hAnsi="Arial"/>
          <w:sz w:val="20"/>
          <w:szCs w:val="20"/>
          <w:color w:val="auto"/>
        </w:rPr>
      </w:pPr>
      <w:r>
        <w:rPr>
          <w:rFonts w:ascii="Arial" w:cs="Arial" w:eastAsia="Arial" w:hAnsi="Arial"/>
          <w:sz w:val="20"/>
          <w:szCs w:val="20"/>
          <w:color w:val="auto"/>
        </w:rPr>
        <w:t xml:space="preserve">If the LC Exposure of the non-Defaulting Lenders is reallocated pursuant to this </w:t>
      </w:r>
      <w:r>
        <w:rPr>
          <w:rFonts w:ascii="Arial" w:cs="Arial" w:eastAsia="Arial" w:hAnsi="Arial"/>
          <w:sz w:val="20"/>
          <w:szCs w:val="20"/>
          <w:u w:val="single" w:color="auto"/>
          <w:color w:val="auto"/>
        </w:rPr>
        <w:t>Section 2.11(b)</w:t>
      </w:r>
      <w:r>
        <w:rPr>
          <w:rFonts w:ascii="Arial" w:cs="Arial" w:eastAsia="Arial" w:hAnsi="Arial"/>
          <w:sz w:val="20"/>
          <w:szCs w:val="20"/>
          <w:color w:val="auto"/>
        </w:rPr>
        <w:t xml:space="preserve">, then the fees payable to the Lenders pursuant to </w:t>
      </w:r>
      <w:r>
        <w:rPr>
          <w:rFonts w:ascii="Arial" w:cs="Arial" w:eastAsia="Arial" w:hAnsi="Arial"/>
          <w:sz w:val="20"/>
          <w:szCs w:val="20"/>
          <w:u w:val="single" w:color="auto"/>
          <w:color w:val="auto"/>
        </w:rPr>
        <w:t>Sections 3.3(a)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3.3(b)</w:t>
      </w:r>
      <w:r>
        <w:rPr>
          <w:rFonts w:ascii="Arial" w:cs="Arial" w:eastAsia="Arial" w:hAnsi="Arial"/>
          <w:sz w:val="20"/>
          <w:szCs w:val="20"/>
          <w:color w:val="auto"/>
        </w:rPr>
        <w:t xml:space="preserve"> shall be adjusted in accordance with such non-Defaulting Lenders’ Applicable Percentages;</w:t>
      </w:r>
    </w:p>
    <w:p>
      <w:pPr>
        <w:spacing w:after="0" w:line="156" w:lineRule="exact"/>
        <w:rPr>
          <w:rFonts w:ascii="Arial" w:cs="Arial" w:eastAsia="Arial" w:hAnsi="Arial"/>
          <w:sz w:val="20"/>
          <w:szCs w:val="20"/>
          <w:color w:val="auto"/>
        </w:rPr>
      </w:pPr>
    </w:p>
    <w:p>
      <w:pPr>
        <w:jc w:val="both"/>
        <w:ind w:left="1300" w:firstLine="652"/>
        <w:spacing w:after="0" w:line="224" w:lineRule="auto"/>
        <w:tabs>
          <w:tab w:leader="none" w:pos="2584"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If any Defaulting Lender’s LC Exposure is neither cash collateralized nor reallocated pursuant to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then, without prejudice to any rights or remedies of the Issuing Banks or any Lender hereunder, all letter of credit fees payable under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with respect to such Defaulting Lender’s LC Exposure shall be payable to the applicable Issuing Banks until such LC Exposure is cash collateralized and/or reallocated;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01" w:lineRule="exact"/>
        <w:rPr>
          <w:sz w:val="20"/>
          <w:szCs w:val="20"/>
          <w:color w:val="auto"/>
        </w:rPr>
      </w:pPr>
    </w:p>
    <w:p>
      <w:pPr>
        <w:jc w:val="both"/>
        <w:ind w:left="1300" w:firstLine="652"/>
        <w:spacing w:after="0" w:line="233" w:lineRule="auto"/>
        <w:tabs>
          <w:tab w:leader="none" w:pos="2585"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If and so long as any Lender is a Defaulting Lender, no Issuing Bank shall be required to issue, amend or increase any Letter of Credit, unless it is satisfied that the related exposure will be 100% covered by the Commitments of the non-Defaulting Lenders or cash collateral will be provided by the Borrower in accordance with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and participating interests in any such newly issued or increased Letter of Credit shall be allocated among non-Defaulting Lenders in a manner consistent with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(and Defaulting Lenders shall not participate therein).</w:t>
      </w:r>
    </w:p>
    <w:p>
      <w:pPr>
        <w:spacing w:after="0" w:line="156" w:lineRule="exact"/>
        <w:rPr>
          <w:rFonts w:ascii="Arial" w:cs="Arial" w:eastAsia="Arial" w:hAnsi="Arial"/>
          <w:sz w:val="18"/>
          <w:szCs w:val="18"/>
          <w:color w:val="auto"/>
        </w:rPr>
      </w:pPr>
    </w:p>
    <w:p>
      <w:pPr>
        <w:jc w:val="both"/>
        <w:ind w:firstLine="1304"/>
        <w:spacing w:after="0" w:line="206" w:lineRule="auto"/>
        <w:tabs>
          <w:tab w:leader="none" w:pos="1934"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The Commitments and Credit Exposure of such Defaulting Lender shall not be included in determining whether all Lenders or the Required Lenders have voted or taken or may take any action hereunder (including any consent to any amendment, modification or waiver pursuant to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waiver, amendment or modification requiring the consent of all Lenders or each affected Lender which affects such Defaulting Lender differently than other affected Lenders shall require the consent of such Defaulting Lender and (ii) any amendment or modification that increases, or extends the maturity of, such Defaulting Lender’s Commitment or reduces the principal amount of, or rate of interest on, any Loan made by such Defaulting Lender, shall require the consent of such Defaulting Lender.</w:t>
      </w:r>
    </w:p>
    <w:p>
      <w:pPr>
        <w:spacing w:after="0" w:line="157"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 the event that the Administrative Agent, the Borrower and each Issuing Bank agree that a Defaulting Lender has adequately remedied all matters that caused such Lender to be a Defaulting Lender, then the LC Exposure of the Lenders shall be readjusted to reflect the inclusion of such Lender’s Commitments and on such date such Lender shall purchase at par such of the Loans of the other Lenders as the Administrative Agent shall determine may be necessary in order for such Lender to hold such Loans in accordance with its Applicable Percentage, and all cash collateral and accrued interest thereon held by the Administrative Agent or the applicable Issuing Banks shall be returned to the Borrower forthwith.</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3.</w:t>
      </w:r>
    </w:p>
    <w:p>
      <w:pPr>
        <w:spacing w:after="0" w:line="148"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INTEREST, FEES, YIELD PROTECTION, ETC.</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The Loans comprising each ABR Borrowing shall bear interest at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 The Loans comprising each Term Benchmark Borrowing shall bear interest at the Adjusted Term SOFR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Margin.</w:t>
      </w:r>
    </w:p>
    <w:p>
      <w:pPr>
        <w:spacing w:after="0" w:line="156" w:lineRule="exact"/>
        <w:rPr>
          <w:rFonts w:ascii="Arial" w:cs="Arial" w:eastAsia="Arial" w:hAnsi="Arial"/>
          <w:sz w:val="20"/>
          <w:szCs w:val="20"/>
          <w:color w:val="auto"/>
        </w:rPr>
      </w:pPr>
    </w:p>
    <w:p>
      <w:pPr>
        <w:jc w:val="both"/>
        <w:ind w:firstLine="1304"/>
        <w:spacing w:after="0" w:line="207" w:lineRule="auto"/>
        <w:tabs>
          <w:tab w:leader="none" w:pos="1932"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Notwithstanding the foregoing, if any principal of or interest on any Loan, any reimbursement obligation in respect of any LC Disbursement or any fee or other amount payable by the Borrower hereunder is not paid when due, whether at stated maturity, upon acceleration or otherwise, such overdue amount shall bear interest, after as well as before judgment, at a rate </w:t>
      </w:r>
      <w:r>
        <w:rPr>
          <w:rFonts w:ascii="Arial" w:cs="Arial" w:eastAsia="Arial" w:hAnsi="Arial"/>
          <w:sz w:val="20"/>
          <w:szCs w:val="20"/>
          <w:u w:val="single" w:color="auto"/>
          <w:color w:val="auto"/>
        </w:rPr>
        <w:t>per annum</w:t>
      </w:r>
      <w:r>
        <w:rPr>
          <w:rFonts w:ascii="Arial" w:cs="Arial" w:eastAsia="Arial" w:hAnsi="Arial"/>
          <w:sz w:val="20"/>
          <w:szCs w:val="20"/>
          <w:color w:val="auto"/>
        </w:rPr>
        <w:t xml:space="preserve"> equal to in the case of overdue principal of any Loan, 2%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otherwise applicable to such Loan as provided in the preceding paragraph of this Section or in the case of any other amount, 2%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rate applicable to ABR Borrowings as provided in the preceding paragraph of this Section.</w:t>
      </w:r>
    </w:p>
    <w:p>
      <w:pPr>
        <w:spacing w:after="0" w:line="159"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Accrued interest on each Loan shall be payable in arrears on each Interest Payment Date for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accrued pursuant to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shall be payable on demand, in the event of any repayment or prepayment of any Loan, accrued interest on the principal amount repaid or prepaid shall be payable on the date of such repayment or prepayment, and in the event of any conversion of any Term Benchmark Loan prior to the end of the current Interest Period therefor, accrued interest on such Loan shall be payable on the effective date of such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01" w:lineRule="exact"/>
        <w:rPr>
          <w:sz w:val="20"/>
          <w:szCs w:val="20"/>
          <w:color w:val="auto"/>
        </w:rPr>
      </w:pPr>
    </w:p>
    <w:p>
      <w:pPr>
        <w:jc w:val="both"/>
        <w:ind w:firstLine="1304"/>
        <w:spacing w:after="0" w:line="205" w:lineRule="auto"/>
        <w:tabs>
          <w:tab w:leader="none" w:pos="1932" w:val="left"/>
        </w:tabs>
        <w:numPr>
          <w:ilvl w:val="0"/>
          <w:numId w:val="79"/>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Daily Simple SOFR or Adjusted Term SOFR Rate shall be determined by the Administrative Agent, and such determination shall be conclusive absent clearly demonstrable error. The Administrative Agent shall, as soon as practicable, notify the Borrower and the Lenders of the effective date and the amount of each change in the Prime Rate or ABR, but any failure to so notify shall not in any manner affect the obligation of the Borrower to pay interest on the Loans in the amounts and on the dates required.</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Interest Elections Relating to Borrowings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80"/>
        </w:numPr>
        <w:rPr>
          <w:rFonts w:ascii="Arial" w:cs="Arial" w:eastAsia="Arial" w:hAnsi="Arial"/>
          <w:sz w:val="19"/>
          <w:szCs w:val="19"/>
          <w:color w:val="auto"/>
        </w:rPr>
      </w:pPr>
      <w:r>
        <w:rPr>
          <w:rFonts w:ascii="Arial" w:cs="Arial" w:eastAsia="Arial" w:hAnsi="Arial"/>
          <w:sz w:val="19"/>
          <w:szCs w:val="19"/>
          <w:color w:val="auto"/>
        </w:rPr>
        <w:t>Each Borrowing initially shall be of the Type specified in the applicable Credit Request and, in the case of a Term Benchmark Borrowing, shall have an initial Interest Period as specified in such Credit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59" w:lineRule="exact"/>
        <w:rPr>
          <w:rFonts w:ascii="Arial" w:cs="Arial" w:eastAsia="Arial" w:hAnsi="Arial"/>
          <w:sz w:val="19"/>
          <w:szCs w:val="19"/>
          <w:color w:val="auto"/>
        </w:rPr>
      </w:pPr>
    </w:p>
    <w:p>
      <w:pPr>
        <w:jc w:val="both"/>
        <w:ind w:firstLine="1304"/>
        <w:spacing w:after="0" w:line="244" w:lineRule="auto"/>
        <w:tabs>
          <w:tab w:leader="none" w:pos="19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to the Administrative Agent a signed Interest Election Request in a form approved by the Administrative Agent by the time that a Credit Request would be required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if the Borrower were requesting a Borrowing of the Type resulting from such election to be made on the effective date of such election.</w:t>
      </w:r>
    </w:p>
    <w:p>
      <w:pPr>
        <w:spacing w:after="0" w:line="151" w:lineRule="exact"/>
        <w:rPr>
          <w:rFonts w:ascii="Arial" w:cs="Arial" w:eastAsia="Arial" w:hAnsi="Arial"/>
          <w:sz w:val="18"/>
          <w:szCs w:val="18"/>
          <w:color w:val="auto"/>
        </w:rPr>
      </w:pPr>
    </w:p>
    <w:p>
      <w:pPr>
        <w:ind w:firstLine="1304"/>
        <w:spacing w:after="0" w:line="229" w:lineRule="auto"/>
        <w:tabs>
          <w:tab w:leader="none" w:pos="1934"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Each such Interest Election Request shall be irrevocable (except as otherwise provided in </w:t>
      </w:r>
      <w:r>
        <w:rPr>
          <w:rFonts w:ascii="Arial" w:cs="Arial" w:eastAsia="Arial" w:hAnsi="Arial"/>
          <w:sz w:val="20"/>
          <w:szCs w:val="20"/>
          <w:u w:val="single" w:color="auto"/>
          <w:color w:val="auto"/>
        </w:rPr>
        <w:t>Section 3.4</w:t>
      </w:r>
      <w:r>
        <w:rPr>
          <w:rFonts w:ascii="Arial" w:cs="Arial" w:eastAsia="Arial" w:hAnsi="Arial"/>
          <w:sz w:val="20"/>
          <w:szCs w:val="20"/>
          <w:color w:val="auto"/>
        </w:rPr>
        <w:t>) and shall specify the following information:</w:t>
      </w:r>
    </w:p>
    <w:p>
      <w:pPr>
        <w:spacing w:after="0" w:line="155" w:lineRule="exact"/>
        <w:rPr>
          <w:rFonts w:ascii="Arial" w:cs="Arial" w:eastAsia="Arial" w:hAnsi="Arial"/>
          <w:sz w:val="20"/>
          <w:szCs w:val="20"/>
          <w:color w:val="auto"/>
        </w:rPr>
      </w:pPr>
    </w:p>
    <w:p>
      <w:pPr>
        <w:jc w:val="both"/>
        <w:ind w:left="1300" w:firstLine="652"/>
        <w:spacing w:after="0" w:line="213" w:lineRule="auto"/>
        <w:tabs>
          <w:tab w:leader="none" w:pos="2594" w:val="left"/>
        </w:tabs>
        <w:numPr>
          <w:ilvl w:val="1"/>
          <w:numId w:val="80"/>
        </w:numPr>
        <w:rPr>
          <w:rFonts w:ascii="Arial" w:cs="Arial" w:eastAsia="Arial" w:hAnsi="Arial"/>
          <w:sz w:val="20"/>
          <w:szCs w:val="20"/>
          <w:color w:val="auto"/>
        </w:rPr>
      </w:pPr>
      <w:r>
        <w:rPr>
          <w:rFonts w:ascii="Arial" w:cs="Arial" w:eastAsia="Arial" w:hAnsi="Arial"/>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Arial" w:cs="Arial" w:eastAsia="Arial" w:hAnsi="Arial"/>
          <w:sz w:val="20"/>
          <w:szCs w:val="20"/>
          <w:u w:val="single" w:color="auto"/>
          <w:color w:val="auto"/>
        </w:rPr>
        <w:t>clauses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of this paragraph shall be specified for each resulting Borrowing);</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w:t>
      </w:r>
    </w:p>
    <w:p>
      <w:pPr>
        <w:spacing w:after="0" w:line="2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Day;</w:t>
      </w:r>
    </w:p>
    <w:p>
      <w:pPr>
        <w:spacing w:after="0" w:line="159" w:lineRule="exact"/>
        <w:rPr>
          <w:rFonts w:ascii="Arial" w:cs="Arial" w:eastAsia="Arial" w:hAnsi="Arial"/>
          <w:sz w:val="16"/>
          <w:szCs w:val="16"/>
          <w:color w:val="auto"/>
        </w:rPr>
      </w:pPr>
    </w:p>
    <w:p>
      <w:pPr>
        <w:ind w:left="2600" w:hanging="648"/>
        <w:spacing w:after="0"/>
        <w:tabs>
          <w:tab w:leader="none" w:pos="2600" w:val="left"/>
        </w:tabs>
        <w:numPr>
          <w:ilvl w:val="1"/>
          <w:numId w:val="80"/>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Term Benchmark Borrowing; and</w:t>
      </w:r>
    </w:p>
    <w:p>
      <w:pPr>
        <w:spacing w:after="0" w:line="175" w:lineRule="exact"/>
        <w:rPr>
          <w:rFonts w:ascii="Arial" w:cs="Arial" w:eastAsia="Arial" w:hAnsi="Arial"/>
          <w:sz w:val="20"/>
          <w:szCs w:val="20"/>
          <w:color w:val="auto"/>
        </w:rPr>
      </w:pPr>
    </w:p>
    <w:p>
      <w:pPr>
        <w:ind w:left="1300" w:firstLine="652"/>
        <w:spacing w:after="0" w:line="242" w:lineRule="auto"/>
        <w:tabs>
          <w:tab w:leader="none" w:pos="2585" w:val="left"/>
        </w:tabs>
        <w:numPr>
          <w:ilvl w:val="1"/>
          <w:numId w:val="80"/>
        </w:numPr>
        <w:rPr>
          <w:rFonts w:ascii="Arial" w:cs="Arial" w:eastAsia="Arial" w:hAnsi="Arial"/>
          <w:sz w:val="19"/>
          <w:szCs w:val="19"/>
          <w:color w:val="auto"/>
        </w:rPr>
      </w:pPr>
      <w:r>
        <w:rPr>
          <w:rFonts w:ascii="Arial" w:cs="Arial" w:eastAsia="Arial" w:hAnsi="Arial"/>
          <w:sz w:val="19"/>
          <w:szCs w:val="19"/>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53"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If any such Interest Election Request requests a Term Benchmark Borrowing but does not specify an Interest Period, then the Borrower shall be deemed to have selected an Interest Period of one month’s duration.</w:t>
      </w:r>
    </w:p>
    <w:p>
      <w:pPr>
        <w:spacing w:after="0" w:line="155" w:lineRule="exact"/>
        <w:rPr>
          <w:sz w:val="20"/>
          <w:szCs w:val="20"/>
          <w:color w:val="auto"/>
        </w:rPr>
      </w:pPr>
    </w:p>
    <w:p>
      <w:pPr>
        <w:ind w:right="20" w:firstLine="1304"/>
        <w:spacing w:after="0" w:line="229" w:lineRule="auto"/>
        <w:tabs>
          <w:tab w:leader="none" w:pos="1932" w:val="left"/>
        </w:tabs>
        <w:numPr>
          <w:ilvl w:val="0"/>
          <w:numId w:val="81"/>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01" w:lineRule="exact"/>
        <w:rPr>
          <w:sz w:val="20"/>
          <w:szCs w:val="20"/>
          <w:color w:val="auto"/>
        </w:rPr>
      </w:pPr>
    </w:p>
    <w:p>
      <w:pPr>
        <w:jc w:val="both"/>
        <w:ind w:firstLine="1304"/>
        <w:spacing w:after="0" w:line="231" w:lineRule="auto"/>
        <w:tabs>
          <w:tab w:leader="none" w:pos="19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each Term Benchmark Borrowing shall be converted to an ABR Borrowing at the end of the Interest Period applicable thereto.</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Fees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55" w:lineRule="auto"/>
        <w:tabs>
          <w:tab w:leader="none" w:pos="1934"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The Borrower agrees to pay to the Administrative Agent for the account of each Lender, a facility fee, which shall accrue at a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to the Applicable Margin on the daily amount of the Commitment of such Lender (regardless of usage) during the period from and including the date on which this Agreement becomes effective pursuant to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to but excluding the date on which such Commitment terminates;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Lender continues to have any Credit Exposure after its Commitment terminates, then such facility fee shall continue to accrue on the daily amount of such Lender’s Credit Exposure from and including the date on which such Lender’s Commitment terminates to but excluding the date on which such Lender ceases to have any Credit Exposure. Accrued facility fees shall be payable in arrears on the last day of March, June, September and December of each year, each date on which the Commitments are permanently reduced and on the date on which the Commitments terminate,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unpaid facility fees shall be payable on the date on which the Commitments terminate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facility fees which accrue after the Commitments terminate shall be payable on demand. All facility fees shall be computed on the basis of a year of 360 days and shall be payable for the actual number of days elapsed (including the first day but excluding the last day).</w:t>
      </w:r>
    </w:p>
    <w:p>
      <w:pPr>
        <w:spacing w:after="0" w:line="340" w:lineRule="exact"/>
        <w:rPr>
          <w:rFonts w:ascii="Arial" w:cs="Arial" w:eastAsia="Arial" w:hAnsi="Arial"/>
          <w:sz w:val="16"/>
          <w:szCs w:val="16"/>
          <w:color w:val="auto"/>
        </w:rPr>
      </w:pPr>
    </w:p>
    <w:p>
      <w:pPr>
        <w:jc w:val="both"/>
        <w:ind w:firstLine="1304"/>
        <w:spacing w:after="0" w:line="223" w:lineRule="auto"/>
        <w:tabs>
          <w:tab w:leader="none" w:pos="19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for the account of each Lender a participation fee with respect to its participations in Letters of Credit, which shall accrue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equal to the Applicable Margin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to each Issuing Bank for its own account a fronting fee, which shall accrue at the rate or rates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separately agreed upon between the Borrower and each Issuing Bank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Accrued participation fees and fronting fees shall be payable in arrears on the last day of March, June, September and December of each year, commencing on the first such date to occur after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ten days after demand. All participation fees and fronting fees shall be computed on the basis of a year of 360 days and shall be payable for the actual number of days elapsed (including the first day but excluding the last day).</w:t>
      </w:r>
    </w:p>
    <w:p>
      <w:pPr>
        <w:spacing w:after="0" w:line="166" w:lineRule="exact"/>
        <w:rPr>
          <w:rFonts w:ascii="Arial" w:cs="Arial" w:eastAsia="Arial" w:hAnsi="Arial"/>
          <w:sz w:val="18"/>
          <w:szCs w:val="18"/>
          <w:color w:val="auto"/>
        </w:rPr>
      </w:pPr>
    </w:p>
    <w:p>
      <w:pPr>
        <w:ind w:firstLine="1304"/>
        <w:spacing w:after="0" w:line="229" w:lineRule="auto"/>
        <w:tabs>
          <w:tab w:leader="none" w:pos="1934"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Borrower agrees to pay to each Credit Party, for its own account, fees and other amounts payable in the amounts and at the times separately agreed upon in writing between the Borrower and such Credit Party.</w:t>
      </w:r>
    </w:p>
    <w:p>
      <w:pPr>
        <w:spacing w:after="0" w:line="155" w:lineRule="exact"/>
        <w:rPr>
          <w:rFonts w:ascii="Arial" w:cs="Arial" w:eastAsia="Arial" w:hAnsi="Arial"/>
          <w:sz w:val="20"/>
          <w:szCs w:val="20"/>
          <w:color w:val="auto"/>
        </w:rPr>
      </w:pPr>
    </w:p>
    <w:p>
      <w:pPr>
        <w:ind w:firstLine="1304"/>
        <w:spacing w:after="0" w:line="229" w:lineRule="auto"/>
        <w:tabs>
          <w:tab w:leader="none" w:pos="1932"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All fees and other amounts payable hereunder shall be paid on the dates due, in immediately available funds. Fees and other amounts paid shall not be refundable under any circumstances other than clearly demonstrable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0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75" w:lineRule="exact"/>
        <w:rPr>
          <w:sz w:val="20"/>
          <w:szCs w:val="20"/>
          <w:color w:val="auto"/>
        </w:rPr>
      </w:pPr>
    </w:p>
    <w:p>
      <w:pPr>
        <w:ind w:left="1940" w:hanging="636"/>
        <w:spacing w:after="0"/>
        <w:tabs>
          <w:tab w:leader="none" w:pos="19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Subject to clauses (b), (c), (d), (e) and (f) of this Section 3.4, if:</w:t>
      </w:r>
    </w:p>
    <w:p>
      <w:pPr>
        <w:spacing w:after="0" w:line="175" w:lineRule="exact"/>
        <w:rPr>
          <w:rFonts w:ascii="Arial" w:cs="Arial" w:eastAsia="Arial" w:hAnsi="Arial"/>
          <w:sz w:val="20"/>
          <w:szCs w:val="20"/>
          <w:color w:val="auto"/>
        </w:rPr>
      </w:pPr>
    </w:p>
    <w:p>
      <w:pPr>
        <w:jc w:val="both"/>
        <w:ind w:left="1300" w:firstLine="652"/>
        <w:spacing w:after="0" w:line="224" w:lineRule="auto"/>
        <w:tabs>
          <w:tab w:leader="none" w:pos="2594"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Administrative Agent determines (which determination shall be conclusive absent manifest error)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spacing w:after="0" w:line="156" w:lineRule="exact"/>
        <w:rPr>
          <w:rFonts w:ascii="Arial" w:cs="Arial" w:eastAsia="Arial" w:hAnsi="Arial"/>
          <w:sz w:val="19"/>
          <w:szCs w:val="19"/>
          <w:color w:val="auto"/>
        </w:rPr>
      </w:pPr>
    </w:p>
    <w:p>
      <w:pPr>
        <w:jc w:val="both"/>
        <w:ind w:left="1300" w:firstLine="652"/>
        <w:spacing w:after="0" w:line="213" w:lineRule="auto"/>
        <w:tabs>
          <w:tab w:leader="none" w:pos="2595"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Loan) included in such Borrowing for such Interest Period;</w:t>
      </w:r>
    </w:p>
    <w:p>
      <w:pPr>
        <w:spacing w:after="0" w:line="15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then the Administrative Agent shall give notice thereof to the Borrower and the Lenders by telephone, telecopy, electronic mail or other electronic system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3.2 or a new Credit Request in accordance with the terms of Section 2.3, (1) any Interest Election Request that requests the conversion of any Borrowing to, or continuation of any Borrowing as, a Term Benchmark Borrowing and any Credit Request that requests a Term Benchmark Borrowing shall instead be deemed to be an Interest Election Request or a Credit Request, as applicable, for an ABR Borrowing. Furthermore, if any Term Benchmark Loan is outstanding on the date of the Borrower’s receipt of the notice from the Administrative Agent referred to in this Section 3.4(a) with respect to such Term Benchmark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or a new Credit Request in accordance with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(1) any Term Benchmark Loan shall on the last day of the Interest Period applicable to such Loan (or the next succeeding Business Day if such day is not a Business Day), be converted by the Administrative Agent to, and shall constitute, an ABR Loan.</w:t>
      </w:r>
    </w:p>
    <w:p>
      <w:pPr>
        <w:spacing w:after="0" w:line="162" w:lineRule="exact"/>
        <w:rPr>
          <w:sz w:val="20"/>
          <w:szCs w:val="20"/>
          <w:color w:val="auto"/>
        </w:rPr>
      </w:pPr>
    </w:p>
    <w:p>
      <w:pPr>
        <w:jc w:val="both"/>
        <w:ind w:firstLine="1304"/>
        <w:spacing w:after="0" w:line="213" w:lineRule="auto"/>
        <w:tabs>
          <w:tab w:leader="none" w:pos="1932"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on the fifth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7" w:lineRule="exact"/>
        <w:rPr>
          <w:rFonts w:ascii="Arial" w:cs="Arial" w:eastAsia="Arial" w:hAnsi="Arial"/>
          <w:sz w:val="19"/>
          <w:szCs w:val="19"/>
          <w:color w:val="auto"/>
        </w:rPr>
      </w:pPr>
    </w:p>
    <w:p>
      <w:pPr>
        <w:jc w:val="both"/>
        <w:ind w:firstLine="1304"/>
        <w:spacing w:after="0" w:line="218" w:lineRule="auto"/>
        <w:tabs>
          <w:tab w:leader="none" w:pos="1934" w:val="left"/>
        </w:tabs>
        <w:numPr>
          <w:ilvl w:val="0"/>
          <w:numId w:val="85"/>
        </w:numPr>
        <w:rPr>
          <w:rFonts w:ascii="Arial" w:cs="Arial" w:eastAsia="Arial" w:hAnsi="Arial"/>
          <w:sz w:val="20"/>
          <w:szCs w:val="20"/>
          <w:color w:val="auto"/>
        </w:rPr>
      </w:pPr>
      <w:r>
        <w:rPr>
          <w:rFonts w:ascii="Arial" w:cs="Arial" w:eastAsia="Arial" w:hAnsi="Arial"/>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Changes will become effective without any further action or consent of any other party to this Agreement or any other Loan Document.</w:t>
      </w:r>
    </w:p>
    <w:p>
      <w:pPr>
        <w:spacing w:after="0" w:line="198" w:lineRule="exact"/>
        <w:rPr>
          <w:sz w:val="20"/>
          <w:szCs w:val="20"/>
          <w:color w:val="auto"/>
        </w:rPr>
      </w:pPr>
    </w:p>
    <w:p>
      <w:pPr>
        <w:jc w:val="both"/>
        <w:ind w:firstLine="1304"/>
        <w:spacing w:after="0" w:line="204" w:lineRule="auto"/>
        <w:tabs>
          <w:tab w:leader="none" w:pos="1932"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Administrative Agent will promptly notify the Borrower and the Lenders of any occurrence of a Benchmark Transition Event, the implementation of any Benchmark Replacement, the effectiveness of any Benchmark Replacement Conforming Changes, the removal or reinstatement of any tenor of a Benchmark pursuant to clause (e) below and the commencement or conclusion of any Benchmark Unavailability Period. Any determination, decision or election that may be made by the Administrative Agent or, if applicable, any Lender (or group of Lenders) pursuant to this Section 3.4,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3.4.</w:t>
      </w:r>
    </w:p>
    <w:p>
      <w:pPr>
        <w:spacing w:after="0" w:line="157"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at any time (including in connection with the implementation of a Benchmark Replacement), (i) if the then-current Benchmark is a term rate (including the Term SOFR Rate) and either any tenor for such Benchmark is not displayed on a screen or other information service that publishes such rate from time to time as selected by the Administrative Agent in its reasonable discretion or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is subsequently displayed on a screen or information service for a Benchmark (including a Benchmark Replacement) or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62" w:lineRule="exact"/>
        <w:rPr>
          <w:rFonts w:ascii="Arial" w:cs="Arial" w:eastAsia="Arial" w:hAnsi="Arial"/>
          <w:sz w:val="19"/>
          <w:szCs w:val="19"/>
          <w:color w:val="auto"/>
        </w:rPr>
      </w:pPr>
    </w:p>
    <w:p>
      <w:pPr>
        <w:jc w:val="both"/>
        <w:ind w:firstLine="1304"/>
        <w:spacing w:after="0" w:line="226" w:lineRule="auto"/>
        <w:tabs>
          <w:tab w:leader="none" w:pos="1939"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an ABR Borrowing.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Section 3.4, (1) any Term Benchmark Loan shall on the last day of the Interest Period applicable to such Loan (or the next succeeding Business Day if such day is not a Business Day), be converted by the Administrative Agent to, and shall constitute, an ABR Loan.</w:t>
      </w:r>
    </w:p>
    <w:p>
      <w:pPr>
        <w:spacing w:after="0" w:line="15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Increased Costs; Illegality</w:t>
      </w:r>
      <w:r>
        <w:rPr>
          <w:rFonts w:ascii="Arial" w:cs="Arial" w:eastAsia="Arial" w:hAnsi="Arial"/>
          <w:sz w:val="18"/>
          <w:szCs w:val="18"/>
          <w:color w:val="auto"/>
        </w:rPr>
        <w:t>.</w:t>
      </w:r>
    </w:p>
    <w:p>
      <w:pPr>
        <w:spacing w:after="0" w:line="175" w:lineRule="exact"/>
        <w:rPr>
          <w:sz w:val="20"/>
          <w:szCs w:val="20"/>
          <w:color w:val="auto"/>
        </w:rPr>
      </w:pPr>
    </w:p>
    <w:p>
      <w:pPr>
        <w:ind w:left="1940" w:hanging="636"/>
        <w:spacing w:after="0"/>
        <w:tabs>
          <w:tab w:leader="none" w:pos="1940" w:val="left"/>
        </w:tabs>
        <w:numPr>
          <w:ilvl w:val="0"/>
          <w:numId w:val="87"/>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175" w:lineRule="exact"/>
        <w:rPr>
          <w:rFonts w:ascii="Arial" w:cs="Arial" w:eastAsia="Arial" w:hAnsi="Arial"/>
          <w:sz w:val="20"/>
          <w:szCs w:val="20"/>
          <w:color w:val="auto"/>
        </w:rPr>
      </w:pPr>
    </w:p>
    <w:p>
      <w:pPr>
        <w:jc w:val="both"/>
        <w:ind w:left="1300" w:firstLine="652"/>
        <w:spacing w:after="0" w:line="218" w:lineRule="auto"/>
        <w:tabs>
          <w:tab w:leader="none" w:pos="2594" w:val="left"/>
        </w:tabs>
        <w:numPr>
          <w:ilvl w:val="1"/>
          <w:numId w:val="87"/>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against assets of, deposits with or for the account of, or credit extended by, any Credit Party (except any such reserve requirement reflected in the Adjusted Term SOFR Rate);</w:t>
      </w:r>
    </w:p>
    <w:p>
      <w:pPr>
        <w:spacing w:after="0" w:line="156" w:lineRule="exact"/>
        <w:rPr>
          <w:rFonts w:ascii="Arial" w:cs="Arial" w:eastAsia="Arial" w:hAnsi="Arial"/>
          <w:sz w:val="20"/>
          <w:szCs w:val="20"/>
          <w:color w:val="auto"/>
        </w:rPr>
      </w:pPr>
    </w:p>
    <w:p>
      <w:pPr>
        <w:ind w:left="1300" w:firstLine="652"/>
        <w:spacing w:after="0" w:line="229" w:lineRule="auto"/>
        <w:tabs>
          <w:tab w:leader="none" w:pos="2595" w:val="left"/>
        </w:tabs>
        <w:numPr>
          <w:ilvl w:val="1"/>
          <w:numId w:val="87"/>
        </w:numPr>
        <w:rPr>
          <w:rFonts w:ascii="Arial" w:cs="Arial" w:eastAsia="Arial" w:hAnsi="Arial"/>
          <w:sz w:val="20"/>
          <w:szCs w:val="20"/>
          <w:color w:val="auto"/>
        </w:rPr>
      </w:pPr>
      <w:r>
        <w:rPr>
          <w:rFonts w:ascii="Arial" w:cs="Arial" w:eastAsia="Arial" w:hAnsi="Arial"/>
          <w:sz w:val="20"/>
          <w:szCs w:val="20"/>
          <w:color w:val="auto"/>
        </w:rPr>
        <w:t>subject any Recipient to any Taxes with respect to this Agreement or on its Loans, loan principal, Letters of Credit, Commitments, or other obligations,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9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its deposits, reserves, other liabilities or capital attributable thereto in respect thereof (other than (A) Indemnified Taxes and</w:t>
      </w:r>
    </w:p>
    <w:p>
      <w:pPr>
        <w:ind w:left="1620" w:hanging="316"/>
        <w:spacing w:after="0"/>
        <w:tabs>
          <w:tab w:leader="none" w:pos="16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Excluded Taxes); or</w:t>
      </w:r>
    </w:p>
    <w:p>
      <w:pPr>
        <w:spacing w:after="0" w:line="159" w:lineRule="exact"/>
        <w:rPr>
          <w:rFonts w:ascii="Arial" w:cs="Arial" w:eastAsia="Arial" w:hAnsi="Arial"/>
          <w:sz w:val="20"/>
          <w:szCs w:val="20"/>
          <w:color w:val="auto"/>
        </w:rPr>
      </w:pPr>
    </w:p>
    <w:p>
      <w:pPr>
        <w:jc w:val="both"/>
        <w:ind w:left="1300" w:firstLine="652"/>
        <w:spacing w:after="0" w:line="218" w:lineRule="auto"/>
        <w:tabs>
          <w:tab w:leader="none" w:pos="2596" w:val="left"/>
        </w:tabs>
        <w:numPr>
          <w:ilvl w:val="1"/>
          <w:numId w:val="88"/>
        </w:numPr>
        <w:rPr>
          <w:rFonts w:ascii="Arial" w:cs="Arial" w:eastAsia="Arial" w:hAnsi="Arial"/>
          <w:sz w:val="20"/>
          <w:szCs w:val="20"/>
          <w:color w:val="auto"/>
        </w:rPr>
      </w:pPr>
      <w:r>
        <w:rPr>
          <w:rFonts w:ascii="Arial" w:cs="Arial" w:eastAsia="Arial" w:hAnsi="Arial"/>
          <w:sz w:val="20"/>
          <w:szCs w:val="20"/>
          <w:color w:val="auto"/>
        </w:rPr>
        <w:t>impose on any Credit Party or the applicable offshore interbank market any other condition affecting this Agreement, any Term Benchmark Loans made by such Credit Party or any participation therein or any Letter of Credit or participation therein;</w:t>
      </w:r>
    </w:p>
    <w:p>
      <w:pPr>
        <w:spacing w:after="0" w:line="156"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and the result of any of the foregoing shall be to increase the cost to such Credit Party of making, continuing, converting or maintaining any Term Benchmark Loan or the cost to such Credit Party of issuing, participating in or maintaining any Letter of Credit hereunder or to increase the cost to such Credit Party or to reduce the amount of any sum received or receivable by such Credit Party hereunder (whether of principal, interest or otherwise), then the Borrower will pay to such Credit Party such additional amount or amounts as will compensate such Credit Party for such additional costs incurred or reduction suffered.</w:t>
      </w:r>
    </w:p>
    <w:p>
      <w:pPr>
        <w:spacing w:after="0" w:line="155" w:lineRule="exact"/>
        <w:rPr>
          <w:sz w:val="20"/>
          <w:szCs w:val="20"/>
          <w:color w:val="auto"/>
        </w:rPr>
      </w:pPr>
    </w:p>
    <w:p>
      <w:pPr>
        <w:jc w:val="both"/>
        <w:ind w:firstLine="1304"/>
        <w:spacing w:after="0" w:line="217" w:lineRule="auto"/>
        <w:tabs>
          <w:tab w:leader="none" w:pos="1932" w:val="left"/>
        </w:tabs>
        <w:numPr>
          <w:ilvl w:val="0"/>
          <w:numId w:val="89"/>
        </w:numPr>
        <w:rPr>
          <w:rFonts w:ascii="Arial" w:cs="Arial" w:eastAsia="Arial" w:hAnsi="Arial"/>
          <w:sz w:val="19"/>
          <w:szCs w:val="19"/>
          <w:color w:val="auto"/>
        </w:rPr>
      </w:pPr>
      <w:r>
        <w:rPr>
          <w:rFonts w:ascii="Arial" w:cs="Arial" w:eastAsia="Arial" w:hAnsi="Arial"/>
          <w:sz w:val="19"/>
          <w:szCs w:val="19"/>
          <w:color w:val="auto"/>
        </w:rPr>
        <w:t>If any Credit Party determines that any Change in Law regarding capital or liquidity requirements has or would have the effect of reducing the rate of return on such Credit Party’s capital or on the capital of such Credit Party’s holding company, if any, as a consequence of this Agreement or the Loans made, the Letters of Credit issued or the participations therein held, by such Credit Party to a level below that which such Credit Party or such Credit Party’s holding company could have achieved but for such Change in Law (taking into consideration such Credit Party’s policies and the policies of such Credit Party’s holding company with respect to capital adequacy), then from time to time the Borrower will pay to such Credit Party such additional amount or amounts as will compensate such Credit Party or such Credit Party’s holding company for any such reduction suffered.</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4"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A certificate of a Credit Party setting forth the amount or amounts necessary to compensate such Credit Party or its holding company, as applicable, as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shall be delivered to the Borrower and shall be conclusive and binding upon all parties hereto absent manifest error. The Borrower shall pay such Credit Party the amount shown as due on any such certificate within 10 Business Days after receipt thereof.</w:t>
      </w:r>
    </w:p>
    <w:p>
      <w:pPr>
        <w:spacing w:after="0" w:line="155" w:lineRule="exact"/>
        <w:rPr>
          <w:rFonts w:ascii="Arial" w:cs="Arial" w:eastAsia="Arial" w:hAnsi="Arial"/>
          <w:sz w:val="20"/>
          <w:szCs w:val="20"/>
          <w:color w:val="auto"/>
        </w:rPr>
      </w:pPr>
    </w:p>
    <w:p>
      <w:pPr>
        <w:jc w:val="both"/>
        <w:ind w:firstLine="1304"/>
        <w:spacing w:after="0" w:line="206" w:lineRule="auto"/>
        <w:tabs>
          <w:tab w:leader="none" w:pos="1932"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Failure or delay on the part of any Credit Party to demand compensation pursuant to this Section shall not constitute a waiver of such Credit Party’s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Credit Party pursuant to this Section for any increased costs or reductions incurred more than 180 days prior to the date that such Credit Party notifies the Borrower of the Change in Law giving rise to such increased costs or reductions and of such Credit Party’s intention to claim compensation therefor;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180 day period referred to above shall be extended to include the period of retroactive effect thereof but not to exceed a period of 365 days.</w:t>
      </w:r>
    </w:p>
    <w:p>
      <w:pPr>
        <w:spacing w:after="0" w:line="157" w:lineRule="exact"/>
        <w:rPr>
          <w:rFonts w:ascii="Arial" w:cs="Arial" w:eastAsia="Arial" w:hAnsi="Arial"/>
          <w:sz w:val="20"/>
          <w:szCs w:val="20"/>
          <w:color w:val="auto"/>
        </w:rPr>
      </w:pPr>
    </w:p>
    <w:p>
      <w:pPr>
        <w:jc w:val="both"/>
        <w:ind w:firstLine="1304"/>
        <w:spacing w:after="0" w:line="218" w:lineRule="auto"/>
        <w:tabs>
          <w:tab w:leader="none" w:pos="1934" w:val="left"/>
        </w:tabs>
        <w:numPr>
          <w:ilvl w:val="0"/>
          <w:numId w:val="89"/>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if any Change in Law shall make it unlawful for any Lender to make or maintain any Term Benchmark Loan or to give effect to its obligations as contemplated hereby with respect to any Term Benchmark Loan, then, by written notice to the Borrower and to the Administrative Agent:</w:t>
      </w:r>
    </w:p>
    <w:p>
      <w:pPr>
        <w:spacing w:after="0" w:line="156" w:lineRule="exact"/>
        <w:rPr>
          <w:rFonts w:ascii="Arial" w:cs="Arial" w:eastAsia="Arial" w:hAnsi="Arial"/>
          <w:sz w:val="20"/>
          <w:szCs w:val="20"/>
          <w:color w:val="auto"/>
        </w:rPr>
      </w:pPr>
    </w:p>
    <w:p>
      <w:pPr>
        <w:jc w:val="both"/>
        <w:ind w:left="1300" w:firstLine="652"/>
        <w:spacing w:after="0" w:line="218" w:lineRule="auto"/>
        <w:tabs>
          <w:tab w:leader="none" w:pos="2594" w:val="left"/>
        </w:tabs>
        <w:numPr>
          <w:ilvl w:val="1"/>
          <w:numId w:val="89"/>
        </w:numPr>
        <w:rPr>
          <w:rFonts w:ascii="Arial" w:cs="Arial" w:eastAsia="Arial" w:hAnsi="Arial"/>
          <w:sz w:val="19"/>
          <w:szCs w:val="19"/>
          <w:color w:val="auto"/>
        </w:rPr>
      </w:pPr>
      <w:r>
        <w:rPr>
          <w:rFonts w:ascii="Arial" w:cs="Arial" w:eastAsia="Arial" w:hAnsi="Arial"/>
          <w:sz w:val="19"/>
          <w:szCs w:val="19"/>
          <w:color w:val="auto"/>
        </w:rPr>
        <w:t>such Lender may declare that Term Benchmark Loans will not thereafter (for the duration of such unlawfulness) be made by such Lender hereunder (or be continued for additional Interest Periods) and ABR Loans will not thereafter (for such duration) be converted into Term Benchmark Loans, whereupon any request for a Term Benchmark Borrowing or to convert an ABR Borrowing to a Term Benchmark Borrowing or to continue a Term Benchmark Borrowing, as applicable, for an additional Interest Period shall, as to such Lender only, be deemed a request for an ABR Loan (or a request to continue an ABR Loan as such for an additional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39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0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Period or to convert a Term Benchmark Loan into an ABR Loan, as applicable), unless such declaration shall be subsequently withdrawn; and</w:t>
      </w:r>
    </w:p>
    <w:p>
      <w:pPr>
        <w:spacing w:after="0" w:line="155" w:lineRule="exact"/>
        <w:rPr>
          <w:sz w:val="20"/>
          <w:szCs w:val="20"/>
          <w:color w:val="auto"/>
        </w:rPr>
      </w:pPr>
    </w:p>
    <w:p>
      <w:pPr>
        <w:jc w:val="both"/>
        <w:ind w:left="1300" w:firstLine="652"/>
        <w:spacing w:after="0" w:line="218" w:lineRule="auto"/>
        <w:tabs>
          <w:tab w:leader="none" w:pos="2595" w:val="left"/>
        </w:tabs>
        <w:numPr>
          <w:ilvl w:val="0"/>
          <w:numId w:val="90"/>
        </w:numPr>
        <w:rPr>
          <w:rFonts w:ascii="Arial" w:cs="Arial" w:eastAsia="Arial" w:hAnsi="Arial"/>
          <w:sz w:val="20"/>
          <w:szCs w:val="20"/>
          <w:color w:val="auto"/>
        </w:rPr>
      </w:pPr>
      <w:r>
        <w:rPr>
          <w:rFonts w:ascii="Arial" w:cs="Arial" w:eastAsia="Arial" w:hAnsi="Arial"/>
          <w:sz w:val="20"/>
          <w:szCs w:val="20"/>
          <w:color w:val="auto"/>
        </w:rPr>
        <w:t>such Lender may require that all outstanding Term Benchmark Loans made by it be converted to ABR Loans, in which event all such Term Benchmark Loans shall be automatically converted to ABR Loans, as of the effective date of such notice as provided in the last sentence of this paragraph.</w:t>
      </w:r>
    </w:p>
    <w:p>
      <w:pPr>
        <w:spacing w:after="0" w:line="15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In the event any Lender shall exercise its rights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this paragraph, all payments and prepayments of principal that would otherwise have been applied to repay the Term Benchmark Loans that would have been made by such Lender or the converted Term Benchmark Loans of such Lender shall instead be applied to repay the ABR Loans made by such Lender in lieu of, or resulting from the conversion of, such Term Benchmark Loans, as applicable. For purposes of this paragraph, a notice to the Borrower by any Lender shall be effective as to each Term Benchmark Loan made by such Lender, if lawful, on the last day of the Interest Period currently applicable to such Term Benchmark Loan; in all other cases such notice shall be effective on the date of receipt by the Borrower.</w:t>
      </w:r>
    </w:p>
    <w:p>
      <w:pPr>
        <w:spacing w:after="0" w:line="15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the payment or prepayment (voluntary or otherwise) of any principal of any Term Benchmark Loan other than on the last day of an Interest Period applicable thereto (including as a result of an Event of Default), the conversion of any Term Benchmark Loan other than on the last day of the Interest Period applicable thereto, the failure to borrow, convert, continue or prepay any Term Benchmark Loan on the date specified in any notice delivered pursuant hereto (regardless of whether such notice may be revoked under </w:t>
      </w:r>
      <w:r>
        <w:rPr>
          <w:rFonts w:ascii="Arial" w:cs="Arial" w:eastAsia="Arial" w:hAnsi="Arial"/>
          <w:sz w:val="19"/>
          <w:szCs w:val="19"/>
          <w:u w:val="single" w:color="auto"/>
          <w:color w:val="auto"/>
        </w:rPr>
        <w:t>Section 2.7(c)</w:t>
      </w:r>
      <w:r>
        <w:rPr>
          <w:rFonts w:ascii="Arial" w:cs="Arial" w:eastAsia="Arial" w:hAnsi="Arial"/>
          <w:sz w:val="19"/>
          <w:szCs w:val="19"/>
          <w:color w:val="auto"/>
        </w:rPr>
        <w:t xml:space="preserve"> and is revoked in accordance therewith), or the assignment of any Term Benchmark Loan other than on the last day of the Interest Period or maturity date applicable thereto as a result of a request by the Borrower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3.8</w:t>
      </w:r>
      <w:r>
        <w:rPr>
          <w:rFonts w:ascii="Arial" w:cs="Arial" w:eastAsia="Arial" w:hAnsi="Arial"/>
          <w:sz w:val="19"/>
          <w:szCs w:val="19"/>
          <w:color w:val="auto"/>
        </w:rPr>
        <w:t>,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Withholding of Taxes; Gross-Up.</w:t>
      </w:r>
    </w:p>
    <w:p>
      <w:pPr>
        <w:spacing w:after="0" w:line="175" w:lineRule="exact"/>
        <w:rPr>
          <w:sz w:val="20"/>
          <w:szCs w:val="20"/>
          <w:color w:val="auto"/>
        </w:rPr>
      </w:pPr>
    </w:p>
    <w:p>
      <w:pPr>
        <w:jc w:val="both"/>
        <w:ind w:firstLine="1304"/>
        <w:spacing w:after="0" w:line="228" w:lineRule="auto"/>
        <w:tabs>
          <w:tab w:leader="none" w:pos="193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Any and all payments by or on account of any obligation of the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54" w:lineRule="exact"/>
        <w:rPr>
          <w:rFonts w:ascii="Arial" w:cs="Arial" w:eastAsia="Arial" w:hAnsi="Arial"/>
          <w:sz w:val="18"/>
          <w:szCs w:val="18"/>
          <w:color w:val="auto"/>
        </w:rPr>
      </w:pPr>
    </w:p>
    <w:p>
      <w:pPr>
        <w:ind w:firstLine="1304"/>
        <w:spacing w:after="0" w:line="229" w:lineRule="auto"/>
        <w:tabs>
          <w:tab w:leader="none" w:pos="1932"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Other Taxes.</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the Borrower to a Governmental Authority pursuant to this Section,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01" w:lineRule="exact"/>
        <w:rPr>
          <w:sz w:val="20"/>
          <w:szCs w:val="20"/>
          <w:color w:val="auto"/>
        </w:rPr>
      </w:pPr>
    </w:p>
    <w:p>
      <w:pPr>
        <w:jc w:val="both"/>
        <w:ind w:firstLine="1304"/>
        <w:spacing w:after="0" w:line="206" w:lineRule="auto"/>
        <w:tabs>
          <w:tab w:leader="none" w:pos="1932"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Indemnification by the Borrower</w:t>
      </w:r>
      <w:r>
        <w:rPr>
          <w:rFonts w:ascii="Arial" w:cs="Arial" w:eastAsia="Arial" w:hAnsi="Arial"/>
          <w:sz w:val="20"/>
          <w:szCs w:val="20"/>
          <w:color w:val="auto"/>
        </w:rPr>
        <w:t>. The Borrower shall indemnify each Recipient, within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57" w:lineRule="exact"/>
        <w:rPr>
          <w:rFonts w:ascii="Arial" w:cs="Arial" w:eastAsia="Arial" w:hAnsi="Arial"/>
          <w:sz w:val="20"/>
          <w:szCs w:val="20"/>
          <w:color w:val="auto"/>
        </w:rPr>
      </w:pPr>
    </w:p>
    <w:p>
      <w:pPr>
        <w:jc w:val="both"/>
        <w:ind w:firstLine="1304"/>
        <w:spacing w:after="0" w:line="213" w:lineRule="auto"/>
        <w:tabs>
          <w:tab w:leader="none" w:pos="193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Indemnification by the Lenders</w:t>
      </w:r>
      <w:r>
        <w:rPr>
          <w:rFonts w:ascii="Arial" w:cs="Arial" w:eastAsia="Arial" w:hAnsi="Arial"/>
          <w:sz w:val="19"/>
          <w:szCs w:val="19"/>
          <w:color w:val="auto"/>
        </w:rPr>
        <w:t xml:space="preserve">. Each Lender shall severally indemnify the Administrative Agent, within 10 days after 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9"/>
          <w:szCs w:val="19"/>
          <w:u w:val="single" w:color="auto"/>
          <w:color w:val="auto"/>
        </w:rPr>
        <w:t>Section 10.4(d)</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paragraph (e)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left="1940" w:hanging="636"/>
        <w:spacing w:after="0"/>
        <w:tabs>
          <w:tab w:leader="none" w:pos="194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25" w:lineRule="auto"/>
        <w:tabs>
          <w:tab w:leader="none" w:pos="2594"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3.7(f)(ii)(A)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5" w:lineRule="exact"/>
        <w:rPr>
          <w:rFonts w:ascii="Arial" w:cs="Arial" w:eastAsia="Arial" w:hAnsi="Arial"/>
          <w:sz w:val="18"/>
          <w:szCs w:val="18"/>
          <w:color w:val="auto"/>
        </w:rPr>
      </w:pPr>
    </w:p>
    <w:p>
      <w:pPr>
        <w:ind w:left="2600" w:hanging="648"/>
        <w:spacing w:after="0"/>
        <w:tabs>
          <w:tab w:leader="none" w:pos="2600" w:val="left"/>
        </w:tabs>
        <w:numPr>
          <w:ilvl w:val="1"/>
          <w:numId w:val="9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75" w:lineRule="exact"/>
        <w:rPr>
          <w:sz w:val="20"/>
          <w:szCs w:val="20"/>
          <w:color w:val="auto"/>
        </w:rPr>
      </w:pPr>
    </w:p>
    <w:p>
      <w:pPr>
        <w:jc w:val="both"/>
        <w:ind w:left="1300" w:firstLine="652"/>
        <w:spacing w:after="0" w:line="213" w:lineRule="auto"/>
        <w:tabs>
          <w:tab w:leader="none" w:pos="2587"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9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8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Lender becomes a Lender under this Agreement (and from time to time thereafter upon the reasonable request of the</w:t>
      </w:r>
    </w:p>
    <w:p>
      <w:pPr>
        <w:ind w:left="1300"/>
        <w:spacing w:after="0"/>
        <w:rPr>
          <w:sz w:val="20"/>
          <w:szCs w:val="20"/>
          <w:color w:val="auto"/>
        </w:rPr>
      </w:pPr>
      <w:r>
        <w:rPr>
          <w:rFonts w:ascii="Arial" w:cs="Arial" w:eastAsia="Arial" w:hAnsi="Arial"/>
          <w:sz w:val="20"/>
          <w:szCs w:val="20"/>
          <w:color w:val="auto"/>
        </w:rPr>
        <w:t>Borrower or the Administrative Agent), whichever of the following is applicable:</w:t>
      </w:r>
    </w:p>
    <w:p>
      <w:pPr>
        <w:spacing w:after="0" w:line="159" w:lineRule="exact"/>
        <w:rPr>
          <w:sz w:val="20"/>
          <w:szCs w:val="20"/>
          <w:color w:val="auto"/>
        </w:rPr>
      </w:pPr>
    </w:p>
    <w:p>
      <w:pPr>
        <w:jc w:val="both"/>
        <w:ind w:left="1960" w:firstLine="640"/>
        <w:spacing w:after="0" w:line="231" w:lineRule="auto"/>
        <w:tabs>
          <w:tab w:leader="none" w:pos="3256"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spacing w:after="0" w:line="154" w:lineRule="exact"/>
        <w:rPr>
          <w:rFonts w:ascii="Arial" w:cs="Arial" w:eastAsia="Arial" w:hAnsi="Arial"/>
          <w:sz w:val="18"/>
          <w:szCs w:val="18"/>
          <w:color w:val="auto"/>
        </w:rPr>
      </w:pPr>
    </w:p>
    <w:p>
      <w:pPr>
        <w:ind w:left="1960" w:firstLine="640"/>
        <w:spacing w:after="0" w:line="229" w:lineRule="auto"/>
        <w:tabs>
          <w:tab w:leader="none" w:pos="3256" w:val="left"/>
        </w:tabs>
        <w:numPr>
          <w:ilvl w:val="1"/>
          <w:numId w:val="94"/>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an executed copy of IRS Form W-8ECI;</w:t>
      </w:r>
    </w:p>
    <w:p>
      <w:pPr>
        <w:spacing w:after="0" w:line="155" w:lineRule="exact"/>
        <w:rPr>
          <w:rFonts w:ascii="Arial" w:cs="Arial" w:eastAsia="Arial" w:hAnsi="Arial"/>
          <w:sz w:val="20"/>
          <w:szCs w:val="20"/>
          <w:color w:val="auto"/>
        </w:rPr>
      </w:pPr>
    </w:p>
    <w:p>
      <w:pPr>
        <w:jc w:val="both"/>
        <w:ind w:left="1960" w:firstLine="640"/>
        <w:spacing w:after="0" w:line="207" w:lineRule="auto"/>
        <w:tabs>
          <w:tab w:leader="none" w:pos="3256"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20"/>
          <w:szCs w:val="20"/>
          <w:u w:val="single" w:color="auto"/>
          <w:color w:val="auto"/>
        </w:rPr>
        <w:t>Exhibit F-1</w:t>
      </w:r>
      <w:r>
        <w:rPr>
          <w:rFonts w:ascii="Arial" w:cs="Arial" w:eastAsia="Arial" w:hAnsi="Arial"/>
          <w:sz w:val="20"/>
          <w:szCs w:val="20"/>
          <w:color w:val="auto"/>
        </w:rPr>
        <w:t xml:space="preserve"> to the effect that such Foreign Lender is not a “bank” within the meaning of Section 881(c)(3)(A) of the Code, a “10 percent shareholder” of the Borrower within the meaning of Section 881(h)(3)(B)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an executed copy of IRS Form W-8BEN-E or IRS Form W-8BEN; or</w:t>
      </w:r>
    </w:p>
    <w:p>
      <w:pPr>
        <w:spacing w:after="0" w:line="159" w:lineRule="exact"/>
        <w:rPr>
          <w:rFonts w:ascii="Arial" w:cs="Arial" w:eastAsia="Arial" w:hAnsi="Arial"/>
          <w:sz w:val="20"/>
          <w:szCs w:val="20"/>
          <w:color w:val="auto"/>
        </w:rPr>
      </w:pPr>
    </w:p>
    <w:p>
      <w:pPr>
        <w:jc w:val="both"/>
        <w:ind w:left="1960" w:firstLine="640"/>
        <w:spacing w:after="0" w:line="206" w:lineRule="auto"/>
        <w:tabs>
          <w:tab w:leader="none" w:pos="3256" w:val="left"/>
        </w:tabs>
        <w:numPr>
          <w:ilvl w:val="1"/>
          <w:numId w:val="94"/>
        </w:numPr>
        <w:rPr>
          <w:rFonts w:ascii="Arial" w:cs="Arial" w:eastAsia="Arial" w:hAnsi="Arial"/>
          <w:sz w:val="20"/>
          <w:szCs w:val="20"/>
          <w:color w:val="auto"/>
        </w:rPr>
      </w:pPr>
      <w:r>
        <w:rPr>
          <w:rFonts w:ascii="Arial" w:cs="Arial" w:eastAsia="Arial" w:hAnsi="Arial"/>
          <w:sz w:val="20"/>
          <w:szCs w:val="20"/>
          <w:color w:val="auto"/>
        </w:rPr>
        <w:t xml:space="preserve">to the extent a Foreign Lender is not the beneficial owner, an executed copy of IRS Form W-8IMY, accompanied by IRS Form W-8ECI, IRS Form W-8BEN-E, IRS Form W-8BEN, a U.S. Tax Compliance Certificate substantially in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F-3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20"/>
          <w:szCs w:val="20"/>
          <w:u w:val="single" w:color="auto"/>
          <w:color w:val="auto"/>
        </w:rPr>
        <w:t>Exhibit F-4</w:t>
      </w:r>
      <w:r>
        <w:rPr>
          <w:rFonts w:ascii="Arial" w:cs="Arial" w:eastAsia="Arial" w:hAnsi="Arial"/>
          <w:sz w:val="20"/>
          <w:szCs w:val="20"/>
          <w:color w:val="auto"/>
        </w:rPr>
        <w:t xml:space="preserve"> on behalf of each such direct and indirect partner;</w:t>
      </w:r>
    </w:p>
    <w:p>
      <w:pPr>
        <w:spacing w:after="0" w:line="157" w:lineRule="exact"/>
        <w:rPr>
          <w:rFonts w:ascii="Arial" w:cs="Arial" w:eastAsia="Arial" w:hAnsi="Arial"/>
          <w:sz w:val="20"/>
          <w:szCs w:val="20"/>
          <w:color w:val="auto"/>
        </w:rPr>
      </w:pPr>
    </w:p>
    <w:p>
      <w:pPr>
        <w:jc w:val="both"/>
        <w:ind w:left="1300" w:firstLine="652"/>
        <w:spacing w:after="0" w:line="217" w:lineRule="auto"/>
        <w:tabs>
          <w:tab w:leader="none" w:pos="259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6" w:lineRule="exact"/>
        <w:rPr>
          <w:rFonts w:ascii="Arial" w:cs="Arial" w:eastAsia="Arial" w:hAnsi="Arial"/>
          <w:sz w:val="19"/>
          <w:szCs w:val="19"/>
          <w:color w:val="auto"/>
        </w:rPr>
      </w:pPr>
    </w:p>
    <w:p>
      <w:pPr>
        <w:jc w:val="both"/>
        <w:ind w:left="1300" w:firstLine="652"/>
        <w:spacing w:after="0" w:line="221" w:lineRule="auto"/>
        <w:tabs>
          <w:tab w:leader="none" w:pos="2587"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01" w:lineRule="exact"/>
        <w:rPr>
          <w:sz w:val="20"/>
          <w:szCs w:val="20"/>
          <w:color w:val="auto"/>
        </w:rPr>
      </w:pPr>
    </w:p>
    <w:p>
      <w:pPr>
        <w:jc w:val="both"/>
        <w:ind w:left="1300"/>
        <w:spacing w:after="0" w:line="221" w:lineRule="auto"/>
        <w:rPr>
          <w:sz w:val="20"/>
          <w:szCs w:val="20"/>
          <w:color w:val="auto"/>
        </w:rPr>
      </w:pPr>
      <w:r>
        <w:rPr>
          <w:rFonts w:ascii="Arial" w:cs="Arial" w:eastAsia="Arial" w:hAnsi="Arial"/>
          <w:sz w:val="19"/>
          <w:szCs w:val="19"/>
          <w:color w:val="auto"/>
        </w:rPr>
        <w:t>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5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30" w:lineRule="exact"/>
        <w:rPr>
          <w:sz w:val="20"/>
          <w:szCs w:val="20"/>
          <w:color w:val="auto"/>
        </w:rPr>
      </w:pPr>
    </w:p>
    <w:p>
      <w:pPr>
        <w:jc w:val="both"/>
        <w:ind w:firstLine="1304"/>
        <w:spacing w:after="0" w:line="212" w:lineRule="auto"/>
        <w:tabs>
          <w:tab w:leader="none" w:pos="193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in no event will the indemnified party be required to pay any amount to an indemnifying party pursuant to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0" w:lineRule="exact"/>
        <w:rPr>
          <w:rFonts w:ascii="Arial" w:cs="Arial" w:eastAsia="Arial" w:hAnsi="Arial"/>
          <w:sz w:val="19"/>
          <w:szCs w:val="19"/>
          <w:color w:val="auto"/>
        </w:rPr>
      </w:pPr>
    </w:p>
    <w:p>
      <w:pPr>
        <w:jc w:val="both"/>
        <w:ind w:firstLine="1304"/>
        <w:spacing w:after="0" w:line="218" w:lineRule="auto"/>
        <w:tabs>
          <w:tab w:leader="none" w:pos="1932"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4" w:lineRule="exact"/>
        <w:rPr>
          <w:rFonts w:ascii="Arial" w:cs="Arial" w:eastAsia="Arial" w:hAnsi="Arial"/>
          <w:sz w:val="20"/>
          <w:szCs w:val="20"/>
          <w:color w:val="auto"/>
        </w:rPr>
      </w:pPr>
    </w:p>
    <w:p>
      <w:pPr>
        <w:ind w:left="1940" w:hanging="636"/>
        <w:spacing w:after="0"/>
        <w:tabs>
          <w:tab w:leader="none" w:pos="19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the term “</w:t>
      </w:r>
      <w:r>
        <w:rPr>
          <w:rFonts w:ascii="Arial" w:cs="Arial" w:eastAsia="Arial" w:hAnsi="Arial"/>
          <w:sz w:val="18"/>
          <w:szCs w:val="18"/>
          <w:u w:val="single" w:color="auto"/>
          <w:color w:val="auto"/>
        </w:rPr>
        <w:t>Lender</w:t>
      </w:r>
      <w:r>
        <w:rPr>
          <w:rFonts w:ascii="Arial" w:cs="Arial" w:eastAsia="Arial" w:hAnsi="Arial"/>
          <w:sz w:val="18"/>
          <w:szCs w:val="18"/>
          <w:color w:val="auto"/>
        </w:rPr>
        <w:t>” includes any Issuing Bank and the term “</w:t>
      </w:r>
      <w:r>
        <w:rPr>
          <w:rFonts w:ascii="Arial" w:cs="Arial" w:eastAsia="Arial" w:hAnsi="Arial"/>
          <w:sz w:val="18"/>
          <w:szCs w:val="18"/>
          <w:u w:val="single" w:color="auto"/>
          <w:color w:val="auto"/>
        </w:rPr>
        <w:t>applicable</w:t>
      </w:r>
    </w:p>
    <w:p>
      <w:pPr>
        <w:spacing w:after="0"/>
        <w:rPr>
          <w:rFonts w:ascii="Arial" w:cs="Arial" w:eastAsia="Arial" w:hAnsi="Arial"/>
          <w:sz w:val="18"/>
          <w:szCs w:val="18"/>
          <w:color w:val="auto"/>
        </w:rPr>
      </w:pPr>
      <w:r>
        <w:rPr>
          <w:rFonts w:ascii="Arial" w:cs="Arial" w:eastAsia="Arial" w:hAnsi="Arial"/>
          <w:sz w:val="20"/>
          <w:szCs w:val="20"/>
          <w:u w:val="single" w:color="auto"/>
          <w:color w:val="auto"/>
        </w:rPr>
        <w:t>law</w:t>
      </w:r>
      <w:r>
        <w:rPr>
          <w:rFonts w:ascii="Arial" w:cs="Arial" w:eastAsia="Arial" w:hAnsi="Arial"/>
          <w:sz w:val="20"/>
          <w:szCs w:val="20"/>
          <w:color w:val="auto"/>
        </w:rPr>
        <w:t>” includes FATCA.</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Mitigation Obligations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05" w:lineRule="auto"/>
        <w:tabs>
          <w:tab w:leader="none" w:pos="193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Designation of a Different Lending Office</w:t>
      </w:r>
      <w:r>
        <w:rPr>
          <w:rFonts w:ascii="Arial" w:cs="Arial" w:eastAsia="Arial" w:hAnsi="Arial"/>
          <w:sz w:val="20"/>
          <w:szCs w:val="20"/>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In the event that the Borrower becomes obligated to pay additional amounts to any Lender (or to any Governmental Authority for the account of any Lender) pursuant to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3.7</w:t>
      </w:r>
      <w:r>
        <w:rPr>
          <w:rFonts w:ascii="Arial" w:cs="Arial" w:eastAsia="Arial" w:hAnsi="Arial"/>
          <w:sz w:val="20"/>
          <w:szCs w:val="20"/>
          <w:color w:val="auto"/>
        </w:rPr>
        <w:t>, any Lender becomes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0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 xml:space="preserve">or if any Lender has failed to consent to a proposed amendment, waiver, discharge or termination that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requires the consent of all the Lenders and with respect to which the Required Lenders shall have granted their consent, then the Borrower may, at its sole cost and expense, within 60 days of the demand by such Lender for such additional amounts or the relevant default or action or inaction by such Lender, as the case may be, and subject to and in accordance with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the Borrower obligated to pay any applicable processing and recordation fee), designate an Eligible Assignee (acceptable to the Administrative Agent and the Issuing Banks) to purchase and assume all of such Lender’s interests, rights and obligations under the Loan Documents, without recourse to or warranty by or expense to, such Lender, for a purchase price equal to the outstanding principal amount of such Lender’s Loans plus any accrued but unpaid interest thereon and accrued but unpaid facility fees and letter of credit fees in respect of such Lender’s Commitment and any other amounts payable to such Lender hereunder, and to assume all the obligations of such Lender hereunder, and, upon such purchase, such Lender shall no longer be a party hereto or have any rights hereunder (except those that survive full repayment hereunder) and shall be relieved from all obligations to the Borrower hereunder, and the Eligible Assignee shall succeed to the rights and obligations of such Lender hereunder. No replacement of a Defaulting Lender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shall be deemed to be a waiver of any right that the Borrower, the Administrative Agent, the Issuing Banks or any other Lender may have against such Defaulting Lender. Upon request, the Borrower shall execute and deliver to such Eligible Assignee a Note. Notwithstanding anything herein to the contrary, in the event that a Lender is replaced pursuant to this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as a result of the Borrower becoming obligated to pay additional amounts to such Lender (or to any Governmental Authority for the account of any Lender)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such Lender shall be entitled to receive such additional amounts as if it had not been so replaced,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if such Lender becomes a Defaulting Lender.</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EEA Financial Institutions</w:t>
      </w:r>
      <w:r>
        <w:rPr>
          <w:rFonts w:ascii="Arial" w:cs="Arial" w:eastAsia="Arial" w:hAnsi="Arial"/>
          <w:sz w:val="18"/>
          <w:szCs w:val="18"/>
          <w:color w:val="auto"/>
        </w:rPr>
        <w:t>. The Borrower is not an EEA Financial Institution.</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Plan Assets; Prohibited Transactions</w:t>
      </w:r>
      <w:r>
        <w:rPr>
          <w:rFonts w:ascii="Arial" w:cs="Arial" w:eastAsia="Arial" w:hAnsi="Arial"/>
          <w:sz w:val="20"/>
          <w:szCs w:val="20"/>
          <w:color w:val="auto"/>
        </w:rPr>
        <w:t>. None of the Borrower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4.</w:t>
      </w:r>
    </w:p>
    <w:p>
      <w:pPr>
        <w:spacing w:after="0" w:line="148" w:lineRule="exact"/>
        <w:rPr>
          <w:sz w:val="20"/>
          <w:szCs w:val="20"/>
          <w:color w:val="auto"/>
        </w:rPr>
      </w:pPr>
    </w:p>
    <w:p>
      <w:pPr>
        <w:ind w:left="3820"/>
        <w:spacing w:after="0"/>
        <w:rPr>
          <w:sz w:val="20"/>
          <w:szCs w:val="20"/>
          <w:color w:val="auto"/>
        </w:rPr>
      </w:pPr>
      <w:r>
        <w:rPr>
          <w:rFonts w:ascii="Arial" w:cs="Arial" w:eastAsia="Arial" w:hAnsi="Arial"/>
          <w:sz w:val="20"/>
          <w:szCs w:val="20"/>
          <w:color w:val="auto"/>
        </w:rPr>
        <w:t>REPRESENTATIONS AND WARRANTIES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warrants to the Credit Parties that:</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of the Borrower and each Subsidiary is duly organized or formed, validly existing and in good standing under the laws of the jurisdiction of its organization or formation, has all requisite corporate power and authority to carry on its 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spacing w:after="0" w:line="12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are within the corporate powers of the Borrower and have been duly authorized by all necessary corporate and, if required, equity holder action. Each Loan Document has been duly executed and delivered by the Borrower and constitutes a legal, valid and binding obligation thereof, enforceable in accordance with its terms, subject to applicable bankruptcy, insolvency, reorganization, moratorium or other similar laws affecting creditors’ rights generally and general principles of equity.</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01" w:lineRule="exact"/>
        <w:rPr>
          <w:sz w:val="20"/>
          <w:szCs w:val="20"/>
          <w:color w:val="auto"/>
        </w:rPr>
      </w:pPr>
    </w:p>
    <w:p>
      <w:pPr>
        <w:jc w:val="both"/>
        <w:ind w:firstLine="1304"/>
        <w:spacing w:after="0" w:line="210" w:lineRule="auto"/>
        <w:tabs>
          <w:tab w:leader="none" w:pos="1934"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execution, delivery and performance by the Borrower of the Loan Documents and the borrowing of the Loans and the issuance of the Letters of Credit do not require any consent or approval of, registration or filing with, or any other action by, any Governmental Authority, except for (i) information filings to be made in the ordinary course of business, which filings are not a condition to the Borrower’s performance under the Loan Documents and (ii) such as have been obtained or made and are in full force and effect and not subject to any appeals period.</w:t>
      </w:r>
    </w:p>
    <w:p>
      <w:pPr>
        <w:spacing w:after="0" w:line="154" w:lineRule="exact"/>
        <w:rPr>
          <w:rFonts w:ascii="Arial" w:cs="Arial" w:eastAsia="Arial" w:hAnsi="Arial"/>
          <w:sz w:val="20"/>
          <w:szCs w:val="20"/>
          <w:color w:val="auto"/>
        </w:rPr>
      </w:pPr>
    </w:p>
    <w:p>
      <w:pPr>
        <w:jc w:val="both"/>
        <w:ind w:firstLine="1304"/>
        <w:spacing w:after="0" w:line="236" w:lineRule="auto"/>
        <w:tabs>
          <w:tab w:leader="none" w:pos="193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Transactions will not (i) violate the charter, by-laws or other organizational documents of the Borrower, (ii) violate any applicable law or regulation or any order of any Governmental Authority, (iii) violate or result in a default under any material indenture, agreement or other instrument binding upon the Borrower or its assets, or give rise to a right thereunder to require any payment to be made by the Borrower, and (iv) result in or require the creation or imposition of any Lien on any asset of the Borrower.</w:t>
      </w:r>
    </w:p>
    <w:p>
      <w:pPr>
        <w:spacing w:after="0" w:line="15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Borrower has previously delivered to the Credit Parties copies of its Form 10-K for the fiscal year ended December 31, 2017, containing the audited consolidated balance sheet of the Borrower and its Subsidiaries and the related audited consolidated statements of operations, comprehensive income, changes in stockholders’ equity and cash flows for the fiscal year ending December 31, 2017 (including with the applicable related notes and schedules, the “</w:t>
      </w:r>
      <w:r>
        <w:rPr>
          <w:rFonts w:ascii="Arial" w:cs="Arial" w:eastAsia="Arial" w:hAnsi="Arial"/>
          <w:sz w:val="19"/>
          <w:szCs w:val="19"/>
          <w:u w:val="single" w:color="auto"/>
          <w:color w:val="auto"/>
        </w:rPr>
        <w:t>Borrower Financial Statements</w:t>
      </w:r>
      <w:r>
        <w:rPr>
          <w:rFonts w:ascii="Arial" w:cs="Arial" w:eastAsia="Arial" w:hAnsi="Arial"/>
          <w:sz w:val="19"/>
          <w:szCs w:val="19"/>
          <w:color w:val="auto"/>
        </w:rPr>
        <w:t>”), and the unaudited consolidated balance sheet of the Borrower and its Subsidiaries and the related unaudited consolidated statements of income, equity and cash flows for the fiscal quarter ended September 30, 2018. All such financial statements have been prepared in accordance with GAAP and fairly present in all material respects the consolidated financial condition and results of the operations of the Borrower and its Subsidiaries as of the dates and for the periods indicated therein (subject, in the case of unaudited financial statements, to the absence of footnotes and to normal, year end audit adjustments).</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0"/>
          <w:numId w:val="99"/>
        </w:numPr>
        <w:rPr>
          <w:rFonts w:ascii="Arial" w:cs="Arial" w:eastAsia="Arial" w:hAnsi="Arial"/>
          <w:sz w:val="20"/>
          <w:szCs w:val="20"/>
          <w:color w:val="auto"/>
        </w:rPr>
      </w:pPr>
      <w:r>
        <w:rPr>
          <w:rFonts w:ascii="Arial" w:cs="Arial" w:eastAsia="Arial" w:hAnsi="Arial"/>
          <w:sz w:val="20"/>
          <w:szCs w:val="20"/>
          <w:color w:val="auto"/>
        </w:rPr>
        <w:t>Since December 31, 2017, there has been no Material Adverse Change.</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Litigation</w:t>
      </w:r>
      <w:r>
        <w:rPr>
          <w:rFonts w:ascii="Arial" w:cs="Arial" w:eastAsia="Arial" w:hAnsi="Arial"/>
          <w:sz w:val="19"/>
          <w:szCs w:val="19"/>
          <w:color w:val="auto"/>
        </w:rPr>
        <w:t>. There are no actions, suits or proceedings by or before any arbitrator or Governmental Authority pending against or, to the knowledge of the Borrower, threatened in writing against or affecting the Borrower or any Subsidiary that (a) if adversely determined (and provided that there exists a reasonable possibility of such adverse determination), would reasonably be expected, individually or in the aggregate, to result in a Material Adverse Effect, except for any Disclosed Matters, and except that the commencement by the Borrower, any Subsidiary or any Governmental Authority of a rate proceeding, fuel adjustment clause audit or earnings review before such Governmental Authority shall not constitute such a pending or threatened action, suit or proceeding unless and until such Governmental Authority has made a final determination thereunder that would reasonably be expected to have a Material Adverse Effect, or (b) involve any Loan Document or the Transactions.</w:t>
      </w:r>
    </w:p>
    <w:p>
      <w:pPr>
        <w:spacing w:after="0" w:line="15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for the Disclosed Matters, the Borrower and its Subsidiaries (a) are in compliance with Environmental Law, (b) have received all permits, licenses or other approvals required of them under applicable Environmental Law to conduct their respective businesses and (c) are in compliance with all terms and conditions of any such permit, license, or approval, except, in each case, such as could not reasonably be expected to result in a Material Adverse Effect.</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Borrower nor any Subsidiary is an “investment company” or a company “controlled” by an “investment company” as defined in, or is otherwise subject to regulation under, the Investment Company Act of 1940.</w:t>
      </w:r>
    </w:p>
    <w:p>
      <w:pPr>
        <w:spacing w:after="0" w:line="130"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ERISA</w:t>
      </w:r>
      <w:r>
        <w:rPr>
          <w:rFonts w:ascii="Arial" w:cs="Arial" w:eastAsia="Arial" w:hAnsi="Arial"/>
          <w:sz w:val="20"/>
          <w:szCs w:val="20"/>
          <w:color w:val="auto"/>
        </w:rPr>
        <w:t>. Each of the Borrower and each of its ERISA Affiliates is in compliance in all material respects with the applicable provisions of ERISA and the Code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0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regulations and published interpretations thereunder except for any such failure that, individually or in the aggregate, could not reasonably be expected to result in a Material Adverse Effect.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7" w:lineRule="auto"/>
        <w:tabs>
          <w:tab w:leader="none" w:pos="193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None of the reports, financial statements, certificates or other information furnished by or on behalf of the Borrower or any Subsidiary to any Credit Party in connection with the negotiation of, or delivered under any Loan Document when taken as a whole (as modified or supplemented by other information so furnished, including the information contained in the Borrower’s most recent annual report on Form 10-K and in the Borrower’s reports filed with the SEC under the Securities Exchange Act of 1934 subsequent to the filing of the Form 10-K) contains any material misstatement of fact or omits to state any material fact necessary to make the statements therein, in the light of the circumstances under which they were made, not materially misleading, provided that, to the extent any such reports, financial statements, certificates or other information was based upon or constitutes a forecast or a projection (including statements concerning future financial performance, ongoing business strategies or prospects or possible future actions, and other forward-looking statements), the Borrower represents only that such information was prepared in good faith based upon assumptions believed to be reasonable at the time.</w:t>
      </w:r>
    </w:p>
    <w:p>
      <w:pPr>
        <w:spacing w:after="0" w:line="155" w:lineRule="exact"/>
        <w:rPr>
          <w:rFonts w:ascii="Arial" w:cs="Arial" w:eastAsia="Arial" w:hAnsi="Arial"/>
          <w:sz w:val="18"/>
          <w:szCs w:val="18"/>
          <w:color w:val="auto"/>
        </w:rPr>
      </w:pPr>
    </w:p>
    <w:p>
      <w:pPr>
        <w:jc w:val="both"/>
        <w:ind w:right="20" w:firstLine="1304"/>
        <w:spacing w:after="0" w:line="218" w:lineRule="auto"/>
        <w:tabs>
          <w:tab w:leader="none" w:pos="193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As of the Effective Date, to the best knowledge of the Borrower, the information included in the Beneficial Ownership Certification provided on or prior to the Effective Date to any Lender in connection with this Agreement is true and correct in all respects.</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Section 1.10. </w:t>
      </w:r>
      <w:r>
        <w:rPr>
          <w:rFonts w:ascii="Arial" w:cs="Arial" w:eastAsia="Arial" w:hAnsi="Arial"/>
          <w:sz w:val="20"/>
          <w:szCs w:val="20"/>
          <w:u w:val="single" w:color="auto"/>
          <w:color w:val="auto"/>
        </w:rPr>
        <w:t>Subsidiaries</w:t>
      </w:r>
      <w:r>
        <w:rPr>
          <w:rFonts w:ascii="Arial" w:cs="Arial" w:eastAsia="Arial" w:hAnsi="Arial"/>
          <w:sz w:val="20"/>
          <w:szCs w:val="20"/>
          <w:color w:val="auto"/>
        </w:rPr>
        <w:t xml:space="preserve">. As of the Second Amendment Effective Date, the Borrower has only the Subsidiaries set forth on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 4.10</w:t>
      </w:r>
      <w:r>
        <w:rPr>
          <w:rFonts w:ascii="Arial" w:cs="Arial" w:eastAsia="Arial" w:hAnsi="Arial"/>
          <w:sz w:val="20"/>
          <w:szCs w:val="20"/>
          <w:color w:val="auto"/>
        </w:rPr>
        <w:t xml:space="preserve"> sets forth with respect to each Subsidiary, the identity of each Person that owns Equity Interests in such Subsidiary and the percentage of the issued and outstanding Equity Interests owned by each such Person. The shares of each Subsidiary (excluding any Immaterial Subsidiary) are duly authorized, validly issued, fully paid and non assessable and are owned free and clear of any Liens, other than Liens permitted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6"/>
          <w:szCs w:val="16"/>
          <w:u w:val="single" w:color="auto"/>
          <w:color w:val="auto"/>
        </w:rPr>
        <w:t>Use of Proceeds; Federal Reserve Regulations</w:t>
      </w:r>
      <w:r>
        <w:rPr>
          <w:rFonts w:ascii="Arial" w:cs="Arial" w:eastAsia="Arial" w:hAnsi="Arial"/>
          <w:sz w:val="16"/>
          <w:szCs w:val="16"/>
          <w:color w:val="auto"/>
        </w:rPr>
        <w:t>.</w:t>
      </w:r>
    </w:p>
    <w:p>
      <w:pPr>
        <w:spacing w:after="0" w:line="175" w:lineRule="exact"/>
        <w:rPr>
          <w:sz w:val="20"/>
          <w:szCs w:val="20"/>
          <w:color w:val="auto"/>
        </w:rPr>
      </w:pPr>
    </w:p>
    <w:p>
      <w:pPr>
        <w:ind w:right="20" w:firstLine="1304"/>
        <w:spacing w:after="0" w:line="229" w:lineRule="auto"/>
        <w:tabs>
          <w:tab w:leader="none" w:pos="1934"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proceeds of the Loans and the Letters of Credit will be used for general corporate purposes not inconsistent with the terms hereof, including liquidity support for the Borrower’s commercial paper program.</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Neither the Borrower nor any Subsidiary is engaged principally, or as one of their important activities, in the business of extending credit for the purpose of buying or carrying Margin Stock. Immediately before and after giving effect to the making of each Loan and the issuance of each Letter of Credit, Margin Stock will constitute less than 25% of the Borrower’s assets as determined in accordance with Regulation U.</w:t>
      </w:r>
    </w:p>
    <w:p>
      <w:pPr>
        <w:spacing w:after="0" w:line="155" w:lineRule="exact"/>
        <w:rPr>
          <w:rFonts w:ascii="Arial" w:cs="Arial" w:eastAsia="Arial" w:hAnsi="Arial"/>
          <w:sz w:val="20"/>
          <w:szCs w:val="20"/>
          <w:color w:val="auto"/>
        </w:rPr>
      </w:pPr>
    </w:p>
    <w:p>
      <w:pPr>
        <w:jc w:val="both"/>
        <w:ind w:firstLine="1304"/>
        <w:spacing w:after="0" w:line="221" w:lineRule="auto"/>
        <w:tabs>
          <w:tab w:leader="none" w:pos="193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No part of the proceeds of any Loan or any Letter of Credit will be used, whether directly or indirectly, and whether immediately, incidentally or ultimately, to purchase, acquire or carry any Margin Stock (other than any purchase of Equity Interests in the Borrower so long as such Equity Interests are retired immediately upon the purchase thereof) or for any purpose that entails a violation of, or that is inconsistent with, the provisions of the regulations of the Board, including Regulation T, U or X or to fund a personal loan to or for the benefit of a director or executive officer of the Borrower or any Subsidiary.</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 xml:space="preserve">Section 1.12. </w:t>
      </w:r>
      <w:r>
        <w:rPr>
          <w:rFonts w:ascii="Arial" w:cs="Arial" w:eastAsia="Arial" w:hAnsi="Arial"/>
          <w:sz w:val="20"/>
          <w:szCs w:val="20"/>
          <w:u w:val="single" w:color="auto"/>
          <w:color w:val="auto"/>
        </w:rPr>
        <w:t>Anti-Money Laundering and Anti-Terrorism Finance Laws</w:t>
      </w:r>
      <w:r>
        <w:rPr>
          <w:rFonts w:ascii="Arial" w:cs="Arial" w:eastAsia="Arial" w:hAnsi="Arial"/>
          <w:sz w:val="20"/>
          <w:szCs w:val="20"/>
          <w:color w:val="auto"/>
        </w:rPr>
        <w:t>. The Borrower has implemented and maintains in effect policies and procedures designed to ensure compliance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01"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Borrower, its Subsidiaries and their respective directors, officers, employees and agents with Anti-Corruption Laws. To the extent applicable, Borrower is in compliance, in all material respects, with Anti-Corruption Laws, anti-money laundering laws and anti-terrorism finance laws including the Bank Secrecy Act and the PATRIOT Act (the “</w:t>
      </w:r>
      <w:r>
        <w:rPr>
          <w:rFonts w:ascii="Arial" w:cs="Arial" w:eastAsia="Arial" w:hAnsi="Arial"/>
          <w:sz w:val="20"/>
          <w:szCs w:val="20"/>
          <w:u w:val="single" w:color="auto"/>
          <w:color w:val="auto"/>
        </w:rPr>
        <w:t>Anti-Terrorism Laws</w:t>
      </w:r>
      <w:r>
        <w:rPr>
          <w:rFonts w:ascii="Arial" w:cs="Arial" w:eastAsia="Arial" w:hAnsi="Arial"/>
          <w:sz w:val="20"/>
          <w:szCs w:val="20"/>
          <w:color w:val="auto"/>
        </w:rPr>
        <w:t>”).</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Foreign Corrupt Practices Act</w:t>
      </w:r>
      <w:r>
        <w:rPr>
          <w:rFonts w:ascii="Arial" w:cs="Arial" w:eastAsia="Arial" w:hAnsi="Arial"/>
          <w:sz w:val="20"/>
          <w:szCs w:val="20"/>
          <w:color w:val="auto"/>
        </w:rPr>
        <w:t>. No part of the proceeds of the Loans or Letters of Credit shall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Sanctions Laws</w:t>
      </w:r>
      <w:r>
        <w:rPr>
          <w:rFonts w:ascii="Arial" w:cs="Arial" w:eastAsia="Arial" w:hAnsi="Arial"/>
          <w:sz w:val="19"/>
          <w:szCs w:val="19"/>
          <w:color w:val="auto"/>
        </w:rPr>
        <w:t>. Neither the Borrower nor, to the knowledge of the Borrower, any Affiliate or broker or other agent of the Borrower acting or benefiting in any capacity in connection with the Loans or Letters of Credit, is any of the following (a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Person</w:t>
      </w:r>
      <w:r>
        <w:rPr>
          <w:rFonts w:ascii="Arial" w:cs="Arial" w:eastAsia="Arial" w:hAnsi="Arial"/>
          <w:sz w:val="19"/>
          <w:szCs w:val="19"/>
          <w:color w:val="auto"/>
        </w:rPr>
        <w:t>”): (i) a Person that is listed in the annex to, or is otherwise subject to the provisions of, Executive Order No. 13224 on Terrorist Financing, effective September 24, 2001; (ii) a Person that is named as a “specially designated national and blocked person” on the most current list published by the U.S. Treasury Department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10% of its assets or operating income from investments in or transactions with any such country, agency, organization or person. Further, none of the proceeds from the Loans or Letters of Credit shall be used to finance any operations, investments or activities in, or make any payments to, any such country, agency, organization or Person subject to OFAC sanctions.</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5.</w:t>
      </w:r>
    </w:p>
    <w:p>
      <w:pPr>
        <w:spacing w:after="0" w:line="148"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CONDITIONS</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Effectiveness</w:t>
      </w:r>
      <w:r>
        <w:rPr>
          <w:rFonts w:ascii="Arial" w:cs="Arial" w:eastAsia="Arial" w:hAnsi="Arial"/>
          <w:sz w:val="19"/>
          <w:szCs w:val="19"/>
          <w:color w:val="auto"/>
        </w:rPr>
        <w:t xml:space="preserve">. The obligations of the Lenders to make Loans and of the Issuing Banks to issue Letters of Credit hereunder are subject to the satisfaction (or waiver in accordance with </w:t>
      </w:r>
      <w:r>
        <w:rPr>
          <w:rFonts w:ascii="Arial" w:cs="Arial" w:eastAsia="Arial" w:hAnsi="Arial"/>
          <w:sz w:val="19"/>
          <w:szCs w:val="19"/>
          <w:u w:val="single" w:color="auto"/>
          <w:color w:val="auto"/>
        </w:rPr>
        <w:t>Section 10.2</w:t>
      </w:r>
      <w:r>
        <w:rPr>
          <w:rFonts w:ascii="Arial" w:cs="Arial" w:eastAsia="Arial" w:hAnsi="Arial"/>
          <w:sz w:val="19"/>
          <w:szCs w:val="19"/>
          <w:color w:val="auto"/>
        </w:rPr>
        <w:t>) of the following conditions precedent:</w:t>
      </w:r>
    </w:p>
    <w:p>
      <w:pPr>
        <w:spacing w:after="0" w:line="153" w:lineRule="exact"/>
        <w:rPr>
          <w:sz w:val="20"/>
          <w:szCs w:val="20"/>
          <w:color w:val="auto"/>
        </w:rPr>
      </w:pPr>
    </w:p>
    <w:p>
      <w:pPr>
        <w:jc w:val="both"/>
        <w:ind w:firstLine="1304"/>
        <w:spacing w:after="0" w:line="244" w:lineRule="auto"/>
        <w:tabs>
          <w:tab w:leader="none" w:pos="193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The Administrative Agent (or its counsel) shall have received from each party hereto either a counterpart of this Agreement signed on behalf of such party or written evidence satisfactory to the Administrative Agent (which may include facsimile transmission of a signed signature page of this Agreement) that such party has signed a counterpart of this Agreement.</w:t>
      </w:r>
    </w:p>
    <w:p>
      <w:pPr>
        <w:spacing w:after="0" w:line="151" w:lineRule="exact"/>
        <w:rPr>
          <w:rFonts w:ascii="Arial" w:cs="Arial" w:eastAsia="Arial" w:hAnsi="Arial"/>
          <w:sz w:val="18"/>
          <w:szCs w:val="18"/>
          <w:color w:val="auto"/>
        </w:rPr>
      </w:pPr>
    </w:p>
    <w:p>
      <w:pPr>
        <w:ind w:firstLine="1304"/>
        <w:spacing w:after="0" w:line="229" w:lineRule="auto"/>
        <w:tabs>
          <w:tab w:leader="none" w:pos="1932"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Notes</w:t>
      </w:r>
      <w:r>
        <w:rPr>
          <w:rFonts w:ascii="Arial" w:cs="Arial" w:eastAsia="Arial" w:hAnsi="Arial"/>
          <w:sz w:val="20"/>
          <w:szCs w:val="20"/>
          <w:color w:val="auto"/>
        </w:rPr>
        <w:t xml:space="preserve">. The Administrative Agent shall have received any Note requested by a Lender pursuant to </w:t>
      </w:r>
      <w:r>
        <w:rPr>
          <w:rFonts w:ascii="Arial" w:cs="Arial" w:eastAsia="Arial" w:hAnsi="Arial"/>
          <w:sz w:val="20"/>
          <w:szCs w:val="20"/>
          <w:u w:val="single" w:color="auto"/>
          <w:color w:val="auto"/>
        </w:rPr>
        <w:t>Section 2.6(e)</w:t>
      </w:r>
      <w:r>
        <w:rPr>
          <w:rFonts w:ascii="Arial" w:cs="Arial" w:eastAsia="Arial" w:hAnsi="Arial"/>
          <w:sz w:val="20"/>
          <w:szCs w:val="20"/>
          <w:color w:val="auto"/>
        </w:rPr>
        <w:t xml:space="preserve"> payable to the order of such requesting Lender.</w:t>
      </w:r>
    </w:p>
    <w:p>
      <w:pPr>
        <w:spacing w:after="0" w:line="155" w:lineRule="exact"/>
        <w:rPr>
          <w:rFonts w:ascii="Arial" w:cs="Arial" w:eastAsia="Arial" w:hAnsi="Arial"/>
          <w:sz w:val="20"/>
          <w:szCs w:val="20"/>
          <w:color w:val="auto"/>
        </w:rPr>
      </w:pPr>
    </w:p>
    <w:p>
      <w:pPr>
        <w:jc w:val="both"/>
        <w:ind w:firstLine="1304"/>
        <w:spacing w:after="0" w:line="210" w:lineRule="auto"/>
        <w:tabs>
          <w:tab w:leader="none" w:pos="1934"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Legal Opinions</w:t>
      </w:r>
      <w:r>
        <w:rPr>
          <w:rFonts w:ascii="Arial" w:cs="Arial" w:eastAsia="Arial" w:hAnsi="Arial"/>
          <w:sz w:val="20"/>
          <w:szCs w:val="20"/>
          <w:color w:val="auto"/>
        </w:rPr>
        <w:t>. The Administrative Agent shall have received favorable written opinions (addressed to the Credit Parties and dated on or prior to the Effective Date) from Bethany M. Owen, Senior Vice President, Chief Legal and Administrative Officer and Secretary of the Borrower, and Cohen Tauber Spievack &amp; Wagner P.C., special counsel to the Borrower, covering such matters relating to the Borrower, the Loan Documents and the Transactions as the Required Lenders may reasonably request. The Borrower hereby requests such counsel to deliver such opinion.</w:t>
      </w:r>
    </w:p>
    <w:p>
      <w:pPr>
        <w:spacing w:after="0" w:line="154"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Organizational Documents, etc</w:t>
      </w:r>
      <w:r>
        <w:rPr>
          <w:rFonts w:ascii="Arial" w:cs="Arial" w:eastAsia="Arial" w:hAnsi="Arial"/>
          <w:sz w:val="20"/>
          <w:szCs w:val="20"/>
          <w:color w:val="auto"/>
        </w:rPr>
        <w:t>. The Administrative Agent shall have received such documents and certificates as the Administrative Agent or its counsel may reasonably request relating to the organization, existence and good standing of the Borrower (including (x) a certificate of incorporation of the Borrower, certified as of a recent date by the Secretary of State of the jurisdiction of its incorporation, and (y) certificates of good standing (or comparable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01"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for the Borrower, certified as of a recent date prior to the Effective Date, by the Secretaries of State (or comparable official) of the jurisdiction of its incorporation and each other jurisdiction in which it is qualified to do business, the authorization of the Transactions, the incumbency of its officer or officers who may sign the Loan Documents, including therein a signature specimen of such officer or officers, and any other legal matters relating to the Borrower, the Loan Documents or the Transactions, all in form and substance reasonably satisfactory to the Administrative Agent and its counsel.</w:t>
      </w:r>
    </w:p>
    <w:p>
      <w:pPr>
        <w:spacing w:after="0" w:line="155" w:lineRule="exact"/>
        <w:rPr>
          <w:sz w:val="20"/>
          <w:szCs w:val="20"/>
          <w:color w:val="auto"/>
        </w:rPr>
      </w:pPr>
    </w:p>
    <w:p>
      <w:pPr>
        <w:jc w:val="both"/>
        <w:ind w:firstLine="1304"/>
        <w:spacing w:after="0" w:line="218" w:lineRule="auto"/>
        <w:tabs>
          <w:tab w:leader="none" w:pos="1934"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Fees etc.</w:t>
      </w:r>
      <w:r>
        <w:rPr>
          <w:rFonts w:ascii="Arial" w:cs="Arial" w:eastAsia="Arial" w:hAnsi="Arial"/>
          <w:sz w:val="20"/>
          <w:szCs w:val="20"/>
          <w:color w:val="auto"/>
        </w:rPr>
        <w:t xml:space="preserve"> The Administrative Agent shall have received all fees and other amounts due and payable on or prior to the Effective Date, including, to the extent invoiced, reimbursement or payment of all reasonable out-of-pocket expenses required to be reimbursed or paid by the Borrower hereunder.</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9"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The Administrative Agent shall have received a certificate, in form and substance satisfactory to the Administrative Agent, dated on or prior to the Effective Date and signed by the chief executive officer or the chief financial officer of the Borrower (or other Financial Officer acceptable to the Administrative Agent), confirming that (i) the representations and warranties of the Borrower set forth in this Agreement are true and correct and (ii) no Default exists.</w:t>
      </w:r>
    </w:p>
    <w:p>
      <w:pPr>
        <w:spacing w:after="0" w:line="15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The Administrative Agent shall have received a certificate of a Financial Officer, in form and substance satisfactory to the Administrative Agent, dated the Effective Date, to the effect that since December 31, 2017, no Material Adverse Change has occurred, except as has been previously disclosed by the Borrower in documents filed with the SEC prior to the Effective Date.</w:t>
      </w:r>
    </w:p>
    <w:p>
      <w:pPr>
        <w:spacing w:after="0" w:line="155" w:lineRule="exact"/>
        <w:rPr>
          <w:rFonts w:ascii="Arial" w:cs="Arial" w:eastAsia="Arial" w:hAnsi="Arial"/>
          <w:sz w:val="20"/>
          <w:szCs w:val="20"/>
          <w:color w:val="auto"/>
        </w:rPr>
      </w:pPr>
    </w:p>
    <w:p>
      <w:pPr>
        <w:jc w:val="both"/>
        <w:ind w:firstLine="1304"/>
        <w:spacing w:after="0" w:line="205" w:lineRule="auto"/>
        <w:tabs>
          <w:tab w:leader="none" w:pos="193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KYC</w:t>
      </w:r>
      <w:r>
        <w:rPr>
          <w:rFonts w:ascii="Arial" w:cs="Arial" w:eastAsia="Arial" w:hAnsi="Arial"/>
          <w:sz w:val="20"/>
          <w:szCs w:val="20"/>
          <w:color w:val="auto"/>
        </w:rPr>
        <w:t>. (i)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4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Approvals.</w:t>
      </w:r>
      <w:r>
        <w:rPr>
          <w:rFonts w:ascii="Arial" w:cs="Arial" w:eastAsia="Arial" w:hAnsi="Arial"/>
          <w:sz w:val="20"/>
          <w:szCs w:val="20"/>
          <w:color w:val="auto"/>
        </w:rPr>
        <w:t xml:space="preserve"> All governmental and third party approvals necessary or, in the discretion of the Administrative Agent, advisable in connection with the financing and the continuing operations of the Borrower and its subsidiaries shall have been obtained and be in full force.</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Such other documents as any Lender or its counsel may have reasonably requested.</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Administrative Agent shall notify the Borrower and the Credit Parties when the conditions set forth above have been satisfied or waived, and such notice shall be conclusive and binding.</w:t>
      </w:r>
    </w:p>
    <w:p>
      <w:pPr>
        <w:spacing w:after="0" w:line="13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w:t>
      </w:r>
    </w:p>
    <w:p>
      <w:pPr>
        <w:spacing w:after="0"/>
        <w:rPr>
          <w:sz w:val="20"/>
          <w:szCs w:val="20"/>
          <w:color w:val="auto"/>
        </w:rPr>
      </w:pPr>
      <w:r>
        <w:rPr>
          <w:rFonts w:ascii="Arial" w:cs="Arial" w:eastAsia="Arial" w:hAnsi="Arial"/>
          <w:sz w:val="19"/>
          <w:szCs w:val="19"/>
          <w:color w:val="auto"/>
        </w:rPr>
        <w:t>Issuing Banks to issue, increase, amend, renew or extend a Letter of Credit, is subject to the satisfaction of the following conditions:</w:t>
      </w:r>
    </w:p>
    <w:p>
      <w:pPr>
        <w:spacing w:after="0" w:line="171" w:lineRule="exact"/>
        <w:rPr>
          <w:sz w:val="20"/>
          <w:szCs w:val="20"/>
          <w:color w:val="auto"/>
        </w:rPr>
      </w:pPr>
    </w:p>
    <w:p>
      <w:pPr>
        <w:jc w:val="both"/>
        <w:ind w:firstLine="1304"/>
        <w:spacing w:after="0" w:line="244" w:lineRule="auto"/>
        <w:tabs>
          <w:tab w:leader="none" w:pos="19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 set forth in the Loan Documents (other than the representations and warranties in </w:t>
      </w:r>
      <w:r>
        <w:rPr>
          <w:rFonts w:ascii="Arial" w:cs="Arial" w:eastAsia="Arial" w:hAnsi="Arial"/>
          <w:sz w:val="18"/>
          <w:szCs w:val="18"/>
          <w:u w:val="single" w:color="auto"/>
          <w:color w:val="auto"/>
        </w:rPr>
        <w:t>Section 4.4(b)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of this Agreement) shall be true and correct on and as of the date of such Borrowing or the date of such issuance, increase, amendment, renewal or extension, as applicable, except to the extent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representations and warranties specifically relate to an earlier date, in which case such representations and warranties shall have been true and correct on and as of such earlier date.</w:t>
      </w:r>
    </w:p>
    <w:p>
      <w:pPr>
        <w:spacing w:after="0" w:line="155" w:lineRule="exact"/>
        <w:rPr>
          <w:sz w:val="20"/>
          <w:szCs w:val="20"/>
          <w:color w:val="auto"/>
        </w:rPr>
      </w:pPr>
    </w:p>
    <w:p>
      <w:pPr>
        <w:ind w:right="20" w:firstLine="1304"/>
        <w:spacing w:after="0" w:line="229" w:lineRule="auto"/>
        <w:tabs>
          <w:tab w:leader="none" w:pos="1932"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such issuance, increase, amendment, renewal or extension, as applicable, no Default shall have occurred and be continuing.</w:t>
      </w:r>
    </w:p>
    <w:p>
      <w:pPr>
        <w:spacing w:after="0" w:line="155" w:lineRule="exact"/>
        <w:rPr>
          <w:rFonts w:ascii="Arial" w:cs="Arial" w:eastAsia="Arial" w:hAnsi="Arial"/>
          <w:sz w:val="20"/>
          <w:szCs w:val="20"/>
          <w:color w:val="auto"/>
        </w:rPr>
      </w:pPr>
    </w:p>
    <w:p>
      <w:pPr>
        <w:ind w:firstLine="1304"/>
        <w:spacing w:after="0" w:line="229" w:lineRule="auto"/>
        <w:tabs>
          <w:tab w:leader="none" w:pos="193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Administrative Agent shall have received a Credit Request and such other documentation and assurances as shall be reasonably required by it in connection herewith.</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Such Loan or Letter of Credit shall not be prohibited by any applicable law, rule or regulation.</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 xml:space="preserve">Each Borrowing and each issuance, increase, amendment, renewal or extension of a Letter of Credit shall be deemed to constitute a representation and warranty by the Borrower on the date thereof as to the matters specified in </w:t>
      </w:r>
      <w:r>
        <w:rPr>
          <w:rFonts w:ascii="Arial" w:cs="Arial" w:eastAsia="Arial" w:hAnsi="Arial"/>
          <w:sz w:val="19"/>
          <w:szCs w:val="19"/>
          <w:u w:val="single" w:color="auto"/>
          <w:color w:val="auto"/>
        </w:rPr>
        <w:t>paragraphs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6.</w:t>
      </w:r>
    </w:p>
    <w:p>
      <w:pPr>
        <w:spacing w:after="0" w:line="14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AFFIRMATIVE COVENANTS</w:t>
      </w:r>
    </w:p>
    <w:p>
      <w:pPr>
        <w:spacing w:after="0" w:line="175" w:lineRule="exact"/>
        <w:rPr>
          <w:sz w:val="20"/>
          <w:szCs w:val="20"/>
          <w:color w:val="auto"/>
        </w:rPr>
      </w:pPr>
    </w:p>
    <w:p>
      <w:pPr>
        <w:jc w:val="both"/>
        <w:ind w:right="20" w:firstLine="648"/>
        <w:spacing w:after="0" w:line="218"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and other amounts payable under the Loan Documents shall have been paid in full and all Letters of Credit have expired or terminated and all LC Disbursements have been reimbursed, the Borrower covenants and agrees with the Credit Parties that:</w:t>
      </w:r>
    </w:p>
    <w:p>
      <w:pPr>
        <w:spacing w:after="0" w:line="13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Financial Statements and Other Information</w:t>
      </w:r>
      <w:r>
        <w:rPr>
          <w:rFonts w:ascii="Arial" w:cs="Arial" w:eastAsia="Arial" w:hAnsi="Arial"/>
          <w:sz w:val="19"/>
          <w:szCs w:val="19"/>
          <w:color w:val="auto"/>
        </w:rPr>
        <w:t>. The Borrower will furnish to the Administrative Agent and each</w:t>
      </w:r>
    </w:p>
    <w:p>
      <w:pPr>
        <w:spacing w:after="0"/>
        <w:rPr>
          <w:sz w:val="20"/>
          <w:szCs w:val="20"/>
          <w:color w:val="auto"/>
        </w:rPr>
      </w:pPr>
      <w:r>
        <w:rPr>
          <w:rFonts w:ascii="Arial" w:cs="Arial" w:eastAsia="Arial" w:hAnsi="Arial"/>
          <w:sz w:val="20"/>
          <w:szCs w:val="20"/>
          <w:color w:val="auto"/>
        </w:rPr>
        <w:t>Lender:</w:t>
      </w:r>
    </w:p>
    <w:p>
      <w:pPr>
        <w:spacing w:after="0" w:line="159" w:lineRule="exact"/>
        <w:rPr>
          <w:sz w:val="20"/>
          <w:szCs w:val="20"/>
          <w:color w:val="auto"/>
        </w:rPr>
      </w:pPr>
    </w:p>
    <w:p>
      <w:pPr>
        <w:jc w:val="both"/>
        <w:ind w:firstLine="1304"/>
        <w:spacing w:after="0" w:line="216" w:lineRule="auto"/>
        <w:tabs>
          <w:tab w:leader="none" w:pos="193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As soon as available, but in any event within 120 days after the end of each fiscal year, a copy of the Borrower’s Annual Report on Form 10-K in respect of such fiscal year required to be filed by the Borrower with the SEC, together with the financial statements attached thereto, and the Borrower’s audited consolidated balance sheet and related consolidated statements of income, stockholder’s equity and cash flows as of the end of and for such fiscal year, setting forth in each case in comparative form the figures for the previous fiscal year, all reported on by the Accountants (without a “going concern” or like qualification or exception and without any qualification or exception as to the scope of such audit) to the effect that such consolidated financial statements present fairly in all material respects the financial conditions and results of operations of the Borrower and the Subsidiaries on a consolidated basis in accordance with GAAP consistently applied during such fiscal year;</w:t>
      </w:r>
    </w:p>
    <w:p>
      <w:pPr>
        <w:spacing w:after="0" w:line="154" w:lineRule="exact"/>
        <w:rPr>
          <w:rFonts w:ascii="Arial" w:cs="Arial" w:eastAsia="Arial" w:hAnsi="Arial"/>
          <w:sz w:val="19"/>
          <w:szCs w:val="19"/>
          <w:color w:val="auto"/>
        </w:rPr>
      </w:pPr>
    </w:p>
    <w:p>
      <w:pPr>
        <w:jc w:val="both"/>
        <w:ind w:firstLine="1304"/>
        <w:spacing w:after="0" w:line="228" w:lineRule="auto"/>
        <w:tabs>
          <w:tab w:leader="none" w:pos="19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As soon as available, but in any event within 60 days after the end of each of the first three fiscal quarters of each fiscal year, a copy of the Borrower’s Quarterly Report on Form 10-Q in respect of such fiscal quarter required to be filed by the Borrower with the SEC, together with the financial statements attached thereto, and the Borrower’s unaudited consolidated balance sheet and related consolidated statements of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duly authorized Financial Officer as presenting fairly in all material respects the financial conditions and results of operations of the Borrower and the Subsidiaries on a consolidated basis in accordance with GAAP consistently applied, subject to normal year end audit adjustments and the absence of footnotes;</w:t>
      </w:r>
    </w:p>
    <w:p>
      <w:pPr>
        <w:spacing w:after="0" w:line="154" w:lineRule="exact"/>
        <w:rPr>
          <w:rFonts w:ascii="Arial" w:cs="Arial" w:eastAsia="Arial" w:hAnsi="Arial"/>
          <w:sz w:val="18"/>
          <w:szCs w:val="18"/>
          <w:color w:val="auto"/>
        </w:rPr>
      </w:pPr>
    </w:p>
    <w:p>
      <w:pPr>
        <w:jc w:val="both"/>
        <w:ind w:firstLine="1304"/>
        <w:spacing w:after="0" w:line="218" w:lineRule="auto"/>
        <w:tabs>
          <w:tab w:leader="none" w:pos="193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Within 60 days after the end of each of the first three fiscal quarters and within 120 days after the end of the last fiscal quarter, a Compliance Certificate, signed by a Financial Officer (or such other officer as shall be acceptable to the Administrative Agent) as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49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compliance, as of such fiscal quarter ending date, with </w:t>
      </w:r>
      <w:r>
        <w:rPr>
          <w:rFonts w:ascii="Arial" w:cs="Arial" w:eastAsia="Arial" w:hAnsi="Arial"/>
          <w:sz w:val="20"/>
          <w:szCs w:val="20"/>
          <w:u w:val="single" w:color="auto"/>
          <w:color w:val="auto"/>
        </w:rPr>
        <w:t>Section 7.5</w:t>
      </w:r>
      <w:r>
        <w:rPr>
          <w:rFonts w:ascii="Arial" w:cs="Arial" w:eastAsia="Arial" w:hAnsi="Arial"/>
          <w:sz w:val="20"/>
          <w:szCs w:val="20"/>
          <w:color w:val="auto"/>
        </w:rPr>
        <w:t>, and as to the absence of any Default as of such fiscal quarter ending date and the date of such certificate (or if a Default existed or exists, the nature thereof); and</w:t>
      </w:r>
    </w:p>
    <w:p>
      <w:pPr>
        <w:spacing w:after="0" w:line="155" w:lineRule="exact"/>
        <w:rPr>
          <w:sz w:val="20"/>
          <w:szCs w:val="20"/>
          <w:color w:val="auto"/>
        </w:rPr>
      </w:pPr>
    </w:p>
    <w:p>
      <w:pPr>
        <w:jc w:val="both"/>
        <w:ind w:firstLine="1304"/>
        <w:spacing w:after="0" w:line="210" w:lineRule="auto"/>
        <w:tabs>
          <w:tab w:leader="none" w:pos="1932" w:val="left"/>
        </w:tabs>
        <w:numPr>
          <w:ilvl w:val="0"/>
          <w:numId w:val="107"/>
        </w:numPr>
        <w:rPr>
          <w:rFonts w:ascii="Arial" w:cs="Arial" w:eastAsia="Arial" w:hAnsi="Arial"/>
          <w:sz w:val="20"/>
          <w:szCs w:val="20"/>
          <w:color w:val="auto"/>
        </w:rPr>
      </w:pPr>
      <w:r>
        <w:rPr>
          <w:rFonts w:ascii="Arial" w:cs="Arial" w:eastAsia="Arial" w:hAnsi="Arial"/>
          <w:sz w:val="20"/>
          <w:szCs w:val="20"/>
          <w:color w:val="auto"/>
        </w:rPr>
        <w:t>promptly following any request therefor, (i) such other information regarding the operations, business affairs and financial condition of the Borrower or any Subsidiary, or compliance with the terms of the Loan Documents, as any Credit Party may reasonably request and (ii)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 will furnish the following to the Administrative Agent and each Lender:</w:t>
      </w:r>
    </w:p>
    <w:p>
      <w:pPr>
        <w:spacing w:after="0" w:line="175" w:lineRule="exact"/>
        <w:rPr>
          <w:sz w:val="20"/>
          <w:szCs w:val="20"/>
          <w:color w:val="auto"/>
        </w:rPr>
      </w:pPr>
    </w:p>
    <w:p>
      <w:pPr>
        <w:ind w:firstLine="1304"/>
        <w:spacing w:after="0" w:line="229" w:lineRule="auto"/>
        <w:tabs>
          <w:tab w:leader="none" w:pos="193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prompt written notice of the occurrence of any Default, specifying the nature thereof and any action taken or proposed to be taken with respect thereto;</w:t>
      </w:r>
    </w:p>
    <w:p>
      <w:pPr>
        <w:spacing w:after="0" w:line="155"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promptly upon becoming available, copies of all (i) regular, periodic or special reports, schedules and other material which the Borrower or any of its Subsidiaries may be required to file with or deliver to any securities exchange or the SEC, or any other Governmental Authority succeeding to the functions thereof, and (ii) upon the written request of the Administrative Agent, reports that the Borrower or any of its Subsidiaries sends to or files with the Federal Energy Regulatory Commission, the WPS, the MPUC or any Governmental Authority succeeding to the functions thereof, or any similar state or local Governmental Authority;</w:t>
      </w:r>
    </w:p>
    <w:p>
      <w:pPr>
        <w:spacing w:after="0" w:line="155" w:lineRule="exact"/>
        <w:rPr>
          <w:rFonts w:ascii="Arial" w:cs="Arial" w:eastAsia="Arial" w:hAnsi="Arial"/>
          <w:sz w:val="19"/>
          <w:szCs w:val="19"/>
          <w:color w:val="auto"/>
        </w:rPr>
      </w:pPr>
    </w:p>
    <w:p>
      <w:pPr>
        <w:jc w:val="both"/>
        <w:ind w:firstLine="1304"/>
        <w:spacing w:after="0" w:line="231" w:lineRule="auto"/>
        <w:tabs>
          <w:tab w:leader="none" w:pos="193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prompt written notice of (i) any material citation, summons, subpoena, order, notice, claim or proceeding received by, or brought against, the Borrower or any of its Subsidiaries, with respect to (x) any proceeding before any Governmental Authority (other than proceedings in the ordinary course of business before the WPS or the MPUC), or (y) any real property under any Environmental Law, and (ii) any lapse or other termination of, or refusal to renew or extend, any material franchise or other authorization issued to the Borrower or any of its Subsidiaries by any Governmental Authority (other than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of the foregoing set forth in this paragraph would, individually or in the aggregate, reasonably be expected to have a Material Adverse Effect;</w:t>
      </w:r>
    </w:p>
    <w:p>
      <w:pPr>
        <w:spacing w:after="0" w:line="154" w:lineRule="exact"/>
        <w:rPr>
          <w:rFonts w:ascii="Arial" w:cs="Arial" w:eastAsia="Arial" w:hAnsi="Arial"/>
          <w:sz w:val="18"/>
          <w:szCs w:val="18"/>
          <w:color w:val="auto"/>
        </w:rPr>
      </w:pPr>
    </w:p>
    <w:p>
      <w:pPr>
        <w:ind w:left="1940" w:hanging="636"/>
        <w:spacing w:after="0"/>
        <w:tabs>
          <w:tab w:leader="none" w:pos="19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prompt written notice of any change by any Rating Agency in a Senior Debt Rating; and</w:t>
      </w:r>
    </w:p>
    <w:p>
      <w:pPr>
        <w:spacing w:after="0" w:line="175" w:lineRule="exact"/>
        <w:rPr>
          <w:rFonts w:ascii="Arial" w:cs="Arial" w:eastAsia="Arial" w:hAnsi="Arial"/>
          <w:sz w:val="20"/>
          <w:szCs w:val="20"/>
          <w:color w:val="auto"/>
        </w:rPr>
      </w:pPr>
    </w:p>
    <w:p>
      <w:pPr>
        <w:ind w:firstLine="1304"/>
        <w:spacing w:after="0" w:line="229" w:lineRule="auto"/>
        <w:tabs>
          <w:tab w:leader="none" w:pos="193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any change in the information provided in the Beneficial Ownership Certification delivered to such Lender that would result in a change to the list of beneficial owners identified in such certification.</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 xml:space="preserve">Each notice delivered under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56"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 xml:space="preserve">Documents required to be delivered pursuant to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6.2(b)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or (b) on which such documents are posted on the Borrower’s behalf on an Internet or intranet website, if any, to which each Lender and the Administrative have access (whether a commercial, third-party website or whether sponsored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deliver paper copies of such documents to the Administrative Agent or any Lender that requests the Borrower to deliver such paper copies until a written request to cease delivering paper copies is given by the Administrative Agent or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0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and the Borrower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8"/>
          <w:szCs w:val="18"/>
          <w:u w:val="single" w:color="auto"/>
          <w:color w:val="auto"/>
        </w:rPr>
        <w:t>i.e.</w:t>
      </w:r>
      <w:r>
        <w:rPr>
          <w:rFonts w:ascii="Arial" w:cs="Arial" w:eastAsia="Arial" w:hAnsi="Arial"/>
          <w:sz w:val="18"/>
          <w:szCs w:val="18"/>
          <w:color w:val="auto"/>
        </w:rPr>
        <w:t>, soft copies) of such documents.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5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Legal Existence</w:t>
      </w:r>
      <w:r>
        <w:rPr>
          <w:rFonts w:ascii="Arial" w:cs="Arial" w:eastAsia="Arial" w:hAnsi="Arial"/>
          <w:sz w:val="18"/>
          <w:szCs w:val="18"/>
          <w:color w:val="auto"/>
        </w:rPr>
        <w:t xml:space="preserve">. Except as permitted under </w:t>
      </w:r>
      <w:r>
        <w:rPr>
          <w:rFonts w:ascii="Arial" w:cs="Arial" w:eastAsia="Arial" w:hAnsi="Arial"/>
          <w:sz w:val="18"/>
          <w:szCs w:val="18"/>
          <w:u w:val="single" w:color="auto"/>
          <w:color w:val="auto"/>
        </w:rPr>
        <w:t>Section 7.2</w:t>
      </w:r>
      <w:r>
        <w:rPr>
          <w:rFonts w:ascii="Arial" w:cs="Arial" w:eastAsia="Arial" w:hAnsi="Arial"/>
          <w:sz w:val="18"/>
          <w:szCs w:val="18"/>
          <w:color w:val="auto"/>
        </w:rPr>
        <w:t>, the Borrower shall maintain its legal existence in good standing in the jurisdiction of its organization or formation and in each other jurisdiction in which the failure so to do would reasonably be expected to have a Material Adverse Effect, and cause each of the Subsidiaries to maintain its qualification to do business and good standing in each jurisdiction in which the failure so to do would reasonably be expected to have a Material Adverse Effect (it being understood that the foregoing shall not prohibit the Borrower from dissolving or terminating the existence of any Subsidiary that is inactive or whose preservation otherwise is no longer desirable in the conduct of the business of the Borrower and its Subsidiaries considered as a whole).</w:t>
      </w:r>
    </w:p>
    <w:p>
      <w:pPr>
        <w:spacing w:after="0" w:line="1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The Borrower shall pay and discharge when due, and cause each of the Subsidiaries so to do, all Taxes imposed upon it or upon its property, which if unpaid would, individually or collectively, reasonably be expected to have a Material Adverse Effect or become a Lien on the property of the Borrower or such Subsidiary (other than a Lien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the definition of Permitted Encumbrances), as the case may be, unless and to the extent only that such Taxes shall be contested in good faith and by appropriate proceedings diligently conducted by the Borrower or such Subsidiary, as the case may be.</w:t>
      </w:r>
    </w:p>
    <w:p>
      <w:pPr>
        <w:spacing w:after="0" w:line="15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Borrower shall maintain, and cause each of its Subsidiaries to maintain, with financially sound and reputable insurance companies insurance on all its property in at least such amounts and against at least such risks as are usually insured against in the same general area by companies engaged in the same or a similar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and its Subsidiaries may self-insure to the same extent as other companies engaged in similar businesses and owning similar properties in the same general areas in which the Borrower or such Subsidiary operates and to the extent consistent with prudent business practice. The Borrower shall furnish to the Administrative Agent, upon written request of the Administrative Agent or any Lender, full information as to the insurance carried.</w:t>
      </w:r>
    </w:p>
    <w:p>
      <w:pPr>
        <w:spacing w:after="0" w:line="140"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Condition of Property</w:t>
      </w:r>
      <w:r>
        <w:rPr>
          <w:rFonts w:ascii="Arial" w:cs="Arial" w:eastAsia="Arial" w:hAnsi="Arial"/>
          <w:sz w:val="19"/>
          <w:szCs w:val="19"/>
          <w:color w:val="auto"/>
        </w:rPr>
        <w:t xml:space="preserve">. The Borrower shall at all times maintain, protect and keep in good repair, working order and condition in all material respects (ordinary wear and tear excepted), and cause each of its Subsidiaries so to do, all material property necessary to the operation of the Borrower’s or such Subsidiary’s, as the case may be, material businesses,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shall prevent the Borrower or its Subsidiaries, as appropriate, from discontinuing the maintenance or operation of any property if such discontinuance is, in the judgment of the Borrower or such Subsidiary, desirable in the conduct of the business of the Borrower or such Subsidiary. It is understood that this covenant relates only to working order and condition of such property in accordance with prudent industry practices and shall not be construed as a covenant not to dispose of property.</w:t>
      </w:r>
    </w:p>
    <w:p>
      <w:pPr>
        <w:spacing w:after="0" w:line="15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Observance of Legal Requirements</w:t>
      </w:r>
      <w:r>
        <w:rPr>
          <w:rFonts w:ascii="Arial" w:cs="Arial" w:eastAsia="Arial" w:hAnsi="Arial"/>
          <w:sz w:val="20"/>
          <w:szCs w:val="20"/>
          <w:color w:val="auto"/>
        </w:rPr>
        <w:t>. The Borrower shall observe and comply in all material respects, and cause each of its Subsidiaries so to do, with all laws, regulations and orders of any Governmental Authority which now or at any time hereafter may be applicable to it, including ERISA and all Environmental Laws, a violation of which would individually or collectively reasonably be expected to have a Material Adverse Effect, except such thereof as shall be contested in good faith and, if applicable, by appropriate proceedings diligently conducted by it.</w:t>
      </w:r>
    </w:p>
    <w:p>
      <w:pPr>
        <w:spacing w:after="0" w:line="15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Inspection of Property; Books and Records; Discussions</w:t>
      </w:r>
      <w:r>
        <w:rPr>
          <w:rFonts w:ascii="Arial" w:cs="Arial" w:eastAsia="Arial" w:hAnsi="Arial"/>
          <w:sz w:val="20"/>
          <w:szCs w:val="20"/>
          <w:color w:val="auto"/>
        </w:rPr>
        <w:t>. The Borrower shall keep proper books of record and account in conformity with GAAP and all requirements of law. The Borrower shall permit representatives of the Administrative Agent and any Lender to visit its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0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to inspect any of its property (subject to reasonable procedures relating to safety and security) and examine and make copies or abstracts from any of its books and records at any reasonable time and as often as may reasonably be desired, and to discuss the business, operations, prospects, property and financial condition of the Borrower and its Subsidiaries with the officers thereof and the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Administrative Agent, its agents, its representatives or the Lenders shall be entitled to examine or make copies or abstracts of, or otherwise obtain information with respect to, the Borrower’s records relating to pending or threatened litigation if any such disclosure by the Borrower would reasonably be expected (i) to give rise to a waiver of any attorney/client privilege of the Borrower or any of its Subsidiaries relating to such information or (ii) to be otherwise materially disadvantageous to the Borrower or any of its Subsidiaries in the defense of such litigation;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case of any discussion with the Accountants, the Borrower shall have been given the opportunity to participate in such discussion and, unless a Default exists, the Lender or Lenders requesting such discussion shall pay any fees and expenses of the Accountant in connection therewith.</w:t>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7.</w:t>
      </w:r>
    </w:p>
    <w:p>
      <w:pPr>
        <w:spacing w:after="0" w:line="148"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NEGATIVE COVENANTS</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Until the Commitments have expired or been terminated and the principal of and interest on each Loan and all fees and other amounts payable under the Loan Documents shall have been paid in full and all Letters of Credit have expired and all LC Disbursements have been reimbursed, the Borrower covenants and agrees with the Credit Parties that:</w:t>
      </w:r>
    </w:p>
    <w:p>
      <w:pPr>
        <w:spacing w:after="0" w:line="13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and shall not permit any Subsidiary to, create, incur, assume or suffer to exist any</w:t>
      </w:r>
    </w:p>
    <w:p>
      <w:pPr>
        <w:spacing w:after="0"/>
        <w:rPr>
          <w:sz w:val="20"/>
          <w:szCs w:val="20"/>
          <w:color w:val="auto"/>
        </w:rPr>
      </w:pPr>
      <w:r>
        <w:rPr>
          <w:rFonts w:ascii="Arial" w:cs="Arial" w:eastAsia="Arial" w:hAnsi="Arial"/>
          <w:sz w:val="20"/>
          <w:szCs w:val="20"/>
          <w:color w:val="auto"/>
        </w:rPr>
        <w:t>Lien upon any of its property, whether now owned or hereafter acquired by it, except:</w:t>
      </w:r>
    </w:p>
    <w:p>
      <w:pPr>
        <w:spacing w:after="0" w:line="13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Liens now existing or hereafter arising in favor of the Administrative Agent or the Lenders under the Loan</w:t>
      </w:r>
    </w:p>
    <w:p>
      <w:pPr>
        <w:spacing w:after="0"/>
        <w:rPr>
          <w:sz w:val="20"/>
          <w:szCs w:val="20"/>
          <w:color w:val="auto"/>
        </w:rPr>
      </w:pPr>
      <w:r>
        <w:rPr>
          <w:rFonts w:ascii="Arial" w:cs="Arial" w:eastAsia="Arial" w:hAnsi="Arial"/>
          <w:sz w:val="20"/>
          <w:szCs w:val="20"/>
          <w:color w:val="auto"/>
        </w:rPr>
        <w:t>Documents;</w:t>
      </w:r>
    </w:p>
    <w:p>
      <w:pPr>
        <w:spacing w:after="0" w:line="159" w:lineRule="exact"/>
        <w:rPr>
          <w:sz w:val="20"/>
          <w:szCs w:val="20"/>
          <w:color w:val="auto"/>
        </w:rPr>
      </w:pPr>
    </w:p>
    <w:p>
      <w:pPr>
        <w:ind w:left="1940" w:hanging="636"/>
        <w:spacing w:after="0"/>
        <w:tabs>
          <w:tab w:leader="none" w:pos="194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175" w:lineRule="exact"/>
        <w:rPr>
          <w:rFonts w:ascii="Arial" w:cs="Arial" w:eastAsia="Arial" w:hAnsi="Arial"/>
          <w:sz w:val="20"/>
          <w:szCs w:val="20"/>
          <w:color w:val="auto"/>
        </w:rPr>
      </w:pPr>
    </w:p>
    <w:p>
      <w:pPr>
        <w:jc w:val="both"/>
        <w:ind w:firstLine="1304"/>
        <w:spacing w:after="0" w:line="217" w:lineRule="auto"/>
        <w:tabs>
          <w:tab w:leader="none" w:pos="193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prior to the acquisition thereof by the Borrower or any Subsidiary, or existing on any property of any Person that becomes a Subsidiary after the Effective Date prior to the time such Person becomes a Subsidiary or that is merged with or into or consolidated with the Borrower or any Subsidiary prior to such merger or consolidation,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or such merger or consolidation, as the case may be, (ii) such Lien shall not apply to any other property of the Borrower or any Subsidiary and (iii) such Lien shall secure only those obligations and liabilities that it secures on the date of such acquisition or the date such Person becomes a Subsidiary of the Borrower or such merger or consolidation, as the case may be;</w:t>
      </w:r>
    </w:p>
    <w:p>
      <w:pPr>
        <w:spacing w:after="0" w:line="156"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Liens (including precautionary Liens in connection with Capital Lease Obligations) on fixed or capital assets and other property (including any natural gas, oil or other mineral assets, pollution control facilities, electrical generating plants, equipment and machinery, and related accounts, financial assets, contracts and general intangibles) acquired, constructed, explored, drilled, developed, improved, repaired or serviced (including in connection with the financing of working capital and ongoing maintenance) by the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and the obligations and liabilities secured thereby are incurred prior to or within 270 days after the acquisition of the relevant asset or the completion of the relevant construction, exploration, drilling, development, improvement, repair or servicing (including the relevant financing of working capital and ongoing maintenance), as the case may be, (ii) the obligations and liabilities secured thereby do not exceed the cost of acquiring, constructing, exploring, drilling, developing, improving, repairing or servicing (including the financing of working capital and ongoing maintenance in respect of) the relevant assets, and (iii) such security interests shall not apply to any other property beyond the relevant property set forth in this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(and in the case of construction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0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 xml:space="preserve">improvement, any theretofore unimproved real property on which the property so constructed or the improvement is located) and </w:t>
      </w:r>
      <w:r>
        <w:rPr>
          <w:rFonts w:ascii="Arial" w:cs="Arial" w:eastAsia="Arial" w:hAnsi="Arial"/>
          <w:sz w:val="20"/>
          <w:szCs w:val="20"/>
          <w:u w:val="single" w:color="auto"/>
          <w:color w:val="auto"/>
        </w:rPr>
        <w:t>paragraph</w:t>
      </w:r>
      <w:r>
        <w:rPr>
          <w:rFonts w:ascii="Arial" w:cs="Arial" w:eastAsia="Arial" w:hAnsi="Arial"/>
          <w:sz w:val="20"/>
          <w:szCs w:val="20"/>
          <w:color w:val="auto"/>
        </w:rPr>
        <w:t xml:space="preserve"> </w:t>
      </w:r>
      <w:r>
        <w:rPr>
          <w:rFonts w:ascii="Arial" w:cs="Arial" w:eastAsia="Arial" w:hAnsi="Arial"/>
          <w:sz w:val="20"/>
          <w:szCs w:val="20"/>
          <w:u w:val="single" w:color="auto"/>
          <w:color w:val="auto"/>
        </w:rPr>
        <w:t>(f)</w:t>
      </w:r>
      <w:r>
        <w:rPr>
          <w:rFonts w:ascii="Arial" w:cs="Arial" w:eastAsia="Arial" w:hAnsi="Arial"/>
          <w:sz w:val="20"/>
          <w:szCs w:val="20"/>
          <w:color w:val="auto"/>
        </w:rPr>
        <w:t>, as applicable, of the Borrower or any Subsidiary;</w:t>
      </w:r>
    </w:p>
    <w:p>
      <w:pPr>
        <w:spacing w:after="0" w:line="155" w:lineRule="exact"/>
        <w:rPr>
          <w:sz w:val="20"/>
          <w:szCs w:val="20"/>
          <w:color w:val="auto"/>
        </w:rPr>
      </w:pPr>
    </w:p>
    <w:p>
      <w:pPr>
        <w:ind w:left="1940" w:hanging="636"/>
        <w:spacing w:after="0"/>
        <w:tabs>
          <w:tab w:leader="none" w:pos="19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Liens created under or in connection with the Mortgage and the SWLP Mortgage;</w:t>
      </w:r>
    </w:p>
    <w:p>
      <w:pPr>
        <w:spacing w:after="0" w:line="175" w:lineRule="exact"/>
        <w:rPr>
          <w:rFonts w:ascii="Arial" w:cs="Arial" w:eastAsia="Arial" w:hAnsi="Arial"/>
          <w:sz w:val="20"/>
          <w:szCs w:val="20"/>
          <w:color w:val="auto"/>
        </w:rPr>
      </w:pPr>
    </w:p>
    <w:p>
      <w:pPr>
        <w:jc w:val="both"/>
        <w:ind w:firstLine="1304"/>
        <w:spacing w:after="0" w:line="244" w:lineRule="auto"/>
        <w:tabs>
          <w:tab w:leader="none" w:pos="19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on any Equity Interest owned or otherwise held by or on behalf of the Borrower or any Subsidiary in any Person created as a special purpose, bankruptcy-remote Person for the sole and exclusive purpose of engaging in activities in connection with the owning and operating of property in connection with any project financing permitted to be secured under </w:t>
      </w:r>
      <w:r>
        <w:rPr>
          <w:rFonts w:ascii="Arial" w:cs="Arial" w:eastAsia="Arial" w:hAnsi="Arial"/>
          <w:sz w:val="18"/>
          <w:szCs w:val="18"/>
          <w:u w:val="single" w:color="auto"/>
          <w:color w:val="auto"/>
        </w:rPr>
        <w:t>paragraph (d)</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ind w:left="1940" w:hanging="636"/>
        <w:spacing w:after="0"/>
        <w:tabs>
          <w:tab w:leader="none" w:pos="19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Liens created to secure Indebtedness of any Subsidiary to the Borrower or to any other Subsidiary;</w:t>
      </w:r>
    </w:p>
    <w:p>
      <w:pPr>
        <w:spacing w:after="0" w:line="175"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rights reserved to or vested in others to take or receive any part of any coal, ore, gas, oil and other minerals, any timber and/or any electric capacity or energy, gas, water, steam and any other product developed, produced, manufactured, generated, purchased or otherwise acquired by the Borrower or by others on property of the Borrower or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Lien described in this paragraph shall secure Indebtedness;</w:t>
      </w:r>
    </w:p>
    <w:p>
      <w:pPr>
        <w:spacing w:after="0" w:line="155" w:lineRule="exact"/>
        <w:rPr>
          <w:rFonts w:ascii="Arial" w:cs="Arial" w:eastAsia="Arial" w:hAnsi="Arial"/>
          <w:sz w:val="20"/>
          <w:szCs w:val="20"/>
          <w:color w:val="auto"/>
        </w:rPr>
      </w:pPr>
    </w:p>
    <w:p>
      <w:pPr>
        <w:jc w:val="both"/>
        <w:ind w:firstLine="1304"/>
        <w:spacing w:after="0" w:line="233" w:lineRule="auto"/>
        <w:tabs>
          <w:tab w:leader="none" w:pos="19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Liens created for the sole purpose of extending, renewing or replacing in whole or in part Indebtedness secured by any lien, mortgage or security interest referred to in the foregoing </w:t>
      </w:r>
      <w:r>
        <w:rPr>
          <w:rFonts w:ascii="Arial" w:cs="Arial" w:eastAsia="Arial" w:hAnsi="Arial"/>
          <w:sz w:val="18"/>
          <w:szCs w:val="18"/>
          <w:u w:val="single" w:color="auto"/>
          <w:color w:val="auto"/>
        </w:rPr>
        <w:t>paragraphs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Indebtedness secured thereby shall not exceed the principal amount of Indebtedness so secured at the time of such extension, renewal or replacement and that such extension, renewal or replacement, as the case may be, shall be limited to all or a part of the property or indebtedness that secured the lien or mortgage so extended, renewed or replaced (and any improvements on such property);</w:t>
      </w:r>
    </w:p>
    <w:p>
      <w:pPr>
        <w:spacing w:after="0" w:line="156" w:lineRule="exact"/>
        <w:rPr>
          <w:rFonts w:ascii="Arial" w:cs="Arial" w:eastAsia="Arial" w:hAnsi="Arial"/>
          <w:sz w:val="18"/>
          <w:szCs w:val="18"/>
          <w:color w:val="auto"/>
        </w:rPr>
      </w:pPr>
    </w:p>
    <w:p>
      <w:pPr>
        <w:jc w:val="both"/>
        <w:ind w:firstLine="1304"/>
        <w:spacing w:after="0" w:line="218" w:lineRule="auto"/>
        <w:tabs>
          <w:tab w:leader="none" w:pos="194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Liens on cash or invested funds used to make a defeasance, covenant defeasance or in substance defeasance of any Indebtedness pursuant to an express contractual provision in the agreement governing such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before and immediately after giving effect to the making of such defeasance, no Default shall exist;</w:t>
      </w:r>
    </w:p>
    <w:p>
      <w:pPr>
        <w:spacing w:after="0" w:line="156" w:lineRule="exact"/>
        <w:rPr>
          <w:rFonts w:ascii="Arial" w:cs="Arial" w:eastAsia="Arial" w:hAnsi="Arial"/>
          <w:sz w:val="20"/>
          <w:szCs w:val="20"/>
          <w:color w:val="auto"/>
        </w:rPr>
      </w:pPr>
    </w:p>
    <w:p>
      <w:pPr>
        <w:ind w:left="1940" w:hanging="636"/>
        <w:spacing w:after="0"/>
        <w:tabs>
          <w:tab w:leader="none" w:pos="194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Liens on all CoBank Equities now owned or hereafter acquired by the Borrower; and</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942"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any Lien, in addition to those described in the foregoing </w:t>
      </w:r>
      <w:r>
        <w:rPr>
          <w:rFonts w:ascii="Arial" w:cs="Arial" w:eastAsia="Arial" w:hAnsi="Arial"/>
          <w:sz w:val="20"/>
          <w:szCs w:val="20"/>
          <w:u w:val="single" w:color="auto"/>
          <w:color w:val="auto"/>
        </w:rPr>
        <w:t>paragraphs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(k)</w:t>
      </w:r>
      <w:r>
        <w:rPr>
          <w:rFonts w:ascii="Arial" w:cs="Arial" w:eastAsia="Arial" w:hAnsi="Arial"/>
          <w:sz w:val="20"/>
          <w:szCs w:val="20"/>
          <w:color w:val="auto"/>
        </w:rPr>
        <w:t xml:space="preserve">, securing obligations that, together with all other obligations secured pursuant to this </w:t>
      </w:r>
      <w:r>
        <w:rPr>
          <w:rFonts w:ascii="Arial" w:cs="Arial" w:eastAsia="Arial" w:hAnsi="Arial"/>
          <w:sz w:val="20"/>
          <w:szCs w:val="20"/>
          <w:u w:val="single" w:color="auto"/>
          <w:color w:val="auto"/>
        </w:rPr>
        <w:t>paragraph (l)</w:t>
      </w:r>
      <w:r>
        <w:rPr>
          <w:rFonts w:ascii="Arial" w:cs="Arial" w:eastAsia="Arial" w:hAnsi="Arial"/>
          <w:sz w:val="20"/>
          <w:szCs w:val="20"/>
          <w:color w:val="auto"/>
        </w:rPr>
        <w:t>, do not exceed 10% of Consolidated Assets at the time of the incurrence thereof.</w:t>
      </w:r>
    </w:p>
    <w:p>
      <w:pPr>
        <w:spacing w:after="0" w:line="156"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Merger; Consolidation</w:t>
      </w:r>
      <w:r>
        <w:rPr>
          <w:rFonts w:ascii="Arial" w:cs="Arial" w:eastAsia="Arial" w:hAnsi="Arial"/>
          <w:sz w:val="20"/>
          <w:szCs w:val="20"/>
          <w:color w:val="auto"/>
        </w:rPr>
        <w:t>. The Borrower shall not, and shall not permit any Subsidiary (excluding any Immaterial Subsidiary) to undergo a Division (as defined in Section 18-217 of the Delaware Limited Liability Company Act) or consolidate with or merge into any other Person (other than a merger of a Subsidiary into, or a consolidation of a Subsidiary with, the Borrower or another Subsidiary), unless:</w:t>
      </w:r>
    </w:p>
    <w:p>
      <w:pPr>
        <w:spacing w:after="0" w:line="156" w:lineRule="exact"/>
        <w:rPr>
          <w:sz w:val="20"/>
          <w:szCs w:val="20"/>
          <w:color w:val="auto"/>
        </w:rPr>
      </w:pPr>
    </w:p>
    <w:p>
      <w:pPr>
        <w:ind w:left="2360" w:hanging="408"/>
        <w:spacing w:after="0"/>
        <w:tabs>
          <w:tab w:leader="none" w:pos="23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immediately before and after giving effect thereto no Default shall exist;</w:t>
      </w:r>
    </w:p>
    <w:p>
      <w:pPr>
        <w:spacing w:after="0" w:line="175" w:lineRule="exact"/>
        <w:rPr>
          <w:rFonts w:ascii="Arial" w:cs="Arial" w:eastAsia="Arial" w:hAnsi="Arial"/>
          <w:sz w:val="20"/>
          <w:szCs w:val="20"/>
          <w:color w:val="auto"/>
        </w:rPr>
      </w:pPr>
    </w:p>
    <w:p>
      <w:pPr>
        <w:jc w:val="both"/>
        <w:ind w:left="1300" w:firstLine="652"/>
        <w:spacing w:after="0" w:line="275" w:lineRule="auto"/>
        <w:tabs>
          <w:tab w:leader="none" w:pos="244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immediately before and after giving effect thereto, all of the representations and warranties contained in the Loan Documents shall be true and correct except as the context thereof otherwise requires and except for those representations and warranties which by their terms or by necessary implication are expressly limited to a state of facts existing at a time prior to such merger, consolidation or acquisition, as the case may be, or such other matters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01" w:lineRule="exact"/>
        <w:rPr>
          <w:sz w:val="20"/>
          <w:szCs w:val="20"/>
          <w:color w:val="auto"/>
        </w:rPr>
      </w:pPr>
    </w:p>
    <w:p>
      <w:pPr>
        <w:ind w:left="1300" w:right="20"/>
        <w:spacing w:after="0" w:line="229" w:lineRule="auto"/>
        <w:rPr>
          <w:sz w:val="20"/>
          <w:szCs w:val="20"/>
          <w:color w:val="auto"/>
        </w:rPr>
      </w:pPr>
      <w:r>
        <w:rPr>
          <w:rFonts w:ascii="Arial" w:cs="Arial" w:eastAsia="Arial" w:hAnsi="Arial"/>
          <w:sz w:val="20"/>
          <w:szCs w:val="20"/>
          <w:color w:val="auto"/>
        </w:rPr>
        <w:t>as are identified in a writing to the Administrative Agent and the Lenders and are satisfactory to the Administrative Agent and the Lenders; and</w:t>
      </w:r>
    </w:p>
    <w:p>
      <w:pPr>
        <w:spacing w:after="0" w:line="155" w:lineRule="exact"/>
        <w:rPr>
          <w:sz w:val="20"/>
          <w:szCs w:val="20"/>
          <w:color w:val="auto"/>
        </w:rPr>
      </w:pPr>
    </w:p>
    <w:p>
      <w:pPr>
        <w:jc w:val="both"/>
        <w:ind w:left="1300" w:firstLine="652"/>
        <w:spacing w:after="0" w:line="227" w:lineRule="auto"/>
        <w:tabs>
          <w:tab w:leader="none" w:pos="23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in the case of a transaction involving the Borrower, either (i) the Borrower shall be the surviving entity thereof, or in the event the Borrower shall not be the surviving entity thereof, each of the following conditions shall be satisfied: (A) such surviving entity shall have been incorporated or otherwise formed in a State of the United States with substantially all of its assets and business located and conducted in the United States, (B) such surviving entity shall, immediately after giving effect to such transaction, have an Investment Grade Rating and (C) such surviving entity shall have expressly assumed the obligations of the Borrower under the Loan Documents pursuant to a writing in form and substance satisfactory to the Administrative Agent; and (ii) the Administrative Agent and the Lenders shall have received a certificate signed by a duly authorized officer of the Borrower identifying the Person to be merged with or into, or consolidated with, or acquired by, the Borrower, and certifying as to each of the matters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55"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Investment Grade Rating</w:t>
      </w:r>
      <w:r>
        <w:rPr>
          <w:rFonts w:ascii="Arial" w:cs="Arial" w:eastAsia="Arial" w:hAnsi="Arial"/>
          <w:sz w:val="20"/>
          <w:szCs w:val="20"/>
          <w:color w:val="auto"/>
        </w:rPr>
        <w:t>” means a Senior Debt Rating from at least two Rating Agencies equal to (1) for any transaction where the surviving entity has a Senior Debt Rating, a rating for such surviving entity of BBB- or higher from S&amp;P or Fitch or Baa3 or higher from Moody’s and (2)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Borrower shall not, and shall not permit any of its Subsidiaries to, sell, transfer, lease or otherwise dispose of (including pursuant to a merger) any property or assets to, or purchase, lease or otherwise acquire (including pursuant to a merger) any property or assets from, or otherwise engage in any other transactions with, any of its Affiliates, except in the ordinary course of business at prices and on terms and conditions not less materially favorable to the Borrower or such Subsidiary, as the case may be, than could be obtained on an arms length basis from unrelated third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Section shall not apply to (i) any transaction that is in compliance with applicable laws and regulations of the Federal Energy Regulatory Commission, the WPS or the MPUC pertaining to affiliate transactions or is authorized by a tariff or rate schedule which has been approved by a Governmental Authority or performed in accordance with its orders, (ii) any transaction that is otherwise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(iii) transactions pursuant to any contract in effect on the date hereof, as the same may be amended, extended or replaced from time to time so long as such contract as so amended, extended or replaced is, taken as a whole, not materially less favorable to the Borrower and its Subsidiaries than under those contracts in effect on the date hereof.</w:t>
      </w:r>
    </w:p>
    <w:p>
      <w:pPr>
        <w:spacing w:after="0" w:line="16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Permitted Hedge Agreements</w:t>
      </w:r>
      <w:r>
        <w:rPr>
          <w:rFonts w:ascii="Arial" w:cs="Arial" w:eastAsia="Arial" w:hAnsi="Arial"/>
          <w:sz w:val="20"/>
          <w:szCs w:val="20"/>
          <w:color w:val="auto"/>
        </w:rPr>
        <w:t xml:space="preserve">. The Borrower shall not enter into any Hedge Agreements other than (a) Permitted Hedge Agreements and (b) transactions in futures, floors, collars and similar Hedge Agreements involving the stock price of a Person involved in a merger transaction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56"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Financial Covenant</w:t>
      </w:r>
      <w:r>
        <w:rPr>
          <w:rFonts w:ascii="Arial" w:cs="Arial" w:eastAsia="Arial" w:hAnsi="Arial"/>
          <w:sz w:val="20"/>
          <w:szCs w:val="20"/>
          <w:color w:val="auto"/>
        </w:rPr>
        <w:t>. The Borrower will not permit Total Indebtedness to be greater than 65% of Total Capitalization as of the end of any fiscal quarter.</w:t>
      </w:r>
    </w:p>
    <w:p>
      <w:pPr>
        <w:spacing w:after="0" w:line="15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Anti-Money Laundering and Anti-Terrorism Finance Laws; Foreign Corrupt Practices Act; Sanctions Laws;</w:t>
      </w:r>
      <w:r>
        <w:rPr>
          <w:rFonts w:ascii="Arial" w:cs="Arial" w:eastAsia="Arial" w:hAnsi="Arial"/>
          <w:sz w:val="20"/>
          <w:szCs w:val="20"/>
          <w:color w:val="auto"/>
        </w:rPr>
        <w:t xml:space="preserve"> </w:t>
      </w:r>
      <w:r>
        <w:rPr>
          <w:rFonts w:ascii="Arial" w:cs="Arial" w:eastAsia="Arial" w:hAnsi="Arial"/>
          <w:sz w:val="20"/>
          <w:szCs w:val="20"/>
          <w:u w:val="single" w:color="auto"/>
          <w:color w:val="auto"/>
        </w:rPr>
        <w:t>Restricted Person</w:t>
      </w:r>
      <w:r>
        <w:rPr>
          <w:rFonts w:ascii="Arial" w:cs="Arial" w:eastAsia="Arial" w:hAnsi="Arial"/>
          <w:sz w:val="20"/>
          <w:szCs w:val="20"/>
          <w:color w:val="auto"/>
        </w:rPr>
        <w:t>. The Borrower shall not, and shall not permit any Subsidiary to, (i) engage in or conspire to engage in any transaction that evades or avoids, or has the purpose of evading or avoiding, or attempts to violate, any prohibition set forth in any Anti-Terrorism Law, (ii) cause or permit any of the funds that are used to repay any obligation under the Loan Documents to be derived from any unlawful activity with the result that the making of the Loans or the issuance of the Letters of Credit would be in violation of any applicable law, (iii) use any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0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proceeds of the Loans or the Letters of Credit, in furtherance of an offer, payment, promise to pay, or authorization of the payment or giving of money, or anything else of value, to any Person in violation of any Anti-Corruption Laws; (iv) use any of the proceeds from the Loans or the Letters of Credit to finance any operations, investments or activities in, or make any payments to, any Restricted Person or in any manner that would result in the violation of any applicable sanctions.</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8.</w:t>
      </w:r>
    </w:p>
    <w:p>
      <w:pPr>
        <w:spacing w:after="0" w:line="148"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EVENTS OF DEFAULT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any of the following events (each an “</w:t>
      </w:r>
      <w:r>
        <w:rPr>
          <w:rFonts w:ascii="Arial" w:cs="Arial" w:eastAsia="Arial" w:hAnsi="Arial"/>
          <w:sz w:val="20"/>
          <w:szCs w:val="20"/>
          <w:u w:val="single" w:color="auto"/>
          <w:color w:val="auto"/>
        </w:rPr>
        <w:t>Event of Default</w:t>
      </w:r>
      <w:r>
        <w:rPr>
          <w:rFonts w:ascii="Arial" w:cs="Arial" w:eastAsia="Arial" w:hAnsi="Arial"/>
          <w:sz w:val="20"/>
          <w:szCs w:val="20"/>
          <w:color w:val="auto"/>
        </w:rPr>
        <w:t>”) shall occur:</w:t>
      </w:r>
    </w:p>
    <w:p>
      <w:pPr>
        <w:spacing w:after="0" w:line="175" w:lineRule="exact"/>
        <w:rPr>
          <w:sz w:val="20"/>
          <w:szCs w:val="20"/>
          <w:color w:val="auto"/>
        </w:rPr>
      </w:pPr>
    </w:p>
    <w:p>
      <w:pPr>
        <w:jc w:val="both"/>
        <w:ind w:firstLine="1304"/>
        <w:spacing w:after="0" w:line="218" w:lineRule="auto"/>
        <w:tabs>
          <w:tab w:leader="none" w:pos="1934"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the Borrower shall fail to pay any interest on any Loan or on any reimbursement obligation in respect of any LC Disbursement or any fee, commission or any other amount (other than an amount referred to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of this Article) payable under any Loan Document, when and as the same shall become due and payable, and such failure shall continue unremedied for a period of five Business Days;</w:t>
      </w:r>
    </w:p>
    <w:p>
      <w:pPr>
        <w:spacing w:after="0" w:line="155" w:lineRule="exact"/>
        <w:rPr>
          <w:rFonts w:ascii="Arial" w:cs="Arial" w:eastAsia="Arial" w:hAnsi="Arial"/>
          <w:sz w:val="20"/>
          <w:szCs w:val="20"/>
          <w:color w:val="auto"/>
        </w:rPr>
      </w:pPr>
    </w:p>
    <w:p>
      <w:pPr>
        <w:jc w:val="both"/>
        <w:ind w:firstLine="1304"/>
        <w:spacing w:after="0" w:line="224" w:lineRule="auto"/>
        <w:tabs>
          <w:tab w:leader="none" w:pos="193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the Borrower or any Subsidiary in or in connection with any Loan Document or any amendment or modification hereof or waiver thereunder, or in any report, certificate, financial statement or other document furnished pursuant to or in connection with any Loan Document or any amendment or modification hereof or waiver thereunder, shall prove to have been incorrect in any material respect when made or deemed made;</w:t>
      </w:r>
    </w:p>
    <w:p>
      <w:pPr>
        <w:spacing w:after="0" w:line="156" w:lineRule="exact"/>
        <w:rPr>
          <w:rFonts w:ascii="Arial" w:cs="Arial" w:eastAsia="Arial" w:hAnsi="Arial"/>
          <w:sz w:val="19"/>
          <w:szCs w:val="19"/>
          <w:color w:val="auto"/>
        </w:rPr>
      </w:pPr>
    </w:p>
    <w:p>
      <w:pPr>
        <w:ind w:firstLine="1304"/>
        <w:spacing w:after="0" w:line="229" w:lineRule="auto"/>
        <w:tabs>
          <w:tab w:leader="none" w:pos="193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(with respect to the Borrower’s existence), </w:t>
      </w:r>
      <w:r>
        <w:rPr>
          <w:rFonts w:ascii="Arial" w:cs="Arial" w:eastAsia="Arial" w:hAnsi="Arial"/>
          <w:sz w:val="20"/>
          <w:szCs w:val="20"/>
          <w:u w:val="single" w:color="auto"/>
          <w:color w:val="auto"/>
        </w:rPr>
        <w:t>7.2</w:t>
      </w:r>
      <w:r>
        <w:rPr>
          <w:rFonts w:ascii="Arial" w:cs="Arial" w:eastAsia="Arial" w:hAnsi="Arial"/>
          <w:sz w:val="20"/>
          <w:szCs w:val="20"/>
          <w:color w:val="auto"/>
        </w:rPr>
        <w:t xml:space="preserve">, </w:t>
      </w:r>
      <w:r>
        <w:rPr>
          <w:rFonts w:ascii="Arial" w:cs="Arial" w:eastAsia="Arial" w:hAnsi="Arial"/>
          <w:sz w:val="20"/>
          <w:szCs w:val="20"/>
          <w:u w:val="single" w:color="auto"/>
          <w:color w:val="auto"/>
        </w:rPr>
        <w:t>7.4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7.5</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firstLine="1304"/>
        <w:spacing w:after="0" w:line="269" w:lineRule="auto"/>
        <w:tabs>
          <w:tab w:leader="none" w:pos="193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the Borrower shall fail to observe or perform any covenant, condition or agreement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and such failure shall continue unremedied for a period of ten days after the Borrower shall have obtained knowledge thereof.</w:t>
      </w:r>
    </w:p>
    <w:p>
      <w:pPr>
        <w:spacing w:after="0" w:line="130" w:lineRule="exact"/>
        <w:rPr>
          <w:rFonts w:ascii="Arial" w:cs="Arial" w:eastAsia="Arial" w:hAnsi="Arial"/>
          <w:sz w:val="18"/>
          <w:szCs w:val="18"/>
          <w:color w:val="auto"/>
        </w:rPr>
      </w:pPr>
    </w:p>
    <w:p>
      <w:pPr>
        <w:jc w:val="both"/>
        <w:ind w:firstLine="1304"/>
        <w:spacing w:after="0" w:line="218" w:lineRule="auto"/>
        <w:tabs>
          <w:tab w:leader="none" w:pos="1939"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the Borrower shall fail to observe or perform any covenant, condition or agreement contained in any Loan Document to which it is a party (other than those specified in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w:t>
      </w:r>
      <w:r>
        <w:rPr>
          <w:rFonts w:ascii="Arial" w:cs="Arial" w:eastAsia="Arial" w:hAnsi="Arial"/>
          <w:sz w:val="20"/>
          <w:szCs w:val="20"/>
          <w:color w:val="auto"/>
        </w:rPr>
        <w:t xml:space="preserve"> of this Article), and such failure shall continue unremedied for a period of 30 days after the Borrower shall have obtained knowledge thereof;</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2"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Borrower or any Subsidiary shall fail to make any payment (whether of principal or interest and regardless of amount) in respect to any Material Obligations, when and as the same shall become due and payable and after the expiration of any applicable grace period;</w:t>
      </w:r>
    </w:p>
    <w:p>
      <w:pPr>
        <w:spacing w:after="0" w:line="156" w:lineRule="exact"/>
        <w:rPr>
          <w:rFonts w:ascii="Arial" w:cs="Arial" w:eastAsia="Arial" w:hAnsi="Arial"/>
          <w:sz w:val="20"/>
          <w:szCs w:val="20"/>
          <w:color w:val="auto"/>
        </w:rPr>
      </w:pPr>
    </w:p>
    <w:p>
      <w:pPr>
        <w:jc w:val="both"/>
        <w:ind w:firstLine="1304"/>
        <w:spacing w:after="0" w:line="249" w:lineRule="auto"/>
        <w:tabs>
          <w:tab w:leader="none" w:pos="193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Obligations becoming due prior to their scheduled maturity or payment date, or that enables or permits (with or without the giving of notice, the lapse of time or both) the holder or holders of any Material Obligations or any trustee or agent on its or their behalf to cause any Material Obligations to become due prior to their scheduled maturity or payment date or to require the prepayment, repurchase, redemption or defeasance thereof prior to their scheduled maturity or payment date (in each case after giving effect to any applicable cure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paragraph (h)</w:t>
      </w:r>
      <w:r>
        <w:rPr>
          <w:rFonts w:ascii="Arial" w:cs="Arial" w:eastAsia="Arial" w:hAnsi="Arial"/>
          <w:sz w:val="16"/>
          <w:szCs w:val="16"/>
          <w:color w:val="auto"/>
        </w:rPr>
        <w:t xml:space="preserve"> shall not apply to (i) Indebtedness that becomes due as a result of a notice of voluntary prepayment or redemption delivered by the Borrower or a Subsidiary, (ii) secured Indebtedness that becomes due solely as a result of the voluntary sale or transfer of the property or assets securing such Indebtedness,</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intercompany indebtedness or (iv) the exercise of any contractual right to cause the prepayment of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Obligations (other than the exercise of a remedy for an event of default under the applicable contract or agreement);</w:t>
      </w:r>
    </w:p>
    <w:p>
      <w:pPr>
        <w:spacing w:after="0" w:line="175" w:lineRule="exact"/>
        <w:rPr>
          <w:sz w:val="20"/>
          <w:szCs w:val="20"/>
          <w:color w:val="auto"/>
        </w:rPr>
      </w:pPr>
    </w:p>
    <w:p>
      <w:pPr>
        <w:jc w:val="both"/>
        <w:ind w:firstLine="1304"/>
        <w:spacing w:after="0" w:line="220" w:lineRule="auto"/>
        <w:tabs>
          <w:tab w:leader="none" w:pos="194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except for Immaterial Transactions and transactions expressly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with respect to Subsidiaries, the Borrower or any Subsidiary shall (i) suspend or discontinue its business, (ii) make an assignment for the benefit of creditors, (iii) generally not pay its debts as such debts become due, (iv) 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45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45 days, or</w:t>
      </w:r>
    </w:p>
    <w:p>
      <w:pPr>
        <w:spacing w:after="0" w:line="7" w:lineRule="exact"/>
        <w:rPr>
          <w:rFonts w:ascii="Arial" w:cs="Arial" w:eastAsia="Arial" w:hAnsi="Arial"/>
          <w:sz w:val="18"/>
          <w:szCs w:val="18"/>
          <w:color w:val="auto"/>
        </w:rPr>
      </w:pPr>
    </w:p>
    <w:p>
      <w:pPr>
        <w:ind w:right="20" w:firstLine="8"/>
        <w:spacing w:after="0" w:line="220" w:lineRule="auto"/>
        <w:tabs>
          <w:tab w:leader="none" w:pos="401"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take any formal action for the purpose of effecting any of the foregoing or looking to the liquidation or dissolution of the Borrower or any Subsidiary;</w:t>
      </w:r>
    </w:p>
    <w:p>
      <w:pPr>
        <w:spacing w:after="0" w:line="156" w:lineRule="exact"/>
        <w:rPr>
          <w:sz w:val="20"/>
          <w:szCs w:val="20"/>
          <w:color w:val="auto"/>
        </w:rPr>
      </w:pPr>
    </w:p>
    <w:p>
      <w:pPr>
        <w:jc w:val="both"/>
        <w:ind w:firstLine="1304"/>
        <w:spacing w:after="0" w:line="216" w:lineRule="auto"/>
        <w:tabs>
          <w:tab w:leader="none" w:pos="194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except to the extent arising solely out of an Immaterial Transaction, an order for relief is entered under the United States bankruptcy laws or any other decree or order is entered by a court having jurisdiction (i) adjudging the Borrower or any Subsidiary bankrupt or insolvent, (ii) approving as properly filed a petition seeking reorganization, liquidation, arrangement, adjustment or composition of or in respect of Borrower or any Subsidiary under the United States bankruptcy laws or any other applicable Federal or state law, (iii) appointing a receiver, liquidator, assignee, trustee, custodian, sequestrator (or other similar official) of the Borrower or any Subsidiary of any substantial part of the property thereof, or (iv) ordering the winding up or liquidation (other than, in the case of a Subsidiary, voluntary liquidation, not under any bankruptcy, insolvency or similar law) of the affairs of the Borrower or any Subsidiary, and any such decree or order continues unstayed and in effect for a period of 45 days;</w:t>
      </w:r>
    </w:p>
    <w:p>
      <w:pPr>
        <w:spacing w:after="0" w:line="154"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one or more judgments or decrees against the Borrower or any of its Subsidiaries or any combination thereof aggregating in excess of $35,000,000, which judgment or decree (i) shall not be fully covered by insurance after taking into account any applicable deductibles and (ii) shall remain unpaid, unstayed on appeal, undischarged, unbonded or undismissed for a period of at least 30 consecutive days;</w:t>
      </w:r>
    </w:p>
    <w:p>
      <w:pPr>
        <w:spacing w:after="0" w:line="155" w:lineRule="exact"/>
        <w:rPr>
          <w:rFonts w:ascii="Arial" w:cs="Arial" w:eastAsia="Arial" w:hAnsi="Arial"/>
          <w:sz w:val="20"/>
          <w:szCs w:val="20"/>
          <w:color w:val="auto"/>
        </w:rPr>
      </w:pPr>
    </w:p>
    <w:p>
      <w:pPr>
        <w:ind w:firstLine="1304"/>
        <w:spacing w:after="0" w:line="229" w:lineRule="auto"/>
        <w:tabs>
          <w:tab w:leader="none" w:pos="194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any Loan Document shall cease, for any reason, to be in full force and effect or the Borrower shall so assert in writing or shall disavow any of its obligations thereunder;</w:t>
      </w:r>
    </w:p>
    <w:p>
      <w:pPr>
        <w:spacing w:after="0" w:line="155" w:lineRule="exact"/>
        <w:rPr>
          <w:rFonts w:ascii="Arial" w:cs="Arial" w:eastAsia="Arial" w:hAnsi="Arial"/>
          <w:sz w:val="20"/>
          <w:szCs w:val="20"/>
          <w:color w:val="auto"/>
        </w:rPr>
      </w:pPr>
    </w:p>
    <w:p>
      <w:pPr>
        <w:ind w:firstLine="1304"/>
        <w:spacing w:after="0" w:line="229" w:lineRule="auto"/>
        <w:tabs>
          <w:tab w:leader="none" w:pos="193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 ERISA Event shall have occurred that, in the opinion of the Required Lenders, when taken together with all other ERISA Events that have occurred, could reasonably be expected to result in a Material Adverse Effect;</w:t>
      </w:r>
    </w:p>
    <w:p>
      <w:pPr>
        <w:spacing w:after="0" w:line="155" w:lineRule="exact"/>
        <w:rPr>
          <w:rFonts w:ascii="Arial" w:cs="Arial" w:eastAsia="Arial" w:hAnsi="Arial"/>
          <w:sz w:val="20"/>
          <w:szCs w:val="20"/>
          <w:color w:val="auto"/>
        </w:rPr>
      </w:pPr>
    </w:p>
    <w:p>
      <w:pPr>
        <w:ind w:right="20" w:firstLine="1304"/>
        <w:spacing w:after="0" w:line="269" w:lineRule="auto"/>
        <w:tabs>
          <w:tab w:leader="none" w:pos="19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required for the execution, delivery or performance of any Loan Document shall be terminated, revoked or rescinded or shall otherwise no longer be in full force and effect;</w:t>
      </w:r>
    </w:p>
    <w:p>
      <w:pPr>
        <w:spacing w:after="0" w:line="130" w:lineRule="exact"/>
        <w:rPr>
          <w:rFonts w:ascii="Arial" w:cs="Arial" w:eastAsia="Arial" w:hAnsi="Arial"/>
          <w:sz w:val="18"/>
          <w:szCs w:val="18"/>
          <w:color w:val="auto"/>
        </w:rPr>
      </w:pPr>
    </w:p>
    <w:p>
      <w:pPr>
        <w:ind w:left="1940" w:hanging="636"/>
        <w:spacing w:after="0"/>
        <w:tabs>
          <w:tab w:leader="none" w:pos="19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 Change in Control shall occur; or</w:t>
      </w:r>
    </w:p>
    <w:p>
      <w:pPr>
        <w:spacing w:after="0" w:line="175" w:lineRule="exact"/>
        <w:rPr>
          <w:rFonts w:ascii="Arial" w:cs="Arial" w:eastAsia="Arial" w:hAnsi="Arial"/>
          <w:sz w:val="20"/>
          <w:szCs w:val="20"/>
          <w:color w:val="auto"/>
        </w:rPr>
      </w:pPr>
    </w:p>
    <w:p>
      <w:pPr>
        <w:ind w:left="1940" w:hanging="636"/>
        <w:spacing w:after="0"/>
        <w:tabs>
          <w:tab w:leader="none" w:pos="194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Borrower shall fail to own, directly or indirectly, substantially all of the assets of Minnesota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0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then, and in every such event (other than an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under the Loan Documents, shall become due and payable immediately, without presentment, demand, protest or other notice of any kind, all of which are hereby waived by the Borrower; and in case of any event described in </w:t>
      </w:r>
      <w:r>
        <w:rPr>
          <w:rFonts w:ascii="Arial" w:cs="Arial" w:eastAsia="Arial" w:hAnsi="Arial"/>
          <w:sz w:val="18"/>
          <w:szCs w:val="18"/>
          <w:u w:val="single" w:color="auto"/>
          <w:color w:val="auto"/>
        </w:rPr>
        <w:t>paragraph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obligations of the Borrower accrued under the Loan Documents, shall automatically become due and payable, without presentment, demand, protest or other notice of any kind, all of which are hereby waived by the Borrower.</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9.</w:t>
      </w:r>
    </w:p>
    <w:p>
      <w:pPr>
        <w:spacing w:after="0" w:line="1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THE ADMINISTRATIVE AGENT</w:t>
      </w:r>
    </w:p>
    <w:p>
      <w:pPr>
        <w:spacing w:after="0" w:line="17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8" w:lineRule="auto"/>
        <w:tabs>
          <w:tab w:leader="none" w:pos="193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Each Credit Party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56" w:lineRule="exact"/>
        <w:rPr>
          <w:rFonts w:ascii="Arial" w:cs="Arial" w:eastAsia="Arial" w:hAnsi="Arial"/>
          <w:sz w:val="20"/>
          <w:szCs w:val="20"/>
          <w:color w:val="auto"/>
        </w:rPr>
      </w:pPr>
    </w:p>
    <w:p>
      <w:pPr>
        <w:jc w:val="both"/>
        <w:ind w:firstLine="1304"/>
        <w:spacing w:after="0" w:line="213" w:lineRule="auto"/>
        <w:tabs>
          <w:tab w:leader="none" w:pos="193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55" w:lineRule="exact"/>
        <w:rPr>
          <w:rFonts w:ascii="Arial" w:cs="Arial" w:eastAsia="Arial" w:hAnsi="Arial"/>
          <w:sz w:val="20"/>
          <w:szCs w:val="20"/>
          <w:color w:val="auto"/>
        </w:rPr>
      </w:pPr>
    </w:p>
    <w:p>
      <w:pPr>
        <w:jc w:val="both"/>
        <w:ind w:firstLine="1304"/>
        <w:spacing w:after="0" w:line="223" w:lineRule="auto"/>
        <w:tabs>
          <w:tab w:leader="none" w:pos="193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rights or powers if it shall have reasonable grounds for believing that repayment of such funds or adequate indemnity against such risk or liability is not reasonably assured to it.</w:t>
      </w:r>
    </w:p>
    <w:p>
      <w:pPr>
        <w:spacing w:after="0" w:line="155" w:lineRule="exact"/>
        <w:rPr>
          <w:sz w:val="20"/>
          <w:szCs w:val="20"/>
          <w:color w:val="auto"/>
        </w:rPr>
      </w:pPr>
    </w:p>
    <w:p>
      <w:pPr>
        <w:jc w:val="both"/>
        <w:ind w:firstLine="1304"/>
        <w:spacing w:after="0" w:line="213" w:lineRule="auto"/>
        <w:tabs>
          <w:tab w:leader="none" w:pos="193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55" w:lineRule="exact"/>
        <w:rPr>
          <w:rFonts w:ascii="Arial" w:cs="Arial" w:eastAsia="Arial" w:hAnsi="Arial"/>
          <w:sz w:val="20"/>
          <w:szCs w:val="20"/>
          <w:color w:val="auto"/>
        </w:rPr>
      </w:pPr>
    </w:p>
    <w:p>
      <w:pPr>
        <w:jc w:val="both"/>
        <w:ind w:left="1300" w:firstLine="652"/>
        <w:spacing w:after="0" w:line="227" w:lineRule="auto"/>
        <w:tabs>
          <w:tab w:leader="none" w:pos="259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or Issuing Bank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55" w:lineRule="exact"/>
        <w:rPr>
          <w:rFonts w:ascii="Arial" w:cs="Arial" w:eastAsia="Arial" w:hAnsi="Arial"/>
          <w:sz w:val="18"/>
          <w:szCs w:val="18"/>
          <w:color w:val="auto"/>
        </w:rPr>
      </w:pPr>
    </w:p>
    <w:p>
      <w:pPr>
        <w:ind w:left="1300" w:firstLine="652"/>
        <w:spacing w:after="0" w:line="242" w:lineRule="auto"/>
        <w:tabs>
          <w:tab w:leader="none" w:pos="259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nothing in this Agreement or any Loan Document shall require the Administrative Agent to account to any Lender for any sum or the profit element of any sum received by the Administrative Agent for its own account;</w:t>
      </w:r>
    </w:p>
    <w:p>
      <w:pPr>
        <w:spacing w:after="0" w:line="153" w:lineRule="exact"/>
        <w:rPr>
          <w:rFonts w:ascii="Arial" w:cs="Arial" w:eastAsia="Arial" w:hAnsi="Arial"/>
          <w:sz w:val="19"/>
          <w:szCs w:val="19"/>
          <w:color w:val="auto"/>
        </w:rPr>
      </w:pPr>
    </w:p>
    <w:p>
      <w:pPr>
        <w:jc w:val="both"/>
        <w:ind w:firstLine="1304"/>
        <w:spacing w:after="0" w:line="205" w:lineRule="auto"/>
        <w:tabs>
          <w:tab w:leader="none" w:pos="193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56" w:lineRule="exact"/>
        <w:rPr>
          <w:rFonts w:ascii="Arial" w:cs="Arial" w:eastAsia="Arial" w:hAnsi="Arial"/>
          <w:sz w:val="20"/>
          <w:szCs w:val="20"/>
          <w:color w:val="auto"/>
        </w:rPr>
      </w:pPr>
    </w:p>
    <w:p>
      <w:pPr>
        <w:jc w:val="both"/>
        <w:ind w:firstLine="1304"/>
        <w:spacing w:after="0" w:line="218" w:lineRule="auto"/>
        <w:tabs>
          <w:tab w:leader="none" w:pos="1939"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Sole Lead Arranger and Sole Bookrunner shall have no obligations or duties whatsoever in such capacity under this Agreement or any other Loan Document and shall incur no liability hereunder or thereunder in such capacity, but shall have the benefit of the indemnities provided for hereunder.</w:t>
      </w:r>
    </w:p>
    <w:p>
      <w:pPr>
        <w:spacing w:after="0" w:line="156" w:lineRule="exact"/>
        <w:rPr>
          <w:rFonts w:ascii="Arial" w:cs="Arial" w:eastAsia="Arial" w:hAnsi="Arial"/>
          <w:sz w:val="20"/>
          <w:szCs w:val="20"/>
          <w:color w:val="auto"/>
        </w:rPr>
      </w:pPr>
    </w:p>
    <w:p>
      <w:pPr>
        <w:jc w:val="both"/>
        <w:ind w:firstLine="1304"/>
        <w:spacing w:after="0" w:line="221" w:lineRule="auto"/>
        <w:tabs>
          <w:tab w:leader="none" w:pos="193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In case of the pendency of any proceeding with respect to the Borrower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55" w:lineRule="exact"/>
        <w:rPr>
          <w:rFonts w:ascii="Arial" w:cs="Arial" w:eastAsia="Arial" w:hAnsi="Arial"/>
          <w:sz w:val="19"/>
          <w:szCs w:val="19"/>
          <w:color w:val="auto"/>
        </w:rPr>
      </w:pPr>
    </w:p>
    <w:p>
      <w:pPr>
        <w:jc w:val="both"/>
        <w:ind w:left="1300" w:firstLine="652"/>
        <w:spacing w:after="0" w:line="218" w:lineRule="auto"/>
        <w:tabs>
          <w:tab w:leader="none" w:pos="2594"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Disbursements and all other obligations under the Loan Documents that are owing and unpaid and to file such other documents as may be necessary or advisable in order to have the claims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01" w:lineRule="exact"/>
        <w:rPr>
          <w:sz w:val="20"/>
          <w:szCs w:val="20"/>
          <w:color w:val="auto"/>
        </w:rPr>
      </w:pPr>
    </w:p>
    <w:p>
      <w:pPr>
        <w:ind w:left="1300"/>
        <w:spacing w:after="0" w:line="229" w:lineRule="auto"/>
        <w:rPr>
          <w:sz w:val="20"/>
          <w:szCs w:val="20"/>
          <w:color w:val="auto"/>
        </w:rPr>
      </w:pPr>
      <w:r>
        <w:rPr>
          <w:rFonts w:ascii="Arial" w:cs="Arial" w:eastAsia="Arial" w:hAnsi="Arial"/>
          <w:sz w:val="20"/>
          <w:szCs w:val="20"/>
          <w:color w:val="auto"/>
        </w:rPr>
        <w:t xml:space="preserve">Lenders, the Issuing Banks and the Administrative Agent (including any claim under </w:t>
      </w:r>
      <w:r>
        <w:rPr>
          <w:rFonts w:ascii="Arial" w:cs="Arial" w:eastAsia="Arial" w:hAnsi="Arial"/>
          <w:sz w:val="20"/>
          <w:szCs w:val="20"/>
          <w:u w:val="single" w:color="auto"/>
          <w:color w:val="auto"/>
        </w:rPr>
        <w:t>Sections 3.1</w:t>
      </w:r>
      <w:r>
        <w:rPr>
          <w:rFonts w:ascii="Arial" w:cs="Arial" w:eastAsia="Arial" w:hAnsi="Arial"/>
          <w:sz w:val="20"/>
          <w:szCs w:val="20"/>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 xml:space="preserve">, </w:t>
      </w:r>
      <w:r>
        <w:rPr>
          <w:rFonts w:ascii="Arial" w:cs="Arial" w:eastAsia="Arial" w:hAnsi="Arial"/>
          <w:sz w:val="20"/>
          <w:szCs w:val="20"/>
          <w:u w:val="single" w:color="auto"/>
          <w:color w:val="auto"/>
        </w:rPr>
        <w:t>3.5</w:t>
      </w:r>
      <w:r>
        <w:rPr>
          <w:rFonts w:ascii="Arial" w:cs="Arial" w:eastAsia="Arial" w:hAnsi="Arial"/>
          <w:sz w:val="20"/>
          <w:szCs w:val="20"/>
          <w:color w:val="auto"/>
        </w:rPr>
        <w:t xml:space="preserve">, </w:t>
      </w:r>
      <w:r>
        <w:rPr>
          <w:rFonts w:ascii="Arial" w:cs="Arial" w:eastAsia="Arial" w:hAnsi="Arial"/>
          <w:sz w:val="20"/>
          <w:szCs w:val="20"/>
          <w:u w:val="single" w:color="auto"/>
          <w:color w:val="auto"/>
        </w:rPr>
        <w:t>3.7</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10.3</w:t>
      </w:r>
      <w:r>
        <w:rPr>
          <w:rFonts w:ascii="Arial" w:cs="Arial" w:eastAsia="Arial" w:hAnsi="Arial"/>
          <w:sz w:val="20"/>
          <w:szCs w:val="20"/>
          <w:color w:val="auto"/>
        </w:rPr>
        <w:t>) allowed in such judicial proceeding; and</w:t>
      </w:r>
    </w:p>
    <w:p>
      <w:pPr>
        <w:spacing w:after="0" w:line="155" w:lineRule="exact"/>
        <w:rPr>
          <w:sz w:val="20"/>
          <w:szCs w:val="20"/>
          <w:color w:val="auto"/>
        </w:rPr>
      </w:pPr>
    </w:p>
    <w:p>
      <w:pPr>
        <w:ind w:left="1300" w:firstLine="652"/>
        <w:spacing w:after="0" w:line="229" w:lineRule="auto"/>
        <w:tabs>
          <w:tab w:leader="none" w:pos="2595"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5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Loan Documents (including under </w:t>
      </w:r>
      <w:r>
        <w:rPr>
          <w:rFonts w:ascii="Arial" w:cs="Arial" w:eastAsia="Arial" w:hAnsi="Arial"/>
          <w:sz w:val="18"/>
          <w:szCs w:val="18"/>
          <w:u w:val="single" w:color="auto"/>
          <w:color w:val="auto"/>
        </w:rPr>
        <w:t>Section 10.3</w:t>
      </w:r>
      <w:r>
        <w:rPr>
          <w:rFonts w:ascii="Arial" w:cs="Arial" w:eastAsia="Arial" w:hAnsi="Arial"/>
          <w:sz w:val="18"/>
          <w:szCs w:val="18"/>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57" w:lineRule="exact"/>
        <w:rPr>
          <w:sz w:val="20"/>
          <w:szCs w:val="20"/>
          <w:color w:val="auto"/>
        </w:rPr>
      </w:pPr>
    </w:p>
    <w:p>
      <w:pPr>
        <w:jc w:val="both"/>
        <w:ind w:firstLine="1304"/>
        <w:spacing w:after="0" w:line="213" w:lineRule="auto"/>
        <w:tabs>
          <w:tab w:leader="none" w:pos="1932"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spacing w:after="0" w:line="15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Administrative Agent’s Reliance, Indemnification, Etc.</w:t>
      </w:r>
    </w:p>
    <w:p>
      <w:pPr>
        <w:spacing w:after="0" w:line="175" w:lineRule="exact"/>
        <w:rPr>
          <w:sz w:val="20"/>
          <w:szCs w:val="20"/>
          <w:color w:val="auto"/>
        </w:rPr>
      </w:pPr>
    </w:p>
    <w:p>
      <w:pPr>
        <w:jc w:val="both"/>
        <w:ind w:firstLine="1304"/>
        <w:spacing w:after="0" w:line="226" w:lineRule="auto"/>
        <w:tabs>
          <w:tab w:leader="none" w:pos="193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the Administrative Agent nor any of its Related Parties shall be (i) liable for any action taken or omitted to be taken by such party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the Borrower to perform its obligations hereunder or thereunder.</w:t>
      </w:r>
    </w:p>
    <w:p>
      <w:pPr>
        <w:spacing w:after="0" w:line="156" w:lineRule="exact"/>
        <w:rPr>
          <w:rFonts w:ascii="Arial" w:cs="Arial" w:eastAsia="Arial" w:hAnsi="Arial"/>
          <w:sz w:val="18"/>
          <w:szCs w:val="18"/>
          <w:color w:val="auto"/>
        </w:rPr>
      </w:pPr>
    </w:p>
    <w:p>
      <w:pPr>
        <w:jc w:val="both"/>
        <w:ind w:firstLine="1304"/>
        <w:spacing w:after="0" w:line="214" w:lineRule="auto"/>
        <w:tabs>
          <w:tab w:leader="none" w:pos="193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The Administrative Agent shall be deemed not to have knowledge of any Default unless and until written notice thereof (stating that it is a “notice of default”) is given to the Administrative Agent by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or (v) the satisfaction of any condition set forth in Article 5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w:t>
      </w:r>
    </w:p>
    <w:p>
      <w:pPr>
        <w:spacing w:after="0" w:line="157" w:lineRule="exact"/>
        <w:rPr>
          <w:rFonts w:ascii="Arial" w:cs="Arial" w:eastAsia="Arial" w:hAnsi="Arial"/>
          <w:sz w:val="19"/>
          <w:szCs w:val="19"/>
          <w:color w:val="auto"/>
        </w:rPr>
      </w:pPr>
    </w:p>
    <w:p>
      <w:pPr>
        <w:jc w:val="both"/>
        <w:ind w:right="20" w:firstLine="1304"/>
        <w:spacing w:after="0" w:line="218" w:lineRule="auto"/>
        <w:tabs>
          <w:tab w:leader="none" w:pos="1934"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Without limiting the foregoing, the Administrative Agent (i) may treat the payee of any Note as its holder until such Note has been assigned in accordance with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(ii) may rely on the Register to the extent set forth in </w:t>
      </w:r>
      <w:r>
        <w:rPr>
          <w:rFonts w:ascii="Arial" w:cs="Arial" w:eastAsia="Arial" w:hAnsi="Arial"/>
          <w:sz w:val="20"/>
          <w:szCs w:val="20"/>
          <w:u w:val="single" w:color="auto"/>
          <w:color w:val="auto"/>
        </w:rPr>
        <w:t>Section 10.4(c)</w:t>
      </w:r>
      <w:r>
        <w:rPr>
          <w:rFonts w:ascii="Arial" w:cs="Arial" w:eastAsia="Arial" w:hAnsi="Arial"/>
          <w:sz w:val="20"/>
          <w:szCs w:val="20"/>
          <w:color w:val="auto"/>
        </w:rPr>
        <w:t>, (iii) may consult with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59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0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u w:val="single" w:color="auto"/>
          <w:color w:val="auto"/>
        </w:rPr>
        <w:t>Posting of Communications; Limitation of Liability</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44" w:lineRule="auto"/>
        <w:tabs>
          <w:tab w:leader="none" w:pos="193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Borrower agrees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firstLine="1304"/>
        <w:spacing w:after="0" w:line="215" w:lineRule="auto"/>
        <w:tabs>
          <w:tab w:leader="none" w:pos="193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spacing w:after="0" w:line="155" w:lineRule="exact"/>
        <w:rPr>
          <w:rFonts w:ascii="Arial" w:cs="Arial" w:eastAsia="Arial" w:hAnsi="Arial"/>
          <w:sz w:val="19"/>
          <w:szCs w:val="19"/>
          <w:color w:val="auto"/>
        </w:rPr>
      </w:pPr>
    </w:p>
    <w:p>
      <w:pPr>
        <w:jc w:val="both"/>
        <w:ind w:firstLine="1304"/>
        <w:spacing w:after="0" w:line="205" w:lineRule="auto"/>
        <w:tabs>
          <w:tab w:leader="none" w:pos="193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APPROVED ELECTRONIC PLATFORM AND THE COMMUNICATIONS ARE PROVIDED “AS IS” AND “AS AVAILABLE”. THE APPLICABLE PARTIES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w:t>
      </w:r>
    </w:p>
    <w:p>
      <w:pPr>
        <w:spacing w:after="0" w:line="156"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IN NO EVENT SHALL THE ADMINISTRATIVE AGENT, THE SOLE LEAD ARRANGER AND SOLE BOOKRUNNER OR ANY OF THEIR RESPECTIVE RELATED PARTIES (COLLECTIVELY, “</w:t>
      </w:r>
      <w:r>
        <w:rPr>
          <w:rFonts w:ascii="Arial" w:cs="Arial" w:eastAsia="Arial" w:hAnsi="Arial"/>
          <w:sz w:val="20"/>
          <w:szCs w:val="20"/>
          <w:u w:val="single" w:color="auto"/>
          <w:color w:val="auto"/>
        </w:rPr>
        <w:t>APPLICABLE PARTIES</w:t>
      </w:r>
      <w:r>
        <w:rPr>
          <w:rFonts w:ascii="Arial" w:cs="Arial" w:eastAsia="Arial" w:hAnsi="Arial"/>
          <w:sz w:val="20"/>
          <w:szCs w:val="20"/>
          <w:color w:val="auto"/>
        </w:rPr>
        <w:t>”) HAVE ANY LIABILITY TO ANY LENDER, ANY ISSUING BANK OR ANY OTHER PERSON OR ENTITY FOR DAMAGES OF ANY KIND, INCLUDING DIRECT OR INDIRECT, SPECIAL, INCIDENTAL OR CONSEQUENTIAL DAMAGES, LOSSES OR EXPENSES (WHETHER IN TORT,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ARISING OUT OF THE BORROWER’S OR THE ADMINISTRATIVE AGENT’S TRANSMISSION OF COMMUNICATIONS THROUGH THE INTERNET OR THE APPROVED ELECTRONIC PLATFORM.</w:t>
      </w:r>
    </w:p>
    <w:p>
      <w:pPr>
        <w:spacing w:after="0" w:line="155" w:lineRule="exact"/>
        <w:rPr>
          <w:sz w:val="20"/>
          <w:szCs w:val="20"/>
          <w:color w:val="auto"/>
        </w:rPr>
      </w:pPr>
    </w:p>
    <w:p>
      <w:pPr>
        <w:jc w:val="both"/>
        <w:spacing w:after="0" w:line="207" w:lineRule="auto"/>
        <w:rPr>
          <w:sz w:val="20"/>
          <w:szCs w:val="20"/>
          <w:color w:val="auto"/>
        </w:rPr>
      </w:pPr>
      <w:r>
        <w:rPr>
          <w:rFonts w:ascii="Arial" w:cs="Arial" w:eastAsia="Arial" w:hAnsi="Arial"/>
          <w:sz w:val="20"/>
          <w:szCs w:val="20"/>
          <w:color w:val="auto"/>
        </w:rPr>
        <w:t>NO CREDIT PARTY NOR ANY OF THEIR RESPECTIVE RELATED PARTIES SHALL BE LIABLE TO THE BORROWER FOR ANY USE BY OTHERS OF INFORMATION OR OTHER MATERIALS (INCLUDING, WITHOUT LIMITATION, ANY PERSONAL DATA) OBTAINED THROUGH TELECOMMUNICATIONS, ELECTRONIC OR OTHER INFORMATION TRANSMISSION SYSTEMS (INCLUDING THE ELECTRONIC PLATFORM) EXCEPT TO THE EXTENT SUCH LIABILITIES ARE FOUND IN A FINAL JUDGMENT BY A COURT OF COMPETENT JURISDICTION TO HAVE ARISEN FROM SUCH PARTY’S GROSS NEGLIGENCE OR WILLFUL MISCONDUCT.</w:t>
      </w:r>
    </w:p>
    <w:p>
      <w:pPr>
        <w:spacing w:after="0" w:line="160"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56" w:lineRule="exact"/>
        <w:rPr>
          <w:sz w:val="20"/>
          <w:szCs w:val="20"/>
          <w:color w:val="auto"/>
        </w:rPr>
      </w:pPr>
    </w:p>
    <w:p>
      <w:pPr>
        <w:jc w:val="both"/>
        <w:ind w:firstLine="1304"/>
        <w:spacing w:after="0" w:line="233" w:lineRule="auto"/>
        <w:tabs>
          <w:tab w:leader="none" w:pos="19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56" w:lineRule="exact"/>
        <w:rPr>
          <w:rFonts w:ascii="Arial" w:cs="Arial" w:eastAsia="Arial" w:hAnsi="Arial"/>
          <w:sz w:val="18"/>
          <w:szCs w:val="18"/>
          <w:color w:val="auto"/>
        </w:rPr>
      </w:pPr>
    </w:p>
    <w:p>
      <w:pPr>
        <w:jc w:val="both"/>
        <w:ind w:firstLine="1304"/>
        <w:spacing w:after="0" w:line="230" w:lineRule="auto"/>
        <w:tabs>
          <w:tab w:leader="none" w:pos="1934"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Each of the Lenders, each of the Issuing Banks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54" w:lineRule="exact"/>
        <w:rPr>
          <w:rFonts w:ascii="Arial" w:cs="Arial" w:eastAsia="Arial" w:hAnsi="Arial"/>
          <w:sz w:val="19"/>
          <w:szCs w:val="19"/>
          <w:color w:val="auto"/>
        </w:rPr>
      </w:pPr>
    </w:p>
    <w:p>
      <w:pPr>
        <w:ind w:firstLine="1304"/>
        <w:spacing w:after="0" w:line="242" w:lineRule="auto"/>
        <w:tabs>
          <w:tab w:leader="none" w:pos="193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53"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The Administrative Agent Individually</w:t>
      </w:r>
      <w:r>
        <w:rPr>
          <w:rFonts w:ascii="Arial" w:cs="Arial" w:eastAsia="Arial" w:hAnsi="Arial"/>
          <w:sz w:val="19"/>
          <w:szCs w:val="19"/>
          <w:color w:val="auto"/>
        </w:rPr>
        <w:t>. With respect to its Commitment,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24" w:lineRule="auto"/>
        <w:tabs>
          <w:tab w:leader="none" w:pos="193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0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57" w:lineRule="exact"/>
        <w:rPr>
          <w:sz w:val="20"/>
          <w:szCs w:val="20"/>
          <w:color w:val="auto"/>
        </w:rPr>
      </w:pPr>
    </w:p>
    <w:p>
      <w:pPr>
        <w:jc w:val="both"/>
        <w:ind w:firstLine="1304"/>
        <w:spacing w:after="0" w:line="224" w:lineRule="auto"/>
        <w:tabs>
          <w:tab w:leader="none" w:pos="193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w:t>
      </w:r>
      <w:r>
        <w:rPr>
          <w:rFonts w:ascii="Arial" w:cs="Arial" w:eastAsia="Arial" w:hAnsi="Arial"/>
          <w:sz w:val="18"/>
          <w:szCs w:val="18"/>
          <w:u w:val="single" w:color="auto"/>
          <w:color w:val="auto"/>
        </w:rPr>
        <w:t>Section 10.3</w:t>
      </w:r>
      <w:r>
        <w:rPr>
          <w:rFonts w:ascii="Arial" w:cs="Arial" w:eastAsia="Arial" w:hAnsi="Arial"/>
          <w:sz w:val="18"/>
          <w:szCs w:val="18"/>
          <w:color w:val="auto"/>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6"/>
          <w:szCs w:val="16"/>
          <w:u w:val="single" w:color="auto"/>
          <w:color w:val="auto"/>
        </w:rPr>
        <w:t>Acknowledgements of Lenders and Issuing Banks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57" w:lineRule="auto"/>
        <w:tabs>
          <w:tab w:leader="none" w:pos="1934"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Each Lender represents that it is engaged in making, acquiring or holding commercial loans in the ordinary course of its business and that it has, independently and without reliance upon the Administrative Agent, the Sole Lead Arranger and Sole Bookrunner or any other Lender,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the Sole Lead Arranger and Sole Bookrunner or any other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340" w:lineRule="exact"/>
        <w:rPr>
          <w:rFonts w:ascii="Arial" w:cs="Arial" w:eastAsia="Arial" w:hAnsi="Arial"/>
          <w:sz w:val="16"/>
          <w:szCs w:val="16"/>
          <w:color w:val="auto"/>
        </w:rPr>
      </w:pPr>
    </w:p>
    <w:p>
      <w:pPr>
        <w:jc w:val="both"/>
        <w:ind w:firstLine="656"/>
        <w:spacing w:after="0" w:line="226" w:lineRule="auto"/>
        <w:tabs>
          <w:tab w:leader="none" w:pos="128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0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xml:space="preserve"> (a) Each Lender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that at least one of the following is and will be true:</w:t>
      </w:r>
    </w:p>
    <w:p>
      <w:pPr>
        <w:spacing w:after="0" w:line="158" w:lineRule="exact"/>
        <w:rPr>
          <w:sz w:val="20"/>
          <w:szCs w:val="20"/>
          <w:color w:val="auto"/>
        </w:rPr>
      </w:pPr>
    </w:p>
    <w:p>
      <w:pPr>
        <w:ind w:left="1300" w:firstLine="652"/>
        <w:spacing w:after="0" w:line="229" w:lineRule="auto"/>
        <w:tabs>
          <w:tab w:leader="none" w:pos="2594" w:val="left"/>
        </w:tabs>
        <w:numPr>
          <w:ilvl w:val="1"/>
          <w:numId w:val="129"/>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155" w:lineRule="exact"/>
        <w:rPr>
          <w:rFonts w:ascii="Arial" w:cs="Arial" w:eastAsia="Arial" w:hAnsi="Arial"/>
          <w:sz w:val="20"/>
          <w:szCs w:val="20"/>
          <w:color w:val="auto"/>
        </w:rPr>
      </w:pPr>
    </w:p>
    <w:p>
      <w:pPr>
        <w:jc w:val="both"/>
        <w:ind w:left="1300" w:firstLine="652"/>
        <w:spacing w:after="0" w:line="229" w:lineRule="auto"/>
        <w:tabs>
          <w:tab w:leader="none" w:pos="259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6" w:lineRule="exact"/>
        <w:rPr>
          <w:rFonts w:ascii="Arial" w:cs="Arial" w:eastAsia="Arial" w:hAnsi="Arial"/>
          <w:sz w:val="18"/>
          <w:szCs w:val="18"/>
          <w:color w:val="auto"/>
        </w:rPr>
      </w:pPr>
    </w:p>
    <w:p>
      <w:pPr>
        <w:jc w:val="both"/>
        <w:ind w:left="1300" w:firstLine="652"/>
        <w:spacing w:after="0" w:line="222" w:lineRule="auto"/>
        <w:tabs>
          <w:tab w:leader="none" w:pos="259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w:t>
      </w:r>
    </w:p>
    <w:p>
      <w:pPr>
        <w:spacing w:after="0" w:line="3" w:lineRule="exact"/>
        <w:rPr>
          <w:rFonts w:ascii="Arial" w:cs="Arial" w:eastAsia="Arial" w:hAnsi="Arial"/>
          <w:sz w:val="18"/>
          <w:szCs w:val="18"/>
          <w:color w:val="auto"/>
        </w:rPr>
      </w:pPr>
    </w:p>
    <w:p>
      <w:pPr>
        <w:jc w:val="both"/>
        <w:ind w:left="1300" w:firstLine="4"/>
        <w:spacing w:after="0" w:line="213" w:lineRule="auto"/>
        <w:tabs>
          <w:tab w:leader="none" w:pos="162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4" w:lineRule="exact"/>
        <w:rPr>
          <w:rFonts w:ascii="Arial" w:cs="Arial" w:eastAsia="Arial" w:hAnsi="Arial"/>
          <w:sz w:val="20"/>
          <w:szCs w:val="20"/>
          <w:color w:val="auto"/>
        </w:rPr>
      </w:pPr>
    </w:p>
    <w:p>
      <w:pPr>
        <w:ind w:left="1300" w:firstLine="652"/>
        <w:spacing w:after="0" w:line="229" w:lineRule="auto"/>
        <w:tabs>
          <w:tab w:leader="none" w:pos="2585" w:val="left"/>
        </w:tabs>
        <w:numPr>
          <w:ilvl w:val="1"/>
          <w:numId w:val="130"/>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jc w:val="both"/>
        <w:ind w:firstLine="1304"/>
        <w:spacing w:after="0" w:line="216" w:lineRule="auto"/>
        <w:tabs>
          <w:tab w:leader="none" w:pos="193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Sole Lead Arranger and Sole Bookrunner and their respective Affiliates, and not, for the avoidance of doubt, to or for the benefit of the Borrower, that none of the Administrative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54" w:lineRule="exact"/>
        <w:rPr>
          <w:rFonts w:ascii="Arial" w:cs="Arial" w:eastAsia="Arial" w:hAnsi="Arial"/>
          <w:sz w:val="19"/>
          <w:szCs w:val="19"/>
          <w:color w:val="auto"/>
        </w:rPr>
      </w:pPr>
    </w:p>
    <w:p>
      <w:pPr>
        <w:jc w:val="both"/>
        <w:ind w:firstLine="1304"/>
        <w:spacing w:after="0" w:line="231" w:lineRule="auto"/>
        <w:tabs>
          <w:tab w:leader="none" w:pos="19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Administrative Agent and the Sole Lead Arranger and Sole Bookrunner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01" w:lineRule="exact"/>
        <w:rPr>
          <w:sz w:val="20"/>
          <w:szCs w:val="20"/>
          <w:color w:val="auto"/>
        </w:rPr>
      </w:pPr>
    </w:p>
    <w:p>
      <w:pPr>
        <w:jc w:val="both"/>
        <w:ind w:firstLine="8"/>
        <w:spacing w:after="0" w:line="210" w:lineRule="auto"/>
        <w:tabs>
          <w:tab w:leader="none" w:pos="38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54" w:lineRule="exact"/>
        <w:rPr>
          <w:rFonts w:ascii="Arial" w:cs="Arial" w:eastAsia="Arial" w:hAnsi="Arial"/>
          <w:sz w:val="20"/>
          <w:szCs w:val="20"/>
          <w:color w:val="auto"/>
        </w:rPr>
      </w:pPr>
    </w:p>
    <w:p>
      <w:pPr>
        <w:jc w:val="both"/>
        <w:ind w:firstLine="1304"/>
        <w:spacing w:after="0" w:line="212" w:lineRule="auto"/>
        <w:tabs>
          <w:tab w:leader="none" w:pos="1932" w:val="left"/>
        </w:tabs>
        <w:numPr>
          <w:ilvl w:val="1"/>
          <w:numId w:val="132"/>
        </w:numPr>
        <w:rPr>
          <w:rFonts w:ascii="Arial" w:cs="Arial" w:eastAsia="Arial" w:hAnsi="Arial"/>
          <w:sz w:val="19"/>
          <w:szCs w:val="19"/>
          <w:color w:val="auto"/>
        </w:rPr>
      </w:pPr>
      <w:r>
        <w:rPr>
          <w:rFonts w:ascii="Arial" w:cs="Arial" w:eastAsia="Arial" w:hAnsi="Arial"/>
          <w:sz w:val="19"/>
          <w:szCs w:val="19"/>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9.7(d) shall be conclusive, absent manifest error.</w:t>
      </w:r>
    </w:p>
    <w:p>
      <w:pPr>
        <w:spacing w:after="0" w:line="162" w:lineRule="exact"/>
        <w:rPr>
          <w:sz w:val="20"/>
          <w:szCs w:val="20"/>
          <w:color w:val="auto"/>
        </w:rPr>
      </w:pPr>
    </w:p>
    <w:p>
      <w:pPr>
        <w:ind w:left="1780" w:hanging="476"/>
        <w:spacing w:after="0"/>
        <w:tabs>
          <w:tab w:leader="none" w:pos="17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Each Lender hereby further agrees that if it receives a Payment from the Administrative Agent or any of its Affiliates</w:t>
      </w:r>
    </w:p>
    <w:p>
      <w:pPr>
        <w:jc w:val="both"/>
        <w:ind w:left="660" w:hanging="4"/>
        <w:spacing w:after="0" w:line="224" w:lineRule="auto"/>
        <w:tabs>
          <w:tab w:leader="none" w:pos="95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that is in a different amount than, or on a different date from, that specified in a notice of payment sent by the Administrative Agent (or any of its Affiliates) with respect to such Payment (a “</w:t>
      </w:r>
      <w:r>
        <w:rPr>
          <w:rFonts w:ascii="Arial" w:cs="Arial" w:eastAsia="Arial" w:hAnsi="Arial"/>
          <w:sz w:val="18"/>
          <w:szCs w:val="18"/>
          <w:b w:val="1"/>
          <w:bCs w:val="1"/>
          <w:i w:val="1"/>
          <w:iCs w:val="1"/>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8" w:lineRule="exact"/>
        <w:rPr>
          <w:rFonts w:ascii="Arial" w:cs="Arial" w:eastAsia="Arial" w:hAnsi="Arial"/>
          <w:sz w:val="18"/>
          <w:szCs w:val="18"/>
          <w:color w:val="auto"/>
        </w:rPr>
      </w:pPr>
    </w:p>
    <w:p>
      <w:pPr>
        <w:jc w:val="both"/>
        <w:ind w:left="660" w:firstLine="644"/>
        <w:spacing w:after="0" w:line="224" w:lineRule="auto"/>
        <w:tabs>
          <w:tab w:leader="none" w:pos="182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The Borrower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under any Loan Document.</w:t>
      </w:r>
    </w:p>
    <w:p>
      <w:pPr>
        <w:spacing w:after="0" w:line="156" w:lineRule="exact"/>
        <w:rPr>
          <w:rFonts w:ascii="Arial" w:cs="Arial" w:eastAsia="Arial" w:hAnsi="Arial"/>
          <w:sz w:val="19"/>
          <w:szCs w:val="19"/>
          <w:color w:val="auto"/>
        </w:rPr>
      </w:pPr>
    </w:p>
    <w:p>
      <w:pPr>
        <w:jc w:val="both"/>
        <w:ind w:left="660" w:firstLine="644"/>
        <w:spacing w:after="0" w:line="218" w:lineRule="auto"/>
        <w:tabs>
          <w:tab w:leader="none" w:pos="1851" w:val="left"/>
        </w:tabs>
        <w:numPr>
          <w:ilvl w:val="1"/>
          <w:numId w:val="134"/>
        </w:numPr>
        <w:rPr>
          <w:rFonts w:ascii="Arial" w:cs="Arial" w:eastAsia="Arial" w:hAnsi="Arial"/>
          <w:sz w:val="20"/>
          <w:szCs w:val="20"/>
          <w:color w:val="auto"/>
        </w:rPr>
      </w:pPr>
      <w:r>
        <w:rPr>
          <w:rFonts w:ascii="Arial" w:cs="Arial" w:eastAsia="Arial" w:hAnsi="Arial"/>
          <w:sz w:val="20"/>
          <w:szCs w:val="20"/>
          <w:color w:val="auto"/>
        </w:rPr>
        <w:t>Each party’s obligations under this Section 9.7(d)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7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10.</w:t>
      </w:r>
    </w:p>
    <w:p>
      <w:pPr>
        <w:ind w:left="4800"/>
        <w:spacing w:after="0"/>
        <w:rPr>
          <w:sz w:val="20"/>
          <w:szCs w:val="20"/>
          <w:color w:val="auto"/>
        </w:rPr>
      </w:pPr>
      <w:r>
        <w:rPr>
          <w:rFonts w:ascii="Arial" w:cs="Arial" w:eastAsia="Arial" w:hAnsi="Arial"/>
          <w:sz w:val="20"/>
          <w:szCs w:val="20"/>
          <w:color w:val="auto"/>
        </w:rPr>
        <w:t>MISCELLANEOUS</w:t>
      </w:r>
    </w:p>
    <w:p>
      <w:pPr>
        <w:spacing w:after="0" w:line="15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3" w:lineRule="auto"/>
        <w:tabs>
          <w:tab w:leader="none" w:pos="1934"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facsimile (or e-mail in accordance with </w:t>
      </w:r>
      <w:r>
        <w:rPr>
          <w:rFonts w:ascii="Arial" w:cs="Arial" w:eastAsia="Arial" w:hAnsi="Arial"/>
          <w:sz w:val="20"/>
          <w:szCs w:val="20"/>
          <w:u w:val="single" w:color="auto"/>
          <w:color w:val="auto"/>
        </w:rPr>
        <w:t>Section 10.1(b)</w:t>
      </w:r>
      <w:r>
        <w:rPr>
          <w:rFonts w:ascii="Arial" w:cs="Arial" w:eastAsia="Arial" w:hAnsi="Arial"/>
          <w:sz w:val="20"/>
          <w:szCs w:val="20"/>
          <w:color w:val="auto"/>
        </w:rPr>
        <w:t xml:space="preserve"> below) as follows:</w:t>
      </w:r>
    </w:p>
    <w:p>
      <w:pPr>
        <w:spacing w:after="0" w:line="155" w:lineRule="exact"/>
        <w:rPr>
          <w:rFonts w:ascii="Arial" w:cs="Arial" w:eastAsia="Arial" w:hAnsi="Arial"/>
          <w:sz w:val="20"/>
          <w:szCs w:val="20"/>
          <w:color w:val="auto"/>
        </w:rPr>
      </w:pPr>
    </w:p>
    <w:p>
      <w:pPr>
        <w:ind w:left="1300" w:firstLine="652"/>
        <w:spacing w:after="0" w:line="229" w:lineRule="auto"/>
        <w:tabs>
          <w:tab w:leader="none" w:pos="2594"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if to the Borrower, to it at 30 West Superior Street, Duluth, Minnesota, Attention of: Patrick L. Cutshall, Treasurer, Phone: 218-723-3978, Fax: 218-723-3912, Email: </w:t>
      </w:r>
      <w:r>
        <w:rPr>
          <w:rFonts w:ascii="Arial" w:cs="Arial" w:eastAsia="Arial" w:hAnsi="Arial"/>
          <w:sz w:val="20"/>
          <w:szCs w:val="20"/>
          <w:u w:val="single" w:color="auto"/>
          <w:color w:val="0000FF"/>
        </w:rPr>
        <w:t>pcutshall@allete.com</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if to the Administrative Agent,</w:t>
      </w:r>
    </w:p>
    <w:p>
      <w:pPr>
        <w:spacing w:after="0" w:line="175" w:lineRule="exact"/>
        <w:rPr>
          <w:rFonts w:ascii="Arial" w:cs="Arial" w:eastAsia="Arial" w:hAnsi="Arial"/>
          <w:sz w:val="20"/>
          <w:szCs w:val="20"/>
          <w:color w:val="auto"/>
        </w:rPr>
      </w:pPr>
    </w:p>
    <w:p>
      <w:pPr>
        <w:ind w:left="1960" w:firstLine="640"/>
        <w:spacing w:after="0" w:line="269" w:lineRule="auto"/>
        <w:tabs>
          <w:tab w:leader="none" w:pos="3135" w:val="left"/>
        </w:tabs>
        <w:numPr>
          <w:ilvl w:val="4"/>
          <w:numId w:val="135"/>
        </w:numPr>
        <w:rPr>
          <w:rFonts w:ascii="Arial" w:cs="Arial" w:eastAsia="Arial" w:hAnsi="Arial"/>
          <w:sz w:val="18"/>
          <w:szCs w:val="18"/>
          <w:color w:val="auto"/>
        </w:rPr>
      </w:pPr>
      <w:r>
        <w:rPr>
          <w:rFonts w:ascii="Arial" w:cs="Arial" w:eastAsia="Arial" w:hAnsi="Arial"/>
          <w:sz w:val="18"/>
          <w:szCs w:val="18"/>
          <w:color w:val="auto"/>
        </w:rPr>
        <w:t xml:space="preserve">for Loans or Borrowings, to it at its Loan and Agency Services Group, 10 S. Dearborn Street, Floor L2, Chicago, Illinois, Attention of: Steven Jakubowski, Fax: 844-490-5663, Email: </w:t>
      </w:r>
      <w:r>
        <w:rPr>
          <w:rFonts w:ascii="Arial" w:cs="Arial" w:eastAsia="Arial" w:hAnsi="Arial"/>
          <w:sz w:val="18"/>
          <w:szCs w:val="18"/>
          <w:u w:val="single" w:color="auto"/>
          <w:color w:val="auto"/>
        </w:rPr>
        <w:t>steven.jakubowski@chase.com</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2680" w:hanging="494"/>
        <w:spacing w:after="0"/>
        <w:tabs>
          <w:tab w:leader="none" w:pos="268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for Letters of Credit, to it at its Letter of Credit Agency Servicing Group, 10 S. Dearborn Street, Floor 07,</w:t>
      </w:r>
    </w:p>
    <w:p>
      <w:pPr>
        <w:ind w:left="1960"/>
        <w:spacing w:after="0" w:line="220" w:lineRule="auto"/>
        <w:rPr>
          <w:rFonts w:ascii="Arial" w:cs="Arial" w:eastAsia="Arial" w:hAnsi="Arial"/>
          <w:sz w:val="18"/>
          <w:szCs w:val="18"/>
          <w:color w:val="auto"/>
        </w:rPr>
      </w:pPr>
      <w:r>
        <w:rPr>
          <w:rFonts w:ascii="Arial" w:cs="Arial" w:eastAsia="Arial" w:hAnsi="Arial"/>
          <w:sz w:val="20"/>
          <w:szCs w:val="20"/>
          <w:color w:val="auto"/>
        </w:rPr>
        <w:t xml:space="preserve">Chicago, Illinois, Attention of: Pavithra Charles, Phone: 855-609-9959, Email: </w:t>
      </w:r>
      <w:r>
        <w:rPr>
          <w:rFonts w:ascii="Arial" w:cs="Arial" w:eastAsia="Arial" w:hAnsi="Arial"/>
          <w:sz w:val="20"/>
          <w:szCs w:val="20"/>
          <w:u w:val="single" w:color="auto"/>
          <w:color w:val="0000FF"/>
        </w:rPr>
        <w:t>chicago.lc.agency.activity.team@jpmchase.com</w:t>
      </w:r>
      <w:r>
        <w:rPr>
          <w:rFonts w:ascii="Arial" w:cs="Arial" w:eastAsia="Arial" w:hAnsi="Arial"/>
          <w:sz w:val="20"/>
          <w:szCs w:val="20"/>
          <w:color w:val="000000"/>
        </w:rPr>
        <w:t>;</w:t>
      </w:r>
    </w:p>
    <w:p>
      <w:pPr>
        <w:spacing w:after="0" w:line="156" w:lineRule="exact"/>
        <w:rPr>
          <w:rFonts w:ascii="Arial" w:cs="Arial" w:eastAsia="Arial" w:hAnsi="Arial"/>
          <w:sz w:val="18"/>
          <w:szCs w:val="18"/>
          <w:color w:val="auto"/>
        </w:rPr>
      </w:pPr>
    </w:p>
    <w:p>
      <w:pPr>
        <w:jc w:val="both"/>
        <w:ind w:left="1960" w:firstLine="282"/>
        <w:spacing w:after="0" w:line="218" w:lineRule="auto"/>
        <w:tabs>
          <w:tab w:leader="none" w:pos="2804" w:val="left"/>
        </w:tabs>
        <w:numPr>
          <w:ilvl w:val="3"/>
          <w:numId w:val="135"/>
        </w:numPr>
        <w:rPr>
          <w:rFonts w:ascii="Arial" w:cs="Arial" w:eastAsia="Arial" w:hAnsi="Arial"/>
          <w:sz w:val="20"/>
          <w:szCs w:val="20"/>
          <w:color w:val="auto"/>
        </w:rPr>
      </w:pPr>
      <w:r>
        <w:rPr>
          <w:rFonts w:ascii="Arial" w:cs="Arial" w:eastAsia="Arial" w:hAnsi="Arial"/>
          <w:sz w:val="20"/>
          <w:szCs w:val="20"/>
          <w:color w:val="auto"/>
        </w:rPr>
        <w:t xml:space="preserve">for credit related matters including compliance requirements pursuant to </w:t>
      </w: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to it at its Power &amp; Utilities Credit, 8181 Communications Pkwy, Building B, 6th Floor, Plano, TX 75024, Attention of: Ladi Oluwole, Phone: 972 324 2605, Email: </w:t>
      </w:r>
      <w:r>
        <w:rPr>
          <w:rFonts w:ascii="Arial" w:cs="Arial" w:eastAsia="Arial" w:hAnsi="Arial"/>
          <w:sz w:val="20"/>
          <w:szCs w:val="20"/>
          <w:u w:val="single" w:color="auto"/>
          <w:color w:val="0000FF"/>
        </w:rPr>
        <w:t>ladi.oluwole@jpmorgan.com</w:t>
      </w:r>
      <w:r>
        <w:rPr>
          <w:rFonts w:ascii="Arial" w:cs="Arial" w:eastAsia="Arial" w:hAnsi="Arial"/>
          <w:sz w:val="20"/>
          <w:szCs w:val="20"/>
          <w:color w:val="auto"/>
        </w:rPr>
        <w:t>; and</w:t>
      </w:r>
    </w:p>
    <w:p>
      <w:pPr>
        <w:spacing w:after="0" w:line="131" w:lineRule="exact"/>
        <w:rPr>
          <w:rFonts w:ascii="Arial" w:cs="Arial" w:eastAsia="Arial" w:hAnsi="Arial"/>
          <w:sz w:val="20"/>
          <w:szCs w:val="20"/>
          <w:color w:val="auto"/>
        </w:rPr>
      </w:pPr>
    </w:p>
    <w:p>
      <w:pPr>
        <w:ind w:left="2700" w:hanging="748"/>
        <w:spacing w:after="0"/>
        <w:tabs>
          <w:tab w:leader="none" w:pos="2700" w:val="left"/>
        </w:tabs>
        <w:numPr>
          <w:ilvl w:val="1"/>
          <w:numId w:val="135"/>
        </w:numPr>
        <w:rPr>
          <w:rFonts w:ascii="Arial" w:cs="Arial" w:eastAsia="Arial" w:hAnsi="Arial"/>
          <w:sz w:val="20"/>
          <w:szCs w:val="20"/>
          <w:color w:val="auto"/>
        </w:rPr>
      </w:pPr>
      <w:r>
        <w:rPr>
          <w:rFonts w:ascii="Arial" w:cs="Arial" w:eastAsia="Arial" w:hAnsi="Arial"/>
          <w:sz w:val="20"/>
          <w:szCs w:val="20"/>
          <w:color w:val="auto"/>
        </w:rPr>
        <w:t>if to any other Credit Party, to it at its address (or facsimile number) set forth in its Administrative</w:t>
      </w:r>
    </w:p>
    <w:p>
      <w:pPr>
        <w:ind w:left="1300"/>
        <w:spacing w:after="0"/>
        <w:rPr>
          <w:rFonts w:ascii="Arial" w:cs="Arial" w:eastAsia="Arial" w:hAnsi="Arial"/>
          <w:sz w:val="20"/>
          <w:szCs w:val="20"/>
          <w:color w:val="auto"/>
        </w:rPr>
      </w:pPr>
      <w:r>
        <w:rPr>
          <w:rFonts w:ascii="Arial" w:cs="Arial" w:eastAsia="Arial" w:hAnsi="Arial"/>
          <w:sz w:val="20"/>
          <w:szCs w:val="20"/>
          <w:color w:val="auto"/>
        </w:rPr>
        <w:t>Questionnaire.</w:t>
      </w:r>
    </w:p>
    <w:p>
      <w:pPr>
        <w:spacing w:after="0" w:line="159" w:lineRule="exact"/>
        <w:rPr>
          <w:sz w:val="20"/>
          <w:szCs w:val="20"/>
          <w:color w:val="auto"/>
        </w:rPr>
      </w:pPr>
    </w:p>
    <w:p>
      <w:pPr>
        <w:jc w:val="both"/>
        <w:ind w:firstLine="1296"/>
        <w:spacing w:after="0" w:line="210" w:lineRule="auto"/>
        <w:rPr>
          <w:sz w:val="20"/>
          <w:szCs w:val="20"/>
          <w:color w:val="auto"/>
        </w:rPr>
      </w:pPr>
      <w:r>
        <w:rPr>
          <w:rFonts w:ascii="Arial" w:cs="Arial" w:eastAsia="Arial" w:hAnsi="Arial"/>
          <w:sz w:val="20"/>
          <w:szCs w:val="20"/>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or Approved Electronic Platforms to the extent provided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paragraph (b)</w:t>
      </w:r>
      <w:r>
        <w:rPr>
          <w:rFonts w:ascii="Arial" w:cs="Arial" w:eastAsia="Arial" w:hAnsi="Arial"/>
          <w:sz w:val="20"/>
          <w:szCs w:val="20"/>
          <w:color w:val="auto"/>
        </w:rPr>
        <w:t>.</w:t>
      </w:r>
    </w:p>
    <w:p>
      <w:pPr>
        <w:spacing w:after="0" w:line="155" w:lineRule="exact"/>
        <w:rPr>
          <w:sz w:val="20"/>
          <w:szCs w:val="20"/>
          <w:color w:val="auto"/>
        </w:rPr>
      </w:pPr>
    </w:p>
    <w:p>
      <w:pPr>
        <w:jc w:val="both"/>
        <w:ind w:firstLine="1304"/>
        <w:spacing w:after="0" w:line="207" w:lineRule="auto"/>
        <w:tabs>
          <w:tab w:leader="none" w:pos="1932"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and the Issuing Banks hereunder may be delivered or furnished by using Approved Electronic Platforms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pursuant to </w:t>
      </w:r>
      <w:r>
        <w:rPr>
          <w:rFonts w:ascii="Arial" w:cs="Arial" w:eastAsia="Arial" w:hAnsi="Arial"/>
          <w:sz w:val="20"/>
          <w:szCs w:val="20"/>
          <w:u w:val="single" w:color="auto"/>
          <w:color w:val="auto"/>
        </w:rPr>
        <w:t>Article 2</w:t>
      </w:r>
      <w:r>
        <w:rPr>
          <w:rFonts w:ascii="Arial" w:cs="Arial" w:eastAsia="Arial" w:hAnsi="Arial"/>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60"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6.2</w:t>
      </w:r>
      <w:r>
        <w:rPr>
          <w:rFonts w:ascii="Arial" w:cs="Arial" w:eastAsia="Arial" w:hAnsi="Arial"/>
          <w:sz w:val="20"/>
          <w:szCs w:val="20"/>
          <w:color w:val="auto"/>
        </w:rPr>
        <w:t>, the Borrower’s website is www.allete.com.</w:t>
      </w:r>
    </w:p>
    <w:p>
      <w:pPr>
        <w:spacing w:after="0" w:line="175" w:lineRule="exact"/>
        <w:rPr>
          <w:sz w:val="20"/>
          <w:szCs w:val="20"/>
          <w:color w:val="auto"/>
        </w:rPr>
      </w:pPr>
    </w:p>
    <w:p>
      <w:pPr>
        <w:ind w:firstLine="1304"/>
        <w:spacing w:after="0" w:line="229" w:lineRule="auto"/>
        <w:tabs>
          <w:tab w:leader="none" w:pos="1934"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xml:space="preserve"> Any party hereto may change its address or facsimile number or e-mail address for notices and other communications hereunder by notice to the other parties hereto.</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27" w:lineRule="auto"/>
        <w:tabs>
          <w:tab w:leader="none" w:pos="19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No failure or delay by any Credit Party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Credit Parties under the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and then such waiver or consent shall be effective only in the specific instance and for the purpose for which given. Without limiting the generality of the foregoing, the making of a Loan and/or the issuance, amendment, extension or renewal of a Letter of Credit shall not be construed as a waiver of any Default, regardless of whether any Credit Party may have had notice or knowledge of such Default at the time.</w:t>
      </w:r>
    </w:p>
    <w:p>
      <w:pPr>
        <w:spacing w:after="0" w:line="155" w:lineRule="exact"/>
        <w:rPr>
          <w:rFonts w:ascii="Arial" w:cs="Arial" w:eastAsia="Arial" w:hAnsi="Arial"/>
          <w:sz w:val="18"/>
          <w:szCs w:val="18"/>
          <w:color w:val="auto"/>
        </w:rPr>
      </w:pPr>
    </w:p>
    <w:p>
      <w:pPr>
        <w:jc w:val="both"/>
        <w:ind w:firstLine="1304"/>
        <w:spacing w:after="0" w:line="223" w:lineRule="auto"/>
        <w:tabs>
          <w:tab w:leader="none" w:pos="19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3.4(c)</w:t>
      </w:r>
      <w:r>
        <w:rPr>
          <w:rFonts w:ascii="Arial" w:cs="Arial" w:eastAsia="Arial" w:hAnsi="Arial"/>
          <w:sz w:val="18"/>
          <w:szCs w:val="18"/>
          <w:color w:val="auto"/>
        </w:rPr>
        <w:t xml:space="preserve">, neither any Loan Document nor any provision thereof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increase the Commitment of any Lender without the written consent of such Lender or increase the Letter of Credit Commitment of any Issuing Bank without the consent of such Issuing Bank, reduce the principal amount of any Loan or any reimbursement obligation with respect to a LC Disbursement, or reduce the rate of any interest, or reduce any fees, payable under the Loan Documents, without the written consent of each Credit Party affected thereby, postpone the date of payment at stated maturity of any Loan or the date of payment of any reimbursement obligation with respect to an LC Disbursement, or the date of any interest or any fees payable under the Loan Documents, or reduce the amount of, waive or excuse any such payment, or postpone the stated termination or expiration of the Commitments without the written consent of each Credit Party affected thereby, change any provision hereof in a manner that would alter the pro rata sharing of payments required by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2.10(c)</w:t>
      </w:r>
      <w:r>
        <w:rPr>
          <w:rFonts w:ascii="Arial" w:cs="Arial" w:eastAsia="Arial" w:hAnsi="Arial"/>
          <w:sz w:val="18"/>
          <w:szCs w:val="18"/>
          <w:color w:val="auto"/>
        </w:rPr>
        <w:t xml:space="preserve"> or the pro rata reduction of Commitments required by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without the written consent of each Credit Party affected thereby, and 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or change the currency in which Loans are to be made, Letters of Credit are to be issued or payment under the Loan Documents is to be made, or add additional borrowers, without the written consent of each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agreement shall amend, modify or otherwise affect the rights or duties of the Administrative Agent or the Issuing Banks hereunder without the prior written consent of the Administrative Agent or such Issuing Banks, as applicable.</w:t>
      </w:r>
    </w:p>
    <w:p>
      <w:pPr>
        <w:spacing w:after="0" w:line="16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29" w:lineRule="auto"/>
        <w:tabs>
          <w:tab w:leader="none" w:pos="1934"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Cost and Expenses</w:t>
      </w:r>
      <w:r>
        <w:rPr>
          <w:rFonts w:ascii="Arial" w:cs="Arial" w:eastAsia="Arial" w:hAnsi="Arial"/>
          <w:sz w:val="20"/>
          <w:szCs w:val="20"/>
          <w:color w:val="auto"/>
        </w:rPr>
        <w:t>. The Borrower shall pay all reasonable out-of-pocket costs and expenses incurred by the Administrative Agent and its Affiliates, including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0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fees, charges and disbursements of counsel for the Administrative Agent, in connection with the syndication of the credit facilities provided for herein, the preparation and administration of each Loan Document or any amendments, modifications or waivers of the provisions thereof (whether or not the transactions contemplated thereby shall be consummated), all reasonable out-of-pocket costs and expenses incurred by an Issuing Bank in connection with the issuance, amendment, renewal or extension of any Letter of Credit or any demand for payment thereunder and (iii) all reasonable out-of-pocket costs and expenses incurred by any Credit Party, including the reasonable fees, charges and disbursements of any counsel for any Credit Party and any consultant or expert witness fees and expenses, in connection with the enforcement or protection of its rights in connection with the Loan Documents, including its rights under this Section, or in connection with the Loans made or Letters of Credit issued hereunder, including all such reasonable out-of-pocket costs and expenses incurred during any workout, restructuring or negotiations in respect of such Loans or Letters of Credit.</w:t>
      </w:r>
    </w:p>
    <w:p>
      <w:pPr>
        <w:spacing w:after="0" w:line="155" w:lineRule="exact"/>
        <w:rPr>
          <w:sz w:val="20"/>
          <w:szCs w:val="20"/>
          <w:color w:val="auto"/>
        </w:rPr>
      </w:pPr>
    </w:p>
    <w:p>
      <w:pPr>
        <w:jc w:val="both"/>
        <w:ind w:firstLine="1304"/>
        <w:spacing w:after="0" w:line="223" w:lineRule="auto"/>
        <w:tabs>
          <w:tab w:leader="none" w:pos="19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w:t>
      </w:r>
      <w:r>
        <w:rPr>
          <w:rFonts w:ascii="Arial" w:cs="Arial" w:eastAsia="Arial" w:hAnsi="Arial"/>
          <w:sz w:val="18"/>
          <w:szCs w:val="18"/>
          <w:color w:val="auto"/>
        </w:rPr>
        <w:t>. The Borrower shall indemnify each Credit Party and each Related Party thereof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or asserted against any Indemnitee arising out of, in connection with, or as a result of the execution or delivery of any Loan Document or any agreement or instrument contemplated thereby, the performance by the parties to the Loan Documents of their respective obligations thereunder or the consummation of the Transactions or any other transactions contemplated thereby, any Loan or Letter of Credit or the use of the proceeds thereof including any refusal of an Issuing Bank to honor a demand for payment under a Letter of Credit if the documents presented in connection with such demand do not strictly comply with the terms of such Letter of Credit, any actual or alleged presence or release of Hazardous Materials on or from any property owned or operated by the Borrower or any of the Subsidiaries, or any liability under any Environmental Law related in any way to the Borrower or any of the Subsidiaries or any actual or prospective claim, litigation, investigation or proceeding relating to any of the foregoing,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or a breach in bad faith by such Indemnitee or arising solely from claims between or among one or more Indemnitees.</w:t>
      </w:r>
    </w:p>
    <w:p>
      <w:pPr>
        <w:spacing w:after="0" w:line="166" w:lineRule="exact"/>
        <w:rPr>
          <w:rFonts w:ascii="Arial" w:cs="Arial" w:eastAsia="Arial" w:hAnsi="Arial"/>
          <w:sz w:val="18"/>
          <w:szCs w:val="18"/>
          <w:color w:val="auto"/>
        </w:rPr>
      </w:pPr>
    </w:p>
    <w:p>
      <w:pPr>
        <w:jc w:val="both"/>
        <w:ind w:firstLine="1304"/>
        <w:spacing w:after="0" w:line="226" w:lineRule="auto"/>
        <w:tabs>
          <w:tab w:leader="none" w:pos="1934"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fails to pay any amount required to be paid by it to the Administrative Agent or an Issuing Bank under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without limiting the Borrower’s obligation to do so), each Lender severally agrees to pay to the Administrative Agent or such Issuing Bank, as applicable, an amount equal to the product of such unpaid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a fraction, the numerator of which is the sum of such Lender’s unused Commitment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such Lender’s Loans and such Lender’s LC Exposure and the denominator of which is the sum of the unused Commitments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outstanding principal balance of all Lenders Loans and the LC Exposure of all Lenders (in each case determined as of the time that the applicable unreimbursed expense or indemnity payment is sought or, in the event that no Lender shall have any unused Commitments, outstanding Loans or LC Exposure at such time, as of the last time at which any Lender had any unused Commitments, outstanding Loans or LC Exposure),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applicable, was incurred by or asserted against the Administrative Agent or an Issuing Bank, as applicable, in its capacity as such.</w:t>
      </w:r>
    </w:p>
    <w:p>
      <w:pPr>
        <w:spacing w:after="0" w:line="156" w:lineRule="exact"/>
        <w:rPr>
          <w:rFonts w:ascii="Arial" w:cs="Arial" w:eastAsia="Arial" w:hAnsi="Arial"/>
          <w:sz w:val="18"/>
          <w:szCs w:val="18"/>
          <w:color w:val="auto"/>
        </w:rPr>
      </w:pPr>
    </w:p>
    <w:p>
      <w:pPr>
        <w:jc w:val="both"/>
        <w:ind w:firstLine="1304"/>
        <w:spacing w:after="0" w:line="233" w:lineRule="auto"/>
        <w:tabs>
          <w:tab w:leader="none" w:pos="19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extent permitted by applicable law, no party hereto shall assert, and each such party hereby waives, any claims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10.3(d)</w:t>
      </w:r>
      <w:r>
        <w:rPr>
          <w:rFonts w:ascii="Arial" w:cs="Arial" w:eastAsia="Arial" w:hAnsi="Arial"/>
          <w:sz w:val="18"/>
          <w:szCs w:val="18"/>
          <w:color w:val="auto"/>
        </w:rPr>
        <w:t xml:space="preserve"> shall relieve the Borrower of any obligation it may have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67</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indemnify an Indemnitee, as provided in </w:t>
      </w:r>
      <w:r>
        <w:rPr>
          <w:rFonts w:ascii="Arial" w:cs="Arial" w:eastAsia="Arial" w:hAnsi="Arial"/>
          <w:sz w:val="20"/>
          <w:szCs w:val="20"/>
          <w:u w:val="single" w:color="auto"/>
          <w:color w:val="auto"/>
        </w:rPr>
        <w:t>Section 10.3(b)</w:t>
      </w:r>
      <w:r>
        <w:rPr>
          <w:rFonts w:ascii="Arial" w:cs="Arial" w:eastAsia="Arial" w:hAnsi="Arial"/>
          <w:sz w:val="20"/>
          <w:szCs w:val="20"/>
          <w:color w:val="auto"/>
        </w:rPr>
        <w:t>, against any special, indirect, consequential or punitive damages asserted against such Indemnitee by a third party.</w:t>
      </w:r>
    </w:p>
    <w:p>
      <w:pPr>
        <w:spacing w:after="0" w:line="155" w:lineRule="exact"/>
        <w:rPr>
          <w:sz w:val="20"/>
          <w:szCs w:val="20"/>
          <w:color w:val="auto"/>
        </w:rPr>
      </w:pPr>
    </w:p>
    <w:p>
      <w:pPr>
        <w:ind w:firstLine="1304"/>
        <w:spacing w:after="0" w:line="229" w:lineRule="auto"/>
        <w:tabs>
          <w:tab w:leader="none" w:pos="1934"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All amounts due under this Section shall be payable promptly but in no event later than ten days after written demand therefor.</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14" w:lineRule="auto"/>
        <w:tabs>
          <w:tab w:leader="none" w:pos="1934"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to an Eligible Assignee in accordance with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by way of participation in accordance with the provisions of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or by way of pledge or assignment of a security interest subject to the restrictions of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and, to the extent expressly contemplated hereby, the Related Parties of each Credit Party) any legal or equitable right, remedy or claim under or by reason of this Agreement.</w:t>
      </w:r>
    </w:p>
    <w:p>
      <w:pPr>
        <w:spacing w:after="0" w:line="157"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(and if demanded by Borrower pursuant to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shall to the extent required thereby) at any time assign to one or more Eligible Assignees all or a portion of its rights and obligations under this Agreement (including all or a portion of its Commitments and the Loans and obligations in respect of its LC Exposure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55" w:lineRule="exact"/>
        <w:rPr>
          <w:rFonts w:ascii="Arial" w:cs="Arial" w:eastAsia="Arial" w:hAnsi="Arial"/>
          <w:sz w:val="20"/>
          <w:szCs w:val="20"/>
          <w:color w:val="auto"/>
        </w:rPr>
      </w:pPr>
    </w:p>
    <w:p>
      <w:pPr>
        <w:ind w:left="2600" w:hanging="648"/>
        <w:spacing w:after="0"/>
        <w:tabs>
          <w:tab w:leader="none" w:pos="2600" w:val="left"/>
        </w:tabs>
        <w:numPr>
          <w:ilvl w:val="1"/>
          <w:numId w:val="142"/>
        </w:numPr>
        <w:rPr>
          <w:rFonts w:ascii="Arial" w:cs="Arial" w:eastAsia="Arial" w:hAnsi="Arial"/>
          <w:sz w:val="20"/>
          <w:szCs w:val="20"/>
          <w:color w:val="auto"/>
        </w:rPr>
      </w:pPr>
      <w:r>
        <w:rPr>
          <w:rFonts w:ascii="Arial" w:cs="Arial" w:eastAsia="Arial" w:hAnsi="Arial"/>
          <w:sz w:val="20"/>
          <w:szCs w:val="20"/>
          <w:color w:val="auto"/>
        </w:rPr>
        <w:t>Minimum Amounts.</w:t>
      </w:r>
    </w:p>
    <w:p>
      <w:pPr>
        <w:spacing w:after="0" w:line="175" w:lineRule="exact"/>
        <w:rPr>
          <w:sz w:val="20"/>
          <w:szCs w:val="20"/>
          <w:color w:val="auto"/>
        </w:rPr>
      </w:pPr>
    </w:p>
    <w:p>
      <w:pPr>
        <w:jc w:val="both"/>
        <w:ind w:left="1300" w:firstLine="652"/>
        <w:spacing w:after="0" w:line="230" w:lineRule="auto"/>
        <w:tabs>
          <w:tab w:leader="none" w:pos="258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In the case of an assignment of the entire remaining amount of the assigning Lender’s Commitments and the Loans and obligations in respect of its LC Exposure at the time owing to it or in the case of an assignment to a Lender, an Affiliate of a Lender or an Approved Fund, no minimum amount need be assigned; and</w:t>
      </w:r>
    </w:p>
    <w:p>
      <w:pPr>
        <w:spacing w:after="0" w:line="154" w:lineRule="exact"/>
        <w:rPr>
          <w:rFonts w:ascii="Arial" w:cs="Arial" w:eastAsia="Arial" w:hAnsi="Arial"/>
          <w:sz w:val="19"/>
          <w:szCs w:val="19"/>
          <w:color w:val="auto"/>
        </w:rPr>
      </w:pPr>
    </w:p>
    <w:p>
      <w:pPr>
        <w:jc w:val="both"/>
        <w:ind w:left="1300" w:firstLine="652"/>
        <w:spacing w:after="0" w:line="217" w:lineRule="auto"/>
        <w:tabs>
          <w:tab w:leader="none" w:pos="259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paragraph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w:t>
      </w:r>
    </w:p>
    <w:p>
      <w:pPr>
        <w:spacing w:after="0" w:line="156" w:lineRule="exact"/>
        <w:rPr>
          <w:sz w:val="20"/>
          <w:szCs w:val="20"/>
          <w:color w:val="auto"/>
        </w:rPr>
      </w:pPr>
    </w:p>
    <w:p>
      <w:pPr>
        <w:jc w:val="both"/>
        <w:ind w:left="1300" w:firstLine="652"/>
        <w:spacing w:after="0" w:line="269" w:lineRule="auto"/>
        <w:tabs>
          <w:tab w:leader="none" w:pos="259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130" w:lineRule="exact"/>
        <w:rPr>
          <w:rFonts w:ascii="Arial" w:cs="Arial" w:eastAsia="Arial" w:hAnsi="Arial"/>
          <w:sz w:val="18"/>
          <w:szCs w:val="18"/>
          <w:color w:val="auto"/>
        </w:rPr>
      </w:pPr>
    </w:p>
    <w:p>
      <w:pPr>
        <w:ind w:left="2600" w:hanging="648"/>
        <w:spacing w:after="0"/>
        <w:tabs>
          <w:tab w:leader="none" w:pos="260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For each such assignment:</w:t>
      </w:r>
    </w:p>
    <w:p>
      <w:pPr>
        <w:spacing w:after="0" w:line="175" w:lineRule="exact"/>
        <w:rPr>
          <w:sz w:val="20"/>
          <w:szCs w:val="20"/>
          <w:color w:val="auto"/>
        </w:rPr>
      </w:pPr>
    </w:p>
    <w:p>
      <w:pPr>
        <w:ind w:left="1300" w:firstLine="652"/>
        <w:spacing w:after="0" w:line="269" w:lineRule="auto"/>
        <w:tabs>
          <w:tab w:leader="none" w:pos="258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consent of the Borrower (such consent not to be unreasonably withheld) shall be required unless (x) an Event of Default has occurred and is continuing at the time of such assignment or (y) such assignment is to a Lender,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68</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01" w:lineRule="exact"/>
        <w:rPr>
          <w:sz w:val="20"/>
          <w:szCs w:val="20"/>
          <w:color w:val="auto"/>
        </w:rPr>
      </w:pPr>
    </w:p>
    <w:p>
      <w:pPr>
        <w:jc w:val="both"/>
        <w:ind w:left="1300" w:right="20"/>
        <w:spacing w:after="0" w:line="218" w:lineRule="auto"/>
        <w:rPr>
          <w:sz w:val="20"/>
          <w:szCs w:val="20"/>
          <w:color w:val="auto"/>
        </w:rPr>
      </w:pPr>
      <w:r>
        <w:rPr>
          <w:rFonts w:ascii="Arial" w:cs="Arial" w:eastAsia="Arial" w:hAnsi="Arial"/>
          <w:sz w:val="20"/>
          <w:szCs w:val="20"/>
          <w:color w:val="auto"/>
        </w:rPr>
        <w:t xml:space="preserve">Affiliate of a Lender or an Approved Fund;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deemed to have consented to any such assignment unless it shall object thereto by written notice to the Administrative Agent within five Business Days after having received notice thereof;</w:t>
      </w:r>
    </w:p>
    <w:p>
      <w:pPr>
        <w:spacing w:after="0" w:line="156" w:lineRule="exact"/>
        <w:rPr>
          <w:sz w:val="20"/>
          <w:szCs w:val="20"/>
          <w:color w:val="auto"/>
        </w:rPr>
      </w:pPr>
    </w:p>
    <w:p>
      <w:pPr>
        <w:jc w:val="both"/>
        <w:ind w:left="1300" w:firstLine="652"/>
        <w:spacing w:after="0" w:line="213" w:lineRule="auto"/>
        <w:tabs>
          <w:tab w:leader="none" w:pos="259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an unfunded or revolving facility if such assignment is to an Eligible Assignee that is not a Lender with a Commitment in respect of such facility, an Affiliate of such Lender or an Approved Fund with respect to such Lender; and</w:t>
      </w:r>
    </w:p>
    <w:p>
      <w:pPr>
        <w:spacing w:after="0" w:line="155" w:lineRule="exact"/>
        <w:rPr>
          <w:rFonts w:ascii="Arial" w:cs="Arial" w:eastAsia="Arial" w:hAnsi="Arial"/>
          <w:sz w:val="20"/>
          <w:szCs w:val="20"/>
          <w:color w:val="auto"/>
        </w:rPr>
      </w:pPr>
    </w:p>
    <w:p>
      <w:pPr>
        <w:jc w:val="both"/>
        <w:ind w:left="1300" w:firstLine="652"/>
        <w:spacing w:after="0" w:line="218" w:lineRule="auto"/>
        <w:tabs>
          <w:tab w:leader="none" w:pos="259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consent of the applicable Issuing Banks (such consent not to be unreasonably withheld or delayed) shall be required for any assignment that increases the obligation of the assignee to participate in exposure under one or more Letters of Credit (whether or not then outstanding).</w:t>
      </w:r>
    </w:p>
    <w:p>
      <w:pPr>
        <w:spacing w:after="0" w:line="156" w:lineRule="exact"/>
        <w:rPr>
          <w:sz w:val="20"/>
          <w:szCs w:val="20"/>
          <w:color w:val="auto"/>
        </w:rPr>
      </w:pPr>
    </w:p>
    <w:p>
      <w:pPr>
        <w:jc w:val="both"/>
        <w:ind w:left="1300" w:firstLine="652"/>
        <w:spacing w:after="0" w:line="230" w:lineRule="auto"/>
        <w:tabs>
          <w:tab w:leader="none" w:pos="2585"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The parties to each assignment shall execute and deliver to the Administrative Agent an Assignment and Assumption, together with a processing and recordation fee of $3,500, and the Eligible Assignee, if it is not a Lender, shall deliver to the Administrative Agent an Administrative Questionnaire.</w:t>
      </w:r>
    </w:p>
    <w:p>
      <w:pPr>
        <w:spacing w:after="0" w:line="154" w:lineRule="exact"/>
        <w:rPr>
          <w:rFonts w:ascii="Arial" w:cs="Arial" w:eastAsia="Arial" w:hAnsi="Arial"/>
          <w:sz w:val="19"/>
          <w:szCs w:val="19"/>
          <w:color w:val="auto"/>
        </w:rPr>
      </w:pPr>
    </w:p>
    <w:p>
      <w:pPr>
        <w:ind w:left="1300" w:firstLine="652"/>
        <w:spacing w:after="0" w:line="229" w:lineRule="auto"/>
        <w:tabs>
          <w:tab w:leader="none" w:pos="2584"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No Assignment to Borrower</w:t>
      </w:r>
      <w:r>
        <w:rPr>
          <w:rFonts w:ascii="Arial" w:cs="Arial" w:eastAsia="Arial" w:hAnsi="Arial"/>
          <w:sz w:val="20"/>
          <w:szCs w:val="20"/>
          <w:color w:val="auto"/>
        </w:rPr>
        <w:t>. No such assignment shall be made to the Borrower or any of the Borrower’s Affiliates or Subsidiaries.</w:t>
      </w:r>
    </w:p>
    <w:p>
      <w:pPr>
        <w:spacing w:after="0" w:line="155" w:lineRule="exact"/>
        <w:rPr>
          <w:rFonts w:ascii="Arial" w:cs="Arial" w:eastAsia="Arial" w:hAnsi="Arial"/>
          <w:sz w:val="20"/>
          <w:szCs w:val="20"/>
          <w:color w:val="auto"/>
        </w:rPr>
      </w:pPr>
    </w:p>
    <w:p>
      <w:pPr>
        <w:ind w:left="2580" w:hanging="628"/>
        <w:spacing w:after="0"/>
        <w:tabs>
          <w:tab w:leader="none" w:pos="258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No Assignment to Natural Persons</w:t>
      </w:r>
      <w:r>
        <w:rPr>
          <w:rFonts w:ascii="Arial" w:cs="Arial" w:eastAsia="Arial" w:hAnsi="Arial"/>
          <w:sz w:val="20"/>
          <w:szCs w:val="20"/>
          <w:color w:val="auto"/>
        </w:rPr>
        <w:t>. No such assignment shall be made to a natural person.</w:t>
      </w:r>
    </w:p>
    <w:p>
      <w:pPr>
        <w:spacing w:after="0" w:line="175" w:lineRule="exact"/>
        <w:rPr>
          <w:sz w:val="20"/>
          <w:szCs w:val="20"/>
          <w:color w:val="auto"/>
        </w:rPr>
      </w:pPr>
    </w:p>
    <w:p>
      <w:pPr>
        <w:jc w:val="both"/>
        <w:ind w:firstLine="1296"/>
        <w:spacing w:after="0" w:line="214"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w:t>
      </w:r>
    </w:p>
    <w:p>
      <w:pPr>
        <w:spacing w:after="0" w:line="158" w:lineRule="exact"/>
        <w:rPr>
          <w:sz w:val="20"/>
          <w:szCs w:val="20"/>
          <w:color w:val="auto"/>
        </w:rPr>
      </w:pPr>
    </w:p>
    <w:p>
      <w:pPr>
        <w:ind w:left="1940" w:hanging="636"/>
        <w:spacing w:after="0"/>
        <w:tabs>
          <w:tab w:leader="none" w:pos="194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Register</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300" w:firstLine="652"/>
        <w:spacing w:after="0" w:line="216" w:lineRule="auto"/>
        <w:tabs>
          <w:tab w:leader="none" w:pos="259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Administrative Agent, acting solely for this purpose as an agent of the Borrower, shall maintain at one of its offices in New York, New York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69</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01" w:lineRule="exact"/>
        <w:rPr>
          <w:sz w:val="20"/>
          <w:szCs w:val="20"/>
          <w:color w:val="auto"/>
        </w:rPr>
      </w:pPr>
    </w:p>
    <w:p>
      <w:pPr>
        <w:jc w:val="both"/>
        <w:ind w:left="1300" w:firstLine="652"/>
        <w:spacing w:after="0" w:line="213" w:lineRule="auto"/>
        <w:tabs>
          <w:tab w:leader="none" w:pos="2595" w:val="left"/>
        </w:tabs>
        <w:numPr>
          <w:ilvl w:val="1"/>
          <w:numId w:val="149"/>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w:t>
      </w:r>
      <w:r>
        <w:rPr>
          <w:rFonts w:ascii="Arial" w:cs="Arial" w:eastAsia="Arial" w:hAnsi="Arial"/>
          <w:sz w:val="19"/>
          <w:szCs w:val="19"/>
          <w:u w:val="single" w:color="auto"/>
          <w:color w:val="auto"/>
        </w:rPr>
        <w:t>2.9(d)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10.3(c)</w:t>
      </w:r>
      <w:r>
        <w:rPr>
          <w:rFonts w:ascii="Arial" w:cs="Arial" w:eastAsia="Arial" w:hAnsi="Arial"/>
          <w:sz w:val="19"/>
          <w:szCs w:val="19"/>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57" w:lineRule="exact"/>
        <w:rPr>
          <w:rFonts w:ascii="Arial" w:cs="Arial" w:eastAsia="Arial" w:hAnsi="Arial"/>
          <w:sz w:val="19"/>
          <w:szCs w:val="19"/>
          <w:color w:val="auto"/>
        </w:rPr>
      </w:pPr>
    </w:p>
    <w:p>
      <w:pPr>
        <w:jc w:val="both"/>
        <w:ind w:firstLine="1304"/>
        <w:spacing w:after="0" w:line="213" w:lineRule="auto"/>
        <w:tabs>
          <w:tab w:leader="none" w:pos="1932"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but with notice to, the Borrower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such notice shall not impair the effectiveness of such participation except as expressly provided in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of this Section), sell participations to any Person (other than a natural person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(iii) such Lender shall remain the holder of any Note for all purposes of this Agreement and (iv) the Borrower, the Administrative Agent and each Credit Party shall continue to deal solely and directly with such Lender in connection with such Lender’s rights and obligations under this Agreement. Notwithstanding the foregoing, in no event may a participation be granted to any entity which is not a commercial bank, finance company, insurance company or other financial institution or fund (whether a corporation, partnership or other entity) engaged generally in making, purchasing or otherwise investing in commercial loans in the ordinary course of its business without the express prior written consent of the Borrower.</w:t>
      </w:r>
    </w:p>
    <w:p>
      <w:pPr>
        <w:spacing w:after="0" w:line="15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with respect to the following matters described in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first proviso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that directly affects such Participant. Subject to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of this Section, the Borrower agrees that each Participant shall be entitled to the benefits of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to the same extent as if it were a Lender and had acquired its interest by assignment pursuant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but (x) shall not be entitled to recover greater amounts under any such Section than the selling Lender would be entitled to recover and (y) shall be subject to replacement by the Borrower under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to the same extent as if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replacement Participant shall be a commercial bank, finance company, insurance company or other financial institution or fund (whether a corporation, partnership or other entity) engaged generally in making, purchasing or otherwise investing in commercial loans in the ordinary course of its business. To the extent permitted by law, each Participant also shall be entitled to the benefits of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as though it were a Lender, provided such Participant agrees to be subject to </w:t>
      </w:r>
      <w:r>
        <w:rPr>
          <w:rFonts w:ascii="Arial" w:cs="Arial" w:eastAsia="Arial" w:hAnsi="Arial"/>
          <w:sz w:val="18"/>
          <w:szCs w:val="18"/>
          <w:u w:val="single" w:color="auto"/>
          <w:color w:val="auto"/>
        </w:rPr>
        <w:t>Section 2.10(c)</w:t>
      </w:r>
      <w:r>
        <w:rPr>
          <w:rFonts w:ascii="Arial" w:cs="Arial" w:eastAsia="Arial" w:hAnsi="Arial"/>
          <w:sz w:val="18"/>
          <w:szCs w:val="18"/>
          <w:color w:val="auto"/>
        </w:rPr>
        <w:t xml:space="preserve"> as though it were a Lender.</w:t>
      </w:r>
    </w:p>
    <w:p>
      <w:pPr>
        <w:spacing w:after="0" w:line="15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70</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01" w:lineRule="exact"/>
        <w:rPr>
          <w:sz w:val="20"/>
          <w:szCs w:val="20"/>
          <w:color w:val="auto"/>
        </w:rPr>
      </w:pPr>
    </w:p>
    <w:p>
      <w:pPr>
        <w:jc w:val="both"/>
        <w:spacing w:after="0" w:line="217" w:lineRule="auto"/>
        <w:rPr>
          <w:sz w:val="20"/>
          <w:szCs w:val="20"/>
          <w:color w:val="auto"/>
        </w:rPr>
      </w:pPr>
      <w:r>
        <w:rPr>
          <w:rFonts w:ascii="Arial" w:cs="Arial" w:eastAsia="Arial" w:hAnsi="Arial"/>
          <w:sz w:val="19"/>
          <w:szCs w:val="19"/>
          <w:color w:val="auto"/>
        </w:rPr>
        <w:t>shall have any obligation to disclose all or any portion of the Participant Register (including the identity of any Participant or any information relating to a Participant’s interest in any Loans or its other obligations under any Loan Document) to any Person except to the extent that such disclosure is necessary to establish that such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6" w:lineRule="exact"/>
        <w:rPr>
          <w:sz w:val="20"/>
          <w:szCs w:val="20"/>
          <w:color w:val="auto"/>
        </w:rPr>
      </w:pPr>
    </w:p>
    <w:p>
      <w:pPr>
        <w:jc w:val="both"/>
        <w:ind w:firstLine="1304"/>
        <w:spacing w:after="0" w:line="233" w:lineRule="auto"/>
        <w:tabs>
          <w:tab w:leader="none" w:pos="1934"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unless the Borrower is notified of the participation sold to such Participant and such Participant agrees, for the benefit of the Borrower, to comply with </w:t>
      </w:r>
      <w:r>
        <w:rPr>
          <w:rFonts w:ascii="Arial" w:cs="Arial" w:eastAsia="Arial" w:hAnsi="Arial"/>
          <w:sz w:val="18"/>
          <w:szCs w:val="18"/>
          <w:u w:val="single" w:color="auto"/>
          <w:color w:val="auto"/>
        </w:rPr>
        <w:t>Section 3.7(f)</w:t>
      </w:r>
      <w:r>
        <w:rPr>
          <w:rFonts w:ascii="Arial" w:cs="Arial" w:eastAsia="Arial" w:hAnsi="Arial"/>
          <w:sz w:val="18"/>
          <w:szCs w:val="18"/>
          <w:color w:val="auto"/>
        </w:rPr>
        <w:t xml:space="preserve"> as though it were a Lender.</w:t>
      </w:r>
    </w:p>
    <w:p>
      <w:pPr>
        <w:spacing w:after="0" w:line="156" w:lineRule="exact"/>
        <w:rPr>
          <w:rFonts w:ascii="Arial" w:cs="Arial" w:eastAsia="Arial" w:hAnsi="Arial"/>
          <w:sz w:val="18"/>
          <w:szCs w:val="18"/>
          <w:color w:val="auto"/>
        </w:rPr>
      </w:pPr>
    </w:p>
    <w:p>
      <w:pPr>
        <w:jc w:val="both"/>
        <w:ind w:firstLine="1304"/>
        <w:spacing w:after="0" w:line="213" w:lineRule="auto"/>
        <w:tabs>
          <w:tab w:leader="none" w:pos="1939" w:val="left"/>
        </w:tabs>
        <w:numPr>
          <w:ilvl w:val="0"/>
          <w:numId w:val="151"/>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55" w:lineRule="exact"/>
        <w:rPr>
          <w:rFonts w:ascii="Arial" w:cs="Arial" w:eastAsia="Arial" w:hAnsi="Arial"/>
          <w:sz w:val="20"/>
          <w:szCs w:val="20"/>
          <w:color w:val="auto"/>
        </w:rPr>
      </w:pPr>
    </w:p>
    <w:p>
      <w:pPr>
        <w:ind w:firstLine="1304"/>
        <w:spacing w:after="0" w:line="229" w:lineRule="auto"/>
        <w:tabs>
          <w:tab w:leader="none" w:pos="1932"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Notwithstanding any provision in this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 the contrary, if any Lender becomes a Defaulting Lender, then the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apply for so long as such Lender is a Defaulting Lender.</w:t>
      </w:r>
    </w:p>
    <w:p>
      <w:pPr>
        <w:spacing w:after="0" w:line="15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Borrower herein and in the certificates or other instruments prepared or delivered in connection with or pursuant to this Agreement or any other Loan Document shall be considered to have been relied upon by the other parties hereto and shall survive the execution and delivery of any Loan Document and the making of any Loans and the issuance of any Letter of Credit, regardless of any investigation made by any such other party or on its behalf and notwithstanding that any Credit Party may have had notice or knowledge of any Default or incorrect representation or warranty at the time any credit is extended hereunder, and shall continue in full force and effect as long as the principal of or any accrued interest on any Loan or any LC Disbursement or any fee or any other amount payable under the Loan Documents is outstanding and unpaid or any Letter of Credit is outstanding and so long as the Commitments have not expired or terminated. The provisions of </w:t>
      </w:r>
      <w:r>
        <w:rPr>
          <w:rFonts w:ascii="Arial" w:cs="Arial" w:eastAsia="Arial" w:hAnsi="Arial"/>
          <w:sz w:val="18"/>
          <w:szCs w:val="18"/>
          <w:u w:val="single" w:color="auto"/>
          <w:color w:val="auto"/>
        </w:rPr>
        <w:t>Sections 3.5</w:t>
      </w:r>
      <w:r>
        <w:rPr>
          <w:rFonts w:ascii="Arial" w:cs="Arial" w:eastAsia="Arial" w:hAnsi="Arial"/>
          <w:sz w:val="18"/>
          <w:szCs w:val="18"/>
          <w:color w:val="auto"/>
        </w:rPr>
        <w:t xml:space="preserve">, </w:t>
      </w:r>
      <w:r>
        <w:rPr>
          <w:rFonts w:ascii="Arial" w:cs="Arial" w:eastAsia="Arial" w:hAnsi="Arial"/>
          <w:sz w:val="18"/>
          <w:szCs w:val="18"/>
          <w:u w:val="single" w:color="auto"/>
          <w:color w:val="auto"/>
        </w:rPr>
        <w:t>3.6</w:t>
      </w:r>
      <w:r>
        <w:rPr>
          <w:rFonts w:ascii="Arial" w:cs="Arial" w:eastAsia="Arial" w:hAnsi="Arial"/>
          <w:sz w:val="18"/>
          <w:szCs w:val="18"/>
          <w:color w:val="auto"/>
        </w:rPr>
        <w:t xml:space="preserve">, </w:t>
      </w:r>
      <w:r>
        <w:rPr>
          <w:rFonts w:ascii="Arial" w:cs="Arial" w:eastAsia="Arial" w:hAnsi="Arial"/>
          <w:sz w:val="18"/>
          <w:szCs w:val="18"/>
          <w:u w:val="single" w:color="auto"/>
          <w:color w:val="auto"/>
        </w:rPr>
        <w:t>3.7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10.9</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shall survive and remain in full force and effect regardless of the consummation of the transactions contemplated hereby, the repayment of the Loans and the LC Disbursements, the expiration or termination of the Letters of Credit and the termination of the Commitments or the termination of this Agreement or any provision hereof.</w:t>
      </w:r>
    </w:p>
    <w:p>
      <w:pPr>
        <w:spacing w:after="0" w:line="16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7" w:lineRule="auto"/>
        <w:tabs>
          <w:tab w:leader="none" w:pos="193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any Credit Party or the syndication of the credit facility established hereunder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5.1</w:t>
      </w:r>
      <w:r>
        <w:rPr>
          <w:rFonts w:ascii="Arial" w:cs="Arial" w:eastAsia="Arial" w:hAnsi="Arial"/>
          <w:sz w:val="19"/>
          <w:szCs w:val="19"/>
          <w:color w:val="auto"/>
        </w:rPr>
        <w:t>, this Agreement shall become effective as of the date set forth in the preamble to this Agreement when it shall have been executed by the Administrative Agent and when the Administrative Agent shall have received counterparts hereof which, when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71</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0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together, bear the signatures of each of the other parties and thereafter shall be binding upon and inure to the benefit of the parties hereto and their respective successors and assigns.</w:t>
      </w:r>
    </w:p>
    <w:p>
      <w:pPr>
        <w:spacing w:after="0" w:line="153" w:lineRule="exact"/>
        <w:rPr>
          <w:sz w:val="20"/>
          <w:szCs w:val="20"/>
          <w:color w:val="auto"/>
        </w:rPr>
      </w:pPr>
    </w:p>
    <w:p>
      <w:pPr>
        <w:ind w:left="1940" w:hanging="636"/>
        <w:spacing w:after="0"/>
        <w:tabs>
          <w:tab w:leader="none" w:pos="19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(x) this Agreement, (y) any other Loan Document and/or</w:t>
      </w:r>
    </w:p>
    <w:p>
      <w:pPr>
        <w:jc w:val="both"/>
        <w:ind w:firstLine="8"/>
        <w:spacing w:after="0" w:line="219" w:lineRule="auto"/>
        <w:tabs>
          <w:tab w:leader="none" w:pos="2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document, amendment, approval, consent, information, notice (including, for the avoidance of doubt, any notice delivered pursuant to Section 9.1), certificate, request, statement, disclosure or authorization related to this Agreement, any other Loan Document and/or the transactions contemplated hereby and/or thereby (each an “</w:t>
      </w:r>
      <w:r>
        <w:rPr>
          <w:rFonts w:ascii="Arial" w:cs="Arial" w:eastAsia="Arial" w:hAnsi="Arial"/>
          <w:sz w:val="18"/>
          <w:szCs w:val="18"/>
          <w:u w:val="single" w:color="auto"/>
          <w:color w:val="auto"/>
        </w:rPr>
        <w:t>Ancillary Document</w:t>
      </w:r>
      <w:r>
        <w:rPr>
          <w:rFonts w:ascii="Arial" w:cs="Arial" w:eastAsia="Arial" w:hAnsi="Arial"/>
          <w:sz w:val="18"/>
          <w:szCs w:val="18"/>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without limiting the foregoing, (i) to the extent the Administrative Agent has agreed to accept any Electronic Signature, each of the parties hereto shall be entitled to rely on such Electronic Signature purportedly given by or on behalf of any other party without further verification thereof and without any obligation to review the appearance or form of any such Electronic Signature and (ii) upon the request of any party, any Electronic Signature shall be promptly followed by a manually executed counterpart. Without limiting the generality of the foregoing, each of the parties hereby (A) agrees that, for all purposes, including without limitation, in connection with any workout, restructuring, enforcement of remedies, bankruptcy proceedings or litigation among the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w:t>
      </w:r>
    </w:p>
    <w:p>
      <w:pPr>
        <w:spacing w:after="0" w:line="2" w:lineRule="exact"/>
        <w:rPr>
          <w:rFonts w:ascii="Arial" w:cs="Arial" w:eastAsia="Arial" w:hAnsi="Arial"/>
          <w:sz w:val="18"/>
          <w:szCs w:val="18"/>
          <w:color w:val="auto"/>
        </w:rPr>
      </w:pPr>
    </w:p>
    <w:p>
      <w:pPr>
        <w:jc w:val="both"/>
        <w:spacing w:after="0" w:line="224" w:lineRule="auto"/>
        <w:rPr>
          <w:rFonts w:ascii="Arial" w:cs="Arial" w:eastAsia="Arial" w:hAnsi="Arial"/>
          <w:sz w:val="18"/>
          <w:szCs w:val="18"/>
          <w:color w:val="auto"/>
        </w:rPr>
      </w:pPr>
      <w:r>
        <w:rPr>
          <w:rFonts w:ascii="Arial" w:cs="Arial" w:eastAsia="Arial" w:hAnsi="Arial"/>
          <w:sz w:val="18"/>
          <w:szCs w:val="18"/>
          <w:color w:val="auto"/>
        </w:rPr>
        <w:t>(B)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The Borrower (I)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(II) waives any claim against any Applicable Parties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spacing w:after="0" w:line="158"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 faith negotiations to replace the invalid, illegal or unenforceable provisions with valid provisions the economic effect of which comes as close as possible to that of the invalid, illegal or unenforceable provisions.</w:t>
      </w:r>
    </w:p>
    <w:p>
      <w:pPr>
        <w:spacing w:after="0" w:line="160"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Right of Set-off</w:t>
      </w:r>
      <w:r>
        <w:rPr>
          <w:rFonts w:ascii="Arial" w:cs="Arial" w:eastAsia="Arial" w:hAnsi="Arial"/>
          <w:sz w:val="20"/>
          <w:szCs w:val="20"/>
          <w:color w:val="auto"/>
        </w:rPr>
        <w:t>. If an Event of Default shall have occurred and be continuing, and the acceleration of the obligations owing in connection with the Loan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0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xml:space="preserve">at any time upon the occurrence and during the continuance of an Event of Default under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each of the Lenders and their respective Affiliates is hereby authorized at any time and from time to time, to the fullest extent permitted by applicable law, to set-off and apply any and all deposits (general or special, time or demand, provisional or final) at any time held and other obligations at any time owing by it to or for the credit or the account of the Borrower against any of and all the obligations of the Borrower now or hereafter existing under this Agreement and the other Loan Documents held by it, irrespective of whether or not it shall have made any demand therefor and although such obligations may be unmatured. The rights of each of the Lenders and their respective Affiliates under this Section are in addition to other rights and remedies (including other rights of set-off) that it may have. Each Lender agrees promptly to notify the Borrower and the Administrative Agent after any such set off and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 off and application.</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175" w:lineRule="exact"/>
        <w:rPr>
          <w:sz w:val="20"/>
          <w:szCs w:val="20"/>
          <w:color w:val="auto"/>
        </w:rPr>
      </w:pPr>
    </w:p>
    <w:p>
      <w:pPr>
        <w:ind w:left="1940" w:hanging="636"/>
        <w:spacing w:after="0"/>
        <w:tabs>
          <w:tab w:leader="none" w:pos="194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York.</w:t>
      </w:r>
    </w:p>
    <w:p>
      <w:pPr>
        <w:spacing w:after="0" w:line="186" w:lineRule="exact"/>
        <w:rPr>
          <w:rFonts w:ascii="Arial" w:cs="Arial" w:eastAsia="Arial" w:hAnsi="Arial"/>
          <w:sz w:val="19"/>
          <w:szCs w:val="19"/>
          <w:color w:val="auto"/>
        </w:rPr>
      </w:pPr>
    </w:p>
    <w:p>
      <w:pPr>
        <w:jc w:val="both"/>
        <w:ind w:firstLine="1304"/>
        <w:spacing w:after="0" w:line="214" w:lineRule="auto"/>
        <w:tabs>
          <w:tab w:leader="none" w:pos="193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Each of the parties hereto hereby irrevocably and unconditionally submits, for itself and its property, to the nonexclusive jurisdiction of the Supreme Court of the State of New York sitting in New York County and of the United States District Court of the Southern District of New York City, and any appellate court from any thereof, in any action or proceeding arising out of or relating to this Agreement or the other Loan Documents, or for recognition or enforcement of any judgment, and each of the parties hereto hereby irrevocably and unconditionally agrees that, to the extent permitted by applicable law, all claims in respect of any such action or proceeding may be heard and determined in such New York State court or, to the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other Credit Party may otherwise have to bring any action or proceeding relating to this Agreement or the other Loan Documents against the Borrower, or any of its property, in the courts of any jurisdiction.</w:t>
      </w:r>
    </w:p>
    <w:p>
      <w:pPr>
        <w:spacing w:after="0" w:line="157" w:lineRule="exact"/>
        <w:rPr>
          <w:rFonts w:ascii="Arial" w:cs="Arial" w:eastAsia="Arial" w:hAnsi="Arial"/>
          <w:sz w:val="19"/>
          <w:szCs w:val="19"/>
          <w:color w:val="auto"/>
        </w:rPr>
      </w:pPr>
    </w:p>
    <w:p>
      <w:pPr>
        <w:jc w:val="both"/>
        <w:ind w:firstLine="1304"/>
        <w:spacing w:after="0" w:line="210" w:lineRule="auto"/>
        <w:tabs>
          <w:tab w:leader="none" w:pos="1934"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The Borrower hereby irrevocably and unconditionally waives, to the fullest extent it may legally and effectively do so, any objection that it may now or hereafter have to the laying of venue of any suit, action or proceeding arising out of or relating to this Agreement or the other Loan Documents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54" w:lineRule="exact"/>
        <w:rPr>
          <w:rFonts w:ascii="Arial" w:cs="Arial" w:eastAsia="Arial" w:hAnsi="Arial"/>
          <w:sz w:val="20"/>
          <w:szCs w:val="20"/>
          <w:color w:val="auto"/>
        </w:rPr>
      </w:pPr>
    </w:p>
    <w:p>
      <w:pPr>
        <w:ind w:firstLine="1304"/>
        <w:spacing w:after="0" w:line="269" w:lineRule="auto"/>
        <w:tabs>
          <w:tab w:leader="none" w:pos="19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Each of the parties hereto irrevocably consents to service of process in the manner provided for notices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Nothing in this Agreement will affect the right of any party to this Agreement to serve process in any other manner permitted by law.</w:t>
      </w:r>
    </w:p>
    <w:p>
      <w:pPr>
        <w:spacing w:after="0" w:line="130"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UNDER OR RELATING TO THIS CREDIT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CREDIT AGREEMENT AND THE OTHER LOAN DOCUMENTS TO WHICH IT IS A PARTY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73</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 applicable to any Loan or LC Disbursement, together with all fees, charges and other amounts that are treated as interest thereon under applicable law, shall exceed the maximum lawful rate (the “</w:t>
      </w:r>
      <w:r>
        <w:rPr>
          <w:rFonts w:ascii="Arial" w:cs="Arial" w:eastAsia="Arial" w:hAnsi="Arial"/>
          <w:sz w:val="18"/>
          <w:szCs w:val="18"/>
          <w:u w:val="single" w:color="auto"/>
          <w:color w:val="auto"/>
        </w:rPr>
        <w:t>Maximum Rate</w:t>
      </w:r>
      <w:r>
        <w:rPr>
          <w:rFonts w:ascii="Arial" w:cs="Arial" w:eastAsia="Arial" w:hAnsi="Arial"/>
          <w:sz w:val="18"/>
          <w:szCs w:val="18"/>
          <w:color w:val="auto"/>
        </w:rPr>
        <w:t>”) that may be contracted for, charged, taken, received or reserved by the Lender holding an interest in such Loan or LC Disbursement in accordance with applicable law, the rate of interest payable in respect of such Loan or LC Disbursement hereunder, together with all of the charges payable in respect thereof, shall be limited to the Maximum Rate and, to the extent lawful, the interest and the charges that would have been payable in respect of such Loan or LC Disbursement but were not payable as a result of the operation of this Section shall be cumulated, and the interest and the charges payable to such Lender in respect of other Loans or LC Disbursements or periods shall be increased (but not above the Maximum Rate therefor) until such cumulated amount, together with interest thereon at the Federal Funds Effective Rate to the date of repayment, shall have been received by such Lender.</w:t>
      </w:r>
    </w:p>
    <w:p>
      <w:pPr>
        <w:spacing w:after="0" w:line="155"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Section 1.13. </w:t>
      </w:r>
      <w:r>
        <w:rPr>
          <w:rFonts w:ascii="Arial" w:cs="Arial" w:eastAsia="Arial" w:hAnsi="Arial"/>
          <w:sz w:val="20"/>
          <w:szCs w:val="20"/>
          <w:u w:val="single" w:color="auto"/>
          <w:color w:val="auto"/>
        </w:rPr>
        <w:t>Advertisement</w:t>
      </w:r>
      <w:r>
        <w:rPr>
          <w:rFonts w:ascii="Arial" w:cs="Arial" w:eastAsia="Arial" w:hAnsi="Arial"/>
          <w:sz w:val="20"/>
          <w:szCs w:val="20"/>
          <w:color w:val="auto"/>
        </w:rPr>
        <w:t>. The Borrower hereby authorizes JPMorgan Chase or any Affiliate thereof to publish the name of the Borrower and the amount of the financing evidenced hereby in any “tombstone” or comparable advertisement that JPMorgan Chase or such Affiliate elects to publish at its own expense. In addition, the Borrower agrees that JPMorgan Chase or any Affiliates thereof may provide lending industry trade organizations with information necessary and customary for inclusion in league table measurements after the date hereof.</w:t>
      </w:r>
    </w:p>
    <w:p>
      <w:pPr>
        <w:spacing w:after="0" w:line="15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 xml:space="preserve">Section 1.14. </w:t>
      </w:r>
      <w:r>
        <w:rPr>
          <w:rFonts w:ascii="Arial" w:cs="Arial" w:eastAsia="Arial" w:hAnsi="Arial"/>
          <w:sz w:val="20"/>
          <w:szCs w:val="20"/>
          <w:u w:val="single" w:color="auto"/>
          <w:color w:val="auto"/>
        </w:rPr>
        <w:t>USA PATRIOT Act</w:t>
      </w:r>
      <w:r>
        <w:rPr>
          <w:rFonts w:ascii="Arial" w:cs="Arial" w:eastAsia="Arial" w:hAnsi="Arial"/>
          <w:sz w:val="20"/>
          <w:szCs w:val="20"/>
          <w:color w:val="auto"/>
        </w:rPr>
        <w:t>. Each Lender that is subject to the requirements of the PATRIOT Act hereby notifies the Borrower that such Lender is required to obtain, verify and record information that identifies the Borrower, which information includes the name and address of the Borrower and other information that will allow such Lender to identify the Borrower in accordance with the PATRIOT Act.</w:t>
      </w:r>
    </w:p>
    <w:p>
      <w:pPr>
        <w:spacing w:after="0" w:line="15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9"/>
          <w:szCs w:val="19"/>
          <w:color w:val="auto"/>
        </w:rPr>
        <w:t xml:space="preserve">Section 1.15. </w:t>
      </w:r>
      <w:r>
        <w:rPr>
          <w:rFonts w:ascii="Arial" w:cs="Arial" w:eastAsia="Arial" w:hAnsi="Arial"/>
          <w:sz w:val="19"/>
          <w:szCs w:val="19"/>
          <w:u w:val="single" w:color="auto"/>
          <w:color w:val="auto"/>
        </w:rPr>
        <w:t>Treatment of Certain Information</w:t>
      </w:r>
      <w:r>
        <w:rPr>
          <w:rFonts w:ascii="Arial" w:cs="Arial" w:eastAsia="Arial" w:hAnsi="Arial"/>
          <w:sz w:val="19"/>
          <w:szCs w:val="19"/>
          <w:color w:val="auto"/>
        </w:rPr>
        <w:t>. Each Credit Party agrees to use reasonable precautions to keep confidential, in accordance with its customary procedures for handling confidential information of the same nature, all confidential, proprietary or non-public information supplied by the Borrower or any Affiliate pursuant to this Agreement relating to the Borrower, such Subsidiary or their respective businesses, including, without limitation, any financial statement, financial projections or forecasts, budget, Compliance Certificate, audit report, management letter or accountants’ certification delivered hereunder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provided that nothing herein shall limit the disclosure of any Information (a) to any of its respective Related Parties that needs to know such Information, (b) to the extent required by applicable laws or regulations or by any subpoena or similar legal process, or requested by any bank regulatory authority, (c) on a confidential basis, to any bona fide or potential assignee or participant in connection with the contemplated assignment or participation of any Loans or any participations therein or by any direct or indirect contractual counterparties (or the professional advisors thereto) to any swap or derivative transaction relating to the Borrower and its obligations (provided such assignees, participants, counterparties and advisors are advised of and agree to be bound by either the provisions of this </w:t>
      </w:r>
      <w:r>
        <w:rPr>
          <w:rFonts w:ascii="Arial" w:cs="Arial" w:eastAsia="Arial" w:hAnsi="Arial"/>
          <w:sz w:val="19"/>
          <w:szCs w:val="19"/>
          <w:u w:val="single" w:color="auto"/>
          <w:color w:val="auto"/>
        </w:rPr>
        <w:t>Section 10.15</w:t>
      </w:r>
      <w:r>
        <w:rPr>
          <w:rFonts w:ascii="Arial" w:cs="Arial" w:eastAsia="Arial" w:hAnsi="Arial"/>
          <w:sz w:val="19"/>
          <w:szCs w:val="19"/>
          <w:color w:val="auto"/>
        </w:rPr>
        <w:t xml:space="preserve"> or other provisions at least as restrictive as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10.15</w:t>
      </w:r>
      <w:r>
        <w:rPr>
          <w:rFonts w:ascii="Arial" w:cs="Arial" w:eastAsia="Arial" w:hAnsi="Arial"/>
          <w:sz w:val="19"/>
          <w:szCs w:val="19"/>
          <w:color w:val="auto"/>
        </w:rPr>
        <w:t>), (d) to auditors, accountants, consultants and advisors, and any analogous counterpart thereof, (e) to any other Credit Party, (f) in connection with any litigation to which any one or more of the Credit Parties is a party, (g) to the extent such Information (A) becomes publicly available other than as a result of a breach of this Agreement, (B) becomes available to any of the Credit Parties on a non-confidential basis from a source other than the Borrower or any of its Affiliates or (C) was available to the Credit Parties on a non-confidential basis prior to its disclosure to any of them by the Borrower or any of its Affiliates; and (h) to the extent the Borrower shall have consented to such disclosure in writing.</w:t>
      </w:r>
    </w:p>
    <w:p>
      <w:pPr>
        <w:spacing w:after="0" w:line="16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 xml:space="preserve">Section 1.16. </w:t>
      </w:r>
      <w:r>
        <w:rPr>
          <w:rFonts w:ascii="Arial" w:cs="Arial" w:eastAsia="Arial" w:hAnsi="Arial"/>
          <w:sz w:val="20"/>
          <w:szCs w:val="20"/>
          <w:u w:val="single" w:color="auto"/>
          <w:color w:val="auto"/>
        </w:rPr>
        <w:t>No Fiduciary Duty, etc.</w:t>
      </w:r>
      <w:r>
        <w:rPr>
          <w:rFonts w:ascii="Arial" w:cs="Arial" w:eastAsia="Arial" w:hAnsi="Arial"/>
          <w:sz w:val="20"/>
          <w:szCs w:val="20"/>
          <w:color w:val="auto"/>
        </w:rPr>
        <w:t xml:space="preserve"> (a) The Borrower acknowledges and agrees, and acknowledges its Subsidiaries’ understanding, that no Credit Party will have any obligations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74</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spacing w:after="0" w:line="146" w:lineRule="exact"/>
        <w:rPr>
          <w:sz w:val="20"/>
          <w:szCs w:val="20"/>
          <w:color w:val="auto"/>
        </w:rPr>
      </w:pPr>
    </w:p>
    <w:p>
      <w:pPr>
        <w:ind w:firstLine="656"/>
        <w:spacing w:after="0" w:line="216" w:lineRule="auto"/>
        <w:tabs>
          <w:tab w:leader="none" w:pos="92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46" w:lineRule="exact"/>
        <w:rPr>
          <w:rFonts w:ascii="Arial" w:cs="Arial" w:eastAsia="Arial" w:hAnsi="Arial"/>
          <w:sz w:val="19"/>
          <w:szCs w:val="19"/>
          <w:color w:val="auto"/>
        </w:rPr>
      </w:pPr>
    </w:p>
    <w:p>
      <w:pPr>
        <w:ind w:right="20" w:firstLine="656"/>
        <w:spacing w:after="0" w:line="216" w:lineRule="auto"/>
        <w:tabs>
          <w:tab w:leader="none" w:pos="91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spacing w:after="0" w:line="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0"/>
          <w:szCs w:val="20"/>
          <w:color w:val="auto"/>
        </w:rPr>
        <w:t>Section 1.17.</w:t>
      </w:r>
      <w:r>
        <w:rPr>
          <w:sz w:val="20"/>
          <w:szCs w:val="20"/>
          <w:color w:val="auto"/>
        </w:rPr>
        <w:tab/>
      </w:r>
      <w:r>
        <w:rPr>
          <w:rFonts w:ascii="Arial" w:cs="Arial" w:eastAsia="Arial" w:hAnsi="Arial"/>
          <w:sz w:val="18"/>
          <w:szCs w:val="18"/>
          <w:u w:val="single" w:color="auto"/>
          <w:color w:val="auto"/>
        </w:rPr>
        <w:t>CoBank Equity and Security</w:t>
      </w:r>
      <w:r>
        <w:rPr>
          <w:rFonts w:ascii="Arial" w:cs="Arial" w:eastAsia="Arial" w:hAnsi="Arial"/>
          <w:sz w:val="18"/>
          <w:szCs w:val="18"/>
          <w:color w:val="auto"/>
        </w:rPr>
        <w:t>.</w:t>
      </w:r>
    </w:p>
    <w:p>
      <w:pPr>
        <w:spacing w:after="0" w:line="175" w:lineRule="exact"/>
        <w:rPr>
          <w:sz w:val="20"/>
          <w:szCs w:val="20"/>
          <w:color w:val="auto"/>
        </w:rPr>
      </w:pPr>
    </w:p>
    <w:p>
      <w:pPr>
        <w:jc w:val="both"/>
        <w:ind w:firstLine="1304"/>
        <w:spacing w:after="0" w:line="215" w:lineRule="auto"/>
        <w:tabs>
          <w:tab w:leader="none" w:pos="193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So long as CoBank (or its Affiliate) is a Lender hereunder, the Borrower will (i) maintain its status as an entity eligible to borrow from CoBank and (ii) acquire equity in CoBank in such amounts and at such times as CoBank may require in accordance with CoBank’s Bylaws and Capital Plan, except that the maximum amount of equity that the Borrower may be required to purchase in CoBank in connection with the Loans made by CoBank (or its affiliate) may not exceed the maximum amount permitted by the Bylaws and the Capital Plan at the time this Agreement is entered into. The Borrower acknowledges receipt of a copy of (x) CoBank’s most recent annual report, and if more recent, CoBank’s latest quarterly report, (y) CoBank’s Notice to Prospective Stockholders and (iii) CoBank’s Bylaws and Capital Plan, which describe the nature of all of the Borrower’s cash patronage, stock and other equities in CoBank acquired in connection with its patronage loan from CoBank (or its Affiliate) (the “</w:t>
      </w:r>
      <w:r>
        <w:rPr>
          <w:rFonts w:ascii="Arial" w:cs="Arial" w:eastAsia="Arial" w:hAnsi="Arial"/>
          <w:sz w:val="19"/>
          <w:szCs w:val="19"/>
          <w:u w:val="single" w:color="auto"/>
          <w:color w:val="auto"/>
        </w:rPr>
        <w:t>CoBank Equities</w:t>
      </w:r>
      <w:r>
        <w:rPr>
          <w:rFonts w:ascii="Arial" w:cs="Arial" w:eastAsia="Arial" w:hAnsi="Arial"/>
          <w:sz w:val="19"/>
          <w:szCs w:val="19"/>
          <w:color w:val="auto"/>
        </w:rPr>
        <w:t>”) as well as capitalization requirements, and agrees to be bound by the terms thereof.</w:t>
      </w:r>
    </w:p>
    <w:p>
      <w:pPr>
        <w:spacing w:after="0" w:line="155" w:lineRule="exact"/>
        <w:rPr>
          <w:rFonts w:ascii="Arial" w:cs="Arial" w:eastAsia="Arial" w:hAnsi="Arial"/>
          <w:sz w:val="19"/>
          <w:szCs w:val="19"/>
          <w:color w:val="auto"/>
        </w:rPr>
      </w:pPr>
    </w:p>
    <w:p>
      <w:pPr>
        <w:jc w:val="both"/>
        <w:ind w:firstLine="1304"/>
        <w:spacing w:after="0" w:line="233" w:lineRule="auto"/>
        <w:tabs>
          <w:tab w:leader="none" w:pos="19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Each party hereto acknowledges that CoBank’s Bylaws and Capital Plan shall govern (i) the rights and obligations of the parties with respect to the CoBank Equities and any patronage refunds or other distributions made on account thereof or on account of the Borrower’s patronage with CoBank, (ii) the Borrower’s eligibility for 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75</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01" w:lineRule="exact"/>
        <w:rPr>
          <w:sz w:val="20"/>
          <w:szCs w:val="20"/>
          <w:color w:val="auto"/>
        </w:rPr>
      </w:pPr>
    </w:p>
    <w:p>
      <w:pPr>
        <w:jc w:val="both"/>
        <w:ind w:firstLine="1304"/>
        <w:spacing w:after="0" w:line="225" w:lineRule="auto"/>
        <w:tabs>
          <w:tab w:leader="none" w:pos="193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party hereto acknowledges that CoBank has a statutory first lien pursuant to the Farm Credit Act of 1971 (as amended from time to time) on all CoBank Equities that the Borrower may now own or hereafter acquire, which statutory lien shall be for CoBank’s (or its Affiliate’s) sole and exclusive benefit. The CoBank Equities shall not constitute security for the obligations due to any other Lender. To the extent that any of the Loan Documents create a Lien on the CoBank Equities or on patronage accrued by CoBank for the account of the Borrower (including, in each case, proceeds thereof), such Lien shall be for CoBank’s (or its Affiliate’s) sole and exclusive benefit and shall not be subject to pro rata sharing hereunder. Neither the CoBank Equities nor any accrued patronage shall be offset against the obligations hereunder, except that, in the event of an Event of Default, CoBank may elect, solely at its discretion, to apply the cash portion of any patronage distribution or retirement of equity to amounts owed to CoBank or its Affiliate under this Agreement, whether or not such amounts are currently due and payable. The Borrower acknowledges that any corresponding tax liability associated with such application is the sole responsibility of the Borrower. CoBank shall have no obligation to retire the CoBank Equities upon any Default or any other default by the Borrower, or at any other time, either for application to the Loans or other obligations under this Agreement or otherwise.</w:t>
      </w:r>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58" w:lineRule="exact"/>
        <w:rPr>
          <w:sz w:val="20"/>
          <w:szCs w:val="20"/>
          <w:color w:val="auto"/>
        </w:rPr>
      </w:pPr>
    </w:p>
    <w:p>
      <w:pPr>
        <w:ind w:firstLine="1304"/>
        <w:spacing w:after="0" w:line="229" w:lineRule="auto"/>
        <w:tabs>
          <w:tab w:leader="none" w:pos="193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EEA Financial Institution; and</w:t>
      </w:r>
    </w:p>
    <w:p>
      <w:pPr>
        <w:spacing w:after="0" w:line="155" w:lineRule="exact"/>
        <w:rPr>
          <w:rFonts w:ascii="Arial" w:cs="Arial" w:eastAsia="Arial" w:hAnsi="Arial"/>
          <w:sz w:val="20"/>
          <w:szCs w:val="20"/>
          <w:color w:val="auto"/>
        </w:rPr>
      </w:pPr>
    </w:p>
    <w:p>
      <w:pPr>
        <w:ind w:left="1940" w:hanging="636"/>
        <w:spacing w:after="0"/>
        <w:tabs>
          <w:tab w:leader="none" w:pos="19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75" w:lineRule="exact"/>
        <w:rPr>
          <w:rFonts w:ascii="Arial" w:cs="Arial" w:eastAsia="Arial" w:hAnsi="Arial"/>
          <w:sz w:val="20"/>
          <w:szCs w:val="20"/>
          <w:color w:val="auto"/>
        </w:rPr>
      </w:pPr>
    </w:p>
    <w:p>
      <w:pPr>
        <w:jc w:val="both"/>
        <w:ind w:left="1300" w:firstLine="652"/>
        <w:spacing w:after="0" w:line="213" w:lineRule="auto"/>
        <w:tabs>
          <w:tab w:leader="none" w:pos="2595"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5" w:lineRule="exact"/>
        <w:rPr>
          <w:rFonts w:ascii="Arial" w:cs="Arial" w:eastAsia="Arial" w:hAnsi="Arial"/>
          <w:sz w:val="20"/>
          <w:szCs w:val="20"/>
          <w:color w:val="auto"/>
        </w:rPr>
      </w:pPr>
    </w:p>
    <w:p>
      <w:pPr>
        <w:ind w:left="1300" w:firstLine="652"/>
        <w:spacing w:after="0" w:line="229" w:lineRule="auto"/>
        <w:tabs>
          <w:tab w:leader="none" w:pos="2596"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380" w:val="left"/>
          <w:tab w:leader="none" w:pos="176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20"/>
          <w:szCs w:val="20"/>
          <w:color w:val="auto"/>
        </w:rPr>
        <w:t>76</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1240"/>
          </w:cols>
          <w:pgMar w:left="320" w:top="1440" w:right="339" w:bottom="1440" w:gutter="0" w:footer="0" w:header="0"/>
        </w:sectPr>
      </w:pPr>
    </w:p>
    <w:bookmarkStart w:id="213" w:name="page214"/>
    <w:bookmarkEnd w:id="213"/>
    <w:p>
      <w:pPr>
        <w:ind w:firstLine="648"/>
        <w:spacing w:after="0" w:line="229" w:lineRule="auto"/>
        <w:rPr>
          <w:sz w:val="20"/>
          <w:szCs w:val="20"/>
          <w:color w:val="auto"/>
        </w:rPr>
      </w:pPr>
      <w:r>
        <w:rPr>
          <w:rFonts w:ascii="Arial" w:cs="Arial" w:eastAsia="Arial" w:hAnsi="Arial"/>
          <w:sz w:val="20"/>
          <w:szCs w:val="20"/>
          <w:color w:val="auto"/>
        </w:rPr>
        <w:t>IN WITNESS WHEREOF, the parties hereto have caused this Credit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ALLETE, INC., as Borrower</w:t>
      </w: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9">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2867025</wp:posOffset>
            </wp:positionH>
            <wp:positionV relativeFrom="paragraph">
              <wp:posOffset>-24765</wp:posOffset>
            </wp:positionV>
            <wp:extent cx="1257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S-1  </w:t>
      </w:r>
      <w:r>
        <w:rPr>
          <w:rFonts w:ascii="Arial" w:cs="Arial" w:eastAsia="Arial" w:hAnsi="Arial"/>
          <w:sz w:val="13"/>
          <w:szCs w:val="13"/>
          <w:color w:val="auto"/>
        </w:rPr>
        <w:t>ALLETE CREDIT AGREEMENT</w:t>
      </w:r>
    </w:p>
    <w:p>
      <w:pPr>
        <w:sectPr>
          <w:pgSz w:w="11900" w:h="16838" w:orient="portrait"/>
          <w:cols w:equalWidth="0" w:num="1">
            <w:col w:w="11240"/>
          </w:cols>
          <w:pgMar w:left="320" w:top="1405" w:right="339" w:bottom="1440" w:gutter="0" w:footer="0" w:header="0"/>
        </w:sectPr>
      </w:pPr>
    </w:p>
    <w:bookmarkStart w:id="214" w:name="page215"/>
    <w:bookmarkEnd w:id="214"/>
    <w:p>
      <w:pPr>
        <w:ind w:left="3900"/>
        <w:spacing w:after="0" w:line="229" w:lineRule="auto"/>
        <w:rPr>
          <w:sz w:val="20"/>
          <w:szCs w:val="20"/>
          <w:color w:val="auto"/>
        </w:rPr>
      </w:pPr>
      <w:r>
        <w:rPr>
          <w:rFonts w:ascii="Arial" w:cs="Arial" w:eastAsia="Arial" w:hAnsi="Arial"/>
          <w:sz w:val="20"/>
          <w:szCs w:val="20"/>
          <w:color w:val="auto"/>
        </w:rPr>
        <w:t>JPMORGAN CHASE BANK, N.A., as a Lender, as an Issuing Bank, and as Administrative Agent</w:t>
      </w:r>
    </w:p>
    <w:p>
      <w:pPr>
        <w:spacing w:after="0" w:line="40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S-2  </w:t>
      </w:r>
      <w:r>
        <w:rPr>
          <w:rFonts w:ascii="Arial" w:cs="Arial" w:eastAsia="Arial" w:hAnsi="Arial"/>
          <w:sz w:val="13"/>
          <w:szCs w:val="13"/>
          <w:color w:val="auto"/>
        </w:rPr>
        <w:t>ALLETE CREDIT AGREEMENT</w:t>
      </w:r>
    </w:p>
    <w:p>
      <w:pPr>
        <w:sectPr>
          <w:pgSz w:w="11900" w:h="16838" w:orient="portrait"/>
          <w:cols w:equalWidth="0" w:num="1">
            <w:col w:w="11180"/>
          </w:cols>
          <w:pgMar w:left="320" w:top="1405" w:right="399" w:bottom="1440" w:gutter="0" w:footer="0" w:header="0"/>
        </w:sectPr>
      </w:pPr>
    </w:p>
    <w:bookmarkStart w:id="215" w:name="page216"/>
    <w:bookmarkEnd w:id="215"/>
    <w:p>
      <w:pPr>
        <w:spacing w:after="0" w:line="209" w:lineRule="exact"/>
        <w:rPr>
          <w:sz w:val="20"/>
          <w:szCs w:val="20"/>
          <w:color w:val="auto"/>
        </w:rPr>
      </w:pPr>
    </w:p>
    <w:p>
      <w:pPr>
        <w:jc w:val="right"/>
        <w:ind w:right="2759"/>
        <w:spacing w:after="0"/>
        <w:rPr>
          <w:sz w:val="20"/>
          <w:szCs w:val="20"/>
          <w:color w:val="auto"/>
        </w:rPr>
      </w:pPr>
      <w:r>
        <w:rPr>
          <w:rFonts w:ascii="Arial" w:cs="Arial" w:eastAsia="Arial" w:hAnsi="Arial"/>
          <w:sz w:val="20"/>
          <w:szCs w:val="20"/>
          <w:color w:val="auto"/>
        </w:rPr>
        <w:t>ROYAL BANK OF CANADA, as a Lender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4">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5">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S-3  </w:t>
      </w:r>
      <w:r>
        <w:rPr>
          <w:rFonts w:ascii="Arial" w:cs="Arial" w:eastAsia="Arial" w:hAnsi="Arial"/>
          <w:sz w:val="13"/>
          <w:szCs w:val="13"/>
          <w:color w:val="auto"/>
        </w:rPr>
        <w:t>ALLETE CREDIT AGREEMENT</w:t>
      </w:r>
    </w:p>
    <w:p>
      <w:pPr>
        <w:sectPr>
          <w:pgSz w:w="11900" w:h="16838" w:orient="portrait"/>
          <w:cols w:equalWidth="0" w:num="1">
            <w:col w:w="10139"/>
          </w:cols>
          <w:pgMar w:left="320" w:top="1440" w:right="1440" w:bottom="1440" w:gutter="0" w:footer="0" w:header="0"/>
        </w:sectPr>
      </w:pPr>
    </w:p>
    <w:bookmarkStart w:id="216" w:name="page217"/>
    <w:bookmarkEnd w:id="216"/>
    <w:p>
      <w:pPr>
        <w:jc w:val="right"/>
        <w:ind w:right="1879"/>
        <w:spacing w:after="0"/>
        <w:rPr>
          <w:sz w:val="20"/>
          <w:szCs w:val="20"/>
          <w:color w:val="auto"/>
        </w:rPr>
      </w:pPr>
      <w:r>
        <w:rPr>
          <w:rFonts w:ascii="Arial" w:cs="Arial" w:eastAsia="Arial" w:hAnsi="Arial"/>
          <w:sz w:val="20"/>
          <w:szCs w:val="20"/>
          <w:color w:val="auto"/>
        </w:rPr>
        <w:t>U.S. BANK NATIONAL ASSOCIATION, as a Lender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S-4  </w:t>
      </w:r>
      <w:r>
        <w:rPr>
          <w:rFonts w:ascii="Arial" w:cs="Arial" w:eastAsia="Arial" w:hAnsi="Arial"/>
          <w:sz w:val="13"/>
          <w:szCs w:val="13"/>
          <w:color w:val="auto"/>
        </w:rPr>
        <w:t>ALLETE CREDIT AGREEMENT</w:t>
      </w:r>
    </w:p>
    <w:p>
      <w:pPr>
        <w:sectPr>
          <w:pgSz w:w="11900" w:h="16838" w:orient="portrait"/>
          <w:cols w:equalWidth="0" w:num="1">
            <w:col w:w="10139"/>
          </w:cols>
          <w:pgMar w:left="320" w:top="1405" w:right="1440" w:bottom="1440" w:gutter="0" w:footer="0" w:header="0"/>
        </w:sectPr>
      </w:pPr>
    </w:p>
    <w:bookmarkStart w:id="217" w:name="page218"/>
    <w:bookmarkEnd w:id="217"/>
    <w:p>
      <w:pPr>
        <w:spacing w:after="0" w:line="209" w:lineRule="exact"/>
        <w:rPr>
          <w:sz w:val="20"/>
          <w:szCs w:val="20"/>
          <w:color w:val="auto"/>
        </w:rPr>
      </w:pPr>
    </w:p>
    <w:p>
      <w:pPr>
        <w:jc w:val="right"/>
        <w:ind w:right="819"/>
        <w:spacing w:after="0"/>
        <w:rPr>
          <w:sz w:val="20"/>
          <w:szCs w:val="20"/>
          <w:color w:val="auto"/>
        </w:rPr>
      </w:pPr>
      <w:r>
        <w:rPr>
          <w:rFonts w:ascii="Arial" w:cs="Arial" w:eastAsia="Arial" w:hAnsi="Arial"/>
          <w:sz w:val="20"/>
          <w:szCs w:val="20"/>
          <w:color w:val="auto"/>
        </w:rPr>
        <w:t>WELLS FARGO BANK, NATIONAL ASSOCIATION, as a Lender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1">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2">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S-5  </w:t>
      </w:r>
      <w:r>
        <w:rPr>
          <w:rFonts w:ascii="Arial" w:cs="Arial" w:eastAsia="Arial" w:hAnsi="Arial"/>
          <w:sz w:val="13"/>
          <w:szCs w:val="13"/>
          <w:color w:val="auto"/>
        </w:rPr>
        <w:t>ALLETE CREDIT AGREEMENT</w:t>
      </w:r>
    </w:p>
    <w:p>
      <w:pPr>
        <w:sectPr>
          <w:pgSz w:w="11900" w:h="16838" w:orient="portrait"/>
          <w:cols w:equalWidth="0" w:num="1">
            <w:col w:w="10139"/>
          </w:cols>
          <w:pgMar w:left="320" w:top="1440" w:right="1440" w:bottom="1440" w:gutter="0" w:footer="0" w:header="0"/>
        </w:sectPr>
      </w:pPr>
    </w:p>
    <w:bookmarkStart w:id="218" w:name="page219"/>
    <w:bookmarkEnd w:id="218"/>
    <w:p>
      <w:pPr>
        <w:spacing w:after="0" w:line="209" w:lineRule="exact"/>
        <w:rPr>
          <w:sz w:val="20"/>
          <w:szCs w:val="20"/>
          <w:color w:val="auto"/>
        </w:rPr>
      </w:pPr>
    </w:p>
    <w:p>
      <w:pPr>
        <w:jc w:val="right"/>
        <w:ind w:right="2919"/>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S-6  </w:t>
      </w:r>
      <w:r>
        <w:rPr>
          <w:rFonts w:ascii="Arial" w:cs="Arial" w:eastAsia="Arial" w:hAnsi="Arial"/>
          <w:sz w:val="13"/>
          <w:szCs w:val="13"/>
          <w:color w:val="auto"/>
        </w:rPr>
        <w:t>ALLETE CREDIT AGREEMENT</w:t>
      </w:r>
    </w:p>
    <w:p>
      <w:pPr>
        <w:sectPr>
          <w:pgSz w:w="11900" w:h="16838" w:orient="portrait"/>
          <w:cols w:equalWidth="0" w:num="1">
            <w:col w:w="10139"/>
          </w:cols>
          <w:pgMar w:left="320" w:top="1440" w:right="1440" w:bottom="1440" w:gutter="0" w:footer="0" w:header="0"/>
        </w:sectPr>
      </w:pPr>
    </w:p>
    <w:bookmarkStart w:id="219" w:name="page220"/>
    <w:bookmarkEnd w:id="219"/>
    <w:p>
      <w:pPr>
        <w:spacing w:after="0" w:line="209" w:lineRule="exact"/>
        <w:rPr>
          <w:sz w:val="20"/>
          <w:szCs w:val="20"/>
          <w:color w:val="auto"/>
        </w:rPr>
      </w:pPr>
    </w:p>
    <w:p>
      <w:pPr>
        <w:jc w:val="right"/>
        <w:ind w:right="1859"/>
        <w:spacing w:after="0"/>
        <w:rPr>
          <w:sz w:val="20"/>
          <w:szCs w:val="20"/>
          <w:color w:val="auto"/>
        </w:rPr>
      </w:pPr>
      <w:r>
        <w:rPr>
          <w:rFonts w:ascii="Arial" w:cs="Arial" w:eastAsia="Arial" w:hAnsi="Arial"/>
          <w:sz w:val="20"/>
          <w:szCs w:val="20"/>
          <w:color w:val="auto"/>
        </w:rPr>
        <w:t>KEYBANK NATIONAL ASSOCIATION, as a Lender</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7">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S-7  </w:t>
      </w:r>
      <w:r>
        <w:rPr>
          <w:rFonts w:ascii="Arial" w:cs="Arial" w:eastAsia="Arial" w:hAnsi="Arial"/>
          <w:sz w:val="13"/>
          <w:szCs w:val="13"/>
          <w:color w:val="auto"/>
        </w:rPr>
        <w:t>ALLETE CREDIT AGREEMENT</w:t>
      </w:r>
    </w:p>
    <w:p>
      <w:pPr>
        <w:sectPr>
          <w:pgSz w:w="11900" w:h="16838" w:orient="portrait"/>
          <w:cols w:equalWidth="0" w:num="1">
            <w:col w:w="10139"/>
          </w:cols>
          <w:pgMar w:left="320" w:top="1440" w:right="1440" w:bottom="1440" w:gutter="0" w:footer="0" w:header="0"/>
        </w:sectPr>
      </w:pPr>
    </w:p>
    <w:bookmarkStart w:id="220" w:name="page221"/>
    <w:bookmarkEnd w:id="220"/>
    <w:p>
      <w:pPr>
        <w:spacing w:after="0" w:line="209" w:lineRule="exact"/>
        <w:rPr>
          <w:sz w:val="20"/>
          <w:szCs w:val="20"/>
          <w:color w:val="auto"/>
        </w:rPr>
      </w:pPr>
    </w:p>
    <w:p>
      <w:pPr>
        <w:jc w:val="right"/>
        <w:ind w:right="2019"/>
        <w:spacing w:after="0"/>
        <w:rPr>
          <w:sz w:val="20"/>
          <w:szCs w:val="20"/>
          <w:color w:val="auto"/>
        </w:rPr>
      </w:pPr>
      <w:r>
        <w:rPr>
          <w:rFonts w:ascii="Arial" w:cs="Arial" w:eastAsia="Arial" w:hAnsi="Arial"/>
          <w:sz w:val="20"/>
          <w:szCs w:val="20"/>
          <w:color w:val="auto"/>
        </w:rPr>
        <w:t>COBANK, ACB, as a Lender and as an Issuing Bank</w:t>
      </w:r>
    </w:p>
    <w:p>
      <w:pPr>
        <w:spacing w:after="0" w:line="200" w:lineRule="exact"/>
        <w:rPr>
          <w:sz w:val="20"/>
          <w:szCs w:val="20"/>
          <w:color w:val="auto"/>
        </w:rPr>
      </w:pP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-118745</wp:posOffset>
            </wp:positionV>
            <wp:extent cx="1257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2934335</wp:posOffset>
            </wp:positionH>
            <wp:positionV relativeFrom="paragraph">
              <wp:posOffset>-144780</wp:posOffset>
            </wp:positionV>
            <wp:extent cx="1257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-24765</wp:posOffset>
            </wp:positionV>
            <wp:extent cx="1257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9"/>
          <w:szCs w:val="19"/>
          <w:color w:val="auto"/>
        </w:rPr>
        <w:t xml:space="preserve">S-8  </w:t>
      </w:r>
      <w:r>
        <w:rPr>
          <w:rFonts w:ascii="Arial" w:cs="Arial" w:eastAsia="Arial" w:hAnsi="Arial"/>
          <w:sz w:val="13"/>
          <w:szCs w:val="13"/>
          <w:color w:val="auto"/>
        </w:rPr>
        <w:t>ALLETE CREDIT AGREEMENT</w:t>
      </w:r>
    </w:p>
    <w:p>
      <w:pPr>
        <w:sectPr>
          <w:pgSz w:w="11900" w:h="16838" w:orient="portrait"/>
          <w:cols w:equalWidth="0" w:num="1">
            <w:col w:w="10139"/>
          </w:cols>
          <w:pgMar w:left="320" w:top="1440"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20"/>
          <w:szCs w:val="20"/>
          <w:b w:val="1"/>
          <w:bCs w:val="1"/>
          <w:color w:val="auto"/>
        </w:rPr>
        <w:t>SCHEDULE 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APPLICABLE MARGIN</w:t>
      </w:r>
    </w:p>
    <w:p>
      <w:pPr>
        <w:spacing w:after="0" w:line="200" w:lineRule="exact"/>
        <w:rPr>
          <w:sz w:val="20"/>
          <w:szCs w:val="20"/>
          <w:color w:val="auto"/>
        </w:rPr>
      </w:pPr>
    </w:p>
    <w:p>
      <w:pPr>
        <w:spacing w:after="0" w:line="22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Applicable Margin for Term Benchmark Borrowings, ABR Borrowings, Letter of Credit fees and facility fees shall be determined in accordance with the table below based on the then-current Senior Debt Ratings. The Senior Debt Ratings in effect on any date for the purposes of this Schedule are those in effect at the close of business on such date.</w:t>
      </w:r>
    </w:p>
    <w:p>
      <w:pPr>
        <w:spacing w:after="0" w:line="221" w:lineRule="exact"/>
        <w:rPr>
          <w:sz w:val="20"/>
          <w:szCs w:val="20"/>
          <w:color w:val="auto"/>
        </w:rPr>
      </w:pPr>
    </w:p>
    <w:tbl>
      <w:tblPr>
        <w:tblLayout w:type="fixed"/>
        <w:tblInd w:w="370" w:type="dxa"/>
        <w:tblCellMar>
          <w:top w:w="0" w:type="dxa"/>
          <w:left w:w="0" w:type="dxa"/>
          <w:bottom w:w="0" w:type="dxa"/>
          <w:right w:w="0" w:type="dxa"/>
        </w:tblCellMar>
      </w:tblPr>
      <w:tr>
        <w:trPr>
          <w:trHeight w:val="297"/>
        </w:trPr>
        <w:tc>
          <w:tcPr>
            <w:tcW w:w="28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Status</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Pricing Level I</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Pricing Level II</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Level</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Level</w:t>
            </w:r>
          </w:p>
        </w:tc>
        <w:tc>
          <w:tcPr>
            <w:tcW w:w="1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Pricing Level V</w:t>
            </w: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6"/>
                <w:szCs w:val="16"/>
                <w:color w:val="auto"/>
              </w:rPr>
              <w:t>III</w:t>
            </w:r>
          </w:p>
        </w:tc>
        <w:tc>
          <w:tcPr>
            <w:tcW w:w="136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6"/>
                <w:szCs w:val="16"/>
                <w:color w:val="auto"/>
              </w:rPr>
              <w:t>IV</w:t>
            </w:r>
          </w:p>
        </w:tc>
        <w:tc>
          <w:tcPr>
            <w:tcW w:w="1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 A+/</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 A/</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 A-/</w:t>
            </w:r>
          </w:p>
        </w:tc>
        <w:tc>
          <w:tcPr>
            <w:tcW w:w="13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7"/>
              </w:rPr>
              <w:t>≥ BBB+/</w:t>
            </w:r>
          </w:p>
        </w:tc>
        <w:tc>
          <w:tcPr>
            <w:tcW w:w="14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6"/>
              </w:rPr>
              <w:t>&lt; BBB+/</w:t>
            </w:r>
          </w:p>
        </w:tc>
        <w:tc>
          <w:tcPr>
            <w:tcW w:w="0" w:type="dxa"/>
            <w:vAlign w:val="bottom"/>
          </w:tcPr>
          <w:p>
            <w:pPr>
              <w:spacing w:after="0"/>
              <w:rPr>
                <w:sz w:val="1"/>
                <w:szCs w:val="1"/>
                <w:color w:val="auto"/>
              </w:rPr>
            </w:pPr>
          </w:p>
        </w:tc>
      </w:tr>
      <w:tr>
        <w:trPr>
          <w:trHeight w:val="94"/>
        </w:trPr>
        <w:tc>
          <w:tcPr>
            <w:tcW w:w="28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Arial" w:cs="Arial" w:eastAsia="Arial" w:hAnsi="Arial"/>
                <w:sz w:val="20"/>
                <w:szCs w:val="20"/>
                <w:color w:val="auto"/>
                <w:w w:val="89"/>
              </w:rPr>
              <w:t>Senior Debt Rating</w:t>
            </w:r>
          </w:p>
        </w:tc>
        <w:tc>
          <w:tcPr>
            <w:tcW w:w="148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20"/>
                <w:szCs w:val="20"/>
                <w:color w:val="auto"/>
                <w:w w:val="97"/>
              </w:rPr>
              <w:t>BBB+/</w:t>
            </w:r>
          </w:p>
        </w:tc>
        <w:tc>
          <w:tcPr>
            <w:tcW w:w="1480" w:type="dxa"/>
            <w:vAlign w:val="bottom"/>
            <w:tcBorders>
              <w:right w:val="single" w:sz="8" w:color="auto"/>
            </w:tcBorders>
            <w:vMerge w:val="restart"/>
          </w:tcPr>
          <w:p>
            <w:pPr>
              <w:jc w:val="center"/>
              <w:spacing w:after="0" w:line="189" w:lineRule="exact"/>
              <w:rPr>
                <w:sz w:val="20"/>
                <w:szCs w:val="20"/>
                <w:color w:val="auto"/>
              </w:rPr>
            </w:pPr>
            <w:r>
              <w:rPr>
                <w:rFonts w:ascii="Arial" w:cs="Arial" w:eastAsia="Arial" w:hAnsi="Arial"/>
                <w:sz w:val="20"/>
                <w:szCs w:val="20"/>
                <w:color w:val="auto"/>
                <w:w w:val="97"/>
              </w:rPr>
              <w:t>BBB+/</w:t>
            </w:r>
          </w:p>
        </w:tc>
        <w:tc>
          <w:tcPr>
            <w:tcW w:w="0" w:type="dxa"/>
            <w:vAlign w:val="bottom"/>
          </w:tcPr>
          <w:p>
            <w:pPr>
              <w:spacing w:after="0"/>
              <w:rPr>
                <w:sz w:val="1"/>
                <w:szCs w:val="1"/>
                <w:color w:val="auto"/>
              </w:rPr>
            </w:pPr>
          </w:p>
        </w:tc>
      </w:tr>
      <w:tr>
        <w:trPr>
          <w:trHeight w:val="95"/>
        </w:trPr>
        <w:tc>
          <w:tcPr>
            <w:tcW w:w="286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A+/ A1</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A/ A2</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A-/A3</w:t>
            </w:r>
          </w:p>
        </w:tc>
        <w:tc>
          <w:tcPr>
            <w:tcW w:w="136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860" w:type="dxa"/>
            <w:vAlign w:val="bottom"/>
            <w:tcBorders>
              <w:left w:val="single" w:sz="8" w:color="auto"/>
              <w:right w:val="single" w:sz="8" w:color="auto"/>
            </w:tcBorders>
          </w:tcPr>
          <w:p>
            <w:pPr>
              <w:spacing w:after="0"/>
              <w:rPr>
                <w:sz w:val="13"/>
                <w:szCs w:val="13"/>
                <w:color w:val="auto"/>
              </w:rPr>
            </w:pPr>
          </w:p>
        </w:tc>
        <w:tc>
          <w:tcPr>
            <w:tcW w:w="148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5"/>
              </w:rPr>
              <w:t>Baa1</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5"/>
              </w:rPr>
              <w:t>Baa1</w:t>
            </w:r>
          </w:p>
        </w:tc>
        <w:tc>
          <w:tcPr>
            <w:tcW w:w="0" w:type="dxa"/>
            <w:vAlign w:val="bottom"/>
          </w:tcPr>
          <w:p>
            <w:pPr>
              <w:spacing w:after="0"/>
              <w:rPr>
                <w:sz w:val="1"/>
                <w:szCs w:val="1"/>
                <w:color w:val="auto"/>
              </w:rPr>
            </w:pPr>
          </w:p>
        </w:tc>
      </w:tr>
      <w:tr>
        <w:trPr>
          <w:trHeight w:val="87"/>
        </w:trPr>
        <w:tc>
          <w:tcPr>
            <w:tcW w:w="286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vMerge w:val="continue"/>
          </w:tcPr>
          <w:p>
            <w:pPr>
              <w:spacing w:after="0"/>
              <w:rPr>
                <w:sz w:val="7"/>
                <w:szCs w:val="7"/>
                <w:color w:val="auto"/>
              </w:rPr>
            </w:pPr>
          </w:p>
        </w:tc>
        <w:tc>
          <w:tcPr>
            <w:tcW w:w="14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3"/>
              </w:rPr>
              <w:t>Applicable Margin for Term</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0.800%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0.900%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1.00%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1.075%</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1.275%</w:t>
            </w:r>
          </w:p>
        </w:tc>
        <w:tc>
          <w:tcPr>
            <w:tcW w:w="0" w:type="dxa"/>
            <w:vAlign w:val="bottom"/>
          </w:tcPr>
          <w:p>
            <w:pPr>
              <w:spacing w:after="0"/>
              <w:rPr>
                <w:sz w:val="1"/>
                <w:szCs w:val="1"/>
                <w:color w:val="auto"/>
              </w:rPr>
            </w:pPr>
          </w:p>
        </w:tc>
      </w:tr>
      <w:tr>
        <w:trPr>
          <w:trHeight w:val="189"/>
        </w:trPr>
        <w:tc>
          <w:tcPr>
            <w:tcW w:w="2860" w:type="dxa"/>
            <w:vAlign w:val="bottom"/>
            <w:tcBorders>
              <w:left w:val="single" w:sz="8" w:color="auto"/>
              <w:right w:val="single" w:sz="8" w:color="auto"/>
            </w:tcBorders>
          </w:tcPr>
          <w:p>
            <w:pPr>
              <w:jc w:val="center"/>
              <w:spacing w:after="0" w:line="189" w:lineRule="exact"/>
              <w:rPr>
                <w:sz w:val="20"/>
                <w:szCs w:val="20"/>
                <w:color w:val="auto"/>
              </w:rPr>
            </w:pPr>
            <w:r>
              <w:rPr>
                <w:rFonts w:ascii="Arial" w:cs="Arial" w:eastAsia="Arial" w:hAnsi="Arial"/>
                <w:sz w:val="20"/>
                <w:szCs w:val="20"/>
                <w:color w:val="auto"/>
                <w:w w:val="90"/>
              </w:rPr>
              <w:t>Benchmark Loans and Letter of</w:t>
            </w:r>
          </w:p>
        </w:tc>
        <w:tc>
          <w:tcPr>
            <w:tcW w:w="148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continue"/>
          </w:tcPr>
          <w:p>
            <w:pPr>
              <w:spacing w:after="0"/>
              <w:rPr>
                <w:sz w:val="16"/>
                <w:szCs w:val="16"/>
                <w:color w:val="auto"/>
              </w:rPr>
            </w:pPr>
          </w:p>
        </w:tc>
        <w:tc>
          <w:tcPr>
            <w:tcW w:w="136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Credit participation fees</w:t>
            </w:r>
          </w:p>
        </w:tc>
        <w:tc>
          <w:tcPr>
            <w:tcW w:w="148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6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20"/>
                <w:szCs w:val="20"/>
                <w:color w:val="auto"/>
                <w:w w:val="94"/>
              </w:rPr>
              <w:t>Applicable for</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0.075%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0.100%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0.125%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0.175%</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0.225%</w:t>
            </w:r>
          </w:p>
        </w:tc>
        <w:tc>
          <w:tcPr>
            <w:tcW w:w="0" w:type="dxa"/>
            <w:vAlign w:val="bottom"/>
          </w:tcPr>
          <w:p>
            <w:pPr>
              <w:spacing w:after="0"/>
              <w:rPr>
                <w:sz w:val="1"/>
                <w:szCs w:val="1"/>
                <w:color w:val="auto"/>
              </w:rPr>
            </w:pPr>
          </w:p>
        </w:tc>
      </w:tr>
      <w:tr>
        <w:trPr>
          <w:trHeight w:val="153"/>
        </w:trPr>
        <w:tc>
          <w:tcPr>
            <w:tcW w:w="28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facility fees</w:t>
            </w:r>
          </w:p>
        </w:tc>
        <w:tc>
          <w:tcPr>
            <w:tcW w:w="148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continue"/>
          </w:tcPr>
          <w:p>
            <w:pPr>
              <w:spacing w:after="0"/>
              <w:rPr>
                <w:sz w:val="13"/>
                <w:szCs w:val="13"/>
                <w:color w:val="auto"/>
              </w:rPr>
            </w:pPr>
          </w:p>
        </w:tc>
        <w:tc>
          <w:tcPr>
            <w:tcW w:w="1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8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Applicable Margin for ABR Loans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0.075%</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0.275%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firstLine="222"/>
        <w:spacing w:after="0" w:line="269" w:lineRule="auto"/>
        <w:tabs>
          <w:tab w:leader="none" w:pos="6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each Rating Agency issues a Senior Debt Rating, the applicable Senior Debt Rating shall be (i) if two of such Senior Debt Ratings are the same, such Senior Debt Ratings; and (ii) if all such Senior Debt Ratings are different, the middle of such Senior Debt Ratings.</w:t>
      </w:r>
    </w:p>
    <w:p>
      <w:pPr>
        <w:spacing w:after="0" w:line="103" w:lineRule="exact"/>
        <w:rPr>
          <w:rFonts w:ascii="Arial" w:cs="Arial" w:eastAsia="Arial" w:hAnsi="Arial"/>
          <w:sz w:val="18"/>
          <w:szCs w:val="18"/>
          <w:color w:val="auto"/>
        </w:rPr>
      </w:pPr>
    </w:p>
    <w:p>
      <w:pPr>
        <w:jc w:val="both"/>
        <w:ind w:firstLine="244"/>
        <w:spacing w:after="0" w:line="218" w:lineRule="auto"/>
        <w:tabs>
          <w:tab w:leader="none" w:pos="702" w:val="left"/>
        </w:tabs>
        <w:numPr>
          <w:ilvl w:val="2"/>
          <w:numId w:val="160"/>
        </w:numPr>
        <w:rPr>
          <w:rFonts w:ascii="Arial" w:cs="Arial" w:eastAsia="Arial" w:hAnsi="Arial"/>
          <w:sz w:val="20"/>
          <w:szCs w:val="20"/>
          <w:color w:val="auto"/>
        </w:rPr>
      </w:pPr>
      <w:r>
        <w:rPr>
          <w:rFonts w:ascii="Arial" w:cs="Arial" w:eastAsia="Arial" w:hAnsi="Arial"/>
          <w:sz w:val="20"/>
          <w:szCs w:val="20"/>
          <w:color w:val="auto"/>
        </w:rPr>
        <w:t xml:space="preserve">If only two Rating Agencies issue a Senior Debt Rating, the applicable Senior Debt Rating shall be the higher of such Senior Debt Ratings;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split of greater than one ratings category occurs between such Senior Debt Ratings, the applicable Senior Debt Rating shall be the ratings category that is one category below the higher of such Senior Debt Ratings.</w:t>
      </w:r>
    </w:p>
    <w:p>
      <w:pPr>
        <w:spacing w:after="0" w:line="129" w:lineRule="exact"/>
        <w:rPr>
          <w:rFonts w:ascii="Arial" w:cs="Arial" w:eastAsia="Arial" w:hAnsi="Arial"/>
          <w:sz w:val="20"/>
          <w:szCs w:val="20"/>
          <w:color w:val="auto"/>
        </w:rPr>
      </w:pPr>
    </w:p>
    <w:p>
      <w:pPr>
        <w:ind w:left="620" w:hanging="414"/>
        <w:spacing w:after="0"/>
        <w:tabs>
          <w:tab w:leader="none" w:pos="6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only one Rating Agency issues a Senior Debt Rating, the applicable Senior Debt Rating shall be such Senior Debt Rating.</w:t>
      </w:r>
    </w:p>
    <w:p>
      <w:pPr>
        <w:spacing w:after="0" w:line="159" w:lineRule="exact"/>
        <w:rPr>
          <w:rFonts w:ascii="Arial" w:cs="Arial" w:eastAsia="Arial" w:hAnsi="Arial"/>
          <w:sz w:val="19"/>
          <w:szCs w:val="19"/>
          <w:color w:val="auto"/>
        </w:rPr>
      </w:pPr>
    </w:p>
    <w:p>
      <w:pPr>
        <w:ind w:left="640" w:hanging="434"/>
        <w:spacing w:after="0"/>
        <w:tabs>
          <w:tab w:leader="none" w:pos="64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If no Rating Agency issues a Senior Debt Rating, Pricing Level V shall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 w:leader="none" w:pos="2420" w:val="left"/>
        </w:tabs>
        <w:rPr>
          <w:sz w:val="20"/>
          <w:szCs w:val="20"/>
          <w:color w:val="auto"/>
        </w:rPr>
      </w:pPr>
      <w:r>
        <w:rPr>
          <w:rFonts w:ascii="Arial" w:cs="Arial" w:eastAsia="Arial" w:hAnsi="Arial"/>
          <w:sz w:val="14"/>
          <w:szCs w:val="14"/>
          <w:color w:val="auto"/>
        </w:rPr>
        <w:t>744315352 11074672</w:t>
        <w:tab/>
        <w:t>SCHEDULE 1</w:t>
        <w:tab/>
        <w:t>ALLETE CREDIT AGREEMENT</w:t>
      </w:r>
    </w:p>
    <w:p>
      <w:pPr>
        <w:sectPr>
          <w:pgSz w:w="11900" w:h="16838" w:orient="portrait"/>
          <w:cols w:equalWidth="0" w:num="1">
            <w:col w:w="11240"/>
          </w:cols>
          <w:pgMar w:left="320" w:top="1399" w:right="339" w:bottom="1440" w:gutter="0" w:footer="0" w:header="0"/>
        </w:sectPr>
      </w:pPr>
    </w:p>
    <w:bookmarkStart w:id="222" w:name="page223"/>
    <w:bookmarkEnd w:id="222"/>
    <w:tbl>
      <w:tblPr>
        <w:tblLayout w:type="fixed"/>
        <w:tblInd w:w="10" w:type="dxa"/>
        <w:tblCellMar>
          <w:top w:w="0" w:type="dxa"/>
          <w:left w:w="0" w:type="dxa"/>
          <w:bottom w:w="0" w:type="dxa"/>
          <w:right w:w="0" w:type="dxa"/>
        </w:tblCellMar>
      </w:tblPr>
      <w:tr>
        <w:trPr>
          <w:trHeight w:val="256"/>
        </w:trPr>
        <w:tc>
          <w:tcPr>
            <w:tcW w:w="2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700" w:type="dxa"/>
            <w:vAlign w:val="bottom"/>
            <w:gridSpan w:val="5"/>
          </w:tcPr>
          <w:p>
            <w:pPr>
              <w:jc w:val="center"/>
              <w:ind w:right="4280"/>
              <w:spacing w:after="0"/>
              <w:rPr>
                <w:sz w:val="20"/>
                <w:szCs w:val="20"/>
                <w:color w:val="auto"/>
              </w:rPr>
            </w:pPr>
            <w:r>
              <w:rPr>
                <w:rFonts w:ascii="Arial" w:cs="Arial" w:eastAsia="Arial" w:hAnsi="Arial"/>
                <w:sz w:val="20"/>
                <w:szCs w:val="20"/>
                <w:b w:val="1"/>
                <w:bCs w:val="1"/>
                <w:color w:val="auto"/>
                <w:w w:val="96"/>
              </w:rPr>
              <w:t>SCHEDULE 2.1</w:t>
            </w:r>
          </w:p>
        </w:tc>
      </w:tr>
      <w:tr>
        <w:trPr>
          <w:trHeight w:val="333"/>
        </w:trPr>
        <w:tc>
          <w:tcPr>
            <w:tcW w:w="2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00" w:type="dxa"/>
            <w:vAlign w:val="bottom"/>
            <w:gridSpan w:val="5"/>
          </w:tcPr>
          <w:p>
            <w:pPr>
              <w:jc w:val="center"/>
              <w:ind w:right="4300"/>
              <w:spacing w:after="0"/>
              <w:rPr>
                <w:sz w:val="20"/>
                <w:szCs w:val="20"/>
                <w:color w:val="auto"/>
              </w:rPr>
            </w:pPr>
            <w:r>
              <w:rPr>
                <w:rFonts w:ascii="Arial" w:cs="Arial" w:eastAsia="Arial" w:hAnsi="Arial"/>
                <w:sz w:val="20"/>
                <w:szCs w:val="20"/>
                <w:b w:val="1"/>
                <w:bCs w:val="1"/>
                <w:color w:val="auto"/>
              </w:rPr>
              <w:t>LIST OF COMMITMENTS</w:t>
            </w:r>
          </w:p>
        </w:tc>
      </w:tr>
      <w:tr>
        <w:trPr>
          <w:trHeight w:val="695"/>
        </w:trPr>
        <w:tc>
          <w:tcPr>
            <w:tcW w:w="2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196"/>
        </w:trPr>
        <w:tc>
          <w:tcPr>
            <w:tcW w:w="4420" w:type="dxa"/>
            <w:vAlign w:val="bottom"/>
            <w:tcBorders>
              <w:left w:val="single" w:sz="8" w:color="auto"/>
            </w:tcBorders>
            <w:gridSpan w:val="3"/>
          </w:tcPr>
          <w:p>
            <w:pPr>
              <w:jc w:val="center"/>
              <w:ind w:left="1061"/>
              <w:spacing w:after="0" w:line="196" w:lineRule="exact"/>
              <w:rPr>
                <w:sz w:val="20"/>
                <w:szCs w:val="20"/>
                <w:color w:val="auto"/>
              </w:rPr>
            </w:pPr>
            <w:r>
              <w:rPr>
                <w:rFonts w:ascii="Arial" w:cs="Arial" w:eastAsia="Arial" w:hAnsi="Arial"/>
                <w:sz w:val="20"/>
                <w:szCs w:val="20"/>
                <w:b w:val="1"/>
                <w:bCs w:val="1"/>
                <w:color w:val="auto"/>
                <w:w w:val="92"/>
              </w:rPr>
              <w:t>Lender</w:t>
            </w:r>
          </w:p>
        </w:tc>
        <w:tc>
          <w:tcPr>
            <w:tcW w:w="11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6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20"/>
                <w:szCs w:val="20"/>
                <w:b w:val="1"/>
                <w:bCs w:val="1"/>
                <w:color w:val="auto"/>
              </w:rPr>
              <w:t>Commitment</w:t>
            </w:r>
          </w:p>
        </w:tc>
      </w:tr>
      <w:tr>
        <w:trPr>
          <w:trHeight w:val="21"/>
        </w:trPr>
        <w:tc>
          <w:tcPr>
            <w:tcW w:w="248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4420" w:type="dxa"/>
            <w:vAlign w:val="bottom"/>
            <w:tcBorders>
              <w:left w:val="single" w:sz="8" w:color="auto"/>
              <w:bottom w:val="single" w:sz="8" w:color="auto"/>
            </w:tcBorders>
            <w:gridSpan w:val="3"/>
          </w:tcPr>
          <w:p>
            <w:pPr>
              <w:jc w:val="center"/>
              <w:ind w:left="1041"/>
              <w:spacing w:after="0"/>
              <w:rPr>
                <w:sz w:val="20"/>
                <w:szCs w:val="20"/>
                <w:color w:val="auto"/>
              </w:rPr>
            </w:pPr>
            <w:r>
              <w:rPr>
                <w:rFonts w:ascii="Arial" w:cs="Arial" w:eastAsia="Arial" w:hAnsi="Arial"/>
                <w:sz w:val="20"/>
                <w:szCs w:val="20"/>
                <w:color w:val="auto"/>
                <w:w w:val="89"/>
              </w:rPr>
              <w:t>JPMorgan Chase Bank, N.A.</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$70,000,000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tcBorders>
            <w:gridSpan w:val="3"/>
          </w:tcPr>
          <w:p>
            <w:pPr>
              <w:jc w:val="center"/>
              <w:ind w:left="1041"/>
              <w:spacing w:after="0"/>
              <w:rPr>
                <w:sz w:val="20"/>
                <w:szCs w:val="20"/>
                <w:color w:val="auto"/>
              </w:rPr>
            </w:pPr>
            <w:r>
              <w:rPr>
                <w:rFonts w:ascii="Arial" w:cs="Arial" w:eastAsia="Arial" w:hAnsi="Arial"/>
                <w:sz w:val="20"/>
                <w:szCs w:val="20"/>
                <w:color w:val="auto"/>
                <w:w w:val="91"/>
              </w:rPr>
              <w:t>U.S. Bank National Association</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$60,000,000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tcBorders>
            <w:gridSpan w:val="3"/>
          </w:tcPr>
          <w:p>
            <w:pPr>
              <w:jc w:val="center"/>
              <w:ind w:left="1061"/>
              <w:spacing w:after="0"/>
              <w:rPr>
                <w:sz w:val="20"/>
                <w:szCs w:val="20"/>
                <w:color w:val="auto"/>
              </w:rPr>
            </w:pPr>
            <w:r>
              <w:rPr>
                <w:rFonts w:ascii="Arial" w:cs="Arial" w:eastAsia="Arial" w:hAnsi="Arial"/>
                <w:sz w:val="20"/>
                <w:szCs w:val="20"/>
                <w:color w:val="auto"/>
                <w:w w:val="90"/>
              </w:rPr>
              <w:t>Wells Fargo Bank, National Association</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$60,000,000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tcBorders>
            <w:gridSpan w:val="3"/>
          </w:tcPr>
          <w:p>
            <w:pPr>
              <w:jc w:val="center"/>
              <w:ind w:left="1041"/>
              <w:spacing w:after="0"/>
              <w:rPr>
                <w:sz w:val="20"/>
                <w:szCs w:val="20"/>
                <w:color w:val="auto"/>
              </w:rPr>
            </w:pPr>
            <w:r>
              <w:rPr>
                <w:rFonts w:ascii="Arial" w:cs="Arial" w:eastAsia="Arial" w:hAnsi="Arial"/>
                <w:sz w:val="20"/>
                <w:szCs w:val="20"/>
                <w:color w:val="auto"/>
                <w:w w:val="89"/>
              </w:rPr>
              <w:t>Royal Bank of Canada</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$60,000,000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tcBorders>
            <w:gridSpan w:val="3"/>
          </w:tcPr>
          <w:p>
            <w:pPr>
              <w:jc w:val="center"/>
              <w:ind w:left="1041"/>
              <w:spacing w:after="0"/>
              <w:rPr>
                <w:sz w:val="20"/>
                <w:szCs w:val="20"/>
                <w:color w:val="auto"/>
              </w:rPr>
            </w:pPr>
            <w:r>
              <w:rPr>
                <w:rFonts w:ascii="Arial" w:cs="Arial" w:eastAsia="Arial" w:hAnsi="Arial"/>
                <w:sz w:val="20"/>
                <w:szCs w:val="20"/>
                <w:color w:val="auto"/>
                <w:w w:val="93"/>
              </w:rPr>
              <w:t>Bank of America, N.A.</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$60,000,000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4420" w:type="dxa"/>
            <w:vAlign w:val="bottom"/>
            <w:tcBorders>
              <w:left w:val="single" w:sz="8" w:color="auto"/>
              <w:bottom w:val="single" w:sz="8" w:color="auto"/>
            </w:tcBorders>
            <w:gridSpan w:val="3"/>
          </w:tcPr>
          <w:p>
            <w:pPr>
              <w:jc w:val="center"/>
              <w:ind w:left="1041"/>
              <w:spacing w:after="0"/>
              <w:rPr>
                <w:sz w:val="20"/>
                <w:szCs w:val="20"/>
                <w:color w:val="auto"/>
              </w:rPr>
            </w:pPr>
            <w:r>
              <w:rPr>
                <w:rFonts w:ascii="Arial" w:cs="Arial" w:eastAsia="Arial" w:hAnsi="Arial"/>
                <w:sz w:val="20"/>
                <w:szCs w:val="20"/>
                <w:color w:val="auto"/>
                <w:w w:val="93"/>
              </w:rPr>
              <w:t>CoBank, ACB</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$45,000,000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6"/>
        </w:trPr>
        <w:tc>
          <w:tcPr>
            <w:tcW w:w="4420" w:type="dxa"/>
            <w:vAlign w:val="bottom"/>
            <w:tcBorders>
              <w:left w:val="single" w:sz="8" w:color="auto"/>
              <w:bottom w:val="single" w:sz="8" w:color="auto"/>
            </w:tcBorders>
            <w:gridSpan w:val="3"/>
          </w:tcPr>
          <w:p>
            <w:pPr>
              <w:jc w:val="center"/>
              <w:ind w:left="1061"/>
              <w:spacing w:after="0"/>
              <w:rPr>
                <w:sz w:val="20"/>
                <w:szCs w:val="20"/>
                <w:color w:val="auto"/>
              </w:rPr>
            </w:pPr>
            <w:r>
              <w:rPr>
                <w:rFonts w:ascii="Arial" w:cs="Arial" w:eastAsia="Arial" w:hAnsi="Arial"/>
                <w:sz w:val="20"/>
                <w:szCs w:val="20"/>
                <w:color w:val="auto"/>
                <w:w w:val="92"/>
              </w:rPr>
              <w:t>KeyBank National Association</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color w:val="auto"/>
                <w:w w:val="89"/>
              </w:rPr>
              <w:t>$45,000,000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2480" w:type="dxa"/>
            <w:vAlign w:val="bottom"/>
            <w:tcBorders>
              <w:left w:val="single" w:sz="8" w:color="auto"/>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center"/>
              <w:ind w:right="1340"/>
              <w:spacing w:after="0"/>
              <w:rPr>
                <w:sz w:val="20"/>
                <w:szCs w:val="20"/>
                <w:color w:val="auto"/>
              </w:rPr>
            </w:pPr>
            <w:r>
              <w:rPr>
                <w:rFonts w:ascii="Arial" w:cs="Arial" w:eastAsia="Arial" w:hAnsi="Arial"/>
                <w:sz w:val="20"/>
                <w:szCs w:val="20"/>
                <w:b w:val="1"/>
                <w:bCs w:val="1"/>
                <w:color w:val="auto"/>
                <w:w w:val="91"/>
              </w:rPr>
              <w:t>Total</w:t>
            </w:r>
          </w:p>
        </w:tc>
        <w:tc>
          <w:tcPr>
            <w:tcW w:w="114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tcBorders>
            <w:gridSpan w:val="3"/>
          </w:tcPr>
          <w:p>
            <w:pPr>
              <w:jc w:val="center"/>
              <w:ind w:left="2101"/>
              <w:spacing w:after="0"/>
              <w:rPr>
                <w:sz w:val="20"/>
                <w:szCs w:val="20"/>
                <w:color w:val="auto"/>
              </w:rPr>
            </w:pPr>
            <w:r>
              <w:rPr>
                <w:rFonts w:ascii="Arial" w:cs="Arial" w:eastAsia="Arial" w:hAnsi="Arial"/>
                <w:sz w:val="20"/>
                <w:szCs w:val="20"/>
                <w:b w:val="1"/>
                <w:bCs w:val="1"/>
                <w:color w:val="auto"/>
                <w:w w:val="88"/>
              </w:rPr>
              <w:t>$400,000,000</w:t>
            </w: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7"/>
          <w:szCs w:val="17"/>
          <w:color w:val="auto"/>
        </w:rPr>
        <w:t xml:space="preserve">SCHEDULE 2.1  </w:t>
      </w:r>
      <w:r>
        <w:rPr>
          <w:rFonts w:ascii="Arial" w:cs="Arial" w:eastAsia="Arial" w:hAnsi="Arial"/>
          <w:sz w:val="13"/>
          <w:szCs w:val="13"/>
          <w:color w:val="auto"/>
        </w:rPr>
        <w:t>ALLETE CREDIT AGREEMENT</w:t>
      </w:r>
    </w:p>
    <w:p>
      <w:pPr>
        <w:sectPr>
          <w:pgSz w:w="11900" w:h="16838" w:orient="portrait"/>
          <w:cols w:equalWidth="0" w:num="1">
            <w:col w:w="11100"/>
          </w:cols>
          <w:pgMar w:left="320" w:top="1399" w:right="479" w:bottom="1440" w:gutter="0" w:footer="0" w:header="0"/>
        </w:sectPr>
      </w:pPr>
    </w:p>
    <w:bookmarkStart w:id="223" w:name="page224"/>
    <w:bookmarkEnd w:id="223"/>
    <w:p>
      <w:pPr>
        <w:jc w:val="center"/>
        <w:ind w:right="-139"/>
        <w:spacing w:after="0"/>
        <w:rPr>
          <w:sz w:val="20"/>
          <w:szCs w:val="20"/>
          <w:color w:val="auto"/>
        </w:rPr>
      </w:pPr>
      <w:r>
        <w:rPr>
          <w:rFonts w:ascii="Arial" w:cs="Arial" w:eastAsia="Arial" w:hAnsi="Arial"/>
          <w:sz w:val="20"/>
          <w:szCs w:val="20"/>
          <w:b w:val="1"/>
          <w:bCs w:val="1"/>
          <w:color w:val="auto"/>
        </w:rPr>
        <w:t>SCHEDULE 2</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u w:val="single" w:color="auto"/>
          <w:color w:val="auto"/>
        </w:rPr>
        <w:t>LETTER OF CREDIT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220" w:type="dxa"/>
            <w:vAlign w:val="bottom"/>
            <w:tcBorders>
              <w:top w:val="single" w:sz="8" w:color="auto"/>
              <w:left w:val="single" w:sz="8" w:color="auto"/>
            </w:tcBorders>
          </w:tcPr>
          <w:p>
            <w:pPr>
              <w:spacing w:after="0"/>
              <w:rPr>
                <w:sz w:val="18"/>
                <w:szCs w:val="18"/>
                <w:color w:val="auto"/>
              </w:rPr>
            </w:pPr>
          </w:p>
        </w:tc>
        <w:tc>
          <w:tcPr>
            <w:tcW w:w="3340" w:type="dxa"/>
            <w:vAlign w:val="bottom"/>
            <w:tcBorders>
              <w:top w:val="single" w:sz="8" w:color="auto"/>
              <w:right w:val="single" w:sz="8" w:color="auto"/>
            </w:tcBorders>
            <w:gridSpan w:val="2"/>
          </w:tcPr>
          <w:p>
            <w:pPr>
              <w:jc w:val="center"/>
              <w:ind w:right="2220"/>
              <w:spacing w:after="0" w:line="216" w:lineRule="exact"/>
              <w:rPr>
                <w:sz w:val="20"/>
                <w:szCs w:val="20"/>
                <w:color w:val="auto"/>
              </w:rPr>
            </w:pPr>
            <w:r>
              <w:rPr>
                <w:rFonts w:ascii="Arial" w:cs="Arial" w:eastAsia="Arial" w:hAnsi="Arial"/>
                <w:sz w:val="20"/>
                <w:szCs w:val="20"/>
                <w:b w:val="1"/>
                <w:bCs w:val="1"/>
                <w:color w:val="auto"/>
                <w:w w:val="89"/>
              </w:rPr>
              <w:t>Issuing Bank</w:t>
            </w:r>
          </w:p>
        </w:tc>
        <w:tc>
          <w:tcPr>
            <w:tcW w:w="2200" w:type="dxa"/>
            <w:vAlign w:val="bottom"/>
            <w:tcBorders>
              <w:top w:val="single" w:sz="8" w:color="auto"/>
            </w:tcBorders>
          </w:tcPr>
          <w:p>
            <w:pPr>
              <w:spacing w:after="0"/>
              <w:rPr>
                <w:sz w:val="18"/>
                <w:szCs w:val="18"/>
                <w:color w:val="auto"/>
              </w:rPr>
            </w:pPr>
          </w:p>
        </w:tc>
        <w:tc>
          <w:tcPr>
            <w:tcW w:w="3360" w:type="dxa"/>
            <w:vAlign w:val="bottom"/>
            <w:tcBorders>
              <w:top w:val="single" w:sz="8" w:color="auto"/>
              <w:right w:val="single" w:sz="8" w:color="auto"/>
            </w:tcBorders>
            <w:gridSpan w:val="2"/>
          </w:tcPr>
          <w:p>
            <w:pPr>
              <w:jc w:val="center"/>
              <w:ind w:right="2240"/>
              <w:spacing w:after="0" w:line="216" w:lineRule="exact"/>
              <w:rPr>
                <w:sz w:val="20"/>
                <w:szCs w:val="20"/>
                <w:color w:val="auto"/>
              </w:rPr>
            </w:pPr>
            <w:r>
              <w:rPr>
                <w:rFonts w:ascii="Arial" w:cs="Arial" w:eastAsia="Arial" w:hAnsi="Arial"/>
                <w:sz w:val="20"/>
                <w:szCs w:val="20"/>
                <w:b w:val="1"/>
                <w:bCs w:val="1"/>
                <w:color w:val="auto"/>
                <w:w w:val="91"/>
              </w:rPr>
              <w:t>Commitment</w:t>
            </w:r>
          </w:p>
        </w:tc>
      </w:tr>
      <w:tr>
        <w:trPr>
          <w:trHeight w:val="21"/>
        </w:trPr>
        <w:tc>
          <w:tcPr>
            <w:tcW w:w="2220" w:type="dxa"/>
            <w:vAlign w:val="bottom"/>
            <w:tcBorders>
              <w:left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JPMorgan Chase Bank, N.A.</w:t>
            </w:r>
          </w:p>
        </w:tc>
        <w:tc>
          <w:tcPr>
            <w:tcW w:w="3320" w:type="dxa"/>
            <w:vAlign w:val="bottom"/>
            <w:tcBorders>
              <w:bottom w:val="single" w:sz="8" w:color="auto"/>
            </w:tcBorders>
            <w:gridSpan w:val="2"/>
          </w:tcPr>
          <w:p>
            <w:pPr>
              <w:jc w:val="center"/>
              <w:ind w:left="2101"/>
              <w:spacing w:after="0"/>
              <w:rPr>
                <w:sz w:val="20"/>
                <w:szCs w:val="20"/>
                <w:color w:val="auto"/>
              </w:rPr>
            </w:pPr>
            <w:r>
              <w:rPr>
                <w:rFonts w:ascii="Arial" w:cs="Arial" w:eastAsia="Arial" w:hAnsi="Arial"/>
                <w:sz w:val="20"/>
                <w:szCs w:val="20"/>
                <w:color w:val="auto"/>
                <w:w w:val="89"/>
              </w:rPr>
              <w:t>$35,000,000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55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3"/>
              </w:rPr>
              <w:t>CoBank, ACB</w:t>
            </w:r>
          </w:p>
        </w:tc>
        <w:tc>
          <w:tcPr>
            <w:tcW w:w="3320" w:type="dxa"/>
            <w:vAlign w:val="bottom"/>
            <w:tcBorders>
              <w:bottom w:val="single" w:sz="8" w:color="auto"/>
            </w:tcBorders>
            <w:gridSpan w:val="2"/>
          </w:tcPr>
          <w:p>
            <w:pPr>
              <w:jc w:val="center"/>
              <w:ind w:left="2101"/>
              <w:spacing w:after="0"/>
              <w:rPr>
                <w:sz w:val="20"/>
                <w:szCs w:val="20"/>
                <w:color w:val="auto"/>
              </w:rPr>
            </w:pPr>
            <w:r>
              <w:rPr>
                <w:rFonts w:ascii="Arial" w:cs="Arial" w:eastAsia="Arial" w:hAnsi="Arial"/>
                <w:sz w:val="20"/>
                <w:szCs w:val="20"/>
                <w:color w:val="auto"/>
                <w:w w:val="89"/>
              </w:rPr>
              <w:t>$45,000,000</w:t>
            </w:r>
          </w:p>
        </w:tc>
        <w:tc>
          <w:tcPr>
            <w:tcW w:w="2240" w:type="dxa"/>
            <w:vAlign w:val="bottom"/>
            <w:tcBorders>
              <w:bottom w:val="single" w:sz="8" w:color="auto"/>
              <w:right w:val="single" w:sz="8" w:color="auto"/>
            </w:tcBorders>
          </w:tcPr>
          <w:p>
            <w:pPr>
              <w:spacing w:after="0"/>
              <w:rPr>
                <w:sz w:val="20"/>
                <w:szCs w:val="20"/>
                <w:color w:val="auto"/>
              </w:rPr>
            </w:pPr>
          </w:p>
        </w:tc>
      </w:tr>
      <w:tr>
        <w:trPr>
          <w:trHeight w:val="237"/>
        </w:trPr>
        <w:tc>
          <w:tcPr>
            <w:tcW w:w="222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right w:val="single" w:sz="8" w:color="auto"/>
            </w:tcBorders>
            <w:gridSpan w:val="2"/>
          </w:tcPr>
          <w:p>
            <w:pPr>
              <w:jc w:val="center"/>
              <w:ind w:right="2220"/>
              <w:spacing w:after="0"/>
              <w:rPr>
                <w:sz w:val="20"/>
                <w:szCs w:val="20"/>
                <w:color w:val="auto"/>
              </w:rPr>
            </w:pPr>
            <w:r>
              <w:rPr>
                <w:rFonts w:ascii="Arial" w:cs="Arial" w:eastAsia="Arial" w:hAnsi="Arial"/>
                <w:sz w:val="20"/>
                <w:szCs w:val="20"/>
                <w:b w:val="1"/>
                <w:bCs w:val="1"/>
                <w:color w:val="auto"/>
                <w:w w:val="91"/>
              </w:rPr>
              <w:t>Total</w:t>
            </w:r>
          </w:p>
        </w:tc>
        <w:tc>
          <w:tcPr>
            <w:tcW w:w="3320" w:type="dxa"/>
            <w:vAlign w:val="bottom"/>
            <w:tcBorders>
              <w:bottom w:val="single" w:sz="8" w:color="auto"/>
            </w:tcBorders>
            <w:gridSpan w:val="2"/>
          </w:tcPr>
          <w:p>
            <w:pPr>
              <w:jc w:val="center"/>
              <w:ind w:left="2101"/>
              <w:spacing w:after="0"/>
              <w:rPr>
                <w:sz w:val="20"/>
                <w:szCs w:val="20"/>
                <w:color w:val="auto"/>
              </w:rPr>
            </w:pPr>
            <w:r>
              <w:rPr>
                <w:rFonts w:ascii="Arial" w:cs="Arial" w:eastAsia="Arial" w:hAnsi="Arial"/>
                <w:sz w:val="20"/>
                <w:szCs w:val="20"/>
                <w:b w:val="1"/>
                <w:bCs w:val="1"/>
                <w:color w:val="auto"/>
                <w:w w:val="89"/>
              </w:rPr>
              <w:t>$80,000,000</w:t>
            </w: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744315352 11074672</w:t>
      </w:r>
      <w:r>
        <w:rPr>
          <w:sz w:val="20"/>
          <w:szCs w:val="20"/>
          <w:color w:val="auto"/>
        </w:rPr>
        <w:tab/>
      </w:r>
      <w:r>
        <w:rPr>
          <w:rFonts w:ascii="Arial" w:cs="Arial" w:eastAsia="Arial" w:hAnsi="Arial"/>
          <w:sz w:val="18"/>
          <w:szCs w:val="18"/>
          <w:color w:val="auto"/>
        </w:rPr>
        <w:t xml:space="preserve">SCHEDULE 2  </w:t>
      </w:r>
      <w:r>
        <w:rPr>
          <w:rFonts w:ascii="Arial" w:cs="Arial" w:eastAsia="Arial" w:hAnsi="Arial"/>
          <w:sz w:val="14"/>
          <w:szCs w:val="14"/>
          <w:color w:val="auto"/>
        </w:rPr>
        <w:t>ALLETE CREDIT AGREEMENT</w:t>
      </w:r>
    </w:p>
    <w:p>
      <w:pPr>
        <w:sectPr>
          <w:pgSz w:w="11900" w:h="16838" w:orient="portrait"/>
          <w:cols w:equalWidth="0" w:num="1">
            <w:col w:w="11100"/>
          </w:cols>
          <w:pgMar w:left="320" w:top="1399" w:right="479"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20"/>
          <w:szCs w:val="20"/>
          <w:b w:val="1"/>
          <w:bCs w:val="1"/>
          <w:color w:val="auto"/>
        </w:rPr>
        <w:t>SCHEDULE 2.9</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EXISTING LETTERS OF CREDIT</w:t>
      </w:r>
    </w:p>
    <w:p>
      <w:pPr>
        <w:spacing w:after="0" w:line="200" w:lineRule="exact"/>
        <w:rPr>
          <w:sz w:val="20"/>
          <w:szCs w:val="20"/>
          <w:color w:val="auto"/>
        </w:rPr>
      </w:pP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60" w:type="dxa"/>
            <w:vAlign w:val="bottom"/>
            <w:tcBorders>
              <w:top w:val="single" w:sz="8" w:color="auto"/>
              <w:left w:val="single" w:sz="8" w:color="auto"/>
              <w:bottom w:val="single" w:sz="8" w:color="auto"/>
              <w:right w:val="single" w:sz="8" w:color="auto"/>
            </w:tcBorders>
            <w:shd w:val="clear" w:color="auto" w:fill="B8CCE4"/>
          </w:tcPr>
          <w:p>
            <w:pPr>
              <w:ind w:left="80"/>
              <w:spacing w:after="0"/>
              <w:rPr>
                <w:sz w:val="20"/>
                <w:szCs w:val="20"/>
                <w:color w:val="auto"/>
              </w:rPr>
            </w:pPr>
            <w:r>
              <w:rPr>
                <w:rFonts w:ascii="Arial" w:cs="Arial" w:eastAsia="Arial" w:hAnsi="Arial"/>
                <w:sz w:val="18"/>
                <w:szCs w:val="18"/>
                <w:color w:val="auto"/>
              </w:rPr>
              <w:t>Alias</w:t>
            </w:r>
          </w:p>
        </w:tc>
        <w:tc>
          <w:tcPr>
            <w:tcW w:w="1600" w:type="dxa"/>
            <w:vAlign w:val="bottom"/>
            <w:tcBorders>
              <w:top w:val="single" w:sz="8" w:color="auto"/>
              <w:bottom w:val="single" w:sz="8" w:color="auto"/>
              <w:right w:val="single" w:sz="8" w:color="auto"/>
            </w:tcBorders>
            <w:shd w:val="clear" w:color="auto" w:fill="B8CCE4"/>
          </w:tcPr>
          <w:p>
            <w:pPr>
              <w:jc w:val="right"/>
              <w:ind w:right="190"/>
              <w:spacing w:after="0"/>
              <w:rPr>
                <w:sz w:val="20"/>
                <w:szCs w:val="20"/>
                <w:color w:val="auto"/>
              </w:rPr>
            </w:pPr>
            <w:r>
              <w:rPr>
                <w:rFonts w:ascii="Arial" w:cs="Arial" w:eastAsia="Arial" w:hAnsi="Arial"/>
                <w:sz w:val="18"/>
                <w:szCs w:val="18"/>
                <w:color w:val="auto"/>
              </w:rPr>
              <w:t>Current Amount</w:t>
            </w:r>
          </w:p>
        </w:tc>
        <w:tc>
          <w:tcPr>
            <w:tcW w:w="1400" w:type="dxa"/>
            <w:vAlign w:val="bottom"/>
            <w:tcBorders>
              <w:top w:val="single" w:sz="8" w:color="auto"/>
              <w:bottom w:val="single" w:sz="8" w:color="auto"/>
              <w:right w:val="single" w:sz="8" w:color="auto"/>
            </w:tcBorders>
            <w:shd w:val="clear" w:color="auto" w:fill="B8CCE4"/>
          </w:tcPr>
          <w:p>
            <w:pPr>
              <w:jc w:val="right"/>
              <w:ind w:right="130"/>
              <w:spacing w:after="0"/>
              <w:rPr>
                <w:sz w:val="20"/>
                <w:szCs w:val="20"/>
                <w:color w:val="auto"/>
              </w:rPr>
            </w:pPr>
            <w:r>
              <w:rPr>
                <w:rFonts w:ascii="Arial" w:cs="Arial" w:eastAsia="Arial" w:hAnsi="Arial"/>
                <w:sz w:val="18"/>
                <w:szCs w:val="18"/>
                <w:color w:val="auto"/>
              </w:rPr>
              <w:t>Effective Date</w:t>
            </w:r>
          </w:p>
        </w:tc>
        <w:tc>
          <w:tcPr>
            <w:tcW w:w="1420" w:type="dxa"/>
            <w:vAlign w:val="bottom"/>
            <w:tcBorders>
              <w:top w:val="single" w:sz="8" w:color="auto"/>
              <w:bottom w:val="single" w:sz="8" w:color="auto"/>
              <w:right w:val="single" w:sz="8" w:color="auto"/>
            </w:tcBorders>
            <w:shd w:val="clear" w:color="auto" w:fill="B8CCE4"/>
          </w:tcPr>
          <w:p>
            <w:pPr>
              <w:jc w:val="right"/>
              <w:ind w:right="210"/>
              <w:spacing w:after="0"/>
              <w:rPr>
                <w:sz w:val="20"/>
                <w:szCs w:val="20"/>
                <w:color w:val="auto"/>
              </w:rPr>
            </w:pPr>
            <w:r>
              <w:rPr>
                <w:rFonts w:ascii="Arial" w:cs="Arial" w:eastAsia="Arial" w:hAnsi="Arial"/>
                <w:sz w:val="18"/>
                <w:szCs w:val="18"/>
                <w:color w:val="auto"/>
              </w:rPr>
              <w:t>Actual Expiry</w:t>
            </w:r>
          </w:p>
        </w:tc>
        <w:tc>
          <w:tcPr>
            <w:tcW w:w="4880" w:type="dxa"/>
            <w:vAlign w:val="bottom"/>
            <w:tcBorders>
              <w:top w:val="single" w:sz="8" w:color="auto"/>
              <w:bottom w:val="single" w:sz="8" w:color="auto"/>
              <w:right w:val="single" w:sz="8" w:color="auto"/>
            </w:tcBorders>
            <w:shd w:val="clear" w:color="auto" w:fill="B8CCE4"/>
          </w:tcPr>
          <w:p>
            <w:pPr>
              <w:ind w:left="60"/>
              <w:spacing w:after="0"/>
              <w:rPr>
                <w:sz w:val="20"/>
                <w:szCs w:val="20"/>
                <w:color w:val="auto"/>
              </w:rPr>
            </w:pPr>
            <w:r>
              <w:rPr>
                <w:rFonts w:ascii="Arial" w:cs="Arial" w:eastAsia="Arial" w:hAnsi="Arial"/>
                <w:sz w:val="18"/>
                <w:szCs w:val="18"/>
                <w:color w:val="auto"/>
              </w:rPr>
              <w:t>Beneficiary details</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CPCS-344357</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10-Jan-19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31-Dec-22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MIDWEST INDEPENDENT TRANSMISSION</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CPCS-392599</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3,413,384.00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10-Jan-19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31-Dec-22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STATE OF MINNESOTA</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CPCS-890847</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10-Jan-19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15-Jun-22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mid-continent independent system</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CPCS-890848</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10-Jan-19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15-Jun-22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mid-continent independent system</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NUSCGS006217</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3,200,000.00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10-Jan-19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19-Mar-23</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NORTHWESTERN CORPORATION</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NUSCGS028870</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21-May-19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15-May-22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Kevin and Dana Schmid</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NUSCGS028871</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21-May-19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15-May-22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STEVEN L, CHRISTOFFER AND PAMELA K</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NUSCGS028872</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24-May-19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15-May-22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Dennis and Barbara Christoffer</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NUSCGS028873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21-May-19</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15-May-22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DENNIS AND BARBARA CHRISTOFFER</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NUSCGS032712</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6,929,136.55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19-Feb-20</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13-Feb-23</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NORTHERN STATES POWER COMPANY</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NUSCGS033033</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227,556.00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25-Mar-20</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15-Mar-22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MidAmerican Energy Company</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NUSCGS033154</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1,618,339.15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14-Apr-20</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14-Apr-23</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ITC MIDWEST LLC</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NUSCGS034207</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11-Sep-20</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15-Mar-22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MIDCONTINENT INDEPENDENT SYSTEM</w:t>
            </w:r>
          </w:p>
        </w:tc>
      </w:tr>
      <w:tr>
        <w:trPr>
          <w:trHeight w:val="223"/>
        </w:trPr>
        <w:tc>
          <w:tcPr>
            <w:tcW w:w="19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NUSCGS040119</w:t>
            </w:r>
          </w:p>
        </w:tc>
        <w:tc>
          <w:tcPr>
            <w:tcW w:w="1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29-Sep-21</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15-Sep-22</w:t>
            </w:r>
          </w:p>
        </w:tc>
        <w:tc>
          <w:tcPr>
            <w:tcW w:w="48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NORTHERN STATES POWER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7"/>
          <w:szCs w:val="17"/>
          <w:color w:val="auto"/>
        </w:rPr>
        <w:t xml:space="preserve">SCHEDULE 2.9  </w:t>
      </w:r>
      <w:r>
        <w:rPr>
          <w:rFonts w:ascii="Arial" w:cs="Arial" w:eastAsia="Arial" w:hAnsi="Arial"/>
          <w:sz w:val="13"/>
          <w:szCs w:val="13"/>
          <w:color w:val="auto"/>
        </w:rPr>
        <w:t>ALLETE CREDIT AGREEMENT</w:t>
      </w:r>
    </w:p>
    <w:p>
      <w:pPr>
        <w:sectPr>
          <w:pgSz w:w="11900" w:h="16838" w:orient="portrait"/>
          <w:cols w:equalWidth="0" w:num="1">
            <w:col w:w="11260"/>
          </w:cols>
          <w:pgMar w:left="320" w:top="1399" w:right="319" w:bottom="1440" w:gutter="0" w:footer="0" w:header="0"/>
        </w:sectPr>
      </w:pPr>
    </w:p>
    <w:bookmarkStart w:id="225" w:name="page226"/>
    <w:bookmarkEnd w:id="225"/>
    <w:p>
      <w:pPr>
        <w:jc w:val="center"/>
        <w:ind w:right="-1100"/>
        <w:spacing w:after="0"/>
        <w:rPr>
          <w:sz w:val="20"/>
          <w:szCs w:val="20"/>
          <w:color w:val="auto"/>
        </w:rPr>
      </w:pPr>
      <w:r>
        <w:rPr>
          <w:rFonts w:ascii="Arial" w:cs="Arial" w:eastAsia="Arial" w:hAnsi="Arial"/>
          <w:sz w:val="20"/>
          <w:szCs w:val="20"/>
          <w:b w:val="1"/>
          <w:bCs w:val="1"/>
          <w:color w:val="auto"/>
        </w:rPr>
        <w:t>SCHEDULE 4.5/4.6</w:t>
      </w:r>
    </w:p>
    <w:p>
      <w:pPr>
        <w:spacing w:after="0" w:line="148"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u w:val="single" w:color="auto"/>
          <w:color w:val="auto"/>
        </w:rPr>
        <w:t>DISCLOSED MATTERS</w:t>
      </w:r>
    </w:p>
    <w:p>
      <w:pPr>
        <w:spacing w:after="0" w:line="19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7"/>
          <w:szCs w:val="17"/>
          <w:color w:val="auto"/>
        </w:rPr>
        <w:t xml:space="preserve">SCHEDULE 4.5/4.6  </w:t>
      </w:r>
      <w:r>
        <w:rPr>
          <w:rFonts w:ascii="Arial" w:cs="Arial" w:eastAsia="Arial" w:hAnsi="Arial"/>
          <w:sz w:val="13"/>
          <w:szCs w:val="13"/>
          <w:color w:val="auto"/>
        </w:rPr>
        <w:t>ALLETE CREDIT AGREEMENT</w:t>
      </w:r>
    </w:p>
    <w:p>
      <w:pPr>
        <w:sectPr>
          <w:pgSz w:w="11900" w:h="16838" w:orient="portrait"/>
          <w:cols w:equalWidth="0" w:num="1">
            <w:col w:w="10139"/>
          </w:cols>
          <w:pgMar w:left="320" w:top="1399"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20"/>
          <w:szCs w:val="20"/>
          <w:b w:val="1"/>
          <w:bCs w:val="1"/>
          <w:color w:val="auto"/>
        </w:rPr>
        <w:t>SCHEDULE 4.10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LIST OF SUBSIDIARIES</w:t>
      </w:r>
      <w:r>
        <w:rPr>
          <w:rFonts w:ascii="Arial" w:cs="Arial" w:eastAsia="Arial" w:hAnsi="Arial"/>
          <w:sz w:val="23"/>
          <w:szCs w:val="23"/>
          <w:b w:val="1"/>
          <w:bCs w:val="1"/>
          <w:color w:val="auto"/>
          <w:vertAlign w:val="superscript"/>
        </w:rPr>
        <w:t>1</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ALLETE Automotive Services, LLC</w:t>
      </w:r>
    </w:p>
    <w:p>
      <w:pPr>
        <w:spacing w:after="0" w:line="207" w:lineRule="auto"/>
        <w:rPr>
          <w:sz w:val="20"/>
          <w:szCs w:val="20"/>
          <w:color w:val="auto"/>
        </w:rPr>
      </w:pPr>
      <w:r>
        <w:rPr>
          <w:rFonts w:ascii="Arial" w:cs="Arial" w:eastAsia="Arial" w:hAnsi="Arial"/>
          <w:sz w:val="19"/>
          <w:szCs w:val="19"/>
          <w:color w:val="auto"/>
        </w:rPr>
        <w:t>ALLETE Enterprises, Inc.</w:t>
      </w:r>
    </w:p>
    <w:p>
      <w:pPr>
        <w:ind w:left="660"/>
        <w:spacing w:after="0" w:line="208" w:lineRule="auto"/>
        <w:rPr>
          <w:sz w:val="20"/>
          <w:szCs w:val="20"/>
          <w:color w:val="auto"/>
        </w:rPr>
      </w:pPr>
      <w:r>
        <w:rPr>
          <w:rFonts w:ascii="Arial" w:cs="Arial" w:eastAsia="Arial" w:hAnsi="Arial"/>
          <w:sz w:val="19"/>
          <w:szCs w:val="19"/>
          <w:color w:val="auto"/>
        </w:rPr>
        <w:t>ALLETE Clean Energy, Inc.</w:t>
      </w:r>
    </w:p>
    <w:p>
      <w:pPr>
        <w:ind w:left="980"/>
        <w:spacing w:after="0" w:line="207" w:lineRule="auto"/>
        <w:rPr>
          <w:sz w:val="20"/>
          <w:szCs w:val="20"/>
          <w:color w:val="auto"/>
        </w:rPr>
      </w:pPr>
      <w:r>
        <w:rPr>
          <w:rFonts w:ascii="Arial" w:cs="Arial" w:eastAsia="Arial" w:hAnsi="Arial"/>
          <w:sz w:val="19"/>
          <w:szCs w:val="19"/>
          <w:color w:val="auto"/>
        </w:rPr>
        <w:t>ACE O&amp;M, LLC</w:t>
      </w:r>
    </w:p>
    <w:p>
      <w:pPr>
        <w:ind w:left="980"/>
        <w:spacing w:after="0" w:line="208" w:lineRule="auto"/>
        <w:rPr>
          <w:sz w:val="20"/>
          <w:szCs w:val="20"/>
          <w:color w:val="auto"/>
        </w:rPr>
      </w:pPr>
      <w:r>
        <w:rPr>
          <w:rFonts w:ascii="Arial" w:cs="Arial" w:eastAsia="Arial" w:hAnsi="Arial"/>
          <w:sz w:val="19"/>
          <w:szCs w:val="19"/>
          <w:color w:val="auto"/>
        </w:rPr>
        <w:t>ACE Solar LLC</w:t>
      </w:r>
    </w:p>
    <w:p>
      <w:pPr>
        <w:ind w:left="1380"/>
        <w:spacing w:after="0" w:line="208" w:lineRule="auto"/>
        <w:rPr>
          <w:sz w:val="20"/>
          <w:szCs w:val="20"/>
          <w:color w:val="auto"/>
        </w:rPr>
      </w:pPr>
      <w:r>
        <w:rPr>
          <w:rFonts w:ascii="Arial" w:cs="Arial" w:eastAsia="Arial" w:hAnsi="Arial"/>
          <w:sz w:val="19"/>
          <w:szCs w:val="19"/>
          <w:color w:val="auto"/>
        </w:rPr>
        <w:t>Red Lake Solar, LLC</w:t>
      </w:r>
    </w:p>
    <w:p>
      <w:pPr>
        <w:ind w:left="980"/>
        <w:spacing w:after="0" w:line="207" w:lineRule="auto"/>
        <w:rPr>
          <w:sz w:val="20"/>
          <w:szCs w:val="20"/>
          <w:color w:val="auto"/>
        </w:rPr>
      </w:pPr>
      <w:r>
        <w:rPr>
          <w:rFonts w:ascii="Arial" w:cs="Arial" w:eastAsia="Arial" w:hAnsi="Arial"/>
          <w:sz w:val="19"/>
          <w:szCs w:val="19"/>
          <w:color w:val="auto"/>
        </w:rPr>
        <w:t>ACE Wind LLC</w:t>
      </w:r>
    </w:p>
    <w:p>
      <w:pPr>
        <w:ind w:left="1620"/>
        <w:spacing w:after="0" w:line="208" w:lineRule="auto"/>
        <w:rPr>
          <w:sz w:val="20"/>
          <w:szCs w:val="20"/>
          <w:color w:val="auto"/>
        </w:rPr>
      </w:pPr>
      <w:r>
        <w:rPr>
          <w:rFonts w:ascii="Arial" w:cs="Arial" w:eastAsia="Arial" w:hAnsi="Arial"/>
          <w:sz w:val="19"/>
          <w:szCs w:val="19"/>
          <w:color w:val="auto"/>
        </w:rPr>
        <w:t>ACE Mid-West Holdings, LLC</w:t>
      </w:r>
    </w:p>
    <w:p>
      <w:pPr>
        <w:ind w:left="1960"/>
        <w:spacing w:after="0" w:line="207" w:lineRule="auto"/>
        <w:rPr>
          <w:sz w:val="20"/>
          <w:szCs w:val="20"/>
          <w:color w:val="auto"/>
        </w:rPr>
      </w:pPr>
      <w:r>
        <w:rPr>
          <w:rFonts w:ascii="Arial" w:cs="Arial" w:eastAsia="Arial" w:hAnsi="Arial"/>
          <w:sz w:val="19"/>
          <w:szCs w:val="19"/>
          <w:color w:val="auto"/>
        </w:rPr>
        <w:t>MWW Holdings, LLC</w:t>
      </w:r>
    </w:p>
    <w:p>
      <w:pPr>
        <w:ind w:left="2600"/>
        <w:spacing w:after="0" w:line="208" w:lineRule="auto"/>
        <w:rPr>
          <w:sz w:val="20"/>
          <w:szCs w:val="20"/>
          <w:color w:val="auto"/>
        </w:rPr>
      </w:pPr>
      <w:r>
        <w:rPr>
          <w:rFonts w:ascii="Arial" w:cs="Arial" w:eastAsia="Arial" w:hAnsi="Arial"/>
          <w:sz w:val="19"/>
          <w:szCs w:val="19"/>
          <w:color w:val="auto"/>
        </w:rPr>
        <w:t>Lake Benton Power Associates LLC</w:t>
      </w:r>
    </w:p>
    <w:p>
      <w:pPr>
        <w:ind w:left="2920"/>
        <w:spacing w:after="0" w:line="208" w:lineRule="auto"/>
        <w:rPr>
          <w:sz w:val="20"/>
          <w:szCs w:val="20"/>
          <w:color w:val="auto"/>
        </w:rPr>
      </w:pPr>
      <w:r>
        <w:rPr>
          <w:rFonts w:ascii="Arial" w:cs="Arial" w:eastAsia="Arial" w:hAnsi="Arial"/>
          <w:sz w:val="19"/>
          <w:szCs w:val="19"/>
          <w:color w:val="auto"/>
        </w:rPr>
        <w:t>Lake Benton Holdings LLC</w:t>
      </w:r>
    </w:p>
    <w:p>
      <w:pPr>
        <w:ind w:left="3240"/>
        <w:spacing w:after="0" w:line="207" w:lineRule="auto"/>
        <w:rPr>
          <w:sz w:val="20"/>
          <w:szCs w:val="20"/>
          <w:color w:val="auto"/>
        </w:rPr>
      </w:pPr>
      <w:r>
        <w:rPr>
          <w:rFonts w:ascii="Arial" w:cs="Arial" w:eastAsia="Arial" w:hAnsi="Arial"/>
          <w:sz w:val="19"/>
          <w:szCs w:val="19"/>
          <w:color w:val="auto"/>
        </w:rPr>
        <w:t>Lake Benton Power Partners L.L.C.</w:t>
      </w:r>
    </w:p>
    <w:p>
      <w:pPr>
        <w:ind w:left="2600"/>
        <w:spacing w:after="0" w:line="208" w:lineRule="auto"/>
        <w:rPr>
          <w:sz w:val="20"/>
          <w:szCs w:val="20"/>
          <w:color w:val="auto"/>
        </w:rPr>
      </w:pPr>
      <w:r>
        <w:rPr>
          <w:rFonts w:ascii="Arial" w:cs="Arial" w:eastAsia="Arial" w:hAnsi="Arial"/>
          <w:sz w:val="19"/>
          <w:szCs w:val="19"/>
          <w:color w:val="auto"/>
        </w:rPr>
        <w:t>Storm Lake Power Partners I LLC</w:t>
      </w:r>
    </w:p>
    <w:p>
      <w:pPr>
        <w:ind w:left="2600"/>
        <w:spacing w:after="0" w:line="207" w:lineRule="auto"/>
        <w:rPr>
          <w:sz w:val="20"/>
          <w:szCs w:val="20"/>
          <w:color w:val="auto"/>
        </w:rPr>
      </w:pPr>
      <w:r>
        <w:rPr>
          <w:rFonts w:ascii="Arial" w:cs="Arial" w:eastAsia="Arial" w:hAnsi="Arial"/>
          <w:sz w:val="19"/>
          <w:szCs w:val="19"/>
          <w:color w:val="auto"/>
        </w:rPr>
        <w:t>Storm Lake II Power Associates LLC</w:t>
      </w:r>
    </w:p>
    <w:p>
      <w:pPr>
        <w:ind w:left="2920"/>
        <w:spacing w:after="0" w:line="208" w:lineRule="auto"/>
        <w:rPr>
          <w:sz w:val="20"/>
          <w:szCs w:val="20"/>
          <w:color w:val="auto"/>
        </w:rPr>
      </w:pPr>
      <w:r>
        <w:rPr>
          <w:rFonts w:ascii="Arial" w:cs="Arial" w:eastAsia="Arial" w:hAnsi="Arial"/>
          <w:sz w:val="19"/>
          <w:szCs w:val="19"/>
          <w:color w:val="auto"/>
        </w:rPr>
        <w:t>Storm Lake II Holdings LLC</w:t>
      </w:r>
    </w:p>
    <w:p>
      <w:pPr>
        <w:ind w:left="3240"/>
        <w:spacing w:after="0" w:line="208" w:lineRule="auto"/>
        <w:rPr>
          <w:sz w:val="20"/>
          <w:szCs w:val="20"/>
          <w:color w:val="auto"/>
        </w:rPr>
      </w:pPr>
      <w:r>
        <w:rPr>
          <w:rFonts w:ascii="Arial" w:cs="Arial" w:eastAsia="Arial" w:hAnsi="Arial"/>
          <w:sz w:val="19"/>
          <w:szCs w:val="19"/>
          <w:color w:val="auto"/>
        </w:rPr>
        <w:t>Storm Lake Power Partners II LLC</w:t>
      </w:r>
    </w:p>
    <w:p>
      <w:pPr>
        <w:ind w:left="580"/>
        <w:spacing w:after="0" w:line="207" w:lineRule="auto"/>
        <w:rPr>
          <w:sz w:val="20"/>
          <w:szCs w:val="20"/>
          <w:color w:val="auto"/>
        </w:rPr>
      </w:pPr>
      <w:r>
        <w:rPr>
          <w:rFonts w:ascii="Arial" w:cs="Arial" w:eastAsia="Arial" w:hAnsi="Arial"/>
          <w:sz w:val="19"/>
          <w:szCs w:val="19"/>
          <w:color w:val="auto"/>
        </w:rPr>
        <w:t>Northern Wind Energy, LLC</w:t>
      </w:r>
    </w:p>
    <w:p>
      <w:pPr>
        <w:ind w:left="2600"/>
        <w:spacing w:after="0" w:line="208" w:lineRule="auto"/>
        <w:rPr>
          <w:sz w:val="20"/>
          <w:szCs w:val="20"/>
          <w:color w:val="auto"/>
        </w:rPr>
      </w:pPr>
      <w:r>
        <w:rPr>
          <w:rFonts w:ascii="Arial" w:cs="Arial" w:eastAsia="Arial" w:hAnsi="Arial"/>
          <w:sz w:val="19"/>
          <w:szCs w:val="19"/>
          <w:color w:val="auto"/>
        </w:rPr>
        <w:t>Chanarambie Power Partners, LLC</w:t>
      </w:r>
    </w:p>
    <w:p>
      <w:pPr>
        <w:ind w:left="2600"/>
        <w:spacing w:after="0" w:line="207" w:lineRule="auto"/>
        <w:rPr>
          <w:sz w:val="20"/>
          <w:szCs w:val="20"/>
          <w:color w:val="auto"/>
        </w:rPr>
      </w:pPr>
      <w:r>
        <w:rPr>
          <w:rFonts w:ascii="Arial" w:cs="Arial" w:eastAsia="Arial" w:hAnsi="Arial"/>
          <w:sz w:val="19"/>
          <w:szCs w:val="19"/>
          <w:color w:val="auto"/>
        </w:rPr>
        <w:t>Viking Wind Holdings, LLC</w:t>
      </w:r>
    </w:p>
    <w:p>
      <w:pPr>
        <w:ind w:left="3240"/>
        <w:spacing w:after="0" w:line="208" w:lineRule="auto"/>
        <w:rPr>
          <w:sz w:val="20"/>
          <w:szCs w:val="20"/>
          <w:color w:val="auto"/>
        </w:rPr>
      </w:pPr>
      <w:r>
        <w:rPr>
          <w:rFonts w:ascii="Arial" w:cs="Arial" w:eastAsia="Arial" w:hAnsi="Arial"/>
          <w:sz w:val="19"/>
          <w:szCs w:val="19"/>
          <w:color w:val="auto"/>
        </w:rPr>
        <w:t>Viking Wind Partners, LLC</w:t>
      </w:r>
    </w:p>
    <w:p>
      <w:pPr>
        <w:ind w:left="3900"/>
        <w:spacing w:after="0" w:line="208" w:lineRule="auto"/>
        <w:rPr>
          <w:sz w:val="20"/>
          <w:szCs w:val="20"/>
          <w:color w:val="auto"/>
        </w:rPr>
      </w:pPr>
      <w:r>
        <w:rPr>
          <w:rFonts w:ascii="Arial" w:cs="Arial" w:eastAsia="Arial" w:hAnsi="Arial"/>
          <w:sz w:val="19"/>
          <w:szCs w:val="19"/>
          <w:color w:val="auto"/>
        </w:rPr>
        <w:t>Buffalo Ridge Wind Farm, LLC</w:t>
      </w:r>
    </w:p>
    <w:p>
      <w:pPr>
        <w:ind w:left="3900"/>
        <w:spacing w:after="0" w:line="207" w:lineRule="auto"/>
        <w:rPr>
          <w:sz w:val="20"/>
          <w:szCs w:val="20"/>
          <w:color w:val="auto"/>
        </w:rPr>
      </w:pPr>
      <w:r>
        <w:rPr>
          <w:rFonts w:ascii="Arial" w:cs="Arial" w:eastAsia="Arial" w:hAnsi="Arial"/>
          <w:sz w:val="19"/>
          <w:szCs w:val="19"/>
          <w:color w:val="auto"/>
        </w:rPr>
        <w:t>Moulton Heights Wind Power Project, LLC</w:t>
      </w:r>
    </w:p>
    <w:p>
      <w:pPr>
        <w:ind w:left="3900"/>
        <w:spacing w:after="0" w:line="208" w:lineRule="auto"/>
        <w:rPr>
          <w:sz w:val="20"/>
          <w:szCs w:val="20"/>
          <w:color w:val="auto"/>
        </w:rPr>
      </w:pPr>
      <w:r>
        <w:rPr>
          <w:rFonts w:ascii="Arial" w:cs="Arial" w:eastAsia="Arial" w:hAnsi="Arial"/>
          <w:sz w:val="19"/>
          <w:szCs w:val="19"/>
          <w:color w:val="auto"/>
        </w:rPr>
        <w:t>Muncie Power Partners, LLC</w:t>
      </w:r>
    </w:p>
    <w:p>
      <w:pPr>
        <w:ind w:left="3900"/>
        <w:spacing w:after="0" w:line="208" w:lineRule="auto"/>
        <w:rPr>
          <w:sz w:val="20"/>
          <w:szCs w:val="20"/>
          <w:color w:val="auto"/>
        </w:rPr>
      </w:pPr>
      <w:r>
        <w:rPr>
          <w:rFonts w:ascii="Arial" w:cs="Arial" w:eastAsia="Arial" w:hAnsi="Arial"/>
          <w:sz w:val="19"/>
          <w:szCs w:val="19"/>
          <w:color w:val="auto"/>
        </w:rPr>
        <w:t>North Ridge Wind Farm, LLC</w:t>
      </w:r>
    </w:p>
    <w:p>
      <w:pPr>
        <w:ind w:left="3900"/>
        <w:spacing w:after="0" w:line="207" w:lineRule="auto"/>
        <w:rPr>
          <w:sz w:val="20"/>
          <w:szCs w:val="20"/>
          <w:color w:val="auto"/>
        </w:rPr>
      </w:pPr>
      <w:r>
        <w:rPr>
          <w:rFonts w:ascii="Arial" w:cs="Arial" w:eastAsia="Arial" w:hAnsi="Arial"/>
          <w:sz w:val="19"/>
          <w:szCs w:val="19"/>
          <w:color w:val="auto"/>
        </w:rPr>
        <w:t>Vandy South Project, LLC</w:t>
      </w:r>
    </w:p>
    <w:p>
      <w:pPr>
        <w:ind w:left="3900"/>
        <w:spacing w:after="0" w:line="208" w:lineRule="auto"/>
        <w:rPr>
          <w:sz w:val="20"/>
          <w:szCs w:val="20"/>
          <w:color w:val="auto"/>
        </w:rPr>
      </w:pPr>
      <w:r>
        <w:rPr>
          <w:rFonts w:ascii="Arial" w:cs="Arial" w:eastAsia="Arial" w:hAnsi="Arial"/>
          <w:sz w:val="19"/>
          <w:szCs w:val="19"/>
          <w:color w:val="auto"/>
        </w:rPr>
        <w:t>Viking Wind Farm, LLC</w:t>
      </w:r>
    </w:p>
    <w:p>
      <w:pPr>
        <w:ind w:left="3900"/>
        <w:spacing w:after="0" w:line="207" w:lineRule="auto"/>
        <w:rPr>
          <w:sz w:val="20"/>
          <w:szCs w:val="20"/>
          <w:color w:val="auto"/>
        </w:rPr>
      </w:pPr>
      <w:r>
        <w:rPr>
          <w:rFonts w:ascii="Arial" w:cs="Arial" w:eastAsia="Arial" w:hAnsi="Arial"/>
          <w:sz w:val="19"/>
          <w:szCs w:val="19"/>
          <w:color w:val="auto"/>
        </w:rPr>
        <w:t>Vindy Power Partners, LLC</w:t>
      </w:r>
    </w:p>
    <w:p>
      <w:pPr>
        <w:ind w:left="3900"/>
        <w:spacing w:after="0" w:line="208" w:lineRule="auto"/>
        <w:rPr>
          <w:sz w:val="20"/>
          <w:szCs w:val="20"/>
          <w:color w:val="auto"/>
        </w:rPr>
      </w:pPr>
      <w:r>
        <w:rPr>
          <w:rFonts w:ascii="Arial" w:cs="Arial" w:eastAsia="Arial" w:hAnsi="Arial"/>
          <w:sz w:val="19"/>
          <w:szCs w:val="19"/>
          <w:color w:val="auto"/>
        </w:rPr>
        <w:t>Wilson-West Wind Farm, LLC</w:t>
      </w:r>
    </w:p>
    <w:p>
      <w:pPr>
        <w:ind w:left="2040"/>
        <w:spacing w:after="0" w:line="208" w:lineRule="auto"/>
        <w:rPr>
          <w:sz w:val="20"/>
          <w:szCs w:val="20"/>
          <w:color w:val="auto"/>
        </w:rPr>
      </w:pPr>
      <w:r>
        <w:rPr>
          <w:rFonts w:ascii="Arial" w:cs="Arial" w:eastAsia="Arial" w:hAnsi="Arial"/>
          <w:sz w:val="19"/>
          <w:szCs w:val="19"/>
          <w:color w:val="auto"/>
        </w:rPr>
        <w:t>ACE South Holdings, LLC</w:t>
      </w:r>
    </w:p>
    <w:p>
      <w:pPr>
        <w:ind w:left="2680"/>
        <w:spacing w:after="0" w:line="207" w:lineRule="auto"/>
        <w:rPr>
          <w:sz w:val="20"/>
          <w:szCs w:val="20"/>
          <w:color w:val="auto"/>
        </w:rPr>
      </w:pPr>
      <w:r>
        <w:rPr>
          <w:rFonts w:ascii="Arial" w:cs="Arial" w:eastAsia="Arial" w:hAnsi="Arial"/>
          <w:sz w:val="19"/>
          <w:szCs w:val="19"/>
          <w:color w:val="auto"/>
        </w:rPr>
        <w:t>ACE Caddo Class B LLC</w:t>
      </w:r>
    </w:p>
    <w:p>
      <w:pPr>
        <w:ind w:left="3320"/>
        <w:spacing w:after="0" w:line="208" w:lineRule="auto"/>
        <w:rPr>
          <w:sz w:val="20"/>
          <w:szCs w:val="20"/>
          <w:color w:val="auto"/>
        </w:rPr>
      </w:pPr>
      <w:r>
        <w:rPr>
          <w:rFonts w:ascii="Arial" w:cs="Arial" w:eastAsia="Arial" w:hAnsi="Arial"/>
          <w:sz w:val="19"/>
          <w:szCs w:val="19"/>
          <w:color w:val="auto"/>
        </w:rPr>
        <w:t>ACE-SRE Caddo Holdings, LLC</w:t>
      </w:r>
    </w:p>
    <w:p>
      <w:pPr>
        <w:ind w:left="3900"/>
        <w:spacing w:after="0" w:line="207" w:lineRule="auto"/>
        <w:rPr>
          <w:sz w:val="20"/>
          <w:szCs w:val="20"/>
          <w:color w:val="auto"/>
        </w:rPr>
      </w:pPr>
      <w:r>
        <w:rPr>
          <w:rFonts w:ascii="Arial" w:cs="Arial" w:eastAsia="Arial" w:hAnsi="Arial"/>
          <w:sz w:val="19"/>
          <w:szCs w:val="19"/>
          <w:color w:val="auto"/>
        </w:rPr>
        <w:t>Caddo Holding Company LLC</w:t>
      </w:r>
    </w:p>
    <w:p>
      <w:pPr>
        <w:ind w:left="4460"/>
        <w:spacing w:after="0" w:line="208" w:lineRule="auto"/>
        <w:rPr>
          <w:sz w:val="20"/>
          <w:szCs w:val="20"/>
          <w:color w:val="auto"/>
        </w:rPr>
      </w:pPr>
      <w:r>
        <w:rPr>
          <w:rFonts w:ascii="Arial" w:cs="Arial" w:eastAsia="Arial" w:hAnsi="Arial"/>
          <w:sz w:val="19"/>
          <w:szCs w:val="19"/>
          <w:color w:val="auto"/>
        </w:rPr>
        <w:t>Caddo Wind, LLC</w:t>
      </w:r>
    </w:p>
    <w:p>
      <w:pPr>
        <w:spacing w:after="0" w:line="208" w:lineRule="auto"/>
        <w:rPr>
          <w:sz w:val="20"/>
          <w:szCs w:val="20"/>
          <w:color w:val="auto"/>
        </w:rPr>
      </w:pPr>
      <w:r>
        <w:rPr>
          <w:rFonts w:ascii="Arial" w:cs="Arial" w:eastAsia="Arial" w:hAnsi="Arial"/>
          <w:sz w:val="19"/>
          <w:szCs w:val="19"/>
          <w:color w:val="auto"/>
        </w:rPr>
        <w:t>ACE West Holdings, LLC</w:t>
      </w:r>
    </w:p>
    <w:p>
      <w:pPr>
        <w:ind w:left="180"/>
        <w:spacing w:after="0" w:line="207" w:lineRule="auto"/>
        <w:rPr>
          <w:sz w:val="20"/>
          <w:szCs w:val="20"/>
          <w:color w:val="auto"/>
        </w:rPr>
      </w:pPr>
      <w:r>
        <w:rPr>
          <w:rFonts w:ascii="Arial" w:cs="Arial" w:eastAsia="Arial" w:hAnsi="Arial"/>
          <w:sz w:val="19"/>
          <w:szCs w:val="19"/>
          <w:color w:val="auto"/>
        </w:rPr>
        <w:t>ACE GAWW Class B, LLC</w:t>
      </w:r>
    </w:p>
    <w:p>
      <w:pPr>
        <w:ind w:left="760"/>
        <w:spacing w:after="0" w:line="208" w:lineRule="auto"/>
        <w:rPr>
          <w:sz w:val="20"/>
          <w:szCs w:val="20"/>
          <w:color w:val="auto"/>
        </w:rPr>
      </w:pPr>
      <w:r>
        <w:rPr>
          <w:rFonts w:ascii="Arial" w:cs="Arial" w:eastAsia="Arial" w:hAnsi="Arial"/>
          <w:sz w:val="19"/>
          <w:szCs w:val="19"/>
          <w:color w:val="auto"/>
        </w:rPr>
        <w:t>Great American West Wind, LLC</w:t>
      </w:r>
    </w:p>
    <w:p>
      <w:pPr>
        <w:ind w:left="960"/>
        <w:spacing w:after="0" w:line="207" w:lineRule="auto"/>
        <w:rPr>
          <w:sz w:val="20"/>
          <w:szCs w:val="20"/>
          <w:color w:val="auto"/>
        </w:rPr>
      </w:pPr>
      <w:r>
        <w:rPr>
          <w:rFonts w:ascii="Arial" w:cs="Arial" w:eastAsia="Arial" w:hAnsi="Arial"/>
          <w:sz w:val="19"/>
          <w:szCs w:val="19"/>
          <w:color w:val="auto"/>
        </w:rPr>
        <w:t>South Peak Wind, LLC</w:t>
      </w:r>
    </w:p>
    <w:p>
      <w:pPr>
        <w:ind w:left="960"/>
        <w:spacing w:after="0" w:line="208" w:lineRule="auto"/>
        <w:rPr>
          <w:sz w:val="20"/>
          <w:szCs w:val="20"/>
          <w:color w:val="auto"/>
        </w:rPr>
      </w:pPr>
      <w:r>
        <w:rPr>
          <w:rFonts w:ascii="Arial" w:cs="Arial" w:eastAsia="Arial" w:hAnsi="Arial"/>
          <w:sz w:val="19"/>
          <w:szCs w:val="19"/>
          <w:color w:val="auto"/>
        </w:rPr>
        <w:t>Glen Ullin Energy Center, LLC</w:t>
      </w:r>
    </w:p>
    <w:p>
      <w:pPr>
        <w:ind w:left="580"/>
        <w:spacing w:after="0" w:line="208" w:lineRule="auto"/>
        <w:rPr>
          <w:sz w:val="20"/>
          <w:szCs w:val="20"/>
          <w:color w:val="auto"/>
        </w:rPr>
      </w:pPr>
      <w:r>
        <w:rPr>
          <w:rFonts w:ascii="Arial" w:cs="Arial" w:eastAsia="Arial" w:hAnsi="Arial"/>
          <w:sz w:val="19"/>
          <w:szCs w:val="19"/>
          <w:color w:val="auto"/>
        </w:rPr>
        <w:t>Condon Wind Power, LLC</w:t>
      </w:r>
    </w:p>
    <w:p>
      <w:pPr>
        <w:ind w:left="580"/>
        <w:spacing w:after="0" w:line="207" w:lineRule="auto"/>
        <w:rPr>
          <w:sz w:val="20"/>
          <w:szCs w:val="20"/>
          <w:color w:val="auto"/>
        </w:rPr>
      </w:pPr>
      <w:r>
        <w:rPr>
          <w:rFonts w:ascii="Arial" w:cs="Arial" w:eastAsia="Arial" w:hAnsi="Arial"/>
          <w:sz w:val="19"/>
          <w:szCs w:val="19"/>
          <w:color w:val="auto"/>
        </w:rPr>
        <w:t>Russo Wind Partners, LLC</w:t>
      </w:r>
    </w:p>
    <w:p>
      <w:pPr>
        <w:ind w:left="1300"/>
        <w:spacing w:after="0" w:line="208" w:lineRule="auto"/>
        <w:rPr>
          <w:sz w:val="20"/>
          <w:szCs w:val="20"/>
          <w:color w:val="auto"/>
        </w:rPr>
      </w:pPr>
      <w:r>
        <w:rPr>
          <w:rFonts w:ascii="Arial" w:cs="Arial" w:eastAsia="Arial" w:hAnsi="Arial"/>
          <w:sz w:val="19"/>
          <w:szCs w:val="19"/>
          <w:color w:val="auto"/>
        </w:rPr>
        <w:t>Armenia Holdings, LLC</w:t>
      </w:r>
    </w:p>
    <w:p>
      <w:pPr>
        <w:ind w:left="1480"/>
        <w:spacing w:after="0" w:line="207" w:lineRule="auto"/>
        <w:rPr>
          <w:sz w:val="20"/>
          <w:szCs w:val="20"/>
          <w:color w:val="auto"/>
        </w:rPr>
      </w:pPr>
      <w:r>
        <w:rPr>
          <w:rFonts w:ascii="Arial" w:cs="Arial" w:eastAsia="Arial" w:hAnsi="Arial"/>
          <w:sz w:val="19"/>
          <w:szCs w:val="19"/>
          <w:color w:val="auto"/>
        </w:rPr>
        <w:t>AMW I Holding, LLC</w:t>
      </w:r>
    </w:p>
    <w:p>
      <w:pPr>
        <w:ind w:left="1680"/>
        <w:spacing w:after="0" w:line="208" w:lineRule="auto"/>
        <w:rPr>
          <w:sz w:val="20"/>
          <w:szCs w:val="20"/>
          <w:color w:val="auto"/>
        </w:rPr>
      </w:pPr>
      <w:r>
        <w:rPr>
          <w:rFonts w:ascii="Arial" w:cs="Arial" w:eastAsia="Arial" w:hAnsi="Arial"/>
          <w:sz w:val="19"/>
          <w:szCs w:val="19"/>
          <w:color w:val="auto"/>
        </w:rPr>
        <w:t>Armenia Mountain Wind, LLC</w:t>
      </w:r>
    </w:p>
    <w:p>
      <w:pPr>
        <w:ind w:left="1480"/>
        <w:spacing w:after="0" w:line="208" w:lineRule="auto"/>
        <w:rPr>
          <w:sz w:val="20"/>
          <w:szCs w:val="20"/>
          <w:color w:val="auto"/>
        </w:rPr>
      </w:pPr>
      <w:r>
        <w:rPr>
          <w:rFonts w:ascii="Arial" w:cs="Arial" w:eastAsia="Arial" w:hAnsi="Arial"/>
          <w:sz w:val="19"/>
          <w:szCs w:val="19"/>
          <w:color w:val="auto"/>
        </w:rPr>
        <w:t>Armenia Mountain Wind II, LLC</w:t>
      </w:r>
    </w:p>
    <w:p>
      <w:pPr>
        <w:ind w:left="1300"/>
        <w:spacing w:after="0" w:line="207" w:lineRule="auto"/>
        <w:rPr>
          <w:sz w:val="20"/>
          <w:szCs w:val="20"/>
          <w:color w:val="auto"/>
        </w:rPr>
      </w:pPr>
      <w:r>
        <w:rPr>
          <w:rFonts w:ascii="Arial" w:cs="Arial" w:eastAsia="Arial" w:hAnsi="Arial"/>
          <w:sz w:val="19"/>
          <w:szCs w:val="19"/>
          <w:color w:val="auto"/>
        </w:rPr>
        <w:t>Thunder Spirit Wind, LLC</w:t>
      </w:r>
    </w:p>
    <w:p>
      <w:pPr>
        <w:ind w:left="980"/>
        <w:spacing w:after="0" w:line="208" w:lineRule="auto"/>
        <w:rPr>
          <w:sz w:val="20"/>
          <w:szCs w:val="20"/>
          <w:color w:val="auto"/>
        </w:rPr>
      </w:pPr>
      <w:r>
        <w:rPr>
          <w:rFonts w:ascii="Arial" w:cs="Arial" w:eastAsia="Arial" w:hAnsi="Arial"/>
          <w:sz w:val="19"/>
          <w:szCs w:val="19"/>
          <w:color w:val="auto"/>
        </w:rPr>
        <w:t>ALLETE Power Systems, Inc.</w:t>
      </w:r>
    </w:p>
    <w:p>
      <w:pPr>
        <w:ind w:left="980"/>
        <w:spacing w:after="0" w:line="208" w:lineRule="auto"/>
        <w:rPr>
          <w:sz w:val="20"/>
          <w:szCs w:val="20"/>
          <w:color w:val="auto"/>
        </w:rPr>
      </w:pPr>
      <w:r>
        <w:rPr>
          <w:rFonts w:ascii="Arial" w:cs="Arial" w:eastAsia="Arial" w:hAnsi="Arial"/>
          <w:sz w:val="19"/>
          <w:szCs w:val="19"/>
          <w:color w:val="auto"/>
        </w:rPr>
        <w:t>ALLETE Renewable Resources, Inc.</w:t>
      </w:r>
    </w:p>
    <w:p>
      <w:pPr>
        <w:ind w:left="980"/>
        <w:spacing w:after="0" w:line="207" w:lineRule="auto"/>
        <w:rPr>
          <w:sz w:val="20"/>
          <w:szCs w:val="20"/>
          <w:color w:val="auto"/>
        </w:rPr>
      </w:pPr>
      <w:r>
        <w:rPr>
          <w:rFonts w:ascii="Arial" w:cs="Arial" w:eastAsia="Arial" w:hAnsi="Arial"/>
          <w:sz w:val="19"/>
          <w:szCs w:val="19"/>
          <w:color w:val="auto"/>
        </w:rPr>
        <w:t>ASW Partners, LLC</w:t>
      </w:r>
    </w:p>
    <w:p>
      <w:pPr>
        <w:ind w:left="1340"/>
        <w:spacing w:after="0" w:line="208" w:lineRule="auto"/>
        <w:rPr>
          <w:sz w:val="20"/>
          <w:szCs w:val="20"/>
          <w:color w:val="auto"/>
        </w:rPr>
      </w:pPr>
      <w:r>
        <w:rPr>
          <w:rFonts w:ascii="Arial" w:cs="Arial" w:eastAsia="Arial" w:hAnsi="Arial"/>
          <w:sz w:val="19"/>
          <w:szCs w:val="19"/>
          <w:color w:val="auto"/>
        </w:rPr>
        <w:t>ALLETE South Wind, LLC</w:t>
      </w:r>
    </w:p>
    <w:p>
      <w:pPr>
        <w:ind w:left="1360"/>
        <w:spacing w:after="0" w:line="207" w:lineRule="auto"/>
        <w:rPr>
          <w:sz w:val="20"/>
          <w:szCs w:val="20"/>
          <w:color w:val="auto"/>
        </w:rPr>
      </w:pPr>
      <w:r>
        <w:rPr>
          <w:rFonts w:ascii="Arial" w:cs="Arial" w:eastAsia="Arial" w:hAnsi="Arial"/>
          <w:sz w:val="19"/>
          <w:szCs w:val="19"/>
          <w:color w:val="auto"/>
        </w:rPr>
        <w:t>Noble 2 Power Partners, LLC</w:t>
      </w:r>
    </w:p>
    <w:p>
      <w:pPr>
        <w:ind w:left="980"/>
        <w:spacing w:after="0" w:line="208" w:lineRule="auto"/>
        <w:rPr>
          <w:sz w:val="20"/>
          <w:szCs w:val="20"/>
          <w:color w:val="auto"/>
        </w:rPr>
      </w:pPr>
      <w:r>
        <w:rPr>
          <w:rFonts w:ascii="Arial" w:cs="Arial" w:eastAsia="Arial" w:hAnsi="Arial"/>
          <w:sz w:val="19"/>
          <w:szCs w:val="19"/>
          <w:color w:val="auto"/>
        </w:rPr>
        <w:t>ALLETE Transmission Holdings, Inc.</w:t>
      </w:r>
    </w:p>
    <w:p>
      <w:pPr>
        <w:ind w:left="980"/>
        <w:spacing w:after="0" w:line="208" w:lineRule="auto"/>
        <w:rPr>
          <w:sz w:val="20"/>
          <w:szCs w:val="20"/>
          <w:color w:val="auto"/>
        </w:rPr>
      </w:pPr>
      <w:r>
        <w:rPr>
          <w:rFonts w:ascii="Arial" w:cs="Arial" w:eastAsia="Arial" w:hAnsi="Arial"/>
          <w:sz w:val="19"/>
          <w:szCs w:val="19"/>
          <w:color w:val="auto"/>
        </w:rPr>
        <w:t>BNI Energy, Inc.</w:t>
      </w:r>
    </w:p>
    <w:p>
      <w:pPr>
        <w:ind w:left="1220"/>
        <w:spacing w:after="0" w:line="207" w:lineRule="auto"/>
        <w:rPr>
          <w:sz w:val="20"/>
          <w:szCs w:val="20"/>
          <w:color w:val="auto"/>
        </w:rPr>
      </w:pPr>
      <w:r>
        <w:rPr>
          <w:rFonts w:ascii="Arial" w:cs="Arial" w:eastAsia="Arial" w:hAnsi="Arial"/>
          <w:sz w:val="19"/>
          <w:szCs w:val="19"/>
          <w:color w:val="auto"/>
        </w:rPr>
        <w:t>BNI Coal, Ltd.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MP Affiliate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1" w:lineRule="exact"/>
        <w:rPr>
          <w:sz w:val="20"/>
          <w:szCs w:val="20"/>
          <w:color w:val="auto"/>
        </w:rPr>
      </w:pPr>
    </w:p>
    <w:p>
      <w:pPr>
        <w:ind w:firstLine="8"/>
        <w:spacing w:after="0" w:line="207" w:lineRule="auto"/>
        <w:tabs>
          <w:tab w:leader="none" w:pos="223" w:val="left"/>
        </w:tabs>
        <w:numPr>
          <w:ilvl w:val="0"/>
          <w:numId w:val="162"/>
        </w:numPr>
        <w:rPr>
          <w:rFonts w:ascii="Arial" w:cs="Arial" w:eastAsia="Arial" w:hAnsi="Arial"/>
          <w:sz w:val="21"/>
          <w:szCs w:val="21"/>
          <w:b w:val="1"/>
          <w:bCs w:val="1"/>
          <w:i w:val="1"/>
          <w:iCs w:val="1"/>
          <w:color w:val="auto"/>
          <w:vertAlign w:val="superscript"/>
        </w:rPr>
      </w:pPr>
      <w:r>
        <w:rPr>
          <w:rFonts w:ascii="Arial" w:cs="Arial" w:eastAsia="Arial" w:hAnsi="Arial"/>
          <w:sz w:val="16"/>
          <w:szCs w:val="16"/>
          <w:b w:val="1"/>
          <w:bCs w:val="1"/>
          <w:i w:val="1"/>
          <w:iCs w:val="1"/>
          <w:color w:val="auto"/>
        </w:rPr>
        <w:t>Unless otherwise specified, the Equity Interests in each Subsidiary are owned 100% by the Subsidiary identified above it, with first-tier Subsidiaries’ Equity Interests owned 100% by ALLETE, Inc.</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270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7"/>
          <w:szCs w:val="17"/>
          <w:color w:val="auto"/>
        </w:rPr>
        <w:t xml:space="preserve">SCHEDULE 4.10  </w:t>
      </w:r>
      <w:r>
        <w:rPr>
          <w:rFonts w:ascii="Arial" w:cs="Arial" w:eastAsia="Arial" w:hAnsi="Arial"/>
          <w:sz w:val="13"/>
          <w:szCs w:val="13"/>
          <w:color w:val="auto"/>
        </w:rPr>
        <w:t>ALLETE CREDIT AGREEMENT</w:t>
      </w:r>
    </w:p>
    <w:p>
      <w:pPr>
        <w:sectPr>
          <w:pgSz w:w="11900" w:h="16838" w:orient="portrait"/>
          <w:cols w:equalWidth="0" w:num="1">
            <w:col w:w="11240"/>
          </w:cols>
          <w:pgMar w:left="320" w:top="1399" w:right="339" w:bottom="1440" w:gutter="0" w:footer="0" w:header="0"/>
          <w:type w:val="continuous"/>
        </w:sectPr>
      </w:pPr>
    </w:p>
    <w:bookmarkStart w:id="227" w:name="page228"/>
    <w:bookmarkEnd w:id="227"/>
    <w:p>
      <w:pPr>
        <w:ind w:left="980"/>
        <w:spacing w:after="0"/>
        <w:rPr>
          <w:sz w:val="20"/>
          <w:szCs w:val="20"/>
          <w:color w:val="auto"/>
        </w:rPr>
      </w:pPr>
      <w:r>
        <w:rPr>
          <w:rFonts w:ascii="Arial" w:cs="Arial" w:eastAsia="Arial" w:hAnsi="Arial"/>
          <w:sz w:val="19"/>
          <w:szCs w:val="19"/>
          <w:color w:val="auto"/>
        </w:rPr>
        <w:t>Rainy River Energy Corporation</w:t>
      </w:r>
    </w:p>
    <w:p>
      <w:pPr>
        <w:ind w:left="980"/>
        <w:spacing w:after="0" w:line="207" w:lineRule="auto"/>
        <w:rPr>
          <w:sz w:val="20"/>
          <w:szCs w:val="20"/>
          <w:color w:val="auto"/>
        </w:rPr>
      </w:pPr>
      <w:r>
        <w:rPr>
          <w:rFonts w:ascii="Arial" w:cs="Arial" w:eastAsia="Arial" w:hAnsi="Arial"/>
          <w:sz w:val="19"/>
          <w:szCs w:val="19"/>
          <w:color w:val="auto"/>
        </w:rPr>
        <w:t>South Shore Energy, LLC</w:t>
      </w:r>
    </w:p>
    <w:p>
      <w:pPr>
        <w:ind w:left="980"/>
        <w:spacing w:after="0" w:line="208" w:lineRule="auto"/>
        <w:rPr>
          <w:sz w:val="20"/>
          <w:szCs w:val="20"/>
          <w:color w:val="auto"/>
        </w:rPr>
      </w:pPr>
      <w:r>
        <w:rPr>
          <w:rFonts w:ascii="Arial" w:cs="Arial" w:eastAsia="Arial" w:hAnsi="Arial"/>
          <w:sz w:val="19"/>
          <w:szCs w:val="19"/>
          <w:color w:val="auto"/>
        </w:rPr>
        <w:t>Upper Minnesota Properties, Inc.</w:t>
      </w:r>
    </w:p>
    <w:p>
      <w:pPr>
        <w:jc w:val="right"/>
        <w:ind w:right="4819"/>
        <w:spacing w:after="0" w:line="207" w:lineRule="auto"/>
        <w:rPr>
          <w:sz w:val="20"/>
          <w:szCs w:val="20"/>
          <w:color w:val="auto"/>
        </w:rPr>
      </w:pPr>
      <w:r>
        <w:rPr>
          <w:rFonts w:ascii="Arial" w:cs="Arial" w:eastAsia="Arial" w:hAnsi="Arial"/>
          <w:sz w:val="19"/>
          <w:szCs w:val="19"/>
          <w:color w:val="auto"/>
        </w:rPr>
        <w:t>Upper Minnesota Properties - Development, Inc.</w:t>
      </w:r>
    </w:p>
    <w:p>
      <w:pPr>
        <w:spacing w:after="0" w:line="208" w:lineRule="auto"/>
        <w:rPr>
          <w:sz w:val="20"/>
          <w:szCs w:val="20"/>
          <w:color w:val="auto"/>
        </w:rPr>
      </w:pPr>
      <w:r>
        <w:rPr>
          <w:rFonts w:ascii="Arial" w:cs="Arial" w:eastAsia="Arial" w:hAnsi="Arial"/>
          <w:sz w:val="19"/>
          <w:szCs w:val="19"/>
          <w:color w:val="auto"/>
        </w:rPr>
        <w:t>ALLETE Properties, LLC</w:t>
      </w:r>
    </w:p>
    <w:p>
      <w:pPr>
        <w:ind w:left="340"/>
        <w:spacing w:after="0" w:line="208" w:lineRule="auto"/>
        <w:rPr>
          <w:sz w:val="20"/>
          <w:szCs w:val="20"/>
          <w:color w:val="auto"/>
        </w:rPr>
      </w:pPr>
      <w:r>
        <w:rPr>
          <w:rFonts w:ascii="Arial" w:cs="Arial" w:eastAsia="Arial" w:hAnsi="Arial"/>
          <w:sz w:val="19"/>
          <w:szCs w:val="19"/>
          <w:color w:val="auto"/>
        </w:rPr>
        <w:t>ALLETE Commercial, LLC</w:t>
      </w:r>
    </w:p>
    <w:p>
      <w:pPr>
        <w:ind w:left="340"/>
        <w:spacing w:after="0" w:line="207" w:lineRule="auto"/>
        <w:rPr>
          <w:sz w:val="20"/>
          <w:szCs w:val="20"/>
          <w:color w:val="auto"/>
        </w:rPr>
      </w:pPr>
      <w:r>
        <w:rPr>
          <w:rFonts w:ascii="Arial" w:cs="Arial" w:eastAsia="Arial" w:hAnsi="Arial"/>
          <w:sz w:val="19"/>
          <w:szCs w:val="19"/>
          <w:color w:val="auto"/>
        </w:rPr>
        <w:t>Lehigh Acquisition, LLC</w:t>
      </w:r>
    </w:p>
    <w:p>
      <w:pPr>
        <w:ind w:left="660"/>
        <w:spacing w:after="0" w:line="208" w:lineRule="auto"/>
        <w:rPr>
          <w:sz w:val="20"/>
          <w:szCs w:val="20"/>
          <w:color w:val="auto"/>
        </w:rPr>
      </w:pPr>
      <w:r>
        <w:rPr>
          <w:rFonts w:ascii="Arial" w:cs="Arial" w:eastAsia="Arial" w:hAnsi="Arial"/>
          <w:sz w:val="19"/>
          <w:szCs w:val="19"/>
          <w:color w:val="auto"/>
        </w:rPr>
        <w:t>Florida Landmark Communities, LLC</w:t>
      </w:r>
    </w:p>
    <w:p>
      <w:pPr>
        <w:ind w:left="1300"/>
        <w:spacing w:after="0" w:line="207" w:lineRule="auto"/>
        <w:rPr>
          <w:sz w:val="20"/>
          <w:szCs w:val="20"/>
          <w:color w:val="auto"/>
        </w:rPr>
      </w:pPr>
      <w:r>
        <w:rPr>
          <w:rFonts w:ascii="Arial" w:cs="Arial" w:eastAsia="Arial" w:hAnsi="Arial"/>
          <w:sz w:val="19"/>
          <w:szCs w:val="19"/>
          <w:color w:val="auto"/>
        </w:rPr>
        <w:t>Lehigh Corporation</w:t>
      </w:r>
    </w:p>
    <w:p>
      <w:pPr>
        <w:ind w:left="1300"/>
        <w:spacing w:after="0" w:line="208" w:lineRule="auto"/>
        <w:rPr>
          <w:sz w:val="20"/>
          <w:szCs w:val="20"/>
          <w:color w:val="auto"/>
        </w:rPr>
      </w:pPr>
      <w:r>
        <w:rPr>
          <w:rFonts w:ascii="Arial" w:cs="Arial" w:eastAsia="Arial" w:hAnsi="Arial"/>
          <w:sz w:val="19"/>
          <w:szCs w:val="19"/>
          <w:color w:val="auto"/>
        </w:rPr>
        <w:t>Mardem, LLC</w:t>
      </w:r>
    </w:p>
    <w:p>
      <w:pPr>
        <w:ind w:left="1300"/>
        <w:spacing w:after="0" w:line="208" w:lineRule="auto"/>
        <w:rPr>
          <w:sz w:val="20"/>
          <w:szCs w:val="20"/>
          <w:color w:val="auto"/>
        </w:rPr>
      </w:pPr>
      <w:r>
        <w:rPr>
          <w:rFonts w:ascii="Arial" w:cs="Arial" w:eastAsia="Arial" w:hAnsi="Arial"/>
          <w:sz w:val="19"/>
          <w:szCs w:val="19"/>
          <w:color w:val="auto"/>
        </w:rPr>
        <w:t>Palm Coast Holdings, Inc.</w:t>
      </w:r>
    </w:p>
    <w:p>
      <w:pPr>
        <w:ind w:left="1300"/>
        <w:spacing w:after="0" w:line="207" w:lineRule="auto"/>
        <w:rPr>
          <w:sz w:val="20"/>
          <w:szCs w:val="20"/>
          <w:color w:val="auto"/>
        </w:rPr>
      </w:pPr>
      <w:r>
        <w:rPr>
          <w:rFonts w:ascii="Arial" w:cs="Arial" w:eastAsia="Arial" w:hAnsi="Arial"/>
          <w:sz w:val="19"/>
          <w:szCs w:val="19"/>
          <w:color w:val="auto"/>
        </w:rPr>
        <w:t>Port Orange Holdings, LLC</w:t>
      </w:r>
    </w:p>
    <w:p>
      <w:pPr>
        <w:ind w:left="660"/>
        <w:spacing w:after="0" w:line="208" w:lineRule="auto"/>
        <w:rPr>
          <w:sz w:val="20"/>
          <w:szCs w:val="20"/>
          <w:color w:val="auto"/>
        </w:rPr>
      </w:pPr>
      <w:r>
        <w:rPr>
          <w:rFonts w:ascii="Arial" w:cs="Arial" w:eastAsia="Arial" w:hAnsi="Arial"/>
          <w:sz w:val="19"/>
          <w:szCs w:val="19"/>
          <w:color w:val="auto"/>
        </w:rPr>
        <w:t>Interlachen Lakes Estates, LLC</w:t>
      </w:r>
    </w:p>
    <w:p>
      <w:pPr>
        <w:spacing w:after="0" w:line="207" w:lineRule="auto"/>
        <w:rPr>
          <w:sz w:val="20"/>
          <w:szCs w:val="20"/>
          <w:color w:val="auto"/>
        </w:rPr>
      </w:pPr>
      <w:r>
        <w:rPr>
          <w:rFonts w:ascii="Arial" w:cs="Arial" w:eastAsia="Arial" w:hAnsi="Arial"/>
          <w:sz w:val="19"/>
          <w:szCs w:val="19"/>
          <w:color w:val="auto"/>
        </w:rPr>
        <w:t>Palm Coast Land, LLC</w:t>
      </w:r>
    </w:p>
    <w:p>
      <w:pPr>
        <w:spacing w:after="0" w:line="208" w:lineRule="auto"/>
        <w:rPr>
          <w:sz w:val="20"/>
          <w:szCs w:val="20"/>
          <w:color w:val="auto"/>
        </w:rPr>
      </w:pPr>
      <w:r>
        <w:rPr>
          <w:rFonts w:ascii="Arial" w:cs="Arial" w:eastAsia="Arial" w:hAnsi="Arial"/>
          <w:sz w:val="19"/>
          <w:szCs w:val="19"/>
          <w:color w:val="auto"/>
        </w:rPr>
        <w:t>ALLETE Water Services, Inc.</w:t>
      </w:r>
    </w:p>
    <w:p>
      <w:pPr>
        <w:ind w:left="660"/>
        <w:spacing w:after="0" w:line="208" w:lineRule="auto"/>
        <w:rPr>
          <w:sz w:val="20"/>
          <w:szCs w:val="20"/>
          <w:color w:val="auto"/>
        </w:rPr>
      </w:pPr>
      <w:r>
        <w:rPr>
          <w:rFonts w:ascii="Arial" w:cs="Arial" w:eastAsia="Arial" w:hAnsi="Arial"/>
          <w:sz w:val="19"/>
          <w:szCs w:val="19"/>
          <w:color w:val="auto"/>
        </w:rPr>
        <w:t>Florida Water Services Corporation</w:t>
      </w:r>
    </w:p>
    <w:p>
      <w:pPr>
        <w:ind w:left="980"/>
        <w:spacing w:after="0" w:line="207" w:lineRule="auto"/>
        <w:rPr>
          <w:sz w:val="20"/>
          <w:szCs w:val="20"/>
          <w:color w:val="auto"/>
        </w:rPr>
      </w:pPr>
      <w:r>
        <w:rPr>
          <w:rFonts w:ascii="Arial" w:cs="Arial" w:eastAsia="Arial" w:hAnsi="Arial"/>
          <w:sz w:val="19"/>
          <w:szCs w:val="19"/>
          <w:color w:val="auto"/>
        </w:rPr>
        <w:t>Energy Replacement Property, LLC</w:t>
      </w:r>
    </w:p>
    <w:p>
      <w:pPr>
        <w:spacing w:after="0" w:line="208" w:lineRule="auto"/>
        <w:rPr>
          <w:sz w:val="20"/>
          <w:szCs w:val="20"/>
          <w:color w:val="auto"/>
        </w:rPr>
      </w:pPr>
      <w:r>
        <w:rPr>
          <w:rFonts w:ascii="Arial" w:cs="Arial" w:eastAsia="Arial" w:hAnsi="Arial"/>
          <w:sz w:val="19"/>
          <w:szCs w:val="19"/>
          <w:color w:val="auto"/>
        </w:rPr>
        <w:t>Energy Land, Incorporated</w:t>
      </w:r>
    </w:p>
    <w:p>
      <w:pPr>
        <w:spacing w:after="0" w:line="207" w:lineRule="auto"/>
        <w:rPr>
          <w:sz w:val="20"/>
          <w:szCs w:val="20"/>
          <w:color w:val="auto"/>
        </w:rPr>
      </w:pPr>
      <w:r>
        <w:rPr>
          <w:rFonts w:ascii="Arial" w:cs="Arial" w:eastAsia="Arial" w:hAnsi="Arial"/>
          <w:sz w:val="19"/>
          <w:szCs w:val="19"/>
          <w:color w:val="auto"/>
        </w:rPr>
        <w:t>Lakeview Financial Corporation I</w:t>
      </w:r>
    </w:p>
    <w:p>
      <w:pPr>
        <w:spacing w:after="0" w:line="208" w:lineRule="auto"/>
        <w:rPr>
          <w:sz w:val="20"/>
          <w:szCs w:val="20"/>
          <w:color w:val="auto"/>
        </w:rPr>
      </w:pPr>
      <w:r>
        <w:rPr>
          <w:rFonts w:ascii="Arial" w:cs="Arial" w:eastAsia="Arial" w:hAnsi="Arial"/>
          <w:sz w:val="19"/>
          <w:szCs w:val="19"/>
          <w:color w:val="auto"/>
        </w:rPr>
        <w:t>Lakeview Financial Corporation II</w:t>
      </w:r>
    </w:p>
    <w:p>
      <w:pPr>
        <w:spacing w:after="0" w:line="208" w:lineRule="auto"/>
        <w:rPr>
          <w:sz w:val="20"/>
          <w:szCs w:val="20"/>
          <w:color w:val="auto"/>
        </w:rPr>
      </w:pPr>
      <w:r>
        <w:rPr>
          <w:rFonts w:ascii="Arial" w:cs="Arial" w:eastAsia="Arial" w:hAnsi="Arial"/>
          <w:sz w:val="19"/>
          <w:szCs w:val="19"/>
          <w:color w:val="auto"/>
        </w:rPr>
        <w:t>MP Investments, Inc.</w:t>
      </w:r>
    </w:p>
    <w:p>
      <w:pPr>
        <w:spacing w:after="0" w:line="207" w:lineRule="auto"/>
        <w:rPr>
          <w:sz w:val="20"/>
          <w:szCs w:val="20"/>
          <w:color w:val="auto"/>
        </w:rPr>
      </w:pPr>
      <w:r>
        <w:rPr>
          <w:rFonts w:ascii="Arial" w:cs="Arial" w:eastAsia="Arial" w:hAnsi="Arial"/>
          <w:sz w:val="19"/>
          <w:szCs w:val="19"/>
          <w:color w:val="auto"/>
        </w:rPr>
        <w:t>RendField Land Company, Inc.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Superior Water, Light and Power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2820" w:val="left"/>
        </w:tabs>
        <w:rPr>
          <w:sz w:val="20"/>
          <w:szCs w:val="20"/>
          <w:color w:val="auto"/>
        </w:rPr>
      </w:pPr>
      <w:r>
        <w:rPr>
          <w:rFonts w:ascii="Arial" w:cs="Arial" w:eastAsia="Arial" w:hAnsi="Arial"/>
          <w:sz w:val="14"/>
          <w:szCs w:val="14"/>
          <w:color w:val="auto"/>
        </w:rPr>
        <w:t>{00463749.DOCX; 2}744315352 11074672</w:t>
      </w:r>
      <w:r>
        <w:rPr>
          <w:sz w:val="20"/>
          <w:szCs w:val="20"/>
          <w:color w:val="auto"/>
        </w:rPr>
        <w:tab/>
      </w:r>
      <w:r>
        <w:rPr>
          <w:rFonts w:ascii="Arial" w:cs="Arial" w:eastAsia="Arial" w:hAnsi="Arial"/>
          <w:sz w:val="14"/>
          <w:szCs w:val="14"/>
          <w:color w:val="auto"/>
        </w:rPr>
        <w:t>ALLETE CREDIT AGREEMENT</w:t>
      </w:r>
    </w:p>
    <w:p>
      <w:pPr>
        <w:sectPr>
          <w:pgSz w:w="11900" w:h="16838" w:orient="portrait"/>
          <w:cols w:equalWidth="0" w:num="1">
            <w:col w:w="10139"/>
          </w:cols>
          <w:pgMar w:left="320" w:top="1386" w:right="1440" w:bottom="1440" w:gutter="0" w:footer="0" w:header="0"/>
        </w:sectPr>
      </w:pPr>
    </w:p>
    <w:bookmarkStart w:id="228" w:name="page229"/>
    <w:bookmarkEnd w:id="228"/>
    <w:p>
      <w:pPr>
        <w:ind w:left="2220"/>
        <w:spacing w:after="0"/>
        <w:rPr>
          <w:sz w:val="20"/>
          <w:szCs w:val="20"/>
          <w:color w:val="auto"/>
        </w:rPr>
      </w:pPr>
      <w:r>
        <w:rPr>
          <w:rFonts w:ascii="Arial" w:cs="Arial" w:eastAsia="Arial" w:hAnsi="Arial"/>
          <w:sz w:val="18"/>
          <w:szCs w:val="18"/>
          <w:b w:val="1"/>
          <w:bCs w:val="1"/>
          <w:color w:val="auto"/>
        </w:rPr>
        <w:t>Exhibit 10(e)9</w:t>
      </w:r>
    </w:p>
    <w:p>
      <w:pPr>
        <w:spacing w:after="0" w:line="200" w:lineRule="exact"/>
        <w:rPr>
          <w:sz w:val="20"/>
          <w:szCs w:val="20"/>
          <w:color w:val="auto"/>
        </w:rPr>
      </w:pPr>
    </w:p>
    <w:p>
      <w:pPr>
        <w:spacing w:after="0" w:line="367"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Form of Award</w:t>
      </w:r>
    </w:p>
    <w:p>
      <w:pPr>
        <w:spacing w:after="0" w:line="34"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Effective 2022</w:t>
      </w:r>
    </w:p>
    <w:p>
      <w:pPr>
        <w:spacing w:after="0" w:line="58"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[Eligible Executive Employees]</w:t>
      </w:r>
    </w:p>
    <w:p>
      <w:pPr>
        <w:spacing w:after="0" w:line="247"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287"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Base Salary</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500"/>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Times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4560" w:type="dxa"/>
            <w:vAlign w:val="bottom"/>
          </w:tcPr>
          <w:p>
            <w:pPr>
              <w:spacing w:after="0"/>
              <w:rPr>
                <w:sz w:val="20"/>
                <w:szCs w:val="20"/>
                <w:color w:val="auto"/>
              </w:rPr>
            </w:pPr>
            <w:r>
              <w:rPr>
                <w:rFonts w:ascii="Arial" w:cs="Arial" w:eastAsia="Arial" w:hAnsi="Arial"/>
                <w:sz w:val="18"/>
                <w:szCs w:val="18"/>
                <w:color w:val="auto"/>
              </w:rPr>
              <w:t>Award Opportunity (percent of base salary)</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w w:val="87"/>
              </w:rPr>
              <w:t>%</w:t>
            </w:r>
          </w:p>
        </w:tc>
      </w:tr>
      <w:tr>
        <w:trPr>
          <w:trHeight w:val="520"/>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Equals</w:t>
            </w:r>
          </w:p>
        </w:tc>
        <w:tc>
          <w:tcPr>
            <w:tcW w:w="1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499"/>
        </w:trPr>
        <w:tc>
          <w:tcPr>
            <w:tcW w:w="4560" w:type="dxa"/>
            <w:vAlign w:val="bottom"/>
          </w:tcPr>
          <w:p>
            <w:pPr>
              <w:spacing w:after="0"/>
              <w:rPr>
                <w:sz w:val="20"/>
                <w:szCs w:val="20"/>
                <w:color w:val="auto"/>
              </w:rPr>
            </w:pPr>
            <w:r>
              <w:rPr>
                <w:rFonts w:ascii="Arial" w:cs="Arial" w:eastAsia="Arial" w:hAnsi="Arial"/>
                <w:sz w:val="18"/>
                <w:szCs w:val="18"/>
                <w:color w:val="auto"/>
              </w:rPr>
              <w:t>Target Award</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rPr>
              <w:t>$</w:t>
            </w:r>
          </w:p>
        </w:tc>
      </w:tr>
    </w:tbl>
    <w:p>
      <w:pPr>
        <w:spacing w:after="0" w:line="301"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w w:val="88"/>
              </w:rPr>
              <w:t>Performance Levels and Award Amounts</w:t>
            </w:r>
          </w:p>
        </w:tc>
        <w:tc>
          <w:tcPr>
            <w:tcW w:w="2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gridSpan w:val="3"/>
          </w:tcPr>
          <w:p>
            <w:pPr>
              <w:jc w:val="center"/>
              <w:ind w:right="80"/>
              <w:spacing w:after="0" w:line="195" w:lineRule="exact"/>
              <w:rPr>
                <w:sz w:val="20"/>
                <w:szCs w:val="20"/>
                <w:color w:val="auto"/>
              </w:rPr>
            </w:pPr>
            <w:r>
              <w:rPr>
                <w:rFonts w:ascii="Arial" w:cs="Arial" w:eastAsia="Arial" w:hAnsi="Arial"/>
                <w:sz w:val="22"/>
                <w:szCs w:val="22"/>
                <w:b w:val="1"/>
                <w:bCs w:val="1"/>
                <w:color w:val="auto"/>
                <w:w w:val="87"/>
              </w:rPr>
              <w:t>Payout as Percent of</w:t>
            </w: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27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Goal Performance Level</w:t>
            </w:r>
          </w:p>
        </w:tc>
        <w:tc>
          <w:tcPr>
            <w:tcW w:w="36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1"/>
              </w:rPr>
              <w:t>Target Award</w:t>
            </w: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3"/>
              </w:rPr>
              <w:t>Award Amount</w:t>
            </w: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Superior</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04"/>
              <w:spacing w:after="0"/>
              <w:rPr>
                <w:sz w:val="20"/>
                <w:szCs w:val="20"/>
                <w:color w:val="auto"/>
              </w:rPr>
            </w:pPr>
            <w:r>
              <w:rPr>
                <w:rFonts w:ascii="Arial" w:cs="Arial" w:eastAsia="Arial" w:hAnsi="Arial"/>
                <w:sz w:val="18"/>
                <w:szCs w:val="18"/>
                <w:color w:val="auto"/>
                <w:w w:val="91"/>
              </w:rPr>
              <w:t>200%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Target</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04"/>
              <w:spacing w:after="0"/>
              <w:rPr>
                <w:sz w:val="20"/>
                <w:szCs w:val="20"/>
                <w:color w:val="auto"/>
              </w:rPr>
            </w:pPr>
            <w:r>
              <w:rPr>
                <w:rFonts w:ascii="Arial" w:cs="Arial" w:eastAsia="Arial" w:hAnsi="Arial"/>
                <w:sz w:val="18"/>
                <w:szCs w:val="18"/>
                <w:color w:val="auto"/>
                <w:w w:val="91"/>
              </w:rPr>
              <w:t>100%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24"/>
              <w:spacing w:after="0"/>
              <w:rPr>
                <w:sz w:val="20"/>
                <w:szCs w:val="20"/>
                <w:color w:val="auto"/>
              </w:rPr>
            </w:pPr>
            <w:r>
              <w:rPr>
                <w:rFonts w:ascii="Arial" w:cs="Arial" w:eastAsia="Arial" w:hAnsi="Arial"/>
                <w:sz w:val="18"/>
                <w:szCs w:val="18"/>
                <w:color w:val="auto"/>
                <w:w w:val="88"/>
              </w:rPr>
              <w:t>44%</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Below Threshold</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24"/>
              <w:spacing w:after="0"/>
              <w:rPr>
                <w:sz w:val="20"/>
                <w:szCs w:val="20"/>
                <w:color w:val="auto"/>
              </w:rPr>
            </w:pPr>
            <w:r>
              <w:rPr>
                <w:rFonts w:ascii="Arial" w:cs="Arial" w:eastAsia="Arial" w:hAnsi="Arial"/>
                <w:sz w:val="18"/>
                <w:szCs w:val="18"/>
                <w:color w:val="auto"/>
                <w:w w:val="92"/>
              </w:rPr>
              <w:t>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77"/>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gridSpan w:val="3"/>
          </w:tcPr>
          <w:p>
            <w:pPr>
              <w:jc w:val="center"/>
              <w:ind w:right="1640"/>
              <w:spacing w:after="0"/>
              <w:rPr>
                <w:sz w:val="20"/>
                <w:szCs w:val="20"/>
                <w:color w:val="auto"/>
              </w:rPr>
            </w:pPr>
            <w:r>
              <w:rPr>
                <w:rFonts w:ascii="Arial" w:cs="Arial" w:eastAsia="Arial" w:hAnsi="Arial"/>
                <w:sz w:val="22"/>
                <w:szCs w:val="22"/>
                <w:b w:val="1"/>
                <w:bCs w:val="1"/>
                <w:color w:val="auto"/>
                <w:w w:val="84"/>
              </w:rPr>
              <w:t>Goals</w:t>
            </w: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jc w:val="center"/>
              <w:ind w:left="1665"/>
              <w:spacing w:after="0"/>
              <w:rPr>
                <w:sz w:val="20"/>
                <w:szCs w:val="20"/>
                <w:color w:val="auto"/>
              </w:rPr>
            </w:pPr>
            <w:r>
              <w:rPr>
                <w:rFonts w:ascii="Arial" w:cs="Arial" w:eastAsia="Arial" w:hAnsi="Arial"/>
                <w:sz w:val="20"/>
                <w:szCs w:val="20"/>
                <w:b w:val="1"/>
                <w:bCs w:val="1"/>
                <w:color w:val="auto"/>
                <w:w w:val="89"/>
              </w:rPr>
              <w:t>Goal</w:t>
            </w:r>
          </w:p>
        </w:tc>
        <w:tc>
          <w:tcPr>
            <w:tcW w:w="0" w:type="dxa"/>
            <w:vAlign w:val="bottom"/>
          </w:tcPr>
          <w:p>
            <w:pPr>
              <w:spacing w:after="0"/>
              <w:rPr>
                <w:sz w:val="1"/>
                <w:szCs w:val="1"/>
                <w:color w:val="auto"/>
              </w:rPr>
            </w:pPr>
          </w:p>
        </w:tc>
      </w:tr>
      <w:tr>
        <w:trPr>
          <w:trHeight w:val="256"/>
        </w:trPr>
        <w:tc>
          <w:tcPr>
            <w:tcW w:w="27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Financial Goals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60" w:type="dxa"/>
            <w:vAlign w:val="bottom"/>
            <w:gridSpan w:val="3"/>
          </w:tcPr>
          <w:p>
            <w:pPr>
              <w:jc w:val="center"/>
              <w:ind w:left="1645"/>
              <w:spacing w:after="0"/>
              <w:rPr>
                <w:sz w:val="20"/>
                <w:szCs w:val="20"/>
                <w:color w:val="auto"/>
              </w:rPr>
            </w:pPr>
            <w:r>
              <w:rPr>
                <w:rFonts w:ascii="Arial" w:cs="Arial" w:eastAsia="Arial" w:hAnsi="Arial"/>
                <w:sz w:val="20"/>
                <w:szCs w:val="20"/>
                <w:b w:val="1"/>
                <w:bCs w:val="1"/>
                <w:color w:val="auto"/>
                <w:w w:val="88"/>
              </w:rPr>
              <w:t>Weighting</w:t>
            </w:r>
          </w:p>
        </w:tc>
        <w:tc>
          <w:tcPr>
            <w:tcW w:w="0" w:type="dxa"/>
            <w:vAlign w:val="bottom"/>
          </w:tcPr>
          <w:p>
            <w:pPr>
              <w:spacing w:after="0"/>
              <w:rPr>
                <w:sz w:val="1"/>
                <w:szCs w:val="1"/>
                <w:color w:val="auto"/>
              </w:rPr>
            </w:pPr>
          </w:p>
        </w:tc>
      </w:tr>
      <w:tr>
        <w:trPr>
          <w:trHeight w:val="236"/>
        </w:trPr>
        <w:tc>
          <w:tcPr>
            <w:tcW w:w="276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2"/>
            <w:vMerge w:val="restart"/>
          </w:tcPr>
          <w:p>
            <w:pPr>
              <w:jc w:val="center"/>
              <w:ind w:left="1965"/>
              <w:spacing w:after="0"/>
              <w:rPr>
                <w:sz w:val="20"/>
                <w:szCs w:val="20"/>
                <w:color w:val="auto"/>
              </w:rPr>
            </w:pPr>
            <w:r>
              <w:rPr>
                <w:rFonts w:ascii="Arial" w:cs="Arial" w:eastAsia="Arial" w:hAnsi="Arial"/>
                <w:sz w:val="20"/>
                <w:szCs w:val="20"/>
                <w:b w:val="1"/>
                <w:bCs w:val="1"/>
                <w:color w:val="auto"/>
                <w:w w:val="99"/>
              </w:rPr>
              <w:t>50%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720" w:type="dxa"/>
            <w:vAlign w:val="bottom"/>
          </w:tcPr>
          <w:p>
            <w:pPr>
              <w:ind w:left="1600"/>
              <w:spacing w:after="0"/>
              <w:rPr>
                <w:sz w:val="20"/>
                <w:szCs w:val="20"/>
                <w:color w:val="auto"/>
              </w:rPr>
            </w:pPr>
            <w:r>
              <w:rPr>
                <w:rFonts w:ascii="Arial" w:cs="Arial" w:eastAsia="Arial" w:hAnsi="Arial"/>
                <w:sz w:val="20"/>
                <w:szCs w:val="20"/>
                <w:color w:val="auto"/>
              </w:rPr>
              <w:t>Net Income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6520" w:type="dxa"/>
            <w:vAlign w:val="bottom"/>
            <w:gridSpan w:val="6"/>
          </w:tcPr>
          <w:p>
            <w:pPr>
              <w:ind w:left="1600"/>
              <w:spacing w:after="0"/>
              <w:rPr>
                <w:sz w:val="20"/>
                <w:szCs w:val="20"/>
                <w:color w:val="auto"/>
              </w:rPr>
            </w:pPr>
            <w:r>
              <w:rPr>
                <w:rFonts w:ascii="Arial" w:cs="Arial" w:eastAsia="Arial" w:hAnsi="Arial"/>
                <w:sz w:val="20"/>
                <w:szCs w:val="20"/>
                <w:color w:val="auto"/>
              </w:rPr>
              <w:t>Cash from Operating Activities</w:t>
            </w:r>
          </w:p>
        </w:tc>
        <w:tc>
          <w:tcPr>
            <w:tcW w:w="2460" w:type="dxa"/>
            <w:vAlign w:val="bottom"/>
            <w:gridSpan w:val="2"/>
          </w:tcPr>
          <w:p>
            <w:pPr>
              <w:jc w:val="center"/>
              <w:ind w:left="1965"/>
              <w:spacing w:after="0"/>
              <w:rPr>
                <w:sz w:val="20"/>
                <w:szCs w:val="20"/>
                <w:color w:val="auto"/>
              </w:rPr>
            </w:pPr>
            <w:r>
              <w:rPr>
                <w:rFonts w:ascii="Arial" w:cs="Arial" w:eastAsia="Arial" w:hAnsi="Arial"/>
                <w:sz w:val="20"/>
                <w:szCs w:val="20"/>
                <w:b w:val="1"/>
                <w:bCs w:val="1"/>
                <w:color w:val="auto"/>
                <w:w w:val="99"/>
              </w:rPr>
              <w:t>20%</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6560" w:type="dxa"/>
            <w:vAlign w:val="bottom"/>
            <w:gridSpan w:val="7"/>
          </w:tcPr>
          <w:p>
            <w:pPr>
              <w:spacing w:after="0"/>
              <w:rPr>
                <w:sz w:val="20"/>
                <w:szCs w:val="20"/>
                <w:color w:val="auto"/>
              </w:rPr>
            </w:pPr>
            <w:r>
              <w:rPr>
                <w:rFonts w:ascii="Arial" w:cs="Arial" w:eastAsia="Arial" w:hAnsi="Arial"/>
                <w:sz w:val="20"/>
                <w:szCs w:val="20"/>
                <w:b w:val="1"/>
                <w:bCs w:val="1"/>
                <w:color w:val="auto"/>
              </w:rPr>
              <w:t>Strategic &amp; Operational &amp; Values Goals</w:t>
            </w:r>
          </w:p>
        </w:tc>
        <w:tc>
          <w:tcPr>
            <w:tcW w:w="2460" w:type="dxa"/>
            <w:vAlign w:val="bottom"/>
            <w:gridSpan w:val="2"/>
          </w:tcPr>
          <w:p>
            <w:pPr>
              <w:jc w:val="center"/>
              <w:ind w:left="1965"/>
              <w:spacing w:after="0"/>
              <w:rPr>
                <w:sz w:val="20"/>
                <w:szCs w:val="20"/>
                <w:color w:val="auto"/>
              </w:rPr>
            </w:pPr>
            <w:r>
              <w:rPr>
                <w:rFonts w:ascii="Arial" w:cs="Arial" w:eastAsia="Arial" w:hAnsi="Arial"/>
                <w:sz w:val="20"/>
                <w:szCs w:val="20"/>
                <w:b w:val="1"/>
                <w:bCs w:val="1"/>
                <w:color w:val="auto"/>
                <w:w w:val="99"/>
              </w:rPr>
              <w:t>30%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760" w:type="dxa"/>
            <w:vAlign w:val="bottom"/>
            <w:gridSpan w:val="3"/>
          </w:tcPr>
          <w:p>
            <w:pPr>
              <w:jc w:val="center"/>
              <w:ind w:left="1645"/>
              <w:spacing w:after="0"/>
              <w:rPr>
                <w:sz w:val="20"/>
                <w:szCs w:val="20"/>
                <w:color w:val="auto"/>
              </w:rPr>
            </w:pPr>
            <w:r>
              <w:rPr>
                <w:rFonts w:ascii="Arial" w:cs="Arial" w:eastAsia="Arial" w:hAnsi="Arial"/>
                <w:sz w:val="20"/>
                <w:szCs w:val="20"/>
                <w:b w:val="1"/>
                <w:bCs w:val="1"/>
                <w:color w:val="auto"/>
                <w:w w:val="97"/>
              </w:rPr>
              <w:t>100%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Annual Incentive Plan Compensation is subject to recoupment as defined in the Compensation Recovery policy.</w:t>
      </w:r>
    </w:p>
    <w:p>
      <w:pPr>
        <w:sectPr>
          <w:pgSz w:w="11900" w:h="16838" w:orient="portrait"/>
          <w:cols w:equalWidth="0" w:num="1">
            <w:col w:w="10280"/>
          </w:cols>
          <w:pgMar w:left="320" w:top="121" w:right="129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ALLETE AND AFFILIATED COMPANIES</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200" w:lineRule="exact"/>
        <w:rPr>
          <w:sz w:val="20"/>
          <w:szCs w:val="20"/>
          <w:color w:val="auto"/>
        </w:rPr>
      </w:pPr>
    </w:p>
    <w:p>
      <w:pPr>
        <w:spacing w:after="0" w:line="228"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Amended and Restated Effective January 1, 2021</w:t>
      </w:r>
    </w:p>
    <w:p>
      <w:pPr>
        <w:sectPr>
          <w:pgSz w:w="11900" w:h="16838" w:orient="portrait"/>
          <w:cols w:equalWidth="0" w:num="1">
            <w:col w:w="10120"/>
          </w:cols>
          <w:pgMar w:left="1440" w:top="121" w:right="3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60" w:type="dxa"/>
            <w:vAlign w:val="bottom"/>
            <w:gridSpan w:val="5"/>
          </w:tcPr>
          <w:p>
            <w:pPr>
              <w:ind w:left="3400"/>
              <w:spacing w:after="0"/>
              <w:rPr>
                <w:sz w:val="20"/>
                <w:szCs w:val="20"/>
                <w:color w:val="auto"/>
              </w:rPr>
            </w:pPr>
            <w:r>
              <w:rPr>
                <w:rFonts w:ascii="Arial" w:cs="Arial" w:eastAsia="Arial" w:hAnsi="Arial"/>
                <w:sz w:val="18"/>
                <w:szCs w:val="18"/>
                <w:b w:val="1"/>
                <w:bCs w:val="1"/>
                <w:color w:val="auto"/>
                <w:w w:val="91"/>
              </w:rPr>
              <w:t>Exhibit 10(f)5</w:t>
            </w:r>
          </w:p>
        </w:tc>
        <w:tc>
          <w:tcPr>
            <w:tcW w:w="0" w:type="dxa"/>
            <w:vAlign w:val="bottom"/>
          </w:tcPr>
          <w:p>
            <w:pPr>
              <w:spacing w:after="0"/>
              <w:rPr>
                <w:sz w:val="1"/>
                <w:szCs w:val="1"/>
                <w:color w:val="auto"/>
              </w:rPr>
            </w:pPr>
          </w:p>
        </w:tc>
      </w:tr>
      <w:tr>
        <w:trPr>
          <w:trHeight w:val="878"/>
        </w:trPr>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80" w:type="dxa"/>
            <w:vAlign w:val="bottom"/>
            <w:gridSpan w:val="3"/>
          </w:tcPr>
          <w:p>
            <w:pPr>
              <w:ind w:left="1360"/>
              <w:spacing w:after="0"/>
              <w:rPr>
                <w:sz w:val="20"/>
                <w:szCs w:val="20"/>
                <w:color w:val="auto"/>
              </w:rPr>
            </w:pPr>
            <w:r>
              <w:rPr>
                <w:rFonts w:ascii="Arial" w:cs="Arial" w:eastAsia="Arial" w:hAnsi="Arial"/>
                <w:sz w:val="22"/>
                <w:szCs w:val="22"/>
                <w:b w:val="1"/>
                <w:bCs w:val="1"/>
                <w:color w:val="auto"/>
                <w:w w:val="96"/>
              </w:rPr>
              <w:t>TABLE OF CONTENTS</w:t>
            </w:r>
          </w:p>
        </w:tc>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b w:val="1"/>
                <w:bCs w:val="1"/>
                <w:color w:val="auto"/>
                <w:w w:val="79"/>
              </w:rPr>
              <w:t>Page</w:t>
            </w:r>
          </w:p>
        </w:tc>
        <w:tc>
          <w:tcPr>
            <w:tcW w:w="1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840" w:type="dxa"/>
            <w:vAlign w:val="bottom"/>
            <w:gridSpan w:val="3"/>
            <w:vMerge w:val="restart"/>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2</w:t>
              </w:r>
            </w:hyperlink>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1 Establishment and Purpose</w:t>
            </w:r>
          </w:p>
        </w:tc>
        <w:tc>
          <w:tcPr>
            <w:tcW w:w="3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 w:type="dxa"/>
            <w:vAlign w:val="bottom"/>
          </w:tcPr>
          <w:p>
            <w:pPr>
              <w:spacing w:after="0" w:line="250" w:lineRule="exact"/>
              <w:rPr>
                <w:sz w:val="20"/>
                <w:szCs w:val="20"/>
                <w:color w:val="auto"/>
              </w:rPr>
            </w:pPr>
            <w:r>
              <w:rPr>
                <w:rFonts w:ascii="Arial" w:cs="Arial" w:eastAsia="Arial" w:hAnsi="Arial"/>
                <w:sz w:val="22"/>
                <w:szCs w:val="22"/>
                <w:color w:val="auto"/>
                <w:w w:val="97"/>
              </w:rPr>
              <w:t>1.1</w:t>
            </w:r>
          </w:p>
        </w:tc>
        <w:tc>
          <w:tcPr>
            <w:tcW w:w="6380" w:type="dxa"/>
            <w:vAlign w:val="bottom"/>
            <w:gridSpan w:val="6"/>
          </w:tcPr>
          <w:p>
            <w:pPr>
              <w:ind w:left="160"/>
              <w:spacing w:after="0" w:line="250" w:lineRule="exact"/>
              <w:rPr>
                <w:sz w:val="20"/>
                <w:szCs w:val="20"/>
                <w:color w:val="auto"/>
              </w:rPr>
            </w:pPr>
            <w:r>
              <w:rPr>
                <w:rFonts w:ascii="Arial" w:cs="Arial" w:eastAsia="Arial" w:hAnsi="Arial"/>
                <w:sz w:val="22"/>
                <w:szCs w:val="22"/>
                <w:color w:val="auto"/>
              </w:rPr>
              <w:t>Establishment.</w:t>
            </w:r>
          </w:p>
        </w:tc>
        <w:tc>
          <w:tcPr>
            <w:tcW w:w="374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40" w:type="dxa"/>
            <w:vAlign w:val="bottom"/>
            <w:gridSpan w:val="3"/>
            <w:vMerge w:val="restart"/>
          </w:tcPr>
          <w:p>
            <w:pPr>
              <w:ind w:left="3740"/>
              <w:spacing w:after="0"/>
              <w:rPr>
                <w:sz w:val="20"/>
                <w:szCs w:val="20"/>
                <w:color w:val="auto"/>
              </w:rPr>
            </w:pPr>
            <w:r>
              <w:rPr>
                <w:rFonts w:ascii="Arial" w:cs="Arial" w:eastAsia="Arial" w:hAnsi="Arial"/>
                <w:sz w:val="19"/>
                <w:szCs w:val="19"/>
                <w:color w:val="auto"/>
                <w:w w:val="75"/>
              </w:rPr>
              <w:t>3</w:t>
            </w: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Compensation Recovery Policy.</w:t>
            </w:r>
          </w:p>
        </w:tc>
        <w:tc>
          <w:tcPr>
            <w:tcW w:w="384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2 Section 409A Plans and Organization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3</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Section 409A Plans.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3</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Organization.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3</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Section 409A Compliance.</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3 Administration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Administrator.</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Duties.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3.3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Agents.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3.4</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Binding Effect of Decisions.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3.5</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Employer Information.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4 Participation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Eligibility and Commencement of Participation.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4</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Special Rule for Initial Participation.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5</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Termination of Participation.</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5</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5 Annual Make-Up Award</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5</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5.1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Eligibility.</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5</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5.2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Amount of Annual Make-Up Award.</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5</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5.3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Payment.</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6</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5.4</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Forfeiture of Annual Make-up Award.</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6</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6 SERP II Account Balance Plan for Employees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7</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Elective Deferrals.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7</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Non-Elective Deferrals.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8</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FICA and Other Taxes.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9</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6.4</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Distributions.</w:t>
            </w:r>
          </w:p>
        </w:tc>
        <w:tc>
          <w:tcPr>
            <w:tcW w:w="3840" w:type="dxa"/>
            <w:vAlign w:val="bottom"/>
            <w:gridSpan w:val="3"/>
          </w:tcPr>
          <w:p>
            <w:pPr>
              <w:ind w:left="3740"/>
              <w:spacing w:after="0"/>
              <w:rPr>
                <w:rFonts w:ascii="Arial" w:cs="Arial" w:eastAsia="Arial" w:hAnsi="Arial"/>
                <w:sz w:val="19"/>
                <w:szCs w:val="19"/>
                <w:color w:val="auto"/>
                <w:w w:val="75"/>
              </w:rPr>
            </w:pPr>
            <w:hyperlink w:anchor="page232">
              <w:r>
                <w:rPr>
                  <w:rFonts w:ascii="Arial" w:cs="Arial" w:eastAsia="Arial" w:hAnsi="Arial"/>
                  <w:sz w:val="19"/>
                  <w:szCs w:val="19"/>
                  <w:color w:val="auto"/>
                  <w:w w:val="75"/>
                </w:rPr>
                <w:t>9</w:t>
              </w:r>
            </w:hyperlink>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6.5</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Additional Distribution Rules.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10</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6.6</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Subsequent Changes in Time and Form of Distributions.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gridSpan w:val="7"/>
          </w:tcPr>
          <w:p>
            <w:pPr>
              <w:spacing w:after="0"/>
              <w:rPr>
                <w:sz w:val="20"/>
                <w:szCs w:val="20"/>
                <w:color w:val="auto"/>
              </w:rPr>
            </w:pPr>
            <w:r>
              <w:rPr>
                <w:rFonts w:ascii="Arial" w:cs="Arial" w:eastAsia="Arial" w:hAnsi="Arial"/>
                <w:sz w:val="18"/>
                <w:szCs w:val="18"/>
                <w:color w:val="auto"/>
              </w:rPr>
              <w:t>ARTICLE 7 Accounts and Investments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7.1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Establishment of Accounts.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7.2</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Timing of Credits to Accounts.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7.3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Vesting.</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7.4</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Investments.</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12</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rPr>
              <w:t>7.5</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Valuation Date.</w:t>
            </w:r>
          </w:p>
        </w:tc>
        <w:tc>
          <w:tcPr>
            <w:tcW w:w="3960" w:type="dxa"/>
            <w:vAlign w:val="bottom"/>
            <w:gridSpan w:val="4"/>
          </w:tcPr>
          <w:p>
            <w:pPr>
              <w:ind w:left="3740"/>
              <w:spacing w:after="0" w:line="250"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700" w:type="dxa"/>
            <w:vAlign w:val="bottom"/>
            <w:gridSpan w:val="7"/>
          </w:tcPr>
          <w:p>
            <w:pPr>
              <w:spacing w:after="0"/>
              <w:rPr>
                <w:sz w:val="20"/>
                <w:szCs w:val="20"/>
                <w:color w:val="auto"/>
              </w:rPr>
            </w:pPr>
            <w:r>
              <w:rPr>
                <w:rFonts w:ascii="Arial" w:cs="Arial" w:eastAsia="Arial" w:hAnsi="Arial"/>
                <w:sz w:val="18"/>
                <w:szCs w:val="18"/>
                <w:color w:val="auto"/>
              </w:rPr>
              <w:t>ARTICLE 8 SERP II Retirement Benefit</w:t>
            </w:r>
          </w:p>
        </w:tc>
        <w:tc>
          <w:tcPr>
            <w:tcW w:w="3960" w:type="dxa"/>
            <w:vAlign w:val="bottom"/>
            <w:gridSpan w:val="4"/>
          </w:tcPr>
          <w:p>
            <w:pPr>
              <w:ind w:left="3740"/>
              <w:spacing w:after="0"/>
              <w:rPr>
                <w:sz w:val="20"/>
                <w:szCs w:val="20"/>
                <w:color w:val="auto"/>
              </w:rPr>
            </w:pPr>
            <w:r>
              <w:rPr>
                <w:rFonts w:ascii="Arial" w:cs="Arial" w:eastAsia="Arial" w:hAnsi="Arial"/>
                <w:sz w:val="18"/>
                <w:szCs w:val="18"/>
                <w:color w:val="auto"/>
                <w:w w:val="99"/>
              </w:rPr>
              <w:t>13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r>
              <w:rPr>
                <w:rFonts w:ascii="Arial" w:cs="Arial" w:eastAsia="Arial" w:hAnsi="Arial"/>
                <w:sz w:val="18"/>
                <w:szCs w:val="18"/>
                <w:color w:val="auto"/>
              </w:rPr>
              <w:t>8.1</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Eligibility.</w:t>
            </w:r>
          </w:p>
        </w:tc>
        <w:tc>
          <w:tcPr>
            <w:tcW w:w="3960" w:type="dxa"/>
            <w:vAlign w:val="bottom"/>
            <w:gridSpan w:val="4"/>
          </w:tcPr>
          <w:p>
            <w:pPr>
              <w:ind w:left="3740"/>
              <w:spacing w:after="0" w:line="243" w:lineRule="exact"/>
              <w:rPr>
                <w:rFonts w:ascii="Arial" w:cs="Arial" w:eastAsia="Arial" w:hAnsi="Arial"/>
                <w:sz w:val="22"/>
                <w:szCs w:val="22"/>
                <w:color w:val="auto"/>
                <w:w w:val="81"/>
              </w:rPr>
            </w:pPr>
            <w:hyperlink w:anchor="page232">
              <w:r>
                <w:rPr>
                  <w:rFonts w:ascii="Arial" w:cs="Arial" w:eastAsia="Arial" w:hAnsi="Arial"/>
                  <w:sz w:val="22"/>
                  <w:szCs w:val="22"/>
                  <w:color w:val="auto"/>
                  <w:w w:val="81"/>
                </w:rPr>
                <w:t>13</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color w:val="auto"/>
              </w:rPr>
              <w:t>8.2</w:t>
            </w:r>
          </w:p>
        </w:tc>
        <w:tc>
          <w:tcPr>
            <w:tcW w:w="6380" w:type="dxa"/>
            <w:vAlign w:val="bottom"/>
            <w:gridSpan w:val="6"/>
            <w:vMerge w:val="restart"/>
          </w:tcPr>
          <w:p>
            <w:pPr>
              <w:ind w:left="80"/>
              <w:spacing w:after="0"/>
              <w:rPr>
                <w:sz w:val="20"/>
                <w:szCs w:val="20"/>
                <w:color w:val="auto"/>
              </w:rPr>
            </w:pPr>
            <w:r>
              <w:rPr>
                <w:rFonts w:ascii="Arial" w:cs="Arial" w:eastAsia="Arial" w:hAnsi="Arial"/>
                <w:sz w:val="18"/>
                <w:szCs w:val="18"/>
                <w:color w:val="auto"/>
              </w:rPr>
              <w:t>Vesting and Forfeiture.</w:t>
            </w:r>
          </w:p>
        </w:tc>
        <w:tc>
          <w:tcPr>
            <w:tcW w:w="374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20" w:type="dxa"/>
            <w:vAlign w:val="bottom"/>
            <w:vMerge w:val="continue"/>
          </w:tcPr>
          <w:p>
            <w:pPr>
              <w:spacing w:after="0"/>
              <w:rPr>
                <w:sz w:val="24"/>
                <w:szCs w:val="24"/>
                <w:color w:val="auto"/>
              </w:rPr>
            </w:pPr>
          </w:p>
        </w:tc>
        <w:tc>
          <w:tcPr>
            <w:tcW w:w="6380" w:type="dxa"/>
            <w:vAlign w:val="bottom"/>
            <w:gridSpan w:val="6"/>
            <w:vMerge w:val="continue"/>
          </w:tcPr>
          <w:p>
            <w:pPr>
              <w:spacing w:after="0"/>
              <w:rPr>
                <w:sz w:val="24"/>
                <w:szCs w:val="24"/>
                <w:color w:val="auto"/>
              </w:rPr>
            </w:pPr>
          </w:p>
        </w:tc>
        <w:tc>
          <w:tcPr>
            <w:tcW w:w="3960" w:type="dxa"/>
            <w:vAlign w:val="bottom"/>
            <w:gridSpan w:val="4"/>
          </w:tcPr>
          <w:p>
            <w:pPr>
              <w:ind w:left="3740"/>
              <w:spacing w:after="0"/>
              <w:rPr>
                <w:sz w:val="20"/>
                <w:szCs w:val="20"/>
                <w:color w:val="auto"/>
              </w:rPr>
            </w:pPr>
            <w:r>
              <w:rPr>
                <w:rFonts w:ascii="Arial" w:cs="Arial" w:eastAsia="Arial" w:hAnsi="Arial"/>
                <w:sz w:val="22"/>
                <w:szCs w:val="22"/>
                <w:color w:val="auto"/>
                <w:w w:val="81"/>
              </w:rPr>
              <w:t>13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20" w:type="dxa"/>
            <w:vAlign w:val="bottom"/>
          </w:tcPr>
          <w:p>
            <w:pPr>
              <w:spacing w:after="0"/>
              <w:rPr>
                <w:sz w:val="20"/>
                <w:szCs w:val="20"/>
                <w:color w:val="auto"/>
              </w:rPr>
            </w:pPr>
            <w:r>
              <w:rPr>
                <w:rFonts w:ascii="Arial" w:cs="Arial" w:eastAsia="Arial" w:hAnsi="Arial"/>
                <w:sz w:val="18"/>
                <w:szCs w:val="18"/>
                <w:color w:val="auto"/>
              </w:rPr>
              <w:t>8.3</w:t>
            </w:r>
          </w:p>
        </w:tc>
        <w:tc>
          <w:tcPr>
            <w:tcW w:w="6380" w:type="dxa"/>
            <w:vAlign w:val="bottom"/>
            <w:gridSpan w:val="6"/>
          </w:tcPr>
          <w:p>
            <w:pPr>
              <w:ind w:left="80"/>
              <w:spacing w:after="0"/>
              <w:rPr>
                <w:sz w:val="20"/>
                <w:szCs w:val="20"/>
                <w:color w:val="auto"/>
              </w:rPr>
            </w:pPr>
            <w:r>
              <w:rPr>
                <w:rFonts w:ascii="Arial" w:cs="Arial" w:eastAsia="Arial" w:hAnsi="Arial"/>
                <w:sz w:val="18"/>
                <w:szCs w:val="18"/>
                <w:color w:val="auto"/>
              </w:rPr>
              <w:t>Retirement Benefit.</w:t>
            </w:r>
          </w:p>
        </w:tc>
        <w:tc>
          <w:tcPr>
            <w:tcW w:w="3960" w:type="dxa"/>
            <w:vAlign w:val="bottom"/>
            <w:gridSpan w:val="4"/>
          </w:tcPr>
          <w:p>
            <w:pPr>
              <w:ind w:left="3740"/>
              <w:spacing w:after="0"/>
              <w:rPr>
                <w:sz w:val="20"/>
                <w:szCs w:val="20"/>
                <w:color w:val="auto"/>
              </w:rPr>
            </w:pPr>
            <w:r>
              <w:rPr>
                <w:rFonts w:ascii="Arial" w:cs="Arial" w:eastAsia="Arial" w:hAnsi="Arial"/>
                <w:sz w:val="22"/>
                <w:szCs w:val="22"/>
                <w:color w:val="auto"/>
                <w:w w:val="81"/>
              </w:rPr>
              <w:t>13</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00" w:type="dxa"/>
            <w:vAlign w:val="bottom"/>
            <w:gridSpan w:val="7"/>
          </w:tcPr>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4</w:t>
            </w:r>
            <w:r>
              <w:rPr>
                <w:rFonts w:ascii="Arial" w:cs="Arial" w:eastAsia="Arial" w:hAnsi="Arial"/>
                <w:sz w:val="22"/>
                <w:szCs w:val="22"/>
                <w:color w:val="auto"/>
              </w:rPr>
              <w:t xml:space="preserve">  Forfeiture of Vested Retirement Benefit for Misconduct.</w:t>
            </w:r>
          </w:p>
        </w:tc>
        <w:tc>
          <w:tcPr>
            <w:tcW w:w="3960" w:type="dxa"/>
            <w:vAlign w:val="bottom"/>
            <w:gridSpan w:val="4"/>
          </w:tcPr>
          <w:p>
            <w:pPr>
              <w:ind w:left="3740"/>
              <w:spacing w:after="0"/>
              <w:rPr>
                <w:sz w:val="20"/>
                <w:szCs w:val="20"/>
                <w:color w:val="auto"/>
              </w:rPr>
            </w:pPr>
            <w:r>
              <w:rPr>
                <w:rFonts w:ascii="Arial" w:cs="Arial" w:eastAsia="Arial" w:hAnsi="Arial"/>
                <w:sz w:val="22"/>
                <w:szCs w:val="22"/>
                <w:color w:val="auto"/>
                <w:w w:val="81"/>
              </w:rPr>
              <w:t>13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60"/>
          </w:cols>
          <w:pgMar w:left="400" w:top="121" w:right="3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u w:val="single" w:color="auto"/>
          <w:color w:val="auto"/>
        </w:rPr>
        <w:t>8.5</w:t>
      </w:r>
      <w:r>
        <w:rPr>
          <w:sz w:val="20"/>
          <w:szCs w:val="20"/>
          <w:color w:val="auto"/>
        </w:rPr>
        <w:tab/>
      </w:r>
      <w:r>
        <w:rPr>
          <w:rFonts w:ascii="Arial" w:cs="Arial" w:eastAsia="Arial" w:hAnsi="Arial"/>
          <w:sz w:val="19"/>
          <w:szCs w:val="19"/>
          <w:u w:val="single" w:color="auto"/>
          <w:color w:val="auto"/>
        </w:rPr>
        <w:t>Time and Form of Distributions</w:t>
      </w:r>
    </w:p>
    <w:p>
      <w:pPr>
        <w:spacing w:after="0" w:line="58" w:lineRule="exact"/>
        <w:rPr>
          <w:sz w:val="20"/>
          <w:szCs w:val="20"/>
          <w:color w:val="auto"/>
        </w:rPr>
      </w:pPr>
    </w:p>
    <w:p>
      <w:pPr>
        <w:spacing w:after="0"/>
        <w:tabs>
          <w:tab w:leader="none" w:pos="440" w:val="left"/>
        </w:tabs>
        <w:rPr>
          <w:sz w:val="20"/>
          <w:szCs w:val="20"/>
          <w:color w:val="auto"/>
        </w:rPr>
      </w:pPr>
      <w:r>
        <w:rPr>
          <w:rFonts w:ascii="Arial" w:cs="Arial" w:eastAsia="Arial" w:hAnsi="Arial"/>
          <w:sz w:val="22"/>
          <w:szCs w:val="22"/>
          <w:u w:val="single" w:color="auto"/>
          <w:color w:val="auto"/>
        </w:rPr>
        <w:t>8.6</w:t>
      </w:r>
      <w:r>
        <w:rPr>
          <w:sz w:val="20"/>
          <w:szCs w:val="20"/>
          <w:color w:val="auto"/>
        </w:rPr>
        <w:tab/>
      </w:r>
      <w:r>
        <w:rPr>
          <w:rFonts w:ascii="Arial" w:cs="Arial" w:eastAsia="Arial" w:hAnsi="Arial"/>
          <w:sz w:val="19"/>
          <w:szCs w:val="19"/>
          <w:u w:val="single" w:color="auto"/>
          <w:color w:val="auto"/>
        </w:rPr>
        <w:t>Additional Distribution Rules.</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u w:val="single" w:color="auto"/>
          <w:color w:val="auto"/>
        </w:rPr>
        <w:t>8.7</w:t>
      </w:r>
      <w:r>
        <w:rPr>
          <w:sz w:val="20"/>
          <w:szCs w:val="20"/>
          <w:color w:val="auto"/>
        </w:rPr>
        <w:tab/>
      </w:r>
      <w:r>
        <w:rPr>
          <w:rFonts w:ascii="Arial" w:cs="Arial" w:eastAsia="Arial" w:hAnsi="Arial"/>
          <w:sz w:val="19"/>
          <w:szCs w:val="19"/>
          <w:u w:val="single" w:color="auto"/>
          <w:color w:val="auto"/>
        </w:rPr>
        <w:t>Subsequent Changes in Time and Form of Payment.</w:t>
      </w:r>
    </w:p>
    <w:p>
      <w:pPr>
        <w:spacing w:after="0" w:line="58"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u w:val="single" w:color="auto"/>
          <w:color w:val="auto"/>
        </w:rPr>
        <w:t>8.8</w:t>
      </w:r>
      <w:r>
        <w:rPr>
          <w:sz w:val="20"/>
          <w:szCs w:val="20"/>
          <w:color w:val="auto"/>
        </w:rPr>
        <w:tab/>
      </w:r>
      <w:r>
        <w:rPr>
          <w:rFonts w:ascii="Arial" w:cs="Arial" w:eastAsia="Arial" w:hAnsi="Arial"/>
          <w:sz w:val="19"/>
          <w:szCs w:val="19"/>
          <w:u w:val="single" w:color="auto"/>
          <w:color w:val="auto"/>
        </w:rPr>
        <w:t>FICA and Other Taxes.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ARTICLE 9 Payment Acceleration and Delay</w:t>
      </w:r>
    </w:p>
    <w:p>
      <w:pPr>
        <w:spacing w:after="0" w:line="1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Permitted Accelerations of Payment.</w:t>
      </w:r>
    </w:p>
    <w:p>
      <w:pPr>
        <w:spacing w:after="0" w:line="1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Permissible Payment Delays.</w:t>
      </w:r>
    </w:p>
    <w:p>
      <w:pPr>
        <w:spacing w:after="0" w:line="10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Suspension Not Allowed.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ARTICLE 10 Beneficiary Designation</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Beneficiary.</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No Beneficiary Designation.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ARTICLE 11 Claims Procedures</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Presentation of Claim.</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Notification of Decision.</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Review of a Denied Claim.</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Decision on Review.</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Other Remedies.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ARTICLE 12 Amendment or Termination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ARTICLE 13 Miscellaneous Provisions</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Unsecured General Creditor.</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7"/>
          <w:szCs w:val="17"/>
          <w:color w:val="auto"/>
        </w:rPr>
        <w:t>Employer’s Liability.</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Nonassignability.</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No Right to Employment.</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5"/>
          <w:szCs w:val="15"/>
          <w:color w:val="auto"/>
        </w:rPr>
        <w:t>Incompetency.</w:t>
      </w:r>
    </w:p>
    <w:p>
      <w:pPr>
        <w:spacing w:after="0" w:line="10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Tax Withholding.</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Furnishing Information.</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Notice.</w:t>
      </w:r>
    </w:p>
    <w:p>
      <w:pPr>
        <w:spacing w:after="0" w:line="10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5"/>
          <w:szCs w:val="15"/>
          <w:color w:val="auto"/>
        </w:rPr>
        <w:t>Gender and Number.</w:t>
      </w:r>
    </w:p>
    <w:p>
      <w:pPr>
        <w:spacing w:after="0" w:line="1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5"/>
          <w:szCs w:val="15"/>
          <w:color w:val="auto"/>
        </w:rPr>
        <w:t>Headings.</w:t>
      </w:r>
    </w:p>
    <w:p>
      <w:pPr>
        <w:spacing w:after="0" w:line="10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Applicable Law and Construction.</w:t>
      </w:r>
    </w:p>
    <w:p>
      <w:pPr>
        <w:spacing w:after="0" w:line="1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6"/>
          <w:szCs w:val="16"/>
          <w:color w:val="auto"/>
        </w:rPr>
        <w:t>Invalid or Unenforceable Provisions.</w:t>
      </w:r>
    </w:p>
    <w:p>
      <w:pPr>
        <w:spacing w:after="0" w:line="10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5"/>
          <w:szCs w:val="15"/>
          <w:color w:val="auto"/>
        </w:rPr>
        <w:t>Successors.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378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14</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14</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16</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16</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17</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17</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18</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18</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18</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19</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19</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19</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19</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20</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20</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21</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22</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23</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24</w:t>
      </w:r>
    </w:p>
    <w:p>
      <w:pPr>
        <w:sectPr>
          <w:pgSz w:w="11900" w:h="16838" w:orient="portrait"/>
          <w:cols w:equalWidth="0" w:num="2">
            <w:col w:w="9380" w:space="720"/>
            <w:col w:w="1060"/>
          </w:cols>
          <w:pgMar w:left="400" w:top="121" w:right="339" w:bottom="1440" w:gutter="0" w:footer="0" w:header="0"/>
        </w:sectPr>
      </w:pPr>
    </w:p>
    <w:bookmarkStart w:id="232" w:name="page233"/>
    <w:bookmarkEnd w:id="232"/>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AND AFFILIATED COMPANIES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EXECUTIVE RETIREMENT PLAN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January 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w:t>
      </w:r>
    </w:p>
    <w:p>
      <w:pPr>
        <w:ind w:left="4020"/>
        <w:spacing w:after="0"/>
        <w:rPr>
          <w:sz w:val="20"/>
          <w:szCs w:val="20"/>
          <w:color w:val="auto"/>
        </w:rPr>
      </w:pPr>
      <w:r>
        <w:rPr>
          <w:rFonts w:ascii="Arial" w:cs="Arial" w:eastAsia="Arial" w:hAnsi="Arial"/>
          <w:sz w:val="22"/>
          <w:szCs w:val="22"/>
          <w:b w:val="1"/>
          <w:bCs w:val="1"/>
          <w:color w:val="auto"/>
        </w:rPr>
        <w:t>Establishment, Purpose and Intent</w:t>
      </w:r>
    </w:p>
    <w:p>
      <w:pPr>
        <w:spacing w:after="0" w:line="155" w:lineRule="exact"/>
        <w:rPr>
          <w:sz w:val="20"/>
          <w:szCs w:val="20"/>
          <w:color w:val="auto"/>
        </w:rPr>
      </w:pPr>
    </w:p>
    <w:p>
      <w:pPr>
        <w:jc w:val="both"/>
        <w:ind w:left="660" w:hanging="647"/>
        <w:spacing w:after="0" w:line="217"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Establishment</w:t>
      </w:r>
      <w:r>
        <w:rPr>
          <w:rFonts w:ascii="Arial" w:cs="Arial" w:eastAsia="Arial" w:hAnsi="Arial"/>
          <w:sz w:val="22"/>
          <w:szCs w:val="22"/>
          <w:color w:val="auto"/>
        </w:rPr>
        <w:t>. This document includes the terms of the ALLETE and Affiliated Companies Supplemental Executive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Plan II. The purpose of SERP II is to provide eligible Employees an opportunity to elect to defer compensation. SERP II also provides eligible Employees a supplemental Retirement Benefit designed to compensate for annual compensation limits and maximum benefit limitations imposed by the Code on Retirement Plans maintained by the Company.</w:t>
      </w:r>
    </w:p>
    <w:p>
      <w:pPr>
        <w:spacing w:after="0" w:line="158" w:lineRule="exact"/>
        <w:rPr>
          <w:sz w:val="20"/>
          <w:szCs w:val="20"/>
          <w:color w:val="auto"/>
        </w:rPr>
      </w:pPr>
    </w:p>
    <w:p>
      <w:pPr>
        <w:jc w:val="both"/>
        <w:ind w:left="660"/>
        <w:spacing w:after="0" w:line="219" w:lineRule="auto"/>
        <w:rPr>
          <w:sz w:val="20"/>
          <w:szCs w:val="20"/>
          <w:color w:val="auto"/>
        </w:rPr>
      </w:pPr>
      <w:r>
        <w:rPr>
          <w:rFonts w:ascii="Arial" w:cs="Arial" w:eastAsia="Arial" w:hAnsi="Arial"/>
          <w:sz w:val="21"/>
          <w:szCs w:val="21"/>
          <w:color w:val="auto"/>
        </w:rPr>
        <w:t>SERP II is a successor to the ALLETE and Affiliated Companies Supplemental Executive Retirement Plan (“SERP I”). On December 31, 2004, the Company froze SERP I with respect to all deferrals and vested accrued Retirement Benefits (if any). On January 1, 2005, the Company established SERP II to govern (a) amounts initially deferred after December 31, 2004 and investment earnings thereon; (b) Retirement Benefit accruals after December 31, 2004; and (c) accrued but unvested SERP I Retirement Benefits as of December 31, 2004. From January 1, 2005 to the effective date hereof, the Company operated and administered the Plan in all material respects in good faith compliance with the applicable requirements of Section 409A, the final and proposed Treasury Regulations, IRS Notice 2005-1, and all other IRS guidance. The Company amended and restated SERP II in its entirety, effective January 1, 2009, to comply with Section 409A. The Company intends that SERP II constitute an unfunded deferred compensation plan for a select group of management or highly compensated employees within the meaning of ERISA sections 201(2), 301(a)(3) and 401(a)(1). All provisions of SERP II shall be interpreted and administered to the extent possible in a manner consistent with the stated intentions.</w:t>
      </w:r>
    </w:p>
    <w:p>
      <w:pPr>
        <w:spacing w:after="0" w:line="164" w:lineRule="exact"/>
        <w:rPr>
          <w:sz w:val="20"/>
          <w:szCs w:val="20"/>
          <w:color w:val="auto"/>
        </w:rPr>
      </w:pPr>
    </w:p>
    <w:p>
      <w:pPr>
        <w:jc w:val="both"/>
        <w:ind w:left="660"/>
        <w:spacing w:after="0" w:line="298" w:lineRule="auto"/>
        <w:rPr>
          <w:sz w:val="20"/>
          <w:szCs w:val="20"/>
          <w:color w:val="auto"/>
        </w:rPr>
      </w:pPr>
      <w:r>
        <w:rPr>
          <w:rFonts w:ascii="Arial" w:cs="Arial" w:eastAsia="Arial" w:hAnsi="Arial"/>
          <w:sz w:val="19"/>
          <w:szCs w:val="19"/>
          <w:color w:val="auto"/>
        </w:rPr>
        <w:t>Effective January 20, 2009, the Company amended SERP II to narrow the salary-grade eligibility requirements to receive an Annual Make-Up Award for employees who first became eligible to participate in SERP II after September 30, 2006.</w:t>
      </w:r>
    </w:p>
    <w:p>
      <w:pPr>
        <w:spacing w:after="0" w:line="132"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Effective January 1, 2011, the Company amended SERP II to incorporate any compensation recovery policy adopted by the Company and to provide that certain benefits may be subject to forfeiture for Misconduct.</w:t>
      </w:r>
    </w:p>
    <w:p>
      <w:pPr>
        <w:spacing w:after="0" w:line="186"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Effective January 1, 2015, the Company amended SERP II to reflect the reduction to the Flexible Dollar Makeup in connection with amendments to the ALLETE and Affiliated Companies Flexible Compensation Plan that eliminate the life insurance percentage (age-rated) flexible dollars benefit commencing with the Plan Year that begins on January 1, 2015.</w:t>
      </w:r>
    </w:p>
    <w:p>
      <w:pPr>
        <w:spacing w:after="0" w:line="188" w:lineRule="exact"/>
        <w:rPr>
          <w:sz w:val="20"/>
          <w:szCs w:val="20"/>
          <w:color w:val="auto"/>
        </w:rPr>
      </w:pPr>
    </w:p>
    <w:p>
      <w:pPr>
        <w:jc w:val="both"/>
        <w:ind w:left="660"/>
        <w:spacing w:after="0" w:line="268" w:lineRule="auto"/>
        <w:rPr>
          <w:sz w:val="20"/>
          <w:szCs w:val="20"/>
          <w:color w:val="auto"/>
        </w:rPr>
      </w:pPr>
      <w:r>
        <w:rPr>
          <w:rFonts w:ascii="Arial" w:cs="Arial" w:eastAsia="Arial" w:hAnsi="Arial"/>
          <w:sz w:val="19"/>
          <w:szCs w:val="19"/>
          <w:color w:val="auto"/>
        </w:rPr>
        <w:t>Effective January 1, 2019, the Company hereby amends SERP II to and to narrow the salary-grade eligibility requirements to defer compensation, to reflect the discontinuation of additional non-elective 162(m) Deferrals beginning with the Plan Year that commences on January 1, 2019, to freeze credited service as of December 31, 2018,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1"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all Participants eligible for a SERP II Retirement Benefit, and to modify the amount of the Annual Make-up Award.</w:t>
      </w:r>
    </w:p>
    <w:p>
      <w:pPr>
        <w:spacing w:after="0" w:line="218"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Effective January 1, 2021, the Company hereby amends SERP II to freeze final average earnings for Retirement Benefit purposes as of the earlier of a Participant’s Separation from Service or December 31, 2021, and to clarify the Salary used to determine Annual Make-up Awards.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Capitalized terms, unless otherwise defined herein, shall have the meaning provided in Appendix A.</w:t>
      </w:r>
    </w:p>
    <w:p>
      <w:pPr>
        <w:spacing w:after="0" w:line="200"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u w:val="single" w:color="auto"/>
          <w:color w:val="auto"/>
        </w:rPr>
        <w:t>Compensation Recovery Policy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All amounts payable to Participants in accordance with this Plan are subject to, and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Company hereby incorporates into this SERP II, the terms of any compensation recovery policy or policies established and amended by the Company from time to time (“Compensation Recovery Policy”).</w:t>
      </w:r>
    </w:p>
    <w:p>
      <w:pPr>
        <w:spacing w:after="0" w:line="200" w:lineRule="exact"/>
        <w:rPr>
          <w:sz w:val="20"/>
          <w:szCs w:val="20"/>
          <w:color w:val="auto"/>
        </w:rPr>
      </w:pPr>
    </w:p>
    <w:p>
      <w:pPr>
        <w:spacing w:after="0" w:line="39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2</w:t>
      </w:r>
    </w:p>
    <w:p>
      <w:pPr>
        <w:ind w:left="3900"/>
        <w:spacing w:after="0"/>
        <w:rPr>
          <w:sz w:val="20"/>
          <w:szCs w:val="20"/>
          <w:color w:val="auto"/>
        </w:rPr>
      </w:pPr>
      <w:r>
        <w:rPr>
          <w:rFonts w:ascii="Arial" w:cs="Arial" w:eastAsia="Arial" w:hAnsi="Arial"/>
          <w:sz w:val="22"/>
          <w:szCs w:val="22"/>
          <w:b w:val="1"/>
          <w:bCs w:val="1"/>
          <w:color w:val="auto"/>
        </w:rPr>
        <w:t>Section 409A Plans and Organization</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u w:val="single" w:color="auto"/>
          <w:color w:val="auto"/>
        </w:rPr>
        <w:t>Section 409A Plans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provisions of SERP II include terms and conditions applicable to the following 409A Plans: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An elective account balance plan for Employees for purposes of Elective Deferrals;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A non-elective account balance plan for Employees for purposes of Non-Elective Deferrals; and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A non-account balance plan for Employees.</w:t>
      </w:r>
    </w:p>
    <w:p>
      <w:pPr>
        <w:spacing w:after="0" w:line="173"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Organization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Except as otherwise provided in this section or in a specific section, all provisions of the Plan apply to 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amounts deferred under any Article of the Plan.</w:t>
      </w:r>
    </w:p>
    <w:p>
      <w:pPr>
        <w:spacing w:after="0" w:line="159"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1.1.1</w:t>
        <w:tab/>
        <w:t>The provisions of Article 5 apply only for purposes of identifying employees eligible to receive an Annual Make-Up Award and the amount of the award, if any.</w:t>
      </w:r>
    </w:p>
    <w:p>
      <w:pPr>
        <w:spacing w:after="0" w:line="159" w:lineRule="exact"/>
        <w:rPr>
          <w:sz w:val="20"/>
          <w:szCs w:val="20"/>
          <w:color w:val="auto"/>
        </w:rPr>
      </w:pPr>
    </w:p>
    <w:p>
      <w:pPr>
        <w:jc w:val="both"/>
        <w:ind w:left="1300" w:hanging="647"/>
        <w:spacing w:after="0" w:line="234"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color w:val="auto"/>
        </w:rPr>
        <w:t>The provisions of Articles 6 and 7 apply only to the extent that SERP II provides for Employees’ Elective Deferrals, or Non-Elective Deferrals or both, which, for purposes of Section 409A, represent the elective and non-elective account balance plans identified in subsections 2.1.1 and 2.1.2, respectively.</w:t>
      </w:r>
    </w:p>
    <w:p>
      <w:pPr>
        <w:spacing w:after="0" w:line="158" w:lineRule="exact"/>
        <w:rPr>
          <w:sz w:val="20"/>
          <w:szCs w:val="20"/>
          <w:color w:val="auto"/>
        </w:rPr>
      </w:pPr>
    </w:p>
    <w:p>
      <w:pPr>
        <w:jc w:val="both"/>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1.1.3</w:t>
        <w:tab/>
        <w:t>The provisions of Article 8 apply only to the extent that SERP II provides for Retirement Benefits, which represent the non-account balance plan identified in subsection 2.1.3.</w:t>
      </w:r>
    </w:p>
    <w:p>
      <w:pPr>
        <w:spacing w:after="0" w:line="153"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u w:val="single" w:color="auto"/>
          <w:color w:val="auto"/>
        </w:rPr>
        <w:t>Section 409A Compliance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To the extent that any provision of the Plan would cause a conflict with the requirements of</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Section 409A, or would cause the administration of the Plan to fail to satisfy Section 409A, such provision shall be deemed null and void to the extent permitted by applicable law. Nothing herein shall be construed as a guarantee of any particular tax treatment to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1"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3</w:t>
      </w:r>
    </w:p>
    <w:p>
      <w:pPr>
        <w:ind w:left="4920"/>
        <w:spacing w:after="0"/>
        <w:rPr>
          <w:sz w:val="20"/>
          <w:szCs w:val="20"/>
          <w:color w:val="auto"/>
        </w:rPr>
      </w:pPr>
      <w:r>
        <w:rPr>
          <w:rFonts w:ascii="Arial" w:cs="Arial" w:eastAsia="Arial" w:hAnsi="Arial"/>
          <w:sz w:val="22"/>
          <w:szCs w:val="22"/>
          <w:b w:val="1"/>
          <w:bCs w:val="1"/>
          <w:color w:val="auto"/>
        </w:rPr>
        <w:t>Administration</w:t>
      </w:r>
    </w:p>
    <w:p>
      <w:pPr>
        <w:spacing w:after="0" w:line="155"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Administrator</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shall administer the Plan or may delegate any of its duties to such other person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persons from time to time as it may designate. Members of the Employee Benefit Plans Committee may participate in SERP II; however, any individual serving on the Employee Benefit Plans Committee shall not vote or act on any matter relating solely to himself or herself.</w:t>
      </w:r>
    </w:p>
    <w:p>
      <w:pPr>
        <w:spacing w:after="0" w:line="152" w:lineRule="exact"/>
        <w:rPr>
          <w:sz w:val="20"/>
          <w:szCs w:val="20"/>
          <w:color w:val="auto"/>
        </w:rPr>
      </w:pPr>
    </w:p>
    <w:p>
      <w:pPr>
        <w:jc w:val="both"/>
        <w:ind w:left="660" w:hanging="647"/>
        <w:spacing w:after="0" w:line="217"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Duties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has the authority to construe and interpret all provisions of the Plan and, to the extent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permitted by Section 409A, the Administrator is authorized to remedy any errors, inconsistencies or omissions, to resolve any ambiguities, to adopt rules and practices concerning the administration of the Plan, and to make any determinations and calculations necessary or appropriate hereunder. The Company shall pay all expenses and liabilities incurred in connection with Plan administration.</w:t>
      </w:r>
    </w:p>
    <w:p>
      <w:pPr>
        <w:spacing w:after="0" w:line="152"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u w:val="single" w:color="auto"/>
          <w:color w:val="auto"/>
        </w:rPr>
        <w:t>Agents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engage the services of accountants, attorneys, actuaries, investment consultants, and such</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other professional personnel as are deemed necessary or advisable to assist in fulfilling the Administrator’s responsibilities. The Administrator, the Company and the Board may rely upon the advice, opinions or valuations of any such persons.</w:t>
      </w:r>
    </w:p>
    <w:p>
      <w:pPr>
        <w:spacing w:after="0" w:line="152" w:lineRule="exact"/>
        <w:rPr>
          <w:sz w:val="20"/>
          <w:szCs w:val="20"/>
          <w:color w:val="auto"/>
        </w:rPr>
      </w:pPr>
    </w:p>
    <w:p>
      <w:pPr>
        <w:jc w:val="both"/>
        <w:ind w:left="660" w:hanging="647"/>
        <w:spacing w:after="0" w:line="215"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b w:val="1"/>
          <w:bCs w:val="1"/>
          <w:u w:val="single" w:color="auto"/>
          <w:color w:val="auto"/>
        </w:rPr>
        <w:t>Binding Effect of Decisions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decision or action of the Administrator with respect to any question arising out of or in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connection with the administration, interpretation and application of the Plan and the rules and regulations promulgated hereunder shall be final, conclusive and binding upon all persons having any interest in the Plan. Neither the Administrator, its delegates, nor the Board shall be personally liable for any good faith action, determination or interpretation with respect to the Plan, and each shall be fully protected by the Company in respect of any such action, determination or interpretation.</w:t>
      </w:r>
    </w:p>
    <w:p>
      <w:pPr>
        <w:spacing w:after="0" w:line="152"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b w:val="1"/>
          <w:bCs w:val="1"/>
          <w:u w:val="single" w:color="auto"/>
          <w:color w:val="auto"/>
        </w:rPr>
        <w:t>Employer Information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To enable the Administrator to perform its duties, each Employer shall supply full and timely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information to the Administrator on all matters relating to the compensation of its Participants, the date and circumstances of the Participant’s death, Disability or Separation from Service, and other pertinent information as the Administrator may reasonably require.</w:t>
      </w:r>
    </w:p>
    <w:p>
      <w:pPr>
        <w:spacing w:after="0" w:line="382" w:lineRule="exact"/>
        <w:rPr>
          <w:sz w:val="20"/>
          <w:szCs w:val="20"/>
          <w:color w:val="auto"/>
        </w:rPr>
      </w:pPr>
    </w:p>
    <w:p>
      <w:pPr>
        <w:jc w:val="right"/>
        <w:ind w:right="5120"/>
        <w:spacing w:after="0"/>
        <w:rPr>
          <w:sz w:val="20"/>
          <w:szCs w:val="20"/>
          <w:color w:val="auto"/>
        </w:rPr>
      </w:pPr>
      <w:r>
        <w:rPr>
          <w:rFonts w:ascii="Arial" w:cs="Arial" w:eastAsia="Arial" w:hAnsi="Arial"/>
          <w:sz w:val="22"/>
          <w:szCs w:val="22"/>
          <w:b w:val="1"/>
          <w:bCs w:val="1"/>
          <w:color w:val="auto"/>
        </w:rPr>
        <w:t>ARTICLE 4</w:t>
      </w:r>
    </w:p>
    <w:p>
      <w:pPr>
        <w:jc w:val="right"/>
        <w:ind w:right="5060"/>
        <w:spacing w:after="0"/>
        <w:rPr>
          <w:sz w:val="20"/>
          <w:szCs w:val="20"/>
          <w:color w:val="auto"/>
        </w:rPr>
      </w:pPr>
      <w:r>
        <w:rPr>
          <w:rFonts w:ascii="Arial" w:cs="Arial" w:eastAsia="Arial" w:hAnsi="Arial"/>
          <w:sz w:val="22"/>
          <w:szCs w:val="22"/>
          <w:color w:val="auto"/>
        </w:rPr>
        <w:t>Participation</w:t>
      </w:r>
    </w:p>
    <w:p>
      <w:pPr>
        <w:spacing w:after="0" w:line="155"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u w:val="single" w:color="auto"/>
          <w:color w:val="auto"/>
        </w:rPr>
        <w:t>Eligibility and Commencement of Participation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Eligible Employees may participate in the Plan, except to the extent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provided in Section 8.1 regarding eligibility for Retirement Benefits. Each Plan Year, the Administrator shall notify Eligible Employees of their eligibility to participate in the Plan during the following Plan Year. An Eligible Employee shall become a Participant either upon the initial submission of an election form on which the Eligible Employee has elected Elective Deferrals or upon first receiving an allocation of Non-Elective Deferrals.</w:t>
      </w:r>
    </w:p>
    <w:p>
      <w:pPr>
        <w:spacing w:after="0" w:line="154"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u w:val="single" w:color="auto"/>
          <w:color w:val="auto"/>
        </w:rPr>
        <w:t>Special Rule for Initial Participation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Within 30 days after the date an individual first becomes an Eligible Employee,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individual may elect to commence participating with respect to compensation to be paid for services performed after the election is filed. This election relating to initial participation in the Plan is available only to Participants who do not participate in any Aggregated Plans. If an Employee whose participation in the Plan is terminated again becomes an Eligible Employee, he or she may elect to defer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1"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60"/>
        <w:spacing w:after="0" w:line="223" w:lineRule="auto"/>
        <w:rPr>
          <w:sz w:val="20"/>
          <w:szCs w:val="20"/>
          <w:color w:val="auto"/>
        </w:rPr>
      </w:pPr>
      <w:r>
        <w:rPr>
          <w:rFonts w:ascii="Arial" w:cs="Arial" w:eastAsia="Arial" w:hAnsi="Arial"/>
          <w:sz w:val="22"/>
          <w:szCs w:val="22"/>
          <w:color w:val="auto"/>
        </w:rPr>
        <w:t>to this Section only if the Employee was ineligible to defer compensation in this Plan and all other Related Company elective account balance plans, within the meaning of Section 409A, for the 24 months preceding the date on which the Participant again became eligible to participate in this Plan.</w:t>
      </w:r>
    </w:p>
    <w:p>
      <w:pPr>
        <w:spacing w:after="0" w:line="153"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u w:val="single" w:color="auto"/>
          <w:color w:val="auto"/>
        </w:rPr>
        <w:t>Termination of Participation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the Administrator determines in good faith that a Participant is no longer an Eligible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Employee, the Participant shall cease active participation in the Plan on the last day of the Plan Year during which the Participant ceased to be an Eligible Employee, and the terms of this Plan shall continue to govern Participant’s Account until the Participant’s Account is paid in full.</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5</w:t>
      </w:r>
    </w:p>
    <w:p>
      <w:pPr>
        <w:ind w:left="4560"/>
        <w:spacing w:after="0"/>
        <w:rPr>
          <w:sz w:val="20"/>
          <w:szCs w:val="20"/>
          <w:color w:val="auto"/>
        </w:rPr>
      </w:pPr>
      <w:r>
        <w:rPr>
          <w:rFonts w:ascii="Arial" w:cs="Arial" w:eastAsia="Arial" w:hAnsi="Arial"/>
          <w:sz w:val="22"/>
          <w:szCs w:val="22"/>
          <w:color w:val="auto"/>
        </w:rPr>
        <w:t>Annual Make-Up Award</w:t>
      </w:r>
    </w:p>
    <w:p>
      <w:pPr>
        <w:spacing w:after="0" w:line="155" w:lineRule="exact"/>
        <w:rPr>
          <w:sz w:val="20"/>
          <w:szCs w:val="20"/>
          <w:color w:val="auto"/>
        </w:rPr>
      </w:pPr>
    </w:p>
    <w:p>
      <w:pPr>
        <w:jc w:val="both"/>
        <w:ind w:left="660" w:hanging="647"/>
        <w:spacing w:after="0" w:line="225"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u w:val="single" w:color="auto"/>
          <w:color w:val="auto"/>
        </w:rPr>
        <w:t>Eligibility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An Employee who: (i) was a Participant as of September 30, 2006, (ii) has continuously remained 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Employee in ALLETE management salary grade SA-SM, and (iii) has continuously participated in the ALLETE Executive Annual Incentive Plan or been eligible to receive a Bonus shall be eligible to receive an Annual Make-up Award. Any other Employee shall be eligible to receive an Annual Make-up Award if the Employee: (i) initially becomes, or again becomes, a Participant after September 30, 2006, (ii) is in ALLETE management salary grade SG-SM, and (iii) participates in the ALLETE Executive Annual Incentive Plan or is eligible to receive a Bonus.</w:t>
      </w:r>
    </w:p>
    <w:p>
      <w:pPr>
        <w:spacing w:after="0" w:line="18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 xml:space="preserve">Amount of Annual Make-Up Award. </w:t>
      </w:r>
      <w:r>
        <w:rPr>
          <w:rFonts w:ascii="Arial" w:cs="Arial" w:eastAsia="Arial" w:hAnsi="Arial"/>
          <w:sz w:val="19"/>
          <w:szCs w:val="19"/>
          <w:color w:val="auto"/>
        </w:rPr>
        <w:t>Commencing with the Plan Year that begins on January 1, 2019, the Annual</w:t>
      </w:r>
      <w:r>
        <w:rPr>
          <w:rFonts w:ascii="Arial" w:cs="Arial" w:eastAsia="Arial" w:hAnsi="Arial"/>
          <w:sz w:val="19"/>
          <w:szCs w:val="19"/>
          <w:b w:val="1"/>
          <w:bCs w:val="1"/>
          <w:color w:val="auto"/>
        </w:rPr>
        <w:t xml:space="preserve"> </w:t>
      </w:r>
      <w:r>
        <w:rPr>
          <w:rFonts w:ascii="Arial" w:cs="Arial" w:eastAsia="Arial" w:hAnsi="Arial"/>
          <w:sz w:val="19"/>
          <w:szCs w:val="19"/>
          <w:color w:val="auto"/>
        </w:rPr>
        <w:t>Make-Up Award shall equal the product of 13% and an amount equal to the sum of: (a) the total of the Participant’s Annual Incentive Award and other awards (to the extent included in calculations for the Retirement Plans) for such year, and (b) the Participant’s Salary in excess of the Code section 401(a)(17) limitation in effect for the Plan Year.</w:t>
      </w:r>
    </w:p>
    <w:p>
      <w:pPr>
        <w:spacing w:after="0" w:line="200" w:lineRule="exact"/>
        <w:rPr>
          <w:sz w:val="20"/>
          <w:szCs w:val="20"/>
          <w:color w:val="auto"/>
        </w:rPr>
      </w:pPr>
    </w:p>
    <w:p>
      <w:pPr>
        <w:spacing w:after="0" w:line="36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b w:val="1"/>
          <w:bCs w:val="1"/>
          <w:u w:val="single" w:color="auto"/>
          <w:color w:val="auto"/>
        </w:rPr>
        <w:t>Payment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Except to the extent deferred in accordance with this Plan, the Annual Make-Up Award for any year shall be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paid between January 1 and March 15 of the year following the year to which the award relates.</w:t>
      </w:r>
    </w:p>
    <w:p>
      <w:pPr>
        <w:spacing w:after="0" w:line="200" w:lineRule="exact"/>
        <w:rPr>
          <w:sz w:val="20"/>
          <w:szCs w:val="20"/>
          <w:color w:val="auto"/>
        </w:rPr>
      </w:pPr>
    </w:p>
    <w:p>
      <w:pPr>
        <w:spacing w:after="0" w:line="398" w:lineRule="exact"/>
        <w:rPr>
          <w:sz w:val="20"/>
          <w:szCs w:val="20"/>
          <w:color w:val="auto"/>
        </w:rPr>
      </w:pPr>
    </w:p>
    <w:p>
      <w:pPr>
        <w:ind w:left="660" w:right="80" w:hanging="647"/>
        <w:spacing w:after="0" w:line="254"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u w:val="single" w:color="auto"/>
          <w:color w:val="auto"/>
        </w:rPr>
        <w:t>Forfeiture of Annual Make-Up Award</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 other term or provision of this Article 5, if a Participant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engages in Misconduct, the Participant shall forfeit or repay, as necessary, any Annual Make-Up Award payable on account of the period during which the Misconduct occurred and any subsequent period. In addition, notwithstanding any other term or provison of this Article 5, if a Partipant has a Separation from Service that is not also a Retirement, the Participant shall forfeit any Annual Make-Up Award that has not yet been paid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1"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ARTICLE 6</w:t>
      </w:r>
    </w:p>
    <w:p>
      <w:pPr>
        <w:jc w:val="center"/>
        <w:spacing w:after="0"/>
        <w:rPr>
          <w:sz w:val="20"/>
          <w:szCs w:val="20"/>
          <w:color w:val="auto"/>
        </w:rPr>
      </w:pPr>
      <w:r>
        <w:rPr>
          <w:rFonts w:ascii="Arial" w:cs="Arial" w:eastAsia="Arial" w:hAnsi="Arial"/>
          <w:sz w:val="22"/>
          <w:szCs w:val="22"/>
          <w:b w:val="1"/>
          <w:bCs w:val="1"/>
          <w:color w:val="auto"/>
        </w:rPr>
        <w:t>SERP II Account Balance Plan for Employees</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u w:val="single" w:color="auto"/>
          <w:color w:val="auto"/>
        </w:rPr>
        <w:t>Elective Deferrals</w:t>
      </w:r>
      <w:r>
        <w:rPr>
          <w:rFonts w:ascii="Arial" w:cs="Arial" w:eastAsia="Arial" w:hAnsi="Arial"/>
          <w:sz w:val="19"/>
          <w:szCs w:val="19"/>
          <w:b w:val="1"/>
          <w:bCs w:val="1"/>
          <w:color w:val="auto"/>
        </w:rPr>
        <w:t>.</w:t>
      </w:r>
    </w:p>
    <w:p>
      <w:pPr>
        <w:spacing w:after="0" w:line="179" w:lineRule="exact"/>
        <w:rPr>
          <w:sz w:val="20"/>
          <w:szCs w:val="20"/>
          <w:color w:val="auto"/>
        </w:rPr>
      </w:pPr>
    </w:p>
    <w:p>
      <w:pPr>
        <w:jc w:val="both"/>
        <w:ind w:left="1300" w:hanging="647"/>
        <w:spacing w:after="0" w:line="225"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Beginning with the Plan year that commences on January 1, 2019, only employees in ALLETE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management salary grade SG-SM will be eligible to elect to make elective deferrals in accordance with this Article 6.</w:t>
      </w:r>
    </w:p>
    <w:p>
      <w:pPr>
        <w:spacing w:after="0" w:line="153"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u w:val="single" w:color="auto"/>
          <w:color w:val="auto"/>
        </w:rPr>
        <w:t>Deferral Elections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 each Plan Year, an eligible Participant may elect to defer some or all of Salary, Bonus,</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and, if eligible, an Annual Make-up Award, Severance Pay, and Other Awards. Elections are effective on a calendar year basis and become irrevocable no later than the date specified by the Administrator, but in any event before the beginning of the Plan Year to which the elections relate. An eligible Participant’s elections will become effective only if the forms required by the Administrator have been properly completed and signed by the Participant, timely delivered to the Administrator, and accepted by the Administrator. An eligible Participant who fails to file elections before the required date will be treated as having elected not to defer any amounts for the following Plan Year. For any Plan Year the Administrator may, in its sole discretion, decide not to allow one or more Participants to defer certain types of compensation.</w:t>
      </w:r>
    </w:p>
    <w:p>
      <w:pPr>
        <w:spacing w:after="0" w:line="153" w:lineRule="exact"/>
        <w:rPr>
          <w:sz w:val="20"/>
          <w:szCs w:val="20"/>
          <w:color w:val="auto"/>
        </w:rPr>
      </w:pPr>
    </w:p>
    <w:p>
      <w:pPr>
        <w:jc w:val="both"/>
        <w:ind w:left="1300" w:hanging="647"/>
        <w:spacing w:after="0" w:line="215" w:lineRule="auto"/>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u w:val="single" w:color="auto"/>
          <w:color w:val="auto"/>
        </w:rPr>
        <w:t>Special Rule for Performance-Based Compensation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in its complete and sole discretion,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may allow a Participant to revise a deferral election with respect to a Bonus if the Administrator determines that the Bonus is performance-based compensation within the meaning of Section 409A and the election becomes irrevocable no later than the earlier of: (a) six months preceding the end of the performance period to which the Bonus relates; or (b) the date as of which the Bonus has become readily ascertainable, within the meaning of Section 409A.</w:t>
      </w:r>
    </w:p>
    <w:p>
      <w:pPr>
        <w:spacing w:after="0" w:line="152" w:lineRule="exact"/>
        <w:rPr>
          <w:sz w:val="20"/>
          <w:szCs w:val="20"/>
          <w:color w:val="auto"/>
        </w:rPr>
      </w:pPr>
    </w:p>
    <w:p>
      <w:pPr>
        <w:jc w:val="both"/>
        <w:ind w:left="1300" w:hanging="647"/>
        <w:spacing w:after="0" w:line="225" w:lineRule="auto"/>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u w:val="single" w:color="auto"/>
          <w:color w:val="auto"/>
        </w:rPr>
        <w:t>Special Rule for Severance Pay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 eligible Participant may elect to defer all or a portion of Severance Pay by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filing with the Administrator an irrevocable deferral election no later than the date the Participant obtains a legally binding right to the Severance Pay.</w:t>
      </w:r>
    </w:p>
    <w:p>
      <w:pPr>
        <w:spacing w:after="0" w:line="153" w:lineRule="exact"/>
        <w:rPr>
          <w:sz w:val="20"/>
          <w:szCs w:val="20"/>
          <w:color w:val="auto"/>
        </w:rPr>
      </w:pPr>
    </w:p>
    <w:p>
      <w:pPr>
        <w:jc w:val="both"/>
        <w:ind w:left="1300" w:hanging="647"/>
        <w:spacing w:after="0" w:line="215" w:lineRule="auto"/>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b w:val="1"/>
          <w:bCs w:val="1"/>
          <w:u w:val="single" w:color="auto"/>
          <w:color w:val="auto"/>
        </w:rPr>
        <w:t>Cancellation of Deferral Election due to Disability</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an eligible Participant becomes disabled,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Administrator may, in its sole discretion, cancel the Participant’s deferral election, with respect to amounts to be deferred on or after the cancellation, by the end of the year during which the Participant becomes disabled, or, if later,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following the date on which the Participant becomes disabled. For purposes of this Section,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six months.</w:t>
      </w:r>
    </w:p>
    <w:p>
      <w:pPr>
        <w:spacing w:after="0" w:line="158" w:lineRule="exact"/>
        <w:rPr>
          <w:sz w:val="20"/>
          <w:szCs w:val="20"/>
          <w:color w:val="auto"/>
        </w:rPr>
      </w:pPr>
    </w:p>
    <w:p>
      <w:pPr>
        <w:jc w:val="both"/>
        <w:ind w:left="1300"/>
        <w:spacing w:after="0" w:line="223" w:lineRule="auto"/>
        <w:rPr>
          <w:sz w:val="20"/>
          <w:szCs w:val="20"/>
          <w:color w:val="auto"/>
        </w:rPr>
      </w:pPr>
      <w:r>
        <w:rPr>
          <w:rFonts w:ascii="Arial" w:cs="Arial" w:eastAsia="Arial" w:hAnsi="Arial"/>
          <w:sz w:val="22"/>
          <w:szCs w:val="22"/>
          <w:color w:val="auto"/>
        </w:rPr>
        <w:t>The Participant may elect to defer amounts for the Plan Year following his return to employment and for every Plan Year thereafter while an Eligible Employee, provided the Participant’s deferral election otherwise complies with all of the requirements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1"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hanging="647"/>
        <w:spacing w:after="0" w:line="244" w:lineRule="auto"/>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b w:val="1"/>
          <w:bCs w:val="1"/>
          <w:u w:val="single" w:color="auto"/>
          <w:color w:val="auto"/>
        </w:rPr>
        <w:t>Cancellation of Deferral Election due to Unforeseeable Emergency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an eligible Participant experiences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during a Plan Year, the Participant may submit to the Administrator a written request to cancel Elective Deferrals for the Plan Year to satisfy the Unforeseeable Emergency. If the Administrator either approves the Participant’s request to cancel Elective Deferrals for the Plan Year, or approves a request for a distribution of in accordance with Section 6.4.6, then effective as of the date the request is approved the Administrator shall cancel the Participant’s deferral elections for the remainder of the Plan Year. A Participant whose Elective Deferrals are canceled during a Plan Year in accordance with this section may elect Elective Deferrals for the following Plan Year; provided, however, if required to comply with Treasury Regulations section 1.401(k)-1(d)(3), the Participant may not elect to defer any amounts attributable to periods less than six months from the date on which the Participant receives a distribution on account of an Unforeseeable Emergency.</w:t>
      </w:r>
    </w:p>
    <w:p>
      <w:pPr>
        <w:spacing w:after="0" w:line="155" w:lineRule="exact"/>
        <w:rPr>
          <w:sz w:val="20"/>
          <w:szCs w:val="20"/>
          <w:color w:val="auto"/>
        </w:rPr>
      </w:pPr>
    </w:p>
    <w:p>
      <w:pPr>
        <w:jc w:val="both"/>
        <w:ind w:left="1300" w:hanging="647"/>
        <w:spacing w:after="0" w:line="230" w:lineRule="auto"/>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b w:val="1"/>
          <w:bCs w:val="1"/>
          <w:u w:val="single" w:color="auto"/>
          <w:color w:val="auto"/>
        </w:rPr>
        <w:t>Withholding of Deferrals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Administrator will withhold Elective Deferrals not later than the end of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calendar year during which the Company would otherwise have paid the amounts to the Participant but for the Participant’s deferral election. The Administrator will not withhold Elective Deferrals from a Participant’s Salary during any period in which the Participant is on an unpaid leave of absence.</w:t>
      </w:r>
    </w:p>
    <w:p>
      <w:pPr>
        <w:spacing w:after="0" w:line="154" w:lineRule="exact"/>
        <w:rPr>
          <w:sz w:val="20"/>
          <w:szCs w:val="20"/>
          <w:color w:val="auto"/>
        </w:rPr>
      </w:pPr>
    </w:p>
    <w:p>
      <w:pPr>
        <w:jc w:val="both"/>
        <w:ind w:left="660" w:hanging="647"/>
        <w:spacing w:after="0" w:line="225"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Non-Elective Deferrals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the Administrator determines that an eligible Participant’s Salary exceeds the Code section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401(a)(17) limit, the Administrator shall automatically credit the Participant’s Annual Make-up Award to the Participant’s Account</w:t>
      </w:r>
    </w:p>
    <w:p>
      <w:pPr>
        <w:spacing w:after="0" w:line="15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u w:val="single" w:color="auto"/>
          <w:color w:val="auto"/>
        </w:rPr>
        <w:t>FICA and Other Taxes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 each Plan Year during which a Participant has Deferrals, the Participant’s Employer(s) shall,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a manner determined by the Employer(s), withhold the Participant’s share of FICA and other required employment or state, local, and foreign taxes on Deferrals from that portion of the Participant’s Salary, Bonus, Annual Make-up Award, Severance Pay, Other Award and in the event of a 162(m) Deferral, the Participant’s compensation generally, that is not deferred. To the extent permitted by Section 409A, the Administrator may reduce a Participant’s Deferrals to the extent necessary to pay FICA and other employment, state, local and foreign taxes.</w:t>
      </w:r>
    </w:p>
    <w:p>
      <w:pPr>
        <w:spacing w:after="0" w:line="146" w:lineRule="exact"/>
        <w:rPr>
          <w:sz w:val="20"/>
          <w:szCs w:val="20"/>
          <w:color w:val="auto"/>
        </w:rPr>
      </w:pPr>
    </w:p>
    <w:p>
      <w:pPr>
        <w:jc w:val="both"/>
        <w:ind w:left="660" w:hanging="647"/>
        <w:spacing w:after="0" w:line="221"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b w:val="1"/>
          <w:bCs w:val="1"/>
          <w:u w:val="single" w:color="auto"/>
          <w:color w:val="auto"/>
        </w:rPr>
        <w:t>Distributions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Plan provides for distributions in a Specified Year, or upon a Separation from Service, death,</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Disability, or Unforeseeable Emergency. At the time of a Participant’s initial deferral election, a Participant may elect to receive a distribution: (i) with respect to Elective Deferrals, in a Specified Year; and (ii) with respect to all Deferrals, upon the earlier of Separation from Service, death or Disability. In each subsequent Plan year, a Participant may elect to have all or any portion of that year’s Elective Deferrals distributed either in a Specified Year, subject to the restrictions in Section 6.4.1, or in accordance with the Participant’s prior elections for distributions other than in a Specified Year. Except as otherwise provided in the Plan, a Participant’s distribution elections are irrevocable and will govern the Deferrals to which the election relates until the amounts covered by the election are paid in full or until subsequently changed in accordance with Section 6.6. Notwithstanding any elections by a Participant, all distributions are subject to the provisions of Sections 1.2 and 6.5.</w:t>
      </w:r>
    </w:p>
    <w:p>
      <w:pPr>
        <w:spacing w:after="0" w:line="152" w:lineRule="exact"/>
        <w:rPr>
          <w:sz w:val="20"/>
          <w:szCs w:val="20"/>
          <w:color w:val="auto"/>
        </w:rPr>
      </w:pPr>
    </w:p>
    <w:p>
      <w:pPr>
        <w:jc w:val="both"/>
        <w:ind w:left="1300" w:hanging="647"/>
        <w:spacing w:after="0" w:line="236"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u w:val="single" w:color="auto"/>
          <w:color w:val="auto"/>
        </w:rPr>
        <w:t>Specified Year</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elect to receive a distribution of Elective Deferrals in a Specified Year, which</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may be no earlier than the third Plan Year beginning after the date on which the Participant initially elects to receive a distribution in a Specified Year. Except as otherwise provided in this subsection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1" w:right="339" w:bottom="1440" w:gutter="0" w:footer="0" w:header="0"/>
        </w:sectPr>
      </w:pPr>
    </w:p>
    <w:bookmarkStart w:id="238" w:name="page239"/>
    <w:bookmarkEnd w:id="238"/>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0"/>
        <w:spacing w:after="0" w:line="226" w:lineRule="auto"/>
        <w:rPr>
          <w:sz w:val="20"/>
          <w:szCs w:val="20"/>
          <w:color w:val="auto"/>
        </w:rPr>
      </w:pPr>
      <w:r>
        <w:rPr>
          <w:rFonts w:ascii="Arial" w:cs="Arial" w:eastAsia="Arial" w:hAnsi="Arial"/>
          <w:sz w:val="21"/>
          <w:szCs w:val="21"/>
          <w:color w:val="auto"/>
        </w:rPr>
        <w:t>or in Section 6.6, once a Participant has elected to receive a distribution in a Specified Year, the Participant may not elect to receive a distribution in a different Specified Year. Beginning during the year preceding any Specified Year previously elected by the Participant, the Participant may elect to receive a distribution of Elective Deferrals in a later Specified Year, subject, however, to the restrictions of this subsection. All amounts distributed in a Specified Year will be paid in a single lump sum.</w:t>
      </w:r>
    </w:p>
    <w:p>
      <w:pPr>
        <w:spacing w:after="0" w:line="15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Participant may elect to receive a distribution commencing either upon a Separation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from Service, or during any of the first five years following the year of the Separation from Service. A Participant may elect to receive a distribution in the form of a lump sum, monthly installments over a period of five (5), ten (10), or fifteen (15) years, or a combination of both a lump sum and installments.</w:t>
      </w:r>
    </w:p>
    <w:p>
      <w:pPr>
        <w:spacing w:after="0" w:line="137" w:lineRule="exact"/>
        <w:rPr>
          <w:sz w:val="20"/>
          <w:szCs w:val="20"/>
          <w:color w:val="auto"/>
        </w:rPr>
      </w:pPr>
    </w:p>
    <w:p>
      <w:pPr>
        <w:jc w:val="both"/>
        <w:ind w:left="1300" w:hanging="647"/>
        <w:spacing w:after="0" w:line="205" w:lineRule="auto"/>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u w:val="single" w:color="auto"/>
          <w:color w:val="auto"/>
        </w:rPr>
        <w:t>Disability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on account of Disability. Distributions upon Disability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will commence on the earlier of the Participant’s 65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birthday or the second anniversary of the Disability, unless changed in accordance with Section 6.6. A Participant may elect to receive the distribution in the form of a lump sum, monthly installments over a period of five (5), ten (10), or fifteen (15) years, or a combination of both a lump sum and installments. Notwithstanding any other election by a Participant relating to a distribution upon Disability, if a Participant dies after commencement of a Disability but before the year during which distributions would commence, the Participant’s Account shall be distributed in accordance with the Participant’s election regarding distributions upon death.</w:t>
      </w:r>
    </w:p>
    <w:p>
      <w:pPr>
        <w:spacing w:after="0" w:line="156" w:lineRule="exact"/>
        <w:rPr>
          <w:sz w:val="20"/>
          <w:szCs w:val="20"/>
          <w:color w:val="auto"/>
        </w:rPr>
      </w:pPr>
    </w:p>
    <w:p>
      <w:pPr>
        <w:jc w:val="both"/>
        <w:ind w:left="1300" w:hanging="647"/>
        <w:spacing w:after="0" w:line="220" w:lineRule="auto"/>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u w:val="single" w:color="auto"/>
          <w:color w:val="auto"/>
        </w:rPr>
        <w:t>Death</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may elect to receive a distribution commencing upon death or during any of the first five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years following the year of death. A Participant may elect to receive a distribution in the form of a lump sum, monthly installments over a period of five (5), ten (10), or fifteen (15) years, or a combination of both a lump sum and installments.</w:t>
      </w:r>
    </w:p>
    <w:p>
      <w:pPr>
        <w:spacing w:after="0" w:line="152"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b w:val="1"/>
          <w:bCs w:val="1"/>
          <w:u w:val="single" w:color="auto"/>
          <w:color w:val="auto"/>
        </w:rPr>
        <w:t>Unforeseeable Emergency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Participant may submit a written request for a distribution on account of an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Unforeseeable Emergency. Upon approval by the Administrator of a Participant’s request, the Participant’s Account, or that portion of a Participant’s Account deemed necessary by the Administrator to satisfy the Unforeseeable Emergency (determined in a manner consistent with Section 409A) plus amounts necessary to pay taxes reasonably anticipated because of the distribution, will be distributed in a single lump sum.</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Additional Distribution Rules.</w:t>
      </w:r>
    </w:p>
    <w:p>
      <w:pPr>
        <w:spacing w:after="0" w:line="179" w:lineRule="exact"/>
        <w:rPr>
          <w:sz w:val="20"/>
          <w:szCs w:val="20"/>
          <w:color w:val="auto"/>
        </w:rPr>
      </w:pPr>
    </w:p>
    <w:p>
      <w:pPr>
        <w:jc w:val="both"/>
        <w:ind w:left="1300" w:hanging="647"/>
        <w:spacing w:after="0" w:line="225"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b w:val="1"/>
          <w:bCs w:val="1"/>
          <w:u w:val="single" w:color="auto"/>
          <w:color w:val="auto"/>
        </w:rPr>
        <w:t>Default Time and Form of Distribution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timely to elect a time and form of distribution,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will be distributed upon any Separation from Service, including death, in the form of a single lump sum payment.</w:t>
      </w:r>
    </w:p>
    <w:p>
      <w:pPr>
        <w:spacing w:after="0" w:line="153" w:lineRule="exact"/>
        <w:rPr>
          <w:sz w:val="20"/>
          <w:szCs w:val="20"/>
          <w:color w:val="auto"/>
        </w:rPr>
      </w:pPr>
    </w:p>
    <w:p>
      <w:pPr>
        <w:jc w:val="both"/>
        <w:ind w:left="1300" w:hanging="647"/>
        <w:spacing w:after="0" w:line="217"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Commencement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Except as otherwise provided in this section, if a Participant has elected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receive a distribution commencing upon a Distribution Event, or if a distribution is required upon a Distribution Event, distribution will commence between the date of the Distribution Event and the end of the year in which the Distribution Event occurs. If a Participant has elected, or is required, to receive a distribution commencing upon a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1" w:right="339" w:bottom="1440" w:gutter="0" w:footer="0" w:header="0"/>
        </w:sectPr>
      </w:pPr>
    </w:p>
    <w:bookmarkStart w:id="239" w:name="page240"/>
    <w:bookmarkEnd w:id="239"/>
    <w:p>
      <w:pPr>
        <w:ind w:left="906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224" w:lineRule="auto"/>
        <w:rPr>
          <w:sz w:val="20"/>
          <w:szCs w:val="20"/>
          <w:color w:val="auto"/>
        </w:rPr>
      </w:pPr>
      <w:r>
        <w:rPr>
          <w:rFonts w:ascii="Arial" w:cs="Arial" w:eastAsia="Arial" w:hAnsi="Arial"/>
          <w:sz w:val="20"/>
          <w:szCs w:val="20"/>
          <w:color w:val="auto"/>
        </w:rPr>
        <w:t>Event, and the Distribution Event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 which the Distribution Event occurs; provided, however, the Participant will not be permitted, directly or indirectly, to designate the taxable year of the distribution. If a Participant has elected to receive a distribution commencing during any of the first five years following the year of a Distribution Event, the distribution will commence during the year elected by the Participant. If a Participant has elected to receive a distribution in a Specified Year, the distribution will occur during the Specified Year. Any distribution that complies with this section shall be deemed for all purposes to comply with the Plan requirements regarding the time and form of distributions.</w:t>
      </w:r>
    </w:p>
    <w:p>
      <w:pPr>
        <w:spacing w:after="0" w:line="158" w:lineRule="exact"/>
        <w:rPr>
          <w:sz w:val="20"/>
          <w:szCs w:val="20"/>
          <w:color w:val="auto"/>
        </w:rPr>
      </w:pPr>
    </w:p>
    <w:p>
      <w:pPr>
        <w:jc w:val="both"/>
        <w:ind w:left="180" w:hanging="647"/>
        <w:spacing w:after="0" w:line="242" w:lineRule="auto"/>
        <w:tabs>
          <w:tab w:leader="none" w:pos="16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b w:val="1"/>
          <w:bCs w:val="1"/>
          <w:u w:val="single" w:color="auto"/>
          <w:color w:val="auto"/>
        </w:rPr>
        <w:t>Installments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a Participant elects to receive distributions in monthly installments, the Participant’s Account will</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 paid in substantially equal monthly installments in consecutive years over the period elected by the Participant. Each monthly installment will be paid during the Plan Year in which it is due, commencing as described in Section 6.5.2. During the Plan Year in which distributions commence, the Participant will receive one installment for each calendar month beginning after the date of the Distribution Event, or, if the Participant has elected to receive a distribution commencing during any of the first five years following the year of a Distribution Event, one monthly installment for each calendar month beginning after the anniversary date of the Distribution Event. For deferrals made in connection with any Plan Year that commenced on or before January 1, 2018, during the distribution period, the Participant’s Account will be credited with interest compounded monthly at a rate of 7.5% per year. For deferrals made in connection with any Plan Year that commences on or after January 1, 2019, the Participant’s Account will be credited or debited with notional gains and losses based on the investment funds selected by the Participant, from among the options provided by the Company, until all amounts credited have been distributed. Any installment distribution that complies with this section shall be deemed for all purposes to comply with the Plan requirements regarding the time and form of distributions.</w:t>
      </w:r>
    </w:p>
    <w:p>
      <w:pPr>
        <w:spacing w:after="0" w:line="156" w:lineRule="exact"/>
        <w:rPr>
          <w:sz w:val="20"/>
          <w:szCs w:val="20"/>
          <w:color w:val="auto"/>
        </w:rPr>
      </w:pPr>
    </w:p>
    <w:p>
      <w:pPr>
        <w:jc w:val="both"/>
        <w:ind w:left="180" w:hanging="647"/>
        <w:spacing w:after="0" w:line="220" w:lineRule="auto"/>
        <w:tabs>
          <w:tab w:leader="none" w:pos="16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b w:val="1"/>
          <w:bCs w:val="1"/>
          <w:u w:val="single" w:color="auto"/>
          <w:color w:val="auto"/>
        </w:rPr>
        <w:t>Death After Commencement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the death of a Participant after distributions of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Participant’s Account have commenced, the balance of the Participant’s Account will be distributed to the Participant’s Beneficiary at the same times and in the same forms that the Account would have been distributed to the Participant if the Participant had survived.</w:t>
      </w:r>
    </w:p>
    <w:p>
      <w:pPr>
        <w:spacing w:after="0" w:line="152" w:lineRule="exact"/>
        <w:rPr>
          <w:sz w:val="20"/>
          <w:szCs w:val="20"/>
          <w:color w:val="auto"/>
        </w:rPr>
      </w:pPr>
    </w:p>
    <w:p>
      <w:pPr>
        <w:jc w:val="both"/>
        <w:ind w:left="180" w:hanging="647"/>
        <w:spacing w:after="0" w:line="222" w:lineRule="auto"/>
        <w:tabs>
          <w:tab w:leader="none" w:pos="16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b w:val="1"/>
          <w:bCs w:val="1"/>
          <w:u w:val="single" w:color="auto"/>
          <w:color w:val="auto"/>
        </w:rPr>
        <w:t>Distributions to Specified Employees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Notwithstanding anything to the contrary in this Plan, if a Participant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entitled to a distribution on account of a Separation from Service and is a Specified Employee on the date of the Separation from Service, distributions shall not commence until the earlier of: (i) the expiration of the six-month period beginning on the date of Participant’s Separation from Service, or (ii) the date of Participant’s death. Payments to which a Specified Employee would otherwise be entitled during this six-month period shall be accumulated and paid, together with earnings that have accrued during this six-month delay, during the seventh month following the date of the Participant’s Separation from Service, or, if earlier,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20"/>
          </w:cols>
          <w:pgMar w:left="144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300" w:hanging="647"/>
        <w:spacing w:after="0" w:line="215" w:lineRule="auto"/>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22"/>
          <w:szCs w:val="22"/>
          <w:b w:val="1"/>
          <w:bCs w:val="1"/>
          <w:u w:val="single" w:color="auto"/>
          <w:color w:val="auto"/>
        </w:rPr>
        <w:t>Effect of Change in Control</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Notwithstanding a Participant’s elections regarding distributions upon a Separation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from Service and a distribution in a Specified Year, if (a) the Participant has a Separation from Service within two years following a Change in Control or (b) a Change in Control occurs within six months after the Participant has a Separation from Service, the Participant shall receive a distribution of the Participant’s entire Account in a single lump sum upon the later of the Separation from Service or the Change in Control, whether or not distributions have already commenced.</w:t>
      </w:r>
    </w:p>
    <w:p>
      <w:pPr>
        <w:spacing w:after="0" w:line="152" w:lineRule="exact"/>
        <w:rPr>
          <w:sz w:val="20"/>
          <w:szCs w:val="20"/>
          <w:color w:val="auto"/>
        </w:rPr>
      </w:pPr>
    </w:p>
    <w:p>
      <w:pPr>
        <w:jc w:val="both"/>
        <w:ind w:left="660" w:hanging="647"/>
        <w:spacing w:after="0" w:line="243" w:lineRule="auto"/>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u w:val="single" w:color="auto"/>
          <w:color w:val="auto"/>
        </w:rPr>
        <w:t>Subsequent Changes in Time and Form of Distributions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Participant may, in accordance with rules, procedures and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forms specified from time to time by the Administrator, elect to change the time of commencement or change the form in which the Participant’s Account is distributed or both, provided that: (i) the Participant elects at least twelve (12) months prior to the date on which payments are otherwise scheduled to commence; (ii) the new election does not take effect for at least twelve (12) months; and (iii) with respect to changes applicable to distributions in a Specified Year or upon Separation from Service, the distributions must be deferred for at least five (5) years from the date the distributions would otherwise have been paid, or in the case of installment payments, five (5) years from the date the installments were scheduled to commence. For purposes of this section, distributions on account of a Specified Year are considered scheduled to commence on January 1 of the Specified Year and all other distributions are considered to commence on the date of the Distribution Event, or if the Participant has elected a later year for commencement, January 1 of the year elected by the Participant. Any election in accordance with this section to change the time or form or both shall be irrevocable on the date it is filed with the Administrator unless subsequently changed pursuant to this Section.</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7</w:t>
      </w:r>
    </w:p>
    <w:p>
      <w:pPr>
        <w:ind w:left="4420"/>
        <w:spacing w:after="0"/>
        <w:rPr>
          <w:sz w:val="20"/>
          <w:szCs w:val="20"/>
          <w:color w:val="auto"/>
        </w:rPr>
      </w:pPr>
      <w:r>
        <w:rPr>
          <w:rFonts w:ascii="Arial" w:cs="Arial" w:eastAsia="Arial" w:hAnsi="Arial"/>
          <w:sz w:val="22"/>
          <w:szCs w:val="22"/>
          <w:b w:val="1"/>
          <w:bCs w:val="1"/>
          <w:color w:val="auto"/>
        </w:rPr>
        <w:t>Accounts and Investments</w:t>
      </w:r>
    </w:p>
    <w:p>
      <w:pPr>
        <w:spacing w:after="0" w:line="155" w:lineRule="exact"/>
        <w:rPr>
          <w:sz w:val="20"/>
          <w:szCs w:val="20"/>
          <w:color w:val="auto"/>
        </w:rPr>
      </w:pPr>
    </w:p>
    <w:p>
      <w:pPr>
        <w:jc w:val="both"/>
        <w:ind w:left="660" w:hanging="647"/>
        <w:spacing w:after="0" w:line="227"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u w:val="single" w:color="auto"/>
          <w:color w:val="auto"/>
        </w:rPr>
        <w:t>Establishment of Accounts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Company will establish notional accounts for each Participant as the Administrator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deems necessary or advisable from time to time. The Company will establish a Participant’s Account at the earlier of the time a Participant first elects to defer any amounts into the Account or the time the Company first credits non-elective amounts to the Account. Each Account shall be credited as appropriate with deferrals and earnings with respect to deferrals and debited for distributions from the Account.</w:t>
      </w:r>
    </w:p>
    <w:p>
      <w:pPr>
        <w:spacing w:after="0" w:line="154" w:lineRule="exact"/>
        <w:rPr>
          <w:sz w:val="20"/>
          <w:szCs w:val="20"/>
          <w:color w:val="auto"/>
        </w:rPr>
      </w:pPr>
    </w:p>
    <w:p>
      <w:pPr>
        <w:jc w:val="both"/>
        <w:ind w:left="660" w:hanging="647"/>
        <w:spacing w:after="0" w:line="230"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u w:val="single" w:color="auto"/>
          <w:color w:val="auto"/>
        </w:rPr>
        <w:t>Timing of Credits to Accounts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Administrator shall credit a Participant’s Elective Deferrals to the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Account(s) not later than the end of the calendar year during which the Company would otherwise have paid the amounts to the Participant but for the Participant’s deferral election. The Administrator shall credit Non-Elective Deferrals at such times and in such amounts as the Administrator determines.</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u w:val="single" w:color="auto"/>
          <w:color w:val="auto"/>
        </w:rPr>
        <w:t>Vesting</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All Participant Accounts are fully vested at all times.</w:t>
      </w:r>
    </w:p>
    <w:p>
      <w:pPr>
        <w:spacing w:after="0" w:line="179" w:lineRule="exact"/>
        <w:rPr>
          <w:sz w:val="20"/>
          <w:szCs w:val="20"/>
          <w:color w:val="auto"/>
        </w:rPr>
      </w:pPr>
    </w:p>
    <w:p>
      <w:pPr>
        <w:jc w:val="both"/>
        <w:ind w:left="660" w:hanging="647"/>
        <w:spacing w:after="0" w:line="217"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b w:val="1"/>
          <w:bCs w:val="1"/>
          <w:u w:val="single" w:color="auto"/>
          <w:color w:val="auto"/>
        </w:rPr>
        <w:t>Investments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select investment funds to use for measuring notional gains and losses credited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debited to Participant’s Accounts. The Administrator will establish, from time to time, rules and procedures for allowing each Participant who has not had a Distribution Event to designate which one or more of the selected investment funds will be used to determine the notional gains and losses credited or debited to the Participant’s Accounts prior to commencement of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1" w:right="339" w:bottom="1440" w:gutter="0" w:footer="0" w:header="0"/>
        </w:sectPr>
      </w:pPr>
    </w:p>
    <w:bookmarkStart w:id="241" w:name="page242"/>
    <w:bookmarkEnd w:id="241"/>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hanging="647"/>
        <w:spacing w:after="0" w:line="225"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b w:val="1"/>
          <w:bCs w:val="1"/>
          <w:u w:val="single" w:color="auto"/>
          <w:color w:val="auto"/>
        </w:rPr>
        <w:t>Valuation Date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As of each Valuation Date, each Account will be adjusted to reflect the effect of notional investment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gains or losses, additions, distributions, transfers and all other transactions with respect to that Account since the previous Valuation Date.</w:t>
      </w:r>
    </w:p>
    <w:p>
      <w:pPr>
        <w:spacing w:after="0" w:line="38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8</w:t>
      </w:r>
    </w:p>
    <w:p>
      <w:pPr>
        <w:ind w:left="4340"/>
        <w:spacing w:after="0"/>
        <w:rPr>
          <w:sz w:val="20"/>
          <w:szCs w:val="20"/>
          <w:color w:val="auto"/>
        </w:rPr>
      </w:pPr>
      <w:r>
        <w:rPr>
          <w:rFonts w:ascii="Arial" w:cs="Arial" w:eastAsia="Arial" w:hAnsi="Arial"/>
          <w:sz w:val="22"/>
          <w:szCs w:val="22"/>
          <w:b w:val="1"/>
          <w:bCs w:val="1"/>
          <w:color w:val="auto"/>
        </w:rPr>
        <w:t>SERP II Retirement Benefit</w:t>
      </w:r>
    </w:p>
    <w:p>
      <w:pPr>
        <w:spacing w:after="0" w:line="155" w:lineRule="exact"/>
        <w:rPr>
          <w:sz w:val="20"/>
          <w:szCs w:val="20"/>
          <w:color w:val="auto"/>
        </w:rPr>
      </w:pPr>
    </w:p>
    <w:p>
      <w:pPr>
        <w:jc w:val="both"/>
        <w:ind w:left="660" w:hanging="647"/>
        <w:spacing w:after="0" w:line="213"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Eligibility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provisions of Article 8 apply only to Eligible Employees who were eligible for Retirement Benefits on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September 30, 2006. Effective October 1, 2006, the Company froze eligibility for Retirement Benefits and individuals who were not Participants on that date are not eligible for Retirement Benefits. Any Participant who was accruing Retirement Benefits on September 30, 2006 or who was eligible to accrue Retirement Benefits on that date because the Participant received an Annual Incentive Award or Other Award and was serving in management salary grades SA – SM, will remain eligible for Retirement Benefits in accordance with this section; provided the Participant remains an Employee of a Related Company.</w:t>
      </w:r>
    </w:p>
    <w:p>
      <w:pPr>
        <w:spacing w:after="0" w:line="156" w:lineRule="exact"/>
        <w:rPr>
          <w:sz w:val="20"/>
          <w:szCs w:val="20"/>
          <w:color w:val="auto"/>
        </w:rPr>
      </w:pPr>
    </w:p>
    <w:p>
      <w:pPr>
        <w:jc w:val="both"/>
        <w:ind w:left="660" w:hanging="647"/>
        <w:spacing w:after="0" w:line="230"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b w:val="1"/>
          <w:bCs w:val="1"/>
          <w:u w:val="single" w:color="auto"/>
          <w:color w:val="auto"/>
        </w:rPr>
        <w:t>Vesting; Forfeiture of Unvested Retirement Benefit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Participants will fully vest in the Retirement Benefit upon: (i)</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Retirement; (ii) becoming Disabled after attaining both age 50 and 10 years of Vesting Service; or (iii) upon attaining age 50 and 10 years of Vesting Service after becoming Disabled. Participants will forfeit unvested Retirement Benefits and prior years of Vesting Service upon Separation from Service or death prior to full vesting.</w:t>
      </w:r>
    </w:p>
    <w:p>
      <w:pPr>
        <w:spacing w:after="0" w:line="154"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u w:val="single" w:color="auto"/>
          <w:color w:val="auto"/>
        </w:rPr>
        <w:t>Retirement Benefit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amount of the Retirement Benefit shall equal a single life annuity determined in the manner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provided in the Retirement Plans, including any applicable early retirement factors and cost of living adjustments, but using a Participant’s Final Average Earnings and years of Credited Service as described in this section.</w:t>
      </w:r>
    </w:p>
    <w:p>
      <w:pPr>
        <w:spacing w:after="0" w:line="124" w:lineRule="exact"/>
        <w:rPr>
          <w:sz w:val="20"/>
          <w:szCs w:val="20"/>
          <w:color w:val="auto"/>
        </w:rPr>
      </w:pPr>
    </w:p>
    <w:p>
      <w:pPr>
        <w:jc w:val="both"/>
        <w:ind w:left="1300" w:hanging="647"/>
        <w:spacing w:after="0" w:line="238"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u w:val="single" w:color="auto"/>
          <w:color w:val="auto"/>
        </w:rPr>
        <w:t>Final Average Earnings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As described herein, final Average Earnings shall be determined as of the earlier of the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Participant’s Separation from Service or December 31, 2021. Final Average Earnings include the sum of: (i) the Participant’s four highest consecutive Annual Incentive Awards and Other Awards within the “applicable 15-year period,” and (ii) the Participant’s highest Basic Compensation during any consecutive 48-month period within the “applicable 15-year period” to the extent that Basic Compensation exceeds the limitation on compensation imposed by Code section 401(a)(17). Compensation in excess of the limitation on compensation imposed by Code section 401(a)(17) shall be determined by using the limit in effect on the first day of the 48-month period described in (i) and the next three anniversaries of that date. With respect to a Participant who becomes entitled to a distribution upon Retirement before December 31, 2021, the “applicable 15-year period” shall be the 15- year period that ends on the date of Retirement. With respect to a Participant who becomes entitled to a distribution upon Retirement on or after December 31, 2021, the “applicable 15-year period” shall be the 15-year period that ends on December 31, 2021. With respect to a Participant who becomes entitled to a distribution because of Disability that occurs before December 31, 2021, the “applicable 15-year period” shall be the 15-year period that:</w:t>
      </w:r>
    </w:p>
    <w:p>
      <w:pPr>
        <w:ind w:left="1560" w:hanging="256"/>
        <w:spacing w:after="0" w:line="193" w:lineRule="auto"/>
        <w:tabs>
          <w:tab w:leader="none" w:pos="156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ends no earlier than the Participant’s Disability and no later than the Participant’s sixty-fifth (65</w:t>
      </w:r>
      <w:r>
        <w:rPr>
          <w:rFonts w:ascii="Arial" w:cs="Arial" w:eastAsia="Arial" w:hAnsi="Arial"/>
          <w:sz w:val="25"/>
          <w:szCs w:val="25"/>
          <w:color w:val="auto"/>
          <w:vertAlign w:val="superscript"/>
        </w:rPr>
        <w:t>th</w:t>
      </w:r>
      <w:r>
        <w:rPr>
          <w:rFonts w:ascii="Arial" w:cs="Arial" w:eastAsia="Arial" w:hAnsi="Arial"/>
          <w:sz w:val="19"/>
          <w:szCs w:val="19"/>
          <w:color w:val="auto"/>
        </w:rPr>
        <w:t>) birthday; and</w:t>
      </w:r>
    </w:p>
    <w:p>
      <w:pPr>
        <w:ind w:left="1300" w:firstLine="4"/>
        <w:spacing w:after="0" w:line="224" w:lineRule="auto"/>
        <w:tabs>
          <w:tab w:leader="none" w:pos="165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would result in the greatest Retirement Benefit. With respect to a Participant who becomes entitled to a distribution because of a Disability that occurs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1" w:right="339" w:bottom="1440" w:gutter="0" w:footer="0" w:header="0"/>
        </w:sectPr>
      </w:pPr>
    </w:p>
    <w:bookmarkStart w:id="242" w:name="page243"/>
    <w:bookmarkEnd w:id="242"/>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December 31, 2021, the “applicable 15-year period” shall be the 15-year period that ends on December 31, 2021.</w:t>
      </w:r>
    </w:p>
    <w:p>
      <w:pPr>
        <w:spacing w:after="0" w:line="208" w:lineRule="exact"/>
        <w:rPr>
          <w:sz w:val="20"/>
          <w:szCs w:val="20"/>
          <w:color w:val="auto"/>
        </w:rPr>
      </w:pPr>
    </w:p>
    <w:p>
      <w:pPr>
        <w:jc w:val="both"/>
        <w:ind w:left="1300" w:hanging="647"/>
        <w:spacing w:after="0" w:line="217"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Years of Credited Service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will receive credit for years of Credited Service after September 30,</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2006, only to the extent that: (i) the Participant has been continuously employed since that date by a Related Company in management salary grades SA – SM; and (ii) distributions of Retirement Benefits have not commenced. Notwithstanding the foregoing, no Participant will receive credit for years of Credited Service after December 31, 2018.</w:t>
      </w:r>
    </w:p>
    <w:p>
      <w:pPr>
        <w:spacing w:after="0" w:line="395"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u w:val="single" w:color="auto"/>
          <w:color w:val="auto"/>
        </w:rPr>
        <w:t>Forfeiture of Vested Retirement Benefit for Misconduct</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 other term or condition in this Article 8,</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 Participant will forfeit any vested Retirement Benefit attributable to any year during which the Participant engaged in Misconduct and any subsequent period. For purposes of calculating the Retirement Benefit of any Participant who engaged in Misconduct, the Participant’s Final Average Earnings and Years of Credited Service will exclude the period during which the Participant engaged in Misconduct and any subsequent period.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b w:val="1"/>
          <w:bCs w:val="1"/>
          <w:u w:val="single" w:color="auto"/>
          <w:color w:val="auto"/>
        </w:rPr>
        <w:t>Time and Form of Distributions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Subject to the provisions of Section 8.6, a Participant will become entitled to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distribution of vested Retirement Benefits, in the form determined by this section, upon the earlier of: (i) Retirement; (ii) Disability; or (iii) solely with respect to a Participant who vests after becoming Disabled, the earlier of death or attainment of age 65.</w:t>
      </w:r>
    </w:p>
    <w:p>
      <w:pPr>
        <w:spacing w:after="0" w:line="152"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8.5.1</w:t>
      </w:r>
      <w:r>
        <w:rPr>
          <w:sz w:val="20"/>
          <w:szCs w:val="20"/>
          <w:color w:val="auto"/>
        </w:rPr>
        <w:tab/>
      </w:r>
      <w:r>
        <w:rPr>
          <w:rFonts w:ascii="Arial" w:cs="Arial" w:eastAsia="Arial" w:hAnsi="Arial"/>
          <w:sz w:val="21"/>
          <w:szCs w:val="21"/>
          <w:b w:val="1"/>
          <w:bCs w:val="1"/>
          <w:u w:val="single" w:color="auto"/>
          <w:color w:val="auto"/>
        </w:rPr>
        <w:t>Election of Alternative Forms of Distribution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 Participant may elect to receive the Retirement Benefit in one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of the following forms, each of which shall be actuarially equivalent: (i) monthly installments over a 15-year period, (ii) a monthly life annuity, (iii) a lump sum payment; or (iv) a combination of a lump sum and either (i) or (ii). Actuarially equivalence will be calculated using actuarial factors adopted by the Administrator from time to time. Effective as of December 31, 2008, Participant elections regarding the form of distribution are irrevocable and will remain in effect until the Retirement Benefits are paid in full unless a Participant elects to change the time and form of payment in accordance with Section 8.7.</w:t>
      </w:r>
    </w:p>
    <w:p>
      <w:pPr>
        <w:spacing w:after="0" w:line="157" w:lineRule="exact"/>
        <w:rPr>
          <w:sz w:val="20"/>
          <w:szCs w:val="20"/>
          <w:color w:val="auto"/>
        </w:rPr>
      </w:pPr>
    </w:p>
    <w:p>
      <w:pPr>
        <w:jc w:val="both"/>
        <w:ind w:left="1300" w:hanging="647"/>
        <w:spacing w:after="0" w:line="220" w:lineRule="auto"/>
        <w:tabs>
          <w:tab w:leader="none" w:pos="1280" w:val="left"/>
        </w:tabs>
        <w:rPr>
          <w:sz w:val="20"/>
          <w:szCs w:val="20"/>
          <w:color w:val="auto"/>
        </w:rPr>
      </w:pPr>
      <w:r>
        <w:rPr>
          <w:rFonts w:ascii="Arial" w:cs="Arial" w:eastAsia="Arial" w:hAnsi="Arial"/>
          <w:sz w:val="22"/>
          <w:szCs w:val="22"/>
          <w:color w:val="auto"/>
        </w:rPr>
        <w:t>8.5.2</w:t>
      </w:r>
      <w:r>
        <w:rPr>
          <w:sz w:val="20"/>
          <w:szCs w:val="20"/>
          <w:color w:val="auto"/>
        </w:rPr>
        <w:tab/>
      </w:r>
      <w:r>
        <w:rPr>
          <w:rFonts w:ascii="Arial" w:cs="Arial" w:eastAsia="Arial" w:hAnsi="Arial"/>
          <w:sz w:val="22"/>
          <w:szCs w:val="22"/>
          <w:b w:val="1"/>
          <w:bCs w:val="1"/>
          <w:u w:val="single" w:color="auto"/>
          <w:color w:val="auto"/>
        </w:rPr>
        <w:t>Default Form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fails to elect a form of payment with respect to the Participant’s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Retirement Benefit before December 31, 2008, the Retirement Benefit will be paid in the form of monthly installments over a 15-year period unless the Participant elects to change the time and form of payment in accordance with Section 8.7.</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Additional Distribution Rules.</w:t>
      </w:r>
    </w:p>
    <w:p>
      <w:pPr>
        <w:spacing w:after="0" w:line="179" w:lineRule="exact"/>
        <w:rPr>
          <w:sz w:val="20"/>
          <w:szCs w:val="20"/>
          <w:color w:val="auto"/>
        </w:rPr>
      </w:pPr>
    </w:p>
    <w:p>
      <w:pPr>
        <w:jc w:val="both"/>
        <w:ind w:left="1300" w:hanging="647"/>
        <w:spacing w:after="0" w:line="225" w:lineRule="auto"/>
        <w:tabs>
          <w:tab w:leader="none" w:pos="1280" w:val="left"/>
        </w:tabs>
        <w:rPr>
          <w:sz w:val="20"/>
          <w:szCs w:val="20"/>
          <w:color w:val="auto"/>
        </w:rPr>
      </w:pPr>
      <w:r>
        <w:rPr>
          <w:rFonts w:ascii="Arial" w:cs="Arial" w:eastAsia="Arial" w:hAnsi="Arial"/>
          <w:sz w:val="22"/>
          <w:szCs w:val="22"/>
          <w:color w:val="auto"/>
        </w:rPr>
        <w:t>8.6.1</w:t>
      </w:r>
      <w:r>
        <w:rPr>
          <w:sz w:val="20"/>
          <w:szCs w:val="20"/>
          <w:color w:val="auto"/>
        </w:rPr>
        <w:tab/>
      </w:r>
      <w:r>
        <w:rPr>
          <w:rFonts w:ascii="Arial" w:cs="Arial" w:eastAsia="Arial" w:hAnsi="Arial"/>
          <w:sz w:val="20"/>
          <w:szCs w:val="20"/>
          <w:b w:val="1"/>
          <w:bCs w:val="1"/>
          <w:u w:val="single" w:color="auto"/>
          <w:color w:val="auto"/>
        </w:rPr>
        <w:t>Commencement of Distributions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Distributions on account of a Distribution Event other than Disability will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commence between the date of the Distribution Event and the end of the year in which the Distribution Event occurs. If a Distribution Event other than Disability occurs on or after October 1 of a Plan Year, the distribution may, to the extent permitted by Section 409A, commence after the Distribution Event and on or before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Distribution Event, even if after the end of the year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21" w:right="339" w:bottom="1440" w:gutter="0" w:footer="0" w:header="0"/>
        </w:sectPr>
      </w:pPr>
    </w:p>
    <w:bookmarkStart w:id="243" w:name="page244"/>
    <w:bookmarkEnd w:id="243"/>
    <w:p>
      <w:pPr>
        <w:ind w:left="906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68" w:lineRule="auto"/>
        <w:rPr>
          <w:sz w:val="20"/>
          <w:szCs w:val="20"/>
          <w:color w:val="auto"/>
        </w:rPr>
      </w:pPr>
      <w:r>
        <w:rPr>
          <w:rFonts w:ascii="Arial" w:cs="Arial" w:eastAsia="Arial" w:hAnsi="Arial"/>
          <w:sz w:val="19"/>
          <w:szCs w:val="19"/>
          <w:color w:val="auto"/>
        </w:rPr>
        <w:t>which the Distribution Event occurs; provided, however, the Participant will not be permitted, directly or indirectly, to designate the taxable year of the distribution. Any distribution that complies with this section shall be deemed for all purposes to comply with the Plan requirements regarding the time and form of distributions.</w:t>
      </w:r>
    </w:p>
    <w:p>
      <w:pPr>
        <w:spacing w:after="0" w:line="126" w:lineRule="exact"/>
        <w:rPr>
          <w:sz w:val="20"/>
          <w:szCs w:val="20"/>
          <w:color w:val="auto"/>
        </w:rPr>
      </w:pPr>
    </w:p>
    <w:p>
      <w:pPr>
        <w:jc w:val="both"/>
        <w:ind w:left="180" w:hanging="647"/>
        <w:spacing w:after="0" w:line="246" w:lineRule="auto"/>
        <w:tabs>
          <w:tab w:leader="none" w:pos="160" w:val="left"/>
        </w:tabs>
        <w:rPr>
          <w:sz w:val="20"/>
          <w:szCs w:val="20"/>
          <w:color w:val="auto"/>
        </w:rPr>
      </w:pPr>
      <w:r>
        <w:rPr>
          <w:rFonts w:ascii="Arial" w:cs="Arial" w:eastAsia="Arial" w:hAnsi="Arial"/>
          <w:sz w:val="22"/>
          <w:szCs w:val="22"/>
          <w:color w:val="auto"/>
        </w:rPr>
        <w:t>8.6.2</w:t>
      </w:r>
      <w:r>
        <w:rPr>
          <w:sz w:val="20"/>
          <w:szCs w:val="20"/>
          <w:color w:val="auto"/>
        </w:rPr>
        <w:tab/>
      </w:r>
      <w:r>
        <w:rPr>
          <w:rFonts w:ascii="Arial" w:cs="Arial" w:eastAsia="Arial" w:hAnsi="Arial"/>
          <w:sz w:val="19"/>
          <w:szCs w:val="19"/>
          <w:b w:val="1"/>
          <w:bCs w:val="1"/>
          <w:u w:val="single" w:color="auto"/>
          <w:color w:val="auto"/>
        </w:rPr>
        <w:t>Distributions to Specified Employees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anything to the contrary in this Plan, if a Participant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becomes entitled to a distribution on account of a Retirement and is a Specified Employee on the date of the Retirement, distributions shall not commence until the earlier of: (i) the expiration of the six-month period beginning on the date of Participant’s Retirement, or (ii) the date of the Participant’s death. Payments to which a Specified Employee would otherwise be entitled during this six-month period shall be accumulated and paid, together with earnings (calculated using the interest rate adopted by the Administrator for determining actuarial equivalence) that have accrued during this six-month delay, during the seventh month following the date of the Participant’s Retirement, or, if earlier, the date of the Participant’s death.</w:t>
      </w:r>
    </w:p>
    <w:p>
      <w:pPr>
        <w:spacing w:after="0" w:line="152" w:lineRule="exact"/>
        <w:rPr>
          <w:sz w:val="20"/>
          <w:szCs w:val="20"/>
          <w:color w:val="auto"/>
        </w:rPr>
      </w:pPr>
    </w:p>
    <w:p>
      <w:pPr>
        <w:jc w:val="both"/>
        <w:ind w:left="180" w:right="20" w:hanging="647"/>
        <w:spacing w:after="0" w:line="281" w:lineRule="auto"/>
        <w:tabs>
          <w:tab w:leader="none" w:pos="160" w:val="left"/>
        </w:tabs>
        <w:rPr>
          <w:sz w:val="20"/>
          <w:szCs w:val="20"/>
          <w:color w:val="auto"/>
        </w:rPr>
      </w:pPr>
      <w:r>
        <w:rPr>
          <w:rFonts w:ascii="Arial" w:cs="Arial" w:eastAsia="Arial" w:hAnsi="Arial"/>
          <w:sz w:val="22"/>
          <w:szCs w:val="22"/>
          <w:color w:val="auto"/>
        </w:rPr>
        <w:t>8.6.3</w:t>
      </w:r>
      <w:r>
        <w:rPr>
          <w:sz w:val="20"/>
          <w:szCs w:val="20"/>
          <w:color w:val="auto"/>
        </w:rPr>
        <w:tab/>
      </w:r>
      <w:r>
        <w:rPr>
          <w:rFonts w:ascii="Arial" w:cs="Arial" w:eastAsia="Arial" w:hAnsi="Arial"/>
          <w:sz w:val="20"/>
          <w:szCs w:val="20"/>
          <w:b w:val="1"/>
          <w:bCs w:val="1"/>
          <w:u w:val="single" w:color="auto"/>
          <w:color w:val="auto"/>
        </w:rPr>
        <w:t>Disability</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Unless subsequently changed in accordance with the Plan, distributions on account of Disability will</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commence on the earlier of the Participant’s 65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birthday or the second anniversary of the Disability.</w:t>
      </w:r>
    </w:p>
    <w:p>
      <w:pPr>
        <w:spacing w:after="0" w:line="29" w:lineRule="exact"/>
        <w:rPr>
          <w:sz w:val="20"/>
          <w:szCs w:val="20"/>
          <w:color w:val="auto"/>
        </w:rPr>
      </w:pPr>
    </w:p>
    <w:p>
      <w:pPr>
        <w:jc w:val="both"/>
        <w:ind w:left="180" w:hanging="647"/>
        <w:spacing w:after="0" w:line="219" w:lineRule="auto"/>
        <w:tabs>
          <w:tab w:leader="none" w:pos="160" w:val="left"/>
        </w:tabs>
        <w:rPr>
          <w:sz w:val="20"/>
          <w:szCs w:val="20"/>
          <w:color w:val="auto"/>
        </w:rPr>
      </w:pPr>
      <w:r>
        <w:rPr>
          <w:rFonts w:ascii="Arial" w:cs="Arial" w:eastAsia="Arial" w:hAnsi="Arial"/>
          <w:sz w:val="22"/>
          <w:szCs w:val="22"/>
          <w:color w:val="auto"/>
        </w:rPr>
        <w:t>8.6.4</w:t>
      </w:r>
      <w:r>
        <w:rPr>
          <w:sz w:val="20"/>
          <w:szCs w:val="20"/>
          <w:color w:val="auto"/>
        </w:rPr>
        <w:tab/>
      </w:r>
      <w:r>
        <w:rPr>
          <w:rFonts w:ascii="Arial" w:cs="Arial" w:eastAsia="Arial" w:hAnsi="Arial"/>
          <w:sz w:val="21"/>
          <w:szCs w:val="21"/>
          <w:b w:val="1"/>
          <w:bCs w:val="1"/>
          <w:u w:val="single" w:color="auto"/>
          <w:color w:val="auto"/>
        </w:rPr>
        <w:t>Annuity Payments and Installments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a Participant elects to receive all or a portion of the distributions in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monthly installments, that portion to be paid in installments will be paid in substantially equal monthly installments in consecutive months over a 15-year period. If a Participant elects to receive all or a portion of the distributions in the form of a life annuity, that portion to be paid as a life annuity will be paid in monthly installments in consecutive months for the remainder of the Participant’s life, in the case of a unmarried Participant, and in the case of a married Participant over the lives of the Participant and the Participant’s Eligible Surviving Spouse. Each monthly installment or life annuity payment will be paid during the Plan Year in which it is due, commencing as described in Section 8.6.1. During the Plan Year in which distributions commence, the Participant will receive one installment or life annuity payment for each calendar month beginning after the date of the Distribution Event. If the Participant has elected to be paid in installments, during the distribution period the portion of the Participant’s Account to be paid in installments will be credited with interest compounded monthly at the interest rate used by the Administrator to determine actuarial equivalence. Any distribution that complies with this section shall be deemed for all purposes to comply with the Plan requirements regarding the time and form of distributions.</w:t>
      </w:r>
    </w:p>
    <w:p>
      <w:pPr>
        <w:spacing w:after="0" w:line="155" w:lineRule="exact"/>
        <w:rPr>
          <w:sz w:val="20"/>
          <w:szCs w:val="20"/>
          <w:color w:val="auto"/>
        </w:rPr>
      </w:pPr>
    </w:p>
    <w:p>
      <w:pPr>
        <w:jc w:val="both"/>
        <w:ind w:left="180" w:hanging="647"/>
        <w:spacing w:after="0" w:line="222" w:lineRule="auto"/>
        <w:tabs>
          <w:tab w:leader="none" w:pos="160" w:val="left"/>
        </w:tabs>
        <w:rPr>
          <w:sz w:val="20"/>
          <w:szCs w:val="20"/>
          <w:color w:val="auto"/>
        </w:rPr>
      </w:pPr>
      <w:r>
        <w:rPr>
          <w:rFonts w:ascii="Arial" w:cs="Arial" w:eastAsia="Arial" w:hAnsi="Arial"/>
          <w:sz w:val="22"/>
          <w:szCs w:val="22"/>
          <w:color w:val="auto"/>
        </w:rPr>
        <w:t>8.6.5</w:t>
      </w:r>
      <w:r>
        <w:rPr>
          <w:sz w:val="20"/>
          <w:szCs w:val="20"/>
          <w:color w:val="auto"/>
        </w:rPr>
        <w:tab/>
      </w:r>
      <w:r>
        <w:rPr>
          <w:rFonts w:ascii="Arial" w:cs="Arial" w:eastAsia="Arial" w:hAnsi="Arial"/>
          <w:sz w:val="21"/>
          <w:szCs w:val="21"/>
          <w:b w:val="1"/>
          <w:bCs w:val="1"/>
          <w:u w:val="single" w:color="auto"/>
          <w:color w:val="auto"/>
        </w:rPr>
        <w:t>Death After Commencement of Benefits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the death of a Participant after distributions of the Participant’s</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Retirement Benefit have commenced, the remainder of the Participant’s Retirement Benefit will continue to be distributed to the Participant’s Beneficiary at the same time and in the same form as the benefit would have been distributed to the Participant had the Participant survived, except to the extent that the Participant had elected a life annuity: (i) if the Participant has an Eligible Surviving Spouse on the date of death, the surviving spouse will receive 60% of the Participant’s life annuity benefit for the remainder of the spouse’s life and (ii) if the Participant does not have an Eligible Surviving Spouse, the annuity will cease as of the first day of the month following the month during which the Participant died.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21" w:right="339" w:bottom="1440" w:gutter="0" w:footer="0" w:header="0"/>
        </w:sectPr>
      </w:pPr>
    </w:p>
    <w:bookmarkStart w:id="244" w:name="page245"/>
    <w:bookmarkEnd w:id="244"/>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Arial" w:cs="Arial" w:eastAsia="Arial" w:hAnsi="Arial"/>
          <w:sz w:val="22"/>
          <w:szCs w:val="22"/>
          <w:color w:val="auto"/>
        </w:rPr>
        <w:t>8.6.6</w:t>
      </w:r>
      <w:r>
        <w:rPr>
          <w:sz w:val="20"/>
          <w:szCs w:val="20"/>
          <w:color w:val="auto"/>
        </w:rPr>
        <w:tab/>
      </w:r>
      <w:r>
        <w:rPr>
          <w:rFonts w:ascii="Arial" w:cs="Arial" w:eastAsia="Arial" w:hAnsi="Arial"/>
          <w:sz w:val="19"/>
          <w:szCs w:val="19"/>
          <w:b w:val="1"/>
          <w:bCs w:val="1"/>
          <w:u w:val="single" w:color="auto"/>
          <w:color w:val="auto"/>
        </w:rPr>
        <w:t>Effect of Change of Control</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 respect to any Participant whose Retirement Benefit distributions have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commenced, or would commence, upon a Separation from Service, if (a) the Participant’s Separation from Service occurs within two years following a Change in Control or (b) a Change in Control occurs within six months after the Participant’s Separation from Service, then notwithstanding the Participant’s elections regarding distributions upon a Separation from Service, the Participant shall receive a distribution of the Participant’s entire remaining vested Retirement Benefit in a single lump sum upon the later of the Separation from Service or the Change in Control, whether or not distributions have already commenced. Any Retirement Benefit that does not become payable in a lump sum in accordance with this section will vest, if at all, in accordance with Section 8.2, will become payable in accordance with Section 8.5, and will otherwise remain subject to the provisions of Article 8.</w:t>
      </w:r>
    </w:p>
    <w:p>
      <w:pPr>
        <w:spacing w:after="0" w:line="39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u w:val="single" w:color="auto"/>
          <w:color w:val="auto"/>
        </w:rPr>
        <w:t>Subsequent Changes in Time and Form of Payment</w:t>
      </w:r>
      <w:r>
        <w:rPr>
          <w:rFonts w:ascii="Arial" w:cs="Arial" w:eastAsia="Arial" w:hAnsi="Arial"/>
          <w:sz w:val="19"/>
          <w:szCs w:val="19"/>
          <w:b w:val="1"/>
          <w:bCs w:val="1"/>
          <w:color w:val="auto"/>
        </w:rPr>
        <w:t>.</w:t>
      </w:r>
      <w:r>
        <w:rPr>
          <w:rFonts w:ascii="Arial" w:cs="Arial" w:eastAsia="Arial" w:hAnsi="Arial"/>
          <w:sz w:val="19"/>
          <w:szCs w:val="19"/>
          <w:color w:val="auto"/>
        </w:rPr>
        <w:t xml:space="preserve"> A Participant may, in accordance with rules, procedures and forms specified from time to time by the Administrator, elect to change the form in which the Participant’s Retirement Benefit is distributed, provided that: (i) the Participant elects at least twelve (12) months prior to the date on which payments are otherwise scheduled to commence; (ii) the new election does not take effect for at least twelve (12) months; and (iii) with respect to changes applicable to distributions upon Retirement or, solely with respect to a Participant who vests after becoming Disabled, distributions upon attaining age 65, distributions must be deferred for at least five years from the date the distributions would otherwise have been paid, or in the case of installment payments or life annuity payments, five years from the date the installments or life annuity payments were scheduled to commence. Any such election shall be irrevocable on the date it is filed with the Administrator unless subsequently changed pursuant to this section. For purposes of this section, distributions are considered to commence on the date of the Distribution Event.</w:t>
      </w:r>
    </w:p>
    <w:p>
      <w:pPr>
        <w:spacing w:after="0" w:line="155"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 xml:space="preserve">8.8 </w:t>
      </w:r>
      <w:r>
        <w:rPr>
          <w:rFonts w:ascii="Arial" w:cs="Arial" w:eastAsia="Arial" w:hAnsi="Arial"/>
          <w:sz w:val="21"/>
          <w:szCs w:val="21"/>
          <w:b w:val="1"/>
          <w:bCs w:val="1"/>
          <w:u w:val="single" w:color="auto"/>
          <w:color w:val="auto"/>
        </w:rPr>
        <w:t>FICA and Other Taxes</w:t>
      </w:r>
      <w:r>
        <w:rPr>
          <w:rFonts w:ascii="Arial" w:cs="Arial" w:eastAsia="Arial" w:hAnsi="Arial"/>
          <w:sz w:val="21"/>
          <w:szCs w:val="21"/>
          <w:b w:val="1"/>
          <w:bCs w:val="1"/>
          <w:color w:val="auto"/>
        </w:rPr>
        <w:t>.</w:t>
      </w:r>
      <w:r>
        <w:rPr>
          <w:rFonts w:ascii="Arial" w:cs="Arial" w:eastAsia="Arial" w:hAnsi="Arial"/>
          <w:sz w:val="21"/>
          <w:szCs w:val="21"/>
          <w:color w:val="auto"/>
        </w:rPr>
        <w:t xml:space="preserve"> At the time of a Participant’s Distribution Event, the Participant’s Employer(s) shall, in a manner determined by the Employer(s), calculate the FICA and other required employment or state, local, and foreign taxes due on the lump sum present value, calculated using the factors adopted by the Administrator for determining actuarial equivalence, of the Participant’s Retirement Benefit and shall reduce the Participant’s Retirement Benefit by the amount of any such taxes payable by the Participant. The amount of the Participant’s Retirement Benefit remaining after reduction for any taxes shall be payable in accordance with Sections 8.6 and 8.7.</w:t>
      </w:r>
    </w:p>
    <w:p>
      <w:pPr>
        <w:spacing w:after="0" w:line="14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9</w:t>
      </w:r>
    </w:p>
    <w:p>
      <w:pPr>
        <w:ind w:left="4120"/>
        <w:spacing w:after="0"/>
        <w:rPr>
          <w:sz w:val="20"/>
          <w:szCs w:val="20"/>
          <w:color w:val="auto"/>
        </w:rPr>
      </w:pPr>
      <w:r>
        <w:rPr>
          <w:rFonts w:ascii="Arial" w:cs="Arial" w:eastAsia="Arial" w:hAnsi="Arial"/>
          <w:sz w:val="22"/>
          <w:szCs w:val="22"/>
          <w:b w:val="1"/>
          <w:bCs w:val="1"/>
          <w:color w:val="auto"/>
        </w:rPr>
        <w:t>Payment Acceleration and Delay</w:t>
      </w:r>
    </w:p>
    <w:p>
      <w:pPr>
        <w:spacing w:after="0" w:line="155"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Permitted Accelerations of Payment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Except as otherwise provided herein or permitted by Section 409A, the Plan</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prohibits the acceleration of the time or schedule of any payment due under the Plan.</w:t>
      </w:r>
    </w:p>
    <w:p>
      <w:pPr>
        <w:spacing w:after="0" w:line="153"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u w:val="single" w:color="auto"/>
          <w:color w:val="auto"/>
        </w:rPr>
        <w:t>Distribution in the Event of Taxation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If, for any reason, all or any portion of any benefit provided by the Plan</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becomes taxable to a Participant because of a violation of Section 409A prior to receipt, the Participant may file a written request with the Administrator for a distribution of that portion of the Plan benefit that has become taxable. Upon the grant of such a request, which grant shall not be unreasonably withheld, the Participant shall receive a distribution equal to the taxable portion of the Plan benefit. If the request is granted, the tax liability distribution shall be paid between the date on which the Participant’s request is approved and the end of the Plan Year during which the approval occurred,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later,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the third calendar month following the date on which the Participant’s request is approved.</w:t>
      </w:r>
    </w:p>
    <w:p>
      <w:pPr>
        <w:spacing w:after="0" w:line="135"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u w:val="single" w:color="auto"/>
          <w:color w:val="auto"/>
        </w:rPr>
        <w:t>Compliance with Ethics Laws or Conflicts of Interests Laws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Administrator is authorized, in its sole</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discretion, to accelerate the time or schedule of a payment to the extent necessary to avoid the violation of any applicable federal, state, local, or foreign ethics law or conflicts of interest law as provided in Section 409A.</w:t>
      </w:r>
    </w:p>
    <w:p>
      <w:pPr>
        <w:spacing w:after="0" w:line="124" w:lineRule="exact"/>
        <w:rPr>
          <w:sz w:val="20"/>
          <w:szCs w:val="20"/>
          <w:color w:val="auto"/>
        </w:rPr>
      </w:pPr>
    </w:p>
    <w:p>
      <w:pPr>
        <w:jc w:val="both"/>
        <w:ind w:left="1300" w:hanging="647"/>
        <w:spacing w:after="0" w:line="215" w:lineRule="auto"/>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b w:val="1"/>
          <w:bCs w:val="1"/>
          <w:u w:val="single" w:color="auto"/>
          <w:color w:val="auto"/>
        </w:rPr>
        <w:t>Small Accounts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distribute in a single lump sum the aggregate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amounts of Deferrals or Elective Deferrals or both credited to the Participant’s Account, along with any related earnings, provided: (i) the distribution results in the payment of the Participant’s entire interest in the Account and all Aggregated Plans, and (ii) the total payment does not exceed the applicable dollar limit under Code section 402(g)(1)(B). The Administrator shall notify the Participant in writing if the Administrator exercises its discretion pursuant to this Section.</w:t>
      </w:r>
    </w:p>
    <w:p>
      <w:pPr>
        <w:spacing w:after="0" w:line="152" w:lineRule="exact"/>
        <w:rPr>
          <w:sz w:val="20"/>
          <w:szCs w:val="20"/>
          <w:color w:val="auto"/>
        </w:rPr>
      </w:pPr>
    </w:p>
    <w:p>
      <w:pPr>
        <w:jc w:val="both"/>
        <w:ind w:left="1300" w:hanging="647"/>
        <w:spacing w:after="0" w:line="230" w:lineRule="auto"/>
        <w:tabs>
          <w:tab w:leader="none" w:pos="12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1"/>
          <w:szCs w:val="21"/>
          <w:b w:val="1"/>
          <w:bCs w:val="1"/>
          <w:u w:val="single" w:color="auto"/>
          <w:color w:val="auto"/>
        </w:rPr>
        <w:t>Settlement of a Bona Fide Dispute</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Administrator may, in its sole discretion, accelerate the time or schedule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of a distribution as part of a settlement of a bona fide dispute between the Participant and the Employer over the Participant’s right to a distribution provided that the distribution relates only to the deferred compensation in dispute and the Employer is not experiencing a downturn in financial health.</w:t>
      </w:r>
    </w:p>
    <w:p>
      <w:pPr>
        <w:spacing w:after="0" w:line="154" w:lineRule="exact"/>
        <w:rPr>
          <w:sz w:val="20"/>
          <w:szCs w:val="20"/>
          <w:color w:val="auto"/>
        </w:rPr>
      </w:pPr>
    </w:p>
    <w:p>
      <w:pPr>
        <w:jc w:val="both"/>
        <w:ind w:left="1300" w:hanging="647"/>
        <w:spacing w:after="0" w:line="225" w:lineRule="auto"/>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2"/>
          <w:szCs w:val="22"/>
          <w:b w:val="1"/>
          <w:bCs w:val="1"/>
          <w:u w:val="single" w:color="auto"/>
          <w:color w:val="auto"/>
        </w:rPr>
        <w:t>Settlement of Debt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may, in its sole discretion, accelerate the time or schedule of a payment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satisfy an ordinary debt owed by the Participant to the Employer at the time the debt becomes due as provided in Section 409A.</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u w:val="single" w:color="auto"/>
          <w:color w:val="auto"/>
        </w:rPr>
        <w:t>Permissible Payment Delays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Notwithstanding anything in the Plan to the contrary, to the extent permitted by Section</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409A, the Administrator may, in its sole discretion, delay a distribution to a Participant:</w:t>
      </w:r>
    </w:p>
    <w:p>
      <w:pPr>
        <w:spacing w:after="0" w:line="161" w:lineRule="exact"/>
        <w:rPr>
          <w:sz w:val="20"/>
          <w:szCs w:val="20"/>
          <w:color w:val="auto"/>
        </w:rPr>
      </w:pPr>
    </w:p>
    <w:p>
      <w:pPr>
        <w:jc w:val="both"/>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color w:val="auto"/>
        </w:rPr>
        <w:t>If the distribution would jeopardize the Employer’s ability to continue as a going concern, provided that the delayed amount is distributed in the first calendar year in which the payment would not have such effect.</w:t>
      </w:r>
    </w:p>
    <w:p>
      <w:pPr>
        <w:spacing w:after="0" w:line="151" w:lineRule="exact"/>
        <w:rPr>
          <w:sz w:val="20"/>
          <w:szCs w:val="20"/>
          <w:color w:val="auto"/>
        </w:rPr>
      </w:pPr>
    </w:p>
    <w:p>
      <w:pPr>
        <w:jc w:val="both"/>
        <w:ind w:left="1300" w:hanging="647"/>
        <w:spacing w:after="0" w:line="218" w:lineRule="auto"/>
        <w:tabs>
          <w:tab w:leader="none" w:pos="1280" w:val="left"/>
        </w:tabs>
        <w:rPr>
          <w:sz w:val="20"/>
          <w:szCs w:val="20"/>
          <w:color w:val="auto"/>
        </w:rPr>
      </w:pPr>
      <w:r>
        <w:rPr>
          <w:rFonts w:ascii="Arial" w:cs="Arial" w:eastAsia="Arial" w:hAnsi="Arial"/>
          <w:sz w:val="22"/>
          <w:szCs w:val="22"/>
          <w:color w:val="auto"/>
        </w:rPr>
        <w:t>1.1.2</w:t>
        <w:tab/>
        <w:t>If the Company reasonably anticipates that its deduction with respect to a distribution, if paid as scheduled, could be limited or barred by the application of Code section 162(m), provided the delayed amount is distributed in the first calendar year in which the Company reasonably anticipates that the deduction would not be limited or barred by the application of Code section 162(m).</w:t>
      </w:r>
    </w:p>
    <w:p>
      <w:pPr>
        <w:spacing w:after="0" w:line="161" w:lineRule="exact"/>
        <w:rPr>
          <w:sz w:val="20"/>
          <w:szCs w:val="20"/>
          <w:color w:val="auto"/>
        </w:rPr>
      </w:pPr>
    </w:p>
    <w:p>
      <w:pPr>
        <w:jc w:val="both"/>
        <w:ind w:left="1300" w:right="20" w:hanging="647"/>
        <w:spacing w:after="0" w:line="223" w:lineRule="auto"/>
        <w:tabs>
          <w:tab w:leader="none" w:pos="1280" w:val="left"/>
        </w:tabs>
        <w:rPr>
          <w:sz w:val="20"/>
          <w:szCs w:val="20"/>
          <w:color w:val="auto"/>
        </w:rPr>
      </w:pPr>
      <w:r>
        <w:rPr>
          <w:rFonts w:ascii="Arial" w:cs="Arial" w:eastAsia="Arial" w:hAnsi="Arial"/>
          <w:sz w:val="22"/>
          <w:szCs w:val="22"/>
          <w:color w:val="auto"/>
        </w:rPr>
        <w:t>1.1.3</w:t>
        <w:tab/>
        <w:t>If the distribution would violate Federal securities or other applicable laws, provided that the delayed amount is distributed at the earliest date at which the Administrator reasonably anticipates that the distribution will not cause such violation.</w:t>
      </w:r>
    </w:p>
    <w:p>
      <w:pPr>
        <w:spacing w:after="0" w:line="159" w:lineRule="exact"/>
        <w:rPr>
          <w:sz w:val="20"/>
          <w:szCs w:val="20"/>
          <w:color w:val="auto"/>
        </w:rPr>
      </w:pPr>
    </w:p>
    <w:p>
      <w:pPr>
        <w:jc w:val="both"/>
        <w:ind w:left="1300" w:hanging="647"/>
        <w:spacing w:after="0" w:line="223" w:lineRule="auto"/>
        <w:tabs>
          <w:tab w:leader="none" w:pos="1280" w:val="left"/>
        </w:tabs>
        <w:rPr>
          <w:sz w:val="20"/>
          <w:szCs w:val="20"/>
          <w:color w:val="auto"/>
        </w:rPr>
      </w:pPr>
      <w:r>
        <w:rPr>
          <w:rFonts w:ascii="Arial" w:cs="Arial" w:eastAsia="Arial" w:hAnsi="Arial"/>
          <w:sz w:val="22"/>
          <w:szCs w:val="22"/>
          <w:color w:val="auto"/>
        </w:rPr>
        <w:t>1.1.4</w:t>
        <w:tab/>
        <w:t>If calculation of the distribution is not administratively practicable due to events beyond the control of the Participant, provided that the delayed amount is distributed in the first calendar year in which the calculation of the distribution is administratively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1" w:right="339" w:bottom="1440" w:gutter="0" w:footer="0" w:header="0"/>
        </w:sectPr>
      </w:pPr>
    </w:p>
    <w:bookmarkStart w:id="246" w:name="page247"/>
    <w:bookmarkEnd w:id="246"/>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60" w:hanging="647"/>
        <w:spacing w:after="0" w:line="225"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b w:val="1"/>
          <w:bCs w:val="1"/>
          <w:u w:val="single" w:color="auto"/>
          <w:color w:val="auto"/>
        </w:rPr>
        <w:t>Suspension Not Allowed</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 Participant whose distributions have commenced becomes eligible again to defer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compensation as a Participant in any plan subject to Section 409A maintained by a Related Company, distribution of the Participant’s Retirement Benefit or Account may not be suspended.</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10</w:t>
      </w:r>
    </w:p>
    <w:p>
      <w:pPr>
        <w:jc w:val="center"/>
        <w:spacing w:after="0"/>
        <w:rPr>
          <w:sz w:val="20"/>
          <w:szCs w:val="20"/>
          <w:color w:val="auto"/>
        </w:rPr>
      </w:pPr>
      <w:r>
        <w:rPr>
          <w:rFonts w:ascii="Arial" w:cs="Arial" w:eastAsia="Arial" w:hAnsi="Arial"/>
          <w:sz w:val="22"/>
          <w:szCs w:val="22"/>
          <w:b w:val="1"/>
          <w:bCs w:val="1"/>
          <w:color w:val="auto"/>
        </w:rPr>
        <w:t>Beneficiary Designation</w:t>
      </w:r>
    </w:p>
    <w:p>
      <w:pPr>
        <w:spacing w:after="0" w:line="155" w:lineRule="exact"/>
        <w:rPr>
          <w:sz w:val="20"/>
          <w:szCs w:val="20"/>
          <w:color w:val="auto"/>
        </w:rPr>
      </w:pPr>
    </w:p>
    <w:p>
      <w:pPr>
        <w:jc w:val="both"/>
        <w:ind w:left="660" w:hanging="647"/>
        <w:spacing w:after="0" w:line="212"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b w:val="1"/>
          <w:bCs w:val="1"/>
          <w:u w:val="single" w:color="auto"/>
          <w:color w:val="auto"/>
        </w:rPr>
        <w:t>Beneficiary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Each Participant shall have the right, in accordance with procedures established from time to time by the</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Administrator, to designate a Beneficiary(ies) (both primary as well as contingent) to whom Plan benefits shall, if permitted by the Plan, be paid if a Participant dies prior to complete distribution of benefits. Each Beneficiary designation shall be in a written form prescribed by the Administrator, and will be effective only when filed with the Administrator during the Participant’s lifetime. Any Beneficiary designation may be changed by a Participant without the consent of the previously named Beneficiary by filing a new Beneficiary designation with the Administrator. The most recent Beneficiary designation received by the Administrator shall control the payment of all benefits under the Plan in the event of the Participant’s death.</w:t>
      </w:r>
    </w:p>
    <w:p>
      <w:pPr>
        <w:spacing w:after="0" w:line="156"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No Beneficiary Designation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 the absence of an effective Beneficiary designation, or if all designated Beneficiaries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predecease the Participant or die prior to the complete distribution of the Participant’s benefits, benefits shall be paid in the following order of precedence: (a) the Participant’s surviving spouse; (b) the Participant’s children (including adopted children), per stirpes; or (c) the Participant’s estate.</w:t>
      </w:r>
    </w:p>
    <w:p>
      <w:pPr>
        <w:spacing w:after="0" w:line="200" w:lineRule="exact"/>
        <w:rPr>
          <w:sz w:val="20"/>
          <w:szCs w:val="20"/>
          <w:color w:val="auto"/>
        </w:rPr>
      </w:pPr>
    </w:p>
    <w:p>
      <w:pPr>
        <w:spacing w:after="0" w:line="398"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11</w:t>
      </w:r>
    </w:p>
    <w:p>
      <w:pPr>
        <w:ind w:left="4760"/>
        <w:spacing w:after="0"/>
        <w:rPr>
          <w:sz w:val="20"/>
          <w:szCs w:val="20"/>
          <w:color w:val="auto"/>
        </w:rPr>
      </w:pPr>
      <w:r>
        <w:rPr>
          <w:rFonts w:ascii="Arial" w:cs="Arial" w:eastAsia="Arial" w:hAnsi="Arial"/>
          <w:sz w:val="22"/>
          <w:szCs w:val="22"/>
          <w:b w:val="1"/>
          <w:bCs w:val="1"/>
          <w:color w:val="auto"/>
        </w:rPr>
        <w:t>Claims Procedures</w:t>
      </w:r>
    </w:p>
    <w:p>
      <w:pPr>
        <w:spacing w:after="0" w:line="155"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u w:val="single" w:color="auto"/>
          <w:color w:val="auto"/>
        </w:rPr>
        <w:t>Presentation of Claim</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Any Participant or Beneficiary of a deceased Participant (such Participant or Beneficiary being</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referred to below as a “Claimant”) may file with the Administrator a written claim for a determination with respect to Plan benefits. The claim must state with particularity the determination desired by the Claimant.</w:t>
      </w:r>
    </w:p>
    <w:p>
      <w:pPr>
        <w:spacing w:after="0" w:line="152"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Notification of Decision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Administrator shall consider a Claimant’s claim, and, except as provided below, within 90</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days after the claim is received, shall notify the Claimant in writing:</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That the claim has been allowed in full; or</w:t>
      </w:r>
    </w:p>
    <w:p>
      <w:pPr>
        <w:spacing w:after="0" w:line="179" w:lineRule="exact"/>
        <w:rPr>
          <w:sz w:val="20"/>
          <w:szCs w:val="20"/>
          <w:color w:val="auto"/>
        </w:rPr>
      </w:pPr>
    </w:p>
    <w:p>
      <w:pPr>
        <w:ind w:left="1300" w:right="20" w:hanging="647"/>
        <w:spacing w:after="0" w:line="232" w:lineRule="auto"/>
        <w:tabs>
          <w:tab w:leader="none" w:pos="1280" w:val="left"/>
        </w:tabs>
        <w:rPr>
          <w:sz w:val="20"/>
          <w:szCs w:val="20"/>
          <w:color w:val="auto"/>
        </w:rPr>
      </w:pPr>
      <w:r>
        <w:rPr>
          <w:rFonts w:ascii="Arial" w:cs="Arial" w:eastAsia="Arial" w:hAnsi="Arial"/>
          <w:sz w:val="22"/>
          <w:szCs w:val="22"/>
          <w:color w:val="auto"/>
        </w:rPr>
        <w:t>1.1.2</w:t>
        <w:tab/>
        <w:t>That the claim has been denied, in whole or in part, and such notice must set forth in a manner calculated to be understood by the Claimant:</w:t>
      </w:r>
    </w:p>
    <w:p>
      <w:pPr>
        <w:spacing w:after="0" w:line="159" w:lineRule="exact"/>
        <w:rPr>
          <w:sz w:val="20"/>
          <w:szCs w:val="20"/>
          <w:color w:val="auto"/>
        </w:rPr>
      </w:pPr>
    </w:p>
    <w:p>
      <w:pPr>
        <w:ind w:left="1940" w:hanging="636"/>
        <w:spacing w:after="0"/>
        <w:tabs>
          <w:tab w:leader="none" w:pos="19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specific reason(s) for the denial of the claim, or any part of it;</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Specific reference(s) to pertinent provisions of the Plan upon which such denial was based;</w:t>
      </w:r>
    </w:p>
    <w:p>
      <w:pPr>
        <w:spacing w:after="0" w:line="179" w:lineRule="exact"/>
        <w:rPr>
          <w:rFonts w:ascii="Arial" w:cs="Arial" w:eastAsia="Arial" w:hAnsi="Arial"/>
          <w:sz w:val="22"/>
          <w:szCs w:val="22"/>
          <w:color w:val="auto"/>
        </w:rPr>
      </w:pPr>
    </w:p>
    <w:p>
      <w:pPr>
        <w:ind w:left="1960" w:right="20" w:hanging="656"/>
        <w:spacing w:after="0" w:line="232" w:lineRule="auto"/>
        <w:tabs>
          <w:tab w:leader="none" w:pos="1957"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description of any additional material or information necessary for the Claimant to perfect the claim, and an explanation of why such material or information is necessary;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2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960" w:hanging="656"/>
        <w:spacing w:after="0" w:line="223" w:lineRule="auto"/>
        <w:tabs>
          <w:tab w:leader="none" w:pos="1955"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 explanation of the claim review procedures and time limits, including a statement of the Claimant’s right to initiate a civil action pursuant to section 502(a) of ERISA following an adverse determination upon review.</w:t>
      </w:r>
    </w:p>
    <w:p>
      <w:pPr>
        <w:spacing w:after="0" w:line="159" w:lineRule="exact"/>
        <w:rPr>
          <w:sz w:val="20"/>
          <w:szCs w:val="20"/>
          <w:color w:val="auto"/>
        </w:rPr>
      </w:pPr>
    </w:p>
    <w:p>
      <w:pPr>
        <w:jc w:val="both"/>
        <w:ind w:left="1300" w:right="20" w:hanging="647"/>
        <w:spacing w:after="0" w:line="223" w:lineRule="auto"/>
        <w:tabs>
          <w:tab w:leader="none" w:pos="1280" w:val="left"/>
        </w:tabs>
        <w:rPr>
          <w:sz w:val="20"/>
          <w:szCs w:val="20"/>
          <w:color w:val="auto"/>
        </w:rPr>
      </w:pPr>
      <w:r>
        <w:rPr>
          <w:rFonts w:ascii="Arial" w:cs="Arial" w:eastAsia="Arial" w:hAnsi="Arial"/>
          <w:sz w:val="22"/>
          <w:szCs w:val="22"/>
          <w:color w:val="auto"/>
        </w:rPr>
        <w:t>1.1.3</w:t>
        <w:tab/>
        <w:t>If the Administrator determines that an extension of time for processing is required, written notice of the extension shall be furnished to the Claimant prior to termination of the original 90-day period. In no event shall such extension exceed 90 days from the end of such initial period.</w:t>
      </w:r>
    </w:p>
    <w:p>
      <w:pPr>
        <w:spacing w:after="0" w:line="159" w:lineRule="exact"/>
        <w:rPr>
          <w:sz w:val="20"/>
          <w:szCs w:val="20"/>
          <w:color w:val="auto"/>
        </w:rPr>
      </w:pPr>
    </w:p>
    <w:p>
      <w:pPr>
        <w:jc w:val="both"/>
        <w:ind w:left="1300" w:hanging="647"/>
        <w:spacing w:after="0" w:line="218" w:lineRule="auto"/>
        <w:tabs>
          <w:tab w:leader="none" w:pos="1280" w:val="left"/>
        </w:tabs>
        <w:rPr>
          <w:sz w:val="20"/>
          <w:szCs w:val="20"/>
          <w:color w:val="auto"/>
        </w:rPr>
      </w:pPr>
      <w:r>
        <w:rPr>
          <w:rFonts w:ascii="Arial" w:cs="Arial" w:eastAsia="Arial" w:hAnsi="Arial"/>
          <w:sz w:val="22"/>
          <w:szCs w:val="22"/>
          <w:color w:val="auto"/>
        </w:rPr>
        <w:t>1.1.4</w:t>
        <w:tab/>
        <w:t>In the case of a claim for disability benefits, the Administrator shall notify the Claimant, in accordance with subsection 11.2.2 above, within 45 days after the claim is received. The notification shall advise the Claimant whether the Administrator’s denial relied upon any specific rule, guideline, protocol or scientific or clinical judgment.</w:t>
      </w:r>
    </w:p>
    <w:p>
      <w:pPr>
        <w:spacing w:after="0" w:line="161" w:lineRule="exact"/>
        <w:rPr>
          <w:sz w:val="20"/>
          <w:szCs w:val="20"/>
          <w:color w:val="auto"/>
        </w:rPr>
      </w:pPr>
    </w:p>
    <w:p>
      <w:pPr>
        <w:jc w:val="both"/>
        <w:ind w:left="1300" w:hanging="647"/>
        <w:spacing w:after="0" w:line="212" w:lineRule="auto"/>
        <w:tabs>
          <w:tab w:leader="none" w:pos="1280" w:val="left"/>
        </w:tabs>
        <w:rPr>
          <w:sz w:val="20"/>
          <w:szCs w:val="20"/>
          <w:color w:val="auto"/>
        </w:rPr>
      </w:pPr>
      <w:r>
        <w:rPr>
          <w:rFonts w:ascii="Arial" w:cs="Arial" w:eastAsia="Arial" w:hAnsi="Arial"/>
          <w:sz w:val="22"/>
          <w:szCs w:val="22"/>
          <w:color w:val="auto"/>
        </w:rPr>
        <w:t>1.1.5</w:t>
        <w:tab/>
        <w:t>In the case of a claim for disability benefits, if the Administrator determines that an extension of time for processing is required due to matters beyond the control of the Plan, written notice of the extension shall be furnished to the Claimant prior to termination of the original 45-day period. Such extension shall not exceed 30 days from the end of the initial period. If, prior to the end of the first 30-day extension period, the Administrator determines that, due to matters beyond the control of the Plan, an additional extension of time for processing is required, written notice of a second 30-day extension shall be furnished to the Claimant prior to termination of the first 30-day extension.</w:t>
      </w:r>
    </w:p>
    <w:p>
      <w:pPr>
        <w:spacing w:after="0" w:line="15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u w:val="single" w:color="auto"/>
          <w:color w:val="auto"/>
        </w:rPr>
        <w:t>Review of a Denied Claim</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Within 90 days after receiving a notice from the Administrator that a claim has been denied,</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in whole or in part, a Claimant (or the Claimant’s duly authorized representative) may file a written request for a review of the denial of the claim and of pertinent documents. The Claimant (or the Claimant’s duly authorized representative):</w:t>
      </w:r>
    </w:p>
    <w:p>
      <w:pPr>
        <w:spacing w:after="0" w:line="130" w:lineRule="exact"/>
        <w:rPr>
          <w:sz w:val="20"/>
          <w:szCs w:val="20"/>
          <w:color w:val="auto"/>
        </w:rPr>
      </w:pPr>
    </w:p>
    <w:p>
      <w:pPr>
        <w:ind w:left="1300" w:hanging="647"/>
        <w:spacing w:after="0" w:line="232" w:lineRule="auto"/>
        <w:tabs>
          <w:tab w:leader="none" w:pos="1280" w:val="left"/>
        </w:tabs>
        <w:rPr>
          <w:sz w:val="20"/>
          <w:szCs w:val="20"/>
          <w:color w:val="auto"/>
        </w:rPr>
      </w:pPr>
      <w:r>
        <w:rPr>
          <w:rFonts w:ascii="Arial" w:cs="Arial" w:eastAsia="Arial" w:hAnsi="Arial"/>
          <w:sz w:val="22"/>
          <w:szCs w:val="22"/>
          <w:color w:val="auto"/>
        </w:rPr>
        <w:t>1.1.1</w:t>
        <w:tab/>
        <w:t>May request reasonable access to, and copies of, all documents, records, and other information relevant to the claim, which shall be provided to Claimant free of charge; and</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May submit written comments or other documents.</w:t>
      </w:r>
    </w:p>
    <w:p>
      <w:pPr>
        <w:spacing w:after="0" w:line="173" w:lineRule="exact"/>
        <w:rPr>
          <w:sz w:val="20"/>
          <w:szCs w:val="20"/>
          <w:color w:val="auto"/>
        </w:rPr>
      </w:pPr>
    </w:p>
    <w:p>
      <w:pPr>
        <w:jc w:val="both"/>
        <w:ind w:left="660" w:hanging="647"/>
        <w:spacing w:after="0" w:line="225"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1"/>
          <w:szCs w:val="21"/>
          <w:b w:val="1"/>
          <w:bCs w:val="1"/>
          <w:u w:val="single" w:color="auto"/>
          <w:color w:val="auto"/>
        </w:rPr>
        <w:t>Decision on Review</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Administrator shall review all comments or other documents submitted by the Claimant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relating to the claim, without regard to whether such information was submitted or considered in the initial benefit determination. The Administrator shall render its decision on review promptly, and not later than 60 days after the filing of a written request for review of the denial (or, if other special circumstances require additional time and written notice of such extension and circumstances is given to the Claimant within the initial 60-day period). The Administrator shall notify the Claimant, in language calculated to be understood by the Claimant: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That the claim has been allowed in full; or</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That the claim has been denied, in whole or in part, and such notice must set forth:</w:t>
      </w:r>
    </w:p>
    <w:p>
      <w:pPr>
        <w:spacing w:after="0" w:line="179" w:lineRule="exact"/>
        <w:rPr>
          <w:sz w:val="20"/>
          <w:szCs w:val="20"/>
          <w:color w:val="auto"/>
        </w:rPr>
      </w:pPr>
    </w:p>
    <w:p>
      <w:pPr>
        <w:ind w:left="1940" w:hanging="636"/>
        <w:spacing w:after="0"/>
        <w:tabs>
          <w:tab w:leader="none" w:pos="194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Specific reasons for the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1"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40" w:hanging="636"/>
        <w:spacing w:after="0"/>
        <w:tabs>
          <w:tab w:leader="none" w:pos="19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Specific reference(s) to the pertinent Plan provisions upon which the decision was based;</w:t>
      </w:r>
    </w:p>
    <w:p>
      <w:pPr>
        <w:spacing w:after="0" w:line="179" w:lineRule="exact"/>
        <w:rPr>
          <w:rFonts w:ascii="Arial" w:cs="Arial" w:eastAsia="Arial" w:hAnsi="Arial"/>
          <w:sz w:val="22"/>
          <w:szCs w:val="22"/>
          <w:color w:val="auto"/>
        </w:rPr>
      </w:pPr>
    </w:p>
    <w:p>
      <w:pPr>
        <w:ind w:left="1960" w:hanging="656"/>
        <w:spacing w:after="0" w:line="232" w:lineRule="auto"/>
        <w:tabs>
          <w:tab w:leader="none" w:pos="195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statement that Claimant is entitled to reasonable access to, and copies of, all documents, records or other information relevant to the claim upon request and free of charge;</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A statement regarding the Claimant’s right to initiate an action pursuant to section 502(a) of ERISA; and</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Such other matters as the Administrator deems relevant.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In the case of a claim for disability benefits, the notice shall set forth:</w:t>
      </w:r>
    </w:p>
    <w:p>
      <w:pPr>
        <w:spacing w:after="0" w:line="179" w:lineRule="exact"/>
        <w:rPr>
          <w:sz w:val="20"/>
          <w:szCs w:val="20"/>
          <w:color w:val="auto"/>
        </w:rPr>
      </w:pPr>
    </w:p>
    <w:p>
      <w:pPr>
        <w:ind w:left="1960" w:hanging="656"/>
        <w:spacing w:after="0" w:line="232" w:lineRule="auto"/>
        <w:tabs>
          <w:tab w:leader="none" w:pos="195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Whether the Administrator’s denial relied upon any specific rule, guideline, protocol or scientific or clinical judgment; and</w:t>
      </w:r>
    </w:p>
    <w:p>
      <w:pPr>
        <w:spacing w:after="0" w:line="158" w:lineRule="exact"/>
        <w:rPr>
          <w:rFonts w:ascii="Arial" w:cs="Arial" w:eastAsia="Arial" w:hAnsi="Arial"/>
          <w:sz w:val="22"/>
          <w:szCs w:val="22"/>
          <w:color w:val="auto"/>
        </w:rPr>
      </w:pPr>
    </w:p>
    <w:p>
      <w:pPr>
        <w:jc w:val="both"/>
        <w:ind w:left="1960" w:hanging="656"/>
        <w:spacing w:after="0" w:line="223" w:lineRule="auto"/>
        <w:tabs>
          <w:tab w:leader="none" w:pos="1955"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53" w:lineRule="exact"/>
        <w:rPr>
          <w:sz w:val="20"/>
          <w:szCs w:val="20"/>
          <w:color w:val="auto"/>
        </w:rPr>
      </w:pPr>
    </w:p>
    <w:p>
      <w:pPr>
        <w:jc w:val="both"/>
        <w:ind w:left="660" w:right="20" w:hanging="647"/>
        <w:spacing w:after="0" w:line="235"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b w:val="1"/>
          <w:bCs w:val="1"/>
          <w:u w:val="single" w:color="auto"/>
          <w:color w:val="auto"/>
        </w:rPr>
        <w:t>Other Remedies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Claimant’s compliance with the foregoing procedures is a mandatory prerequisite to a Claimant’s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right to pursue any other remedy with respect to any claim relating to this Plan.</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12</w:t>
      </w:r>
    </w:p>
    <w:p>
      <w:pPr>
        <w:jc w:val="center"/>
        <w:spacing w:after="0"/>
        <w:rPr>
          <w:sz w:val="20"/>
          <w:szCs w:val="20"/>
          <w:color w:val="auto"/>
        </w:rPr>
      </w:pPr>
      <w:r>
        <w:rPr>
          <w:rFonts w:ascii="Arial" w:cs="Arial" w:eastAsia="Arial" w:hAnsi="Arial"/>
          <w:sz w:val="22"/>
          <w:szCs w:val="22"/>
          <w:b w:val="1"/>
          <w:bCs w:val="1"/>
          <w:color w:val="auto"/>
        </w:rPr>
        <w:t>Amendment or Termination</w:t>
      </w:r>
    </w:p>
    <w:p>
      <w:pPr>
        <w:spacing w:after="0" w:line="16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The Company hereby reserves the right to amend, modify, or terminate any one or more of the 409A Plans, at any time by action of the Board, with or without prior notice. No amendment or termination shall reduce any Participant’s Account or Retirement Benefit without the written consent of the affected Participant. Notwithstanding anything herein to the contrary, to the extent consistent with Section 409A, the Board may terminate the Plan and distribute to each Participant the Participant’s Account and the Participant’s Retirement Benefit, if any, in a lump sum; provided that all distributions (i) commence no earlier than the date that is twelve (12) months following the termination date (or any earlier date that would comply with Section 409A) and (ii) are completed by the date that is twenty-four (24) months following the termination date (or any later date that would comply with Section 409A). In addition, payments may be accelerated upon termination of any 409A Plan only if, to the extent required under Section 409A, (i) the Company terminates all Aggregated Plans, and (ii) for three years following the date of termination of the 409A Plan, the Company does not adopt any new arrangement that would have been an Aggregated Plan of the terminated 409A Plan.</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13</w:t>
      </w:r>
    </w:p>
    <w:p>
      <w:pPr>
        <w:jc w:val="center"/>
        <w:spacing w:after="0"/>
        <w:rPr>
          <w:sz w:val="20"/>
          <w:szCs w:val="20"/>
          <w:color w:val="auto"/>
        </w:rPr>
      </w:pPr>
      <w:r>
        <w:rPr>
          <w:rFonts w:ascii="Arial" w:cs="Arial" w:eastAsia="Arial" w:hAnsi="Arial"/>
          <w:sz w:val="22"/>
          <w:szCs w:val="22"/>
          <w:b w:val="1"/>
          <w:bCs w:val="1"/>
          <w:color w:val="auto"/>
        </w:rPr>
        <w:t>Miscellaneous Provisions</w:t>
      </w:r>
    </w:p>
    <w:p>
      <w:pPr>
        <w:spacing w:after="0" w:line="155"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b w:val="1"/>
          <w:bCs w:val="1"/>
          <w:u w:val="single" w:color="auto"/>
          <w:color w:val="auto"/>
        </w:rPr>
        <w:t>Unsecured General Creditor</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Participants and their Beneficiaries, heirs, successors and assigns shall have no legal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equitable rights, interests or claims in any property or assets of an Employer. An Employer’s obligation under the Plan shall be merely that of an unfunded and unsecured promise to pay money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21"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b w:val="1"/>
          <w:bCs w:val="1"/>
          <w:u w:val="single" w:color="auto"/>
          <w:color w:val="auto"/>
        </w:rPr>
        <w:t>Employer’s Liability</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 Employer’s liability for benefits shall be defined only by the Plan. An Employer shall have no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obligation to a Participant except as expressly provided in the Plan.</w:t>
      </w:r>
    </w:p>
    <w:p>
      <w:pPr>
        <w:spacing w:after="0" w:line="15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u w:val="single" w:color="auto"/>
          <w:color w:val="auto"/>
        </w:rPr>
        <w:t>Nonassignability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Neither a Participant nor any other person shall have any right to commute, sell, assign, transfer,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pledge, anticipate, mortgage or otherwise encumber, transfer, hypothecate, alienate or convey in advance of actual receipt, the amounts, if any, payable hereunder, or any part thereof, which are, and all rights to which are expressly declared to be, unassignable and non-transferable. No part of the amounts payable shall, prior to actual payment, be subject to seizure, attachment, garnishment or sequestration for the payment of any debts, judgments, alimony or separate maintenance owed by a Participant or any other person, be transferable by operation of law in the event of a Participant’s or any other person’s bankruptcy or insolvency or be transferable to a spouse as a result of a property settlement or otherwise.</w:t>
      </w:r>
    </w:p>
    <w:p>
      <w:pPr>
        <w:spacing w:after="0" w:line="148"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b w:val="1"/>
          <w:bCs w:val="1"/>
          <w:u w:val="single" w:color="auto"/>
          <w:color w:val="auto"/>
        </w:rPr>
        <w:t>No Right to Employment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Nothing contained in this Plan or any documents relating to the Plan shall: (a) confer on a</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Participant any right to continue in the employ of a Related Company, (b) constitute any contract or agreement of employment, (c) interfere with the right of a Related Company to terminate the Participant’s employment at any time, with or without cause.</w:t>
      </w:r>
    </w:p>
    <w:p>
      <w:pPr>
        <w:spacing w:after="0" w:line="152"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u w:val="single" w:color="auto"/>
          <w:color w:val="auto"/>
        </w:rPr>
        <w:t>Incompetency</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If the Administrator determines that a distribution under this Plan is to be paid to a minor, a person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declared incompetent or to a person incapable of handling the disposition of that person’s property, the Administrator may direct such distribution to be paid to the guardian, legal representative or person having the care and custody of such minor, incompetent or incapable person. The Administrator may require proof of majority, competence, capacity, guardianship, or status as a legal representative as it may deem appropriate prior to distribution of a payment. Any distribution shall be a payment for the account of the Participant and the Participant’s Beneficiary, as the case may be, and shall be a complete discharge of any liability for such payment amount.</w:t>
      </w:r>
    </w:p>
    <w:p>
      <w:pPr>
        <w:spacing w:after="0" w:line="14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u w:val="single" w:color="auto"/>
          <w:color w:val="auto"/>
        </w:rPr>
        <w:t>Tax Withholding</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To the extent required by the law in effect at the time of any distribution, the Participant’s Employer</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shall withhold from any payments to a Participant hereunder any taxes required to be withheld by the federal or any state or local government, in amounts and in a manner to be determined in the sole discretion of the Employer(s).</w:t>
      </w:r>
    </w:p>
    <w:p>
      <w:pPr>
        <w:spacing w:after="0" w:line="124"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b w:val="1"/>
          <w:bCs w:val="1"/>
          <w:u w:val="single" w:color="auto"/>
          <w:color w:val="auto"/>
        </w:rPr>
        <w:t>Furnishing Information</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 Participant or his Beneficiary will cooperate with the Administrator by furnishing any and all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information requested by the Administrator and take such other actions as may be requested in order to facilitate the administration of the Plan and the distributions hereunder, including but not limited to taking such physical examinations as the Administrator may deem necessary.</w:t>
      </w:r>
    </w:p>
    <w:p>
      <w:pPr>
        <w:spacing w:after="0" w:line="152" w:lineRule="exact"/>
        <w:rPr>
          <w:sz w:val="20"/>
          <w:szCs w:val="20"/>
          <w:color w:val="auto"/>
        </w:rPr>
      </w:pPr>
    </w:p>
    <w:p>
      <w:pPr>
        <w:jc w:val="both"/>
        <w:ind w:left="660" w:hanging="647"/>
        <w:spacing w:after="0" w:line="217"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Any notice or filing required or permitted under the Plan shall be sufficient if in writing and if (i) hand-delivered</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or sent by telecopy, (ii) sent by registered or certified mail, or (iii) sent by nationally-recognized overnight courier. Such notice shall be deemed given as of (i) the date of delivery if hand-delivered or sent by telecopy, (ii) as of the date shown on the postmark on the receipt for registration or certification, if delivery is by mail, or (iii) on the first business day after dispatch, if sent by nationally-recognized overnight courier.</w:t>
      </w:r>
    </w:p>
    <w:p>
      <w:pPr>
        <w:spacing w:after="0" w:line="15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1"/>
          <w:szCs w:val="21"/>
          <w:b w:val="1"/>
          <w:bCs w:val="1"/>
          <w:u w:val="single" w:color="auto"/>
          <w:color w:val="auto"/>
        </w:rPr>
        <w:t>Gender and Number</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Except when otherwise indicated by context, words in the masculine gender shall include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feminine and neuter genders, the singular shall include the plural, and the plural shall include the singular.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1"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hanging="647"/>
        <w:spacing w:after="0" w:line="235" w:lineRule="auto"/>
        <w:tabs>
          <w:tab w:leader="none" w:pos="6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The headings contained in this Plan are for convenience only and will not control or affect the meaning or</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construction of any of the terms or provisions of this Plan.</w:t>
      </w:r>
    </w:p>
    <w:p>
      <w:pPr>
        <w:spacing w:after="0" w:line="153" w:lineRule="exact"/>
        <w:rPr>
          <w:sz w:val="20"/>
          <w:szCs w:val="20"/>
          <w:color w:val="auto"/>
        </w:rPr>
      </w:pPr>
    </w:p>
    <w:p>
      <w:pPr>
        <w:jc w:val="both"/>
        <w:ind w:left="640" w:hanging="647"/>
        <w:spacing w:after="0" w:line="230" w:lineRule="auto"/>
        <w:tabs>
          <w:tab w:leader="none" w:pos="6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b w:val="1"/>
          <w:bCs w:val="1"/>
          <w:u w:val="single" w:color="auto"/>
          <w:color w:val="auto"/>
        </w:rPr>
        <w:t>Applicable Law and Construction</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The Plan shall be governed by, construed and administered in accordance with the</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applicable provisions of ERISA, and any other applicable Federal law, including Section 409A, and to the extent not preempted by Federal law, this Plan shall be governed by, construed and administered in accordance with the laws of the State of Minnesota, other than its laws respecting choice of law.</w:t>
      </w:r>
    </w:p>
    <w:p>
      <w:pPr>
        <w:spacing w:after="0" w:line="154" w:lineRule="exact"/>
        <w:rPr>
          <w:sz w:val="20"/>
          <w:szCs w:val="20"/>
          <w:color w:val="auto"/>
        </w:rPr>
      </w:pPr>
    </w:p>
    <w:p>
      <w:pPr>
        <w:jc w:val="both"/>
        <w:ind w:left="660" w:hanging="647"/>
        <w:spacing w:after="0" w:line="220"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b w:val="1"/>
          <w:bCs w:val="1"/>
          <w:u w:val="single" w:color="auto"/>
          <w:color w:val="auto"/>
        </w:rPr>
        <w:t>Invalid or Unenforceable Provisions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If any provision of this Plan shall be held invalid or unenforceable, such invalidity</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or unenforceability shall not affect any other provisions hereof and the Administrator may elect in its sole discretion to construe such invalid or unenforceable provisions in a manner that conforms to applicable law or as if such provisions, to the extent invalid or unenforceable, had not been included.</w:t>
      </w:r>
    </w:p>
    <w:p>
      <w:pPr>
        <w:spacing w:after="0" w:line="152" w:lineRule="exact"/>
        <w:rPr>
          <w:sz w:val="20"/>
          <w:szCs w:val="20"/>
          <w:color w:val="auto"/>
        </w:rPr>
      </w:pPr>
    </w:p>
    <w:p>
      <w:pPr>
        <w:jc w:val="both"/>
        <w:ind w:left="660" w:hanging="647"/>
        <w:spacing w:after="0" w:line="223"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b w:val="1"/>
          <w:bCs w:val="1"/>
          <w:u w:val="single" w:color="auto"/>
          <w:color w:val="auto"/>
        </w:rPr>
        <w:t>Successors</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This Plan shall bind any successor (whether direct or indirect, by purchase, merger, consolidation or</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otherwise) to all or substantially all of the business or assets of the Company,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obligations of the Company and each Employer under this Plan, in the same manner and to the same extent that the Company and each Employer would be required to perform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21"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APPENDIX A</w:t>
      </w:r>
    </w:p>
    <w:p>
      <w:pPr>
        <w:spacing w:after="0" w:line="18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162(m) Deferrals</w:t>
      </w:r>
      <w:r>
        <w:rPr>
          <w:rFonts w:ascii="Arial" w:cs="Arial" w:eastAsia="Arial" w:hAnsi="Arial"/>
          <w:sz w:val="19"/>
          <w:szCs w:val="19"/>
          <w:color w:val="auto"/>
        </w:rPr>
        <w:t>” means the portion of a Participant’s Annual Incentive Award for a Plan Year ending on or before December 31, 2018, that the Company reasonably anticipates is not deductible by the application of Code section 162(m).</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409A Plan</w:t>
      </w:r>
      <w:r>
        <w:rPr>
          <w:rFonts w:ascii="Arial" w:cs="Arial" w:eastAsia="Arial" w:hAnsi="Arial"/>
          <w:sz w:val="19"/>
          <w:szCs w:val="19"/>
          <w:color w:val="auto"/>
        </w:rPr>
        <w:t>” means one of the separate non-qualified deferred compensation arrangements described in Section 2.1.</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the Company’s bookkeeping entry representing a Participant’s Deferrals, and such other accounts or sub-accounts as the Administrator deems necessary or appropriate.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Employee Benefit Plans Committee appointed by the Board or delegates of the Employee Benefit Plans Committee.</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Aggregated Plan</w:t>
      </w:r>
      <w:r>
        <w:rPr>
          <w:rFonts w:ascii="Arial" w:cs="Arial" w:eastAsia="Arial" w:hAnsi="Arial"/>
          <w:sz w:val="19"/>
          <w:szCs w:val="19"/>
          <w:color w:val="auto"/>
        </w:rPr>
        <w:t>s” means, with respect to any 409A Plan, that plan and all other non-qualified deferred compensation plans which must be aggregated with that plan in accordance with the plan aggregation rules of Section 409A.</w:t>
      </w:r>
    </w:p>
    <w:p>
      <w:pPr>
        <w:spacing w:after="0" w:line="105"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Annual Incentive Award</w:t>
      </w:r>
      <w:r>
        <w:rPr>
          <w:rFonts w:ascii="Arial" w:cs="Arial" w:eastAsia="Arial" w:hAnsi="Arial"/>
          <w:sz w:val="22"/>
          <w:szCs w:val="22"/>
          <w:color w:val="auto"/>
        </w:rPr>
        <w:t>” means the annual award received by a Participant under the ALLETE Executive Annual Incentive Plan or any predecessor or successor plan.</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Basic Compensation</w:t>
      </w:r>
      <w:r>
        <w:rPr>
          <w:rFonts w:ascii="Arial" w:cs="Arial" w:eastAsia="Arial" w:hAnsi="Arial"/>
          <w:sz w:val="21"/>
          <w:szCs w:val="21"/>
          <w:color w:val="auto"/>
        </w:rPr>
        <w:t>” shall have the meaning prescribed in Retirement Plan A except:(1) Basic Compensation shall be calculated without regard to the limitation on compensation imposed by Code section 401(a)(17); and (2) for Retirement Benefit purposes, only compensation earned through December 31, 2021 shall be considered.</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one or more persons, trusts, estates or other entities, designated in accordance this Plan, that are entitled to receive Plan benefits upon the death of a Participant.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w:t>
      </w:r>
      <w:r>
        <w:rPr>
          <w:rFonts w:ascii="Arial" w:cs="Arial" w:eastAsia="Arial" w:hAnsi="Arial"/>
          <w:sz w:val="22"/>
          <w:szCs w:val="22"/>
          <w:color w:val="auto"/>
        </w:rPr>
        <w:t>d” means the Board of Directors of the Company.</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Bonus</w:t>
      </w:r>
      <w:r>
        <w:rPr>
          <w:rFonts w:ascii="Arial" w:cs="Arial" w:eastAsia="Arial" w:hAnsi="Arial"/>
          <w:sz w:val="22"/>
          <w:szCs w:val="22"/>
          <w:color w:val="auto"/>
        </w:rPr>
        <w:t>” means any incentive compensation, including Annual Incentive Awards, that is payable to the Participant in addition to the Participant’s Salary.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earliest of:</w:t>
      </w:r>
    </w:p>
    <w:p>
      <w:pPr>
        <w:spacing w:after="0" w:line="179" w:lineRule="exact"/>
        <w:rPr>
          <w:sz w:val="20"/>
          <w:szCs w:val="20"/>
          <w:color w:val="auto"/>
        </w:rPr>
      </w:pPr>
    </w:p>
    <w:p>
      <w:pPr>
        <w:jc w:val="both"/>
        <w:ind w:left="2280"/>
        <w:spacing w:after="0" w:line="244" w:lineRule="auto"/>
        <w:rPr>
          <w:sz w:val="20"/>
          <w:szCs w:val="20"/>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21"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2280" w:hanging="4"/>
        <w:spacing w:after="0" w:line="257" w:lineRule="auto"/>
        <w:tabs>
          <w:tab w:leader="none" w:pos="259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44" w:lineRule="exact"/>
        <w:rPr>
          <w:rFonts w:ascii="Arial" w:cs="Arial" w:eastAsia="Arial" w:hAnsi="Arial"/>
          <w:sz w:val="19"/>
          <w:szCs w:val="19"/>
          <w:color w:val="auto"/>
        </w:rPr>
      </w:pPr>
    </w:p>
    <w:p>
      <w:pPr>
        <w:jc w:val="both"/>
        <w:ind w:left="2280" w:hanging="4"/>
        <w:spacing w:after="0" w:line="234" w:lineRule="auto"/>
        <w:tabs>
          <w:tab w:leader="none" w:pos="2603"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57" w:lineRule="exact"/>
        <w:rPr>
          <w:rFonts w:ascii="Arial" w:cs="Arial" w:eastAsia="Arial" w:hAnsi="Arial"/>
          <w:sz w:val="21"/>
          <w:szCs w:val="21"/>
          <w:color w:val="auto"/>
        </w:rPr>
      </w:pPr>
    </w:p>
    <w:p>
      <w:pPr>
        <w:jc w:val="both"/>
        <w:ind w:left="2280" w:hanging="4"/>
        <w:spacing w:after="0" w:line="247" w:lineRule="auto"/>
        <w:tabs>
          <w:tab w:leader="none" w:pos="2594"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Claimant</w:t>
      </w:r>
      <w:r>
        <w:rPr>
          <w:rFonts w:ascii="Arial" w:cs="Arial" w:eastAsia="Arial" w:hAnsi="Arial"/>
          <w:sz w:val="22"/>
          <w:szCs w:val="22"/>
          <w:color w:val="auto"/>
        </w:rPr>
        <w:t>” shall have the meaning set forth in Section 11.1.</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it may be amended from time to time.</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ALLETE, Inc., a Minnesota Corporation, and any successor to all, or substantially all, of the Company’s assets or business.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Credited Service</w:t>
      </w:r>
      <w:r>
        <w:rPr>
          <w:rFonts w:ascii="Arial" w:cs="Arial" w:eastAsia="Arial" w:hAnsi="Arial"/>
          <w:sz w:val="22"/>
          <w:szCs w:val="22"/>
          <w:color w:val="auto"/>
        </w:rPr>
        <w:t>” shall have the meaning prescribed in the Retirement Plan 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Deferrals</w:t>
      </w:r>
      <w:r>
        <w:rPr>
          <w:rFonts w:ascii="Arial" w:cs="Arial" w:eastAsia="Arial" w:hAnsi="Arial"/>
          <w:sz w:val="22"/>
          <w:szCs w:val="22"/>
          <w:color w:val="auto"/>
        </w:rPr>
        <w:t>” means Elective Deferrals and Non-Elective Deferrals.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 or “Disabled</w:t>
      </w:r>
      <w:r>
        <w:rPr>
          <w:rFonts w:ascii="Arial" w:cs="Arial" w:eastAsia="Arial" w:hAnsi="Arial"/>
          <w:sz w:val="21"/>
          <w:szCs w:val="21"/>
          <w:color w:val="auto"/>
        </w:rPr>
        <w:t>” when used with an initial capital letter, means a physical or mental condition in which the</w:t>
      </w:r>
    </w:p>
    <w:p>
      <w:pPr>
        <w:spacing w:after="0"/>
        <w:rPr>
          <w:sz w:val="20"/>
          <w:szCs w:val="20"/>
          <w:color w:val="auto"/>
        </w:rPr>
      </w:pPr>
      <w:r>
        <w:rPr>
          <w:rFonts w:ascii="Arial" w:cs="Arial" w:eastAsia="Arial" w:hAnsi="Arial"/>
          <w:sz w:val="22"/>
          <w:szCs w:val="22"/>
          <w:color w:val="auto"/>
        </w:rPr>
        <w:t>Participant is:</w:t>
      </w:r>
    </w:p>
    <w:p>
      <w:pPr>
        <w:spacing w:after="0" w:line="161" w:lineRule="exact"/>
        <w:rPr>
          <w:sz w:val="20"/>
          <w:szCs w:val="20"/>
          <w:color w:val="auto"/>
        </w:rPr>
      </w:pPr>
    </w:p>
    <w:p>
      <w:pPr>
        <w:jc w:val="both"/>
        <w:ind w:left="2280"/>
        <w:spacing w:after="0" w:line="223" w:lineRule="auto"/>
        <w:rPr>
          <w:sz w:val="20"/>
          <w:szCs w:val="20"/>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21" w:right="339" w:bottom="1440" w:gutter="0" w:footer="0" w:header="0"/>
        </w:sectPr>
      </w:pPr>
    </w:p>
    <w:bookmarkStart w:id="253" w:name="page254"/>
    <w:bookmarkEnd w:id="253"/>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2280"/>
        <w:spacing w:after="0" w:line="218" w:lineRule="auto"/>
        <w:rPr>
          <w:sz w:val="20"/>
          <w:szCs w:val="20"/>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6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determined to be totally disabled by the Social Security Administration; or</w:t>
      </w:r>
    </w:p>
    <w:p>
      <w:pPr>
        <w:spacing w:after="0" w:line="179" w:lineRule="exact"/>
        <w:rPr>
          <w:sz w:val="20"/>
          <w:szCs w:val="20"/>
          <w:color w:val="auto"/>
        </w:rPr>
      </w:pPr>
    </w:p>
    <w:p>
      <w:pPr>
        <w:jc w:val="both"/>
        <w:ind w:left="2280"/>
        <w:spacing w:after="0" w:line="223" w:lineRule="auto"/>
        <w:rPr>
          <w:sz w:val="20"/>
          <w:szCs w:val="20"/>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When the term “disability” (without an initial capital letter) is used in the Plan, it shall have the meaning prescribed in the definition of “Separation from Service.”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 Event</w:t>
      </w:r>
      <w:r>
        <w:rPr>
          <w:rFonts w:ascii="Arial" w:cs="Arial" w:eastAsia="Arial" w:hAnsi="Arial"/>
          <w:sz w:val="22"/>
          <w:szCs w:val="22"/>
          <w:color w:val="auto"/>
        </w:rPr>
        <w:t>” means, with respect to Article 6, a Specified Year, a Separation from Service, death, Disability or the Administrator’s determination regarding the occurrence of an Unforeseeable Emergency and, with respect to Article 8, Retirement, Disability or solely with respect to a Participant who vests after becoming Disabled, the earlier of death or attainment of age 65.</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Elective Deferrals</w:t>
      </w:r>
      <w:r>
        <w:rPr>
          <w:rFonts w:ascii="Arial" w:cs="Arial" w:eastAsia="Arial" w:hAnsi="Arial"/>
          <w:sz w:val="22"/>
          <w:szCs w:val="22"/>
          <w:color w:val="auto"/>
        </w:rPr>
        <w:t>” means any portion of a Participant’s Salary, Bonus, Severance Pay, Annual Make-up Award or Other Award that a Participant irrevocably elects to defer.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Employee</w:t>
      </w:r>
      <w:r>
        <w:rPr>
          <w:rFonts w:ascii="Arial" w:cs="Arial" w:eastAsia="Arial" w:hAnsi="Arial"/>
          <w:sz w:val="22"/>
          <w:szCs w:val="22"/>
          <w:color w:val="auto"/>
        </w:rPr>
        <w:t>” means an Employee in management salary grades SA-SM, who has been notified in writing by the Administrator of eligibility to participate in the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Surviving Spous</w:t>
      </w:r>
      <w:r>
        <w:rPr>
          <w:rFonts w:ascii="Arial" w:cs="Arial" w:eastAsia="Arial" w:hAnsi="Arial"/>
          <w:sz w:val="22"/>
          <w:szCs w:val="22"/>
          <w:color w:val="auto"/>
        </w:rPr>
        <w:t>e” shall have the meaning prescribed in Retirement Plan 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 person who is a common-law employee of any Related Company.</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Employer(s)</w:t>
      </w:r>
      <w:r>
        <w:rPr>
          <w:rFonts w:ascii="Arial" w:cs="Arial" w:eastAsia="Arial" w:hAnsi="Arial"/>
          <w:sz w:val="22"/>
          <w:szCs w:val="22"/>
          <w:color w:val="auto"/>
        </w:rPr>
        <w:t>” means the Company and any Related Company (now in existence or hereafter formed or acquired) that have been selected by the Administrator to participate in the Plan.</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it may be amended from time to time.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Misconduct</w:t>
      </w:r>
      <w:r>
        <w:rPr>
          <w:rFonts w:ascii="Arial" w:cs="Arial" w:eastAsia="Arial" w:hAnsi="Arial"/>
          <w:sz w:val="22"/>
          <w:szCs w:val="22"/>
          <w:color w:val="auto"/>
        </w:rPr>
        <w:t>” means the occurrence of either or both of the following, as determined in its sole discretion by either the Executive Compensation Committee of the Company’s Board of Directors with respect to Section 16 Officers of the Company, or the Administrator with respect to any other Participant:</w:t>
      </w:r>
    </w:p>
    <w:p>
      <w:pPr>
        <w:spacing w:after="0" w:line="186" w:lineRule="exact"/>
        <w:rPr>
          <w:sz w:val="20"/>
          <w:szCs w:val="20"/>
          <w:color w:val="auto"/>
        </w:rPr>
      </w:pPr>
    </w:p>
    <w:p>
      <w:pPr>
        <w:ind w:left="660" w:right="20" w:hanging="4"/>
        <w:spacing w:after="0" w:line="232" w:lineRule="auto"/>
        <w:tabs>
          <w:tab w:leader="none" w:pos="125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an act or omission by the Participant involving dishonesty in connection with his or her responsibilities as an employee of the Company; or</w:t>
      </w:r>
    </w:p>
    <w:p>
      <w:pPr>
        <w:spacing w:after="0" w:line="158" w:lineRule="exact"/>
        <w:rPr>
          <w:rFonts w:ascii="Arial" w:cs="Arial" w:eastAsia="Arial" w:hAnsi="Arial"/>
          <w:sz w:val="22"/>
          <w:szCs w:val="22"/>
          <w:color w:val="auto"/>
        </w:rPr>
      </w:pPr>
    </w:p>
    <w:p>
      <w:pPr>
        <w:jc w:val="both"/>
        <w:ind w:left="660" w:hanging="4"/>
        <w:spacing w:after="0" w:line="223" w:lineRule="auto"/>
        <w:tabs>
          <w:tab w:leader="none" w:pos="12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the Participant’s conviction of, or entry of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to, any felony or a misdemeanor involving moral turpitude, provided that a misdemeanor motor vehicle violation will not constitute a crime of moral turpitude unless it involves driving while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21" w:right="339" w:bottom="1440" w:gutter="0" w:footer="0" w:header="0"/>
        </w:sectPr>
      </w:pPr>
    </w:p>
    <w:bookmarkStart w:id="254" w:name="page255"/>
    <w:bookmarkEnd w:id="254"/>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impaired within the scope of employment or another serious driving offense committed within the scope of employment.</w:t>
      </w:r>
    </w:p>
    <w:p>
      <w:pPr>
        <w:spacing w:after="0" w:line="214"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For purposes of clarifying the foregoing definition, Misconduct can occur regardless of whether the Company discovers the Misconduct before or after the Participant’s Separation from Service and regardless of whether the Participant has a Separation from Service on account of the Misconduct.</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Non-Elective Deferrals</w:t>
      </w:r>
      <w:r>
        <w:rPr>
          <w:rFonts w:ascii="Arial" w:cs="Arial" w:eastAsia="Arial" w:hAnsi="Arial"/>
          <w:sz w:val="22"/>
          <w:szCs w:val="22"/>
          <w:color w:val="auto"/>
        </w:rPr>
        <w:t>” means 162(m) Deferrals and the Annual Make-up Award credited to the Account of any Participant whose Salary exceeds the Code section 401(a)(17) limit.</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Award</w:t>
      </w:r>
      <w:r>
        <w:rPr>
          <w:rFonts w:ascii="Arial" w:cs="Arial" w:eastAsia="Arial" w:hAnsi="Arial"/>
          <w:sz w:val="22"/>
          <w:szCs w:val="22"/>
          <w:color w:val="auto"/>
        </w:rPr>
        <w:t>” means an award, other than an Annual Incentive Award or Severance Pay, that a Participant may defer at the Administrator’s discretion.</w:t>
      </w:r>
    </w:p>
    <w:p>
      <w:pPr>
        <w:spacing w:after="0" w:line="15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any Eligible Employee (i) who has elected to defer amounts under the Plan, (ii) who is eligible to receive a Retirement Benefit or (iii) whose compensation, or a portion thereof, was deferred as a Non-Elective Deferral.</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SERP II.</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Year</w:t>
      </w:r>
      <w:r>
        <w:rPr>
          <w:rFonts w:ascii="Arial" w:cs="Arial" w:eastAsia="Arial" w:hAnsi="Arial"/>
          <w:sz w:val="22"/>
          <w:szCs w:val="22"/>
          <w:color w:val="auto"/>
        </w:rPr>
        <w:t>” means a period beginning on January 1 of each calendar year and continuing through December 31 of such calendar year.</w:t>
      </w:r>
    </w:p>
    <w:p>
      <w:pPr>
        <w:spacing w:after="0" w:line="159"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Company</w:t>
      </w:r>
      <w:r>
        <w:rPr>
          <w:rFonts w:ascii="Arial" w:cs="Arial" w:eastAsia="Arial" w:hAnsi="Arial"/>
          <w:sz w:val="22"/>
          <w:szCs w:val="22"/>
          <w:color w:val="auto"/>
        </w:rPr>
        <w:t>” means the Company and all persons with whom the Company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5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means Separation from Service, for reasons other than death, on or after attaining both 50 years of age and 10 years of Vesting Service.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Benefit</w:t>
      </w:r>
      <w:r>
        <w:rPr>
          <w:rFonts w:ascii="Arial" w:cs="Arial" w:eastAsia="Arial" w:hAnsi="Arial"/>
          <w:sz w:val="22"/>
          <w:szCs w:val="22"/>
          <w:color w:val="auto"/>
        </w:rPr>
        <w:t>” means the benefit payable pursuant to Article 8.</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Plans</w:t>
      </w:r>
      <w:r>
        <w:rPr>
          <w:rFonts w:ascii="Arial" w:cs="Arial" w:eastAsia="Arial" w:hAnsi="Arial"/>
          <w:sz w:val="22"/>
          <w:szCs w:val="22"/>
          <w:color w:val="auto"/>
        </w:rPr>
        <w:t>” mean the Minnesota Power and Affiliated Companies Retirement Plan A and Minnesota Power and Affiliated Companies Retirement Plan B, as amended from time to time.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 Savings and Stock Ownership Plan</w:t>
      </w:r>
      <w:r>
        <w:rPr>
          <w:rFonts w:ascii="Arial" w:cs="Arial" w:eastAsia="Arial" w:hAnsi="Arial"/>
          <w:sz w:val="22"/>
          <w:szCs w:val="22"/>
          <w:color w:val="auto"/>
        </w:rPr>
        <w:t>” or “RSOP” means the Minnesota Power and Affiliated Companies Retirement Savings and Stock Ownership Plan, as amended from time to time.</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Salary</w:t>
      </w:r>
      <w:r>
        <w:rPr>
          <w:rFonts w:ascii="Arial" w:cs="Arial" w:eastAsia="Arial" w:hAnsi="Arial"/>
          <w:sz w:val="21"/>
          <w:szCs w:val="21"/>
          <w:color w:val="auto"/>
        </w:rPr>
        <w:t>” means the Participant’s earnings during a calendar year, before any reduction pursuant to Code sections 125, 132(f)(4), or 401(k) and this Plan. It does not include overtime compensation, if any, Bonuses, Annual Incentive Awards and Other Awards, expense reimbursements, allowances, commission payments, employer contributions or awards under this Plan or other employee benefit plans, imputed income (whether such imputed income is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21" w:right="339" w:bottom="1440" w:gutter="0" w:footer="0" w:header="0"/>
        </w:sectPr>
      </w:pPr>
    </w:p>
    <w:bookmarkStart w:id="255" w:name="page256"/>
    <w:bookmarkEnd w:id="255"/>
    <w:p>
      <w:pPr>
        <w:ind w:left="10180"/>
        <w:spacing w:after="0"/>
        <w:rPr>
          <w:sz w:val="20"/>
          <w:szCs w:val="20"/>
          <w:color w:val="auto"/>
        </w:rPr>
      </w:pPr>
      <w:r>
        <w:rPr>
          <w:rFonts w:ascii="Arial" w:cs="Arial" w:eastAsia="Arial" w:hAnsi="Arial"/>
          <w:sz w:val="16"/>
          <w:szCs w:val="16"/>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vehicle use, life insurance premiums, or any other source) payments made pursuant to the Results Sharing Program, payment of stock options and performance shares under the Long Term Incentive Compensation Plan, and any other payments of a similar nature. In the case of a Participant who is employed jointly by the Company and an affiliated company (as defined in the RSOP), Salary as defined herein shall include amounts received from all such companies.</w:t>
      </w:r>
    </w:p>
    <w:p>
      <w:pPr>
        <w:spacing w:after="0" w:line="15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both section 409A of the Code and Treasury Regulations section 1.409A-1 et seq., as they both may be amended from time to time, and other guidance issued by the Treasury Department and Internal Revenue Service thereunder.</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 For purposes of determining whether a Separation from Service has occurred on account of a disability, a Participant shall be disabled if the Participant is suffering from any medically determinable physical or mental impairment resulting in the Participant’s inability to perform the duties of his position or any substantially similar position, if such impairment can be expected to result in death or can be expected to last for a continuous period of 6 months.</w:t>
      </w:r>
    </w:p>
    <w:p>
      <w:pPr>
        <w:spacing w:after="0" w:line="16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SERP II</w:t>
      </w:r>
      <w:r>
        <w:rPr>
          <w:rFonts w:ascii="Arial" w:cs="Arial" w:eastAsia="Arial" w:hAnsi="Arial"/>
          <w:sz w:val="22"/>
          <w:szCs w:val="22"/>
          <w:color w:val="auto"/>
        </w:rPr>
        <w:t>” means the ALLETE and Affiliated Companies Supplemental Executive Retirement Plan II, as amended from time to time.</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Severance Pay</w:t>
      </w:r>
      <w:r>
        <w:rPr>
          <w:rFonts w:ascii="Arial" w:cs="Arial" w:eastAsia="Arial" w:hAnsi="Arial"/>
          <w:sz w:val="22"/>
          <w:szCs w:val="22"/>
          <w:color w:val="auto"/>
        </w:rPr>
        <w:t>” means the cash payment(s) to a Participant payable in connection with his Separation from Service in accordance with the terms of a severance arrangement that is the subject of bona fide, arm’s length negotiations between a Related Company and the Participant at the time of the Separation from Service.</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Year</w:t>
      </w:r>
      <w:r>
        <w:rPr>
          <w:rFonts w:ascii="Arial" w:cs="Arial" w:eastAsia="Arial" w:hAnsi="Arial"/>
          <w:sz w:val="22"/>
          <w:szCs w:val="22"/>
          <w:color w:val="auto"/>
        </w:rPr>
        <w:t>” means a calendar year during which a Participant has elected to receive a distribution of Elective Deferrals.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Employee</w:t>
      </w:r>
      <w:r>
        <w:rPr>
          <w:rFonts w:ascii="Arial" w:cs="Arial" w:eastAsia="Arial" w:hAnsi="Arial"/>
          <w:sz w:val="22"/>
          <w:szCs w:val="22"/>
          <w:color w:val="auto"/>
        </w:rPr>
        <w:t>” means an Employee who is subject to the six-month delay rule described in Code section 409A(2) (B)(i). The Board shall adopt guidelines for identifying Specified Employees in a manner consistent with Section 409A, and may amend the guidelines from time to time as permitted by Section 409A.</w:t>
      </w:r>
    </w:p>
    <w:p>
      <w:pPr>
        <w:spacing w:after="0" w:line="15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Unforeseeable Emergency</w:t>
      </w:r>
      <w:r>
        <w:rPr>
          <w:rFonts w:ascii="Arial" w:cs="Arial" w:eastAsia="Arial" w:hAnsi="Arial"/>
          <w:sz w:val="22"/>
          <w:szCs w:val="22"/>
          <w:color w:val="auto"/>
        </w:rPr>
        <w:t>” means an unanticipated emergency that is caused by an event beyond the control of the Participant that would result in severe financial hardship to the Participant resulting from (i) an illness or accident of the Participant or the Participant’s spouse, the Participant’s beneficiary, or the Participant’s dependent (as defined in Code section 152, without regard to Code sections 152(b)(1), (b)(2), and (d)(1)(B)), (ii) a loss of the Participant’s property due to casualty, or (iii) such other similar extraordinary and unforeseeable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21"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circumstances arising as a result of events beyond the control of the Participant, all as determined in the sole discretion of the Administrator.</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Valuation Date</w:t>
      </w:r>
      <w:r>
        <w:rPr>
          <w:rFonts w:ascii="Arial" w:cs="Arial" w:eastAsia="Arial" w:hAnsi="Arial"/>
          <w:sz w:val="22"/>
          <w:szCs w:val="22"/>
          <w:color w:val="auto"/>
        </w:rPr>
        <w:t>” means each day that the U.S. stock markets are open or such other dates as may be set by the Administrator from time to time.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Service</w:t>
      </w:r>
      <w:r>
        <w:rPr>
          <w:rFonts w:ascii="Arial" w:cs="Arial" w:eastAsia="Arial" w:hAnsi="Arial"/>
          <w:sz w:val="22"/>
          <w:szCs w:val="22"/>
          <w:color w:val="auto"/>
        </w:rPr>
        <w:t>” shall have the meaning prescribed in the Retirement Plan A. Participants will continue to receive credit for Vesting Service after October 1, 2006. A Disabled Participant will receive credit for Vesting Service on account of any period after the commencement of the Disability during which the Participant is characterized as an active employee on the Related Company’s employment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21"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10(f)5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WITNESS WHEREOF, ALLETE, Inc. has caused these presents to be signed by its duly authorized officers, effective as of 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822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Bethany M. Owen</w:t>
      </w:r>
    </w:p>
    <w:p>
      <w:pPr>
        <w:spacing w:after="0" w:line="160"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Its: Chair, President and Chief</w:t>
      </w:r>
    </w:p>
    <w:p>
      <w:pPr>
        <w:ind w:left="1740"/>
        <w:spacing w:after="0"/>
        <w:rPr>
          <w:sz w:val="20"/>
          <w:szCs w:val="20"/>
          <w:color w:val="auto"/>
        </w:rPr>
      </w:pPr>
      <w:r>
        <w:rPr>
          <w:rFonts w:ascii="Arial" w:cs="Arial" w:eastAsia="Arial" w:hAnsi="Arial"/>
          <w:sz w:val="22"/>
          <w:szCs w:val="22"/>
          <w:color w:val="auto"/>
        </w:rPr>
        <w:t>Executive Officer</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ATTEST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-17780</wp:posOffset>
            </wp:positionV>
            <wp:extent cx="9601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Nicole R. Johnson</w:t>
      </w:r>
    </w:p>
    <w:p>
      <w:pPr>
        <w:spacing w:after="0" w:line="16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Its:</w:t>
        <w:tab/>
        <w:t>Vice President ALLETE, Chief</w:t>
      </w:r>
    </w:p>
    <w:p>
      <w:pPr>
        <w:ind w:left="1080"/>
        <w:spacing w:after="0"/>
        <w:rPr>
          <w:sz w:val="20"/>
          <w:szCs w:val="20"/>
          <w:color w:val="auto"/>
        </w:rPr>
      </w:pPr>
      <w:r>
        <w:rPr>
          <w:rFonts w:ascii="Arial" w:cs="Arial" w:eastAsia="Arial" w:hAnsi="Arial"/>
          <w:sz w:val="22"/>
          <w:szCs w:val="22"/>
          <w:color w:val="auto"/>
        </w:rPr>
        <w:t>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2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2022]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185" w:lineRule="auto"/>
        <w:rPr>
          <w:sz w:val="20"/>
          <w:szCs w:val="20"/>
          <w:color w:val="auto"/>
        </w:rPr>
      </w:pPr>
      <w:r>
        <w:rPr>
          <w:rFonts w:ascii="Arial" w:cs="Arial" w:eastAsia="Arial" w:hAnsi="Arial"/>
          <w:sz w:val="22"/>
          <w:szCs w:val="22"/>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Number of Restricted Stock Units:</w:t>
      </w:r>
    </w:p>
    <w:p>
      <w:pPr>
        <w:spacing w:after="0" w:line="225" w:lineRule="auto"/>
        <w:rPr>
          <w:sz w:val="20"/>
          <w:szCs w:val="20"/>
          <w:color w:val="auto"/>
        </w:rPr>
      </w:pPr>
      <w:r>
        <w:rPr>
          <w:rFonts w:ascii="Arial" w:cs="Arial" w:eastAsia="Arial" w:hAnsi="Arial"/>
          <w:sz w:val="22"/>
          <w:szCs w:val="22"/>
          <w:color w:val="auto"/>
        </w:rPr>
        <w:t>Date of Grant: February 1, 2022</w:t>
      </w:r>
    </w:p>
    <w:p>
      <w:pPr>
        <w:spacing w:after="0"/>
        <w:rPr>
          <w:sz w:val="20"/>
          <w:szCs w:val="20"/>
          <w:color w:val="auto"/>
        </w:rPr>
      </w:pPr>
      <w:r>
        <w:rPr>
          <w:rFonts w:ascii="Arial" w:cs="Arial" w:eastAsia="Arial" w:hAnsi="Arial"/>
          <w:sz w:val="22"/>
          <w:szCs w:val="22"/>
          <w:color w:val="auto"/>
        </w:rPr>
        <w:t>Vesting Period: Period ending December 31, 2024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166" w:lineRule="exact"/>
        <w:rPr>
          <w:sz w:val="20"/>
          <w:szCs w:val="20"/>
          <w:color w:val="auto"/>
        </w:rPr>
      </w:pPr>
    </w:p>
    <w:p>
      <w:pPr>
        <w:ind w:right="260"/>
        <w:spacing w:after="0" w:line="197" w:lineRule="auto"/>
        <w:rPr>
          <w:sz w:val="20"/>
          <w:szCs w:val="20"/>
          <w:color w:val="auto"/>
        </w:rPr>
      </w:pPr>
      <w:r>
        <w:rPr>
          <w:rFonts w:ascii="Arial" w:cs="Arial" w:eastAsia="Arial" w:hAnsi="Arial"/>
          <w:sz w:val="22"/>
          <w:szCs w:val="22"/>
          <w:color w:val="auto"/>
        </w:rPr>
        <w:t>Any term, provision or condition applicable to the Restricted Stock Units set forth in the Plan and not set forth herein is hereby incorporated by reference. To the extent any provision hereof is inconsistent with a Plan provision, the Plan provision will govern.</w:t>
      </w:r>
    </w:p>
    <w:p>
      <w:pPr>
        <w:spacing w:after="0" w:line="147" w:lineRule="exact"/>
        <w:rPr>
          <w:sz w:val="20"/>
          <w:szCs w:val="20"/>
          <w:color w:val="auto"/>
        </w:rPr>
      </w:pPr>
    </w:p>
    <w:p>
      <w:pPr>
        <w:jc w:val="both"/>
        <w:ind w:right="480"/>
        <w:spacing w:after="0" w:line="197"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47"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387" w:lineRule="exact"/>
        <w:rPr>
          <w:sz w:val="20"/>
          <w:szCs w:val="20"/>
          <w:color w:val="auto"/>
        </w:rPr>
      </w:pPr>
    </w:p>
    <w:p>
      <w:pPr>
        <w:ind w:right="120"/>
        <w:spacing w:after="0" w:line="213" w:lineRule="auto"/>
        <w:rPr>
          <w:sz w:val="20"/>
          <w:szCs w:val="20"/>
          <w:color w:val="auto"/>
        </w:rPr>
      </w:pPr>
      <w:r>
        <w:rPr>
          <w:rFonts w:ascii="Arial" w:cs="Arial" w:eastAsia="Arial" w:hAnsi="Arial"/>
          <w:sz w:val="22"/>
          <w:szCs w:val="22"/>
          <w:color w:val="auto"/>
        </w:rPr>
        <w:t>IN WITNESS WHEREOF, ALLETE has caused this Grant to be executed by its Chair, President and Chief Executive Officer as of the date and year first above written.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ALLETE</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21342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Chair, President &amp; CEO</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ectPr>
          <w:pgSz w:w="11900" w:h="16838" w:orient="portrait"/>
          <w:cols w:equalWidth="0" w:num="1">
            <w:col w:w="11240"/>
          </w:cols>
          <w:pgMar w:left="320" w:top="121"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ANNEX A</w:t>
      </w:r>
    </w:p>
    <w:p>
      <w:pPr>
        <w:jc w:val="center"/>
        <w:spacing w:after="0" w:line="218" w:lineRule="auto"/>
        <w:rPr>
          <w:sz w:val="20"/>
          <w:szCs w:val="20"/>
          <w:color w:val="auto"/>
        </w:rPr>
      </w:pPr>
      <w:r>
        <w:rPr>
          <w:rFonts w:ascii="Arial" w:cs="Arial" w:eastAsia="Arial" w:hAnsi="Arial"/>
          <w:sz w:val="22"/>
          <w:szCs w:val="22"/>
          <w:b w:val="1"/>
          <w:bCs w:val="1"/>
          <w:color w:val="auto"/>
        </w:rPr>
        <w:t>TO</w:t>
      </w:r>
    </w:p>
    <w:p>
      <w:pPr>
        <w:jc w:val="center"/>
        <w:spacing w:after="0" w:line="217" w:lineRule="auto"/>
        <w:rPr>
          <w:sz w:val="20"/>
          <w:szCs w:val="20"/>
          <w:color w:val="auto"/>
        </w:rPr>
      </w:pPr>
      <w:r>
        <w:rPr>
          <w:rFonts w:ascii="Arial" w:cs="Arial" w:eastAsia="Arial" w:hAnsi="Arial"/>
          <w:sz w:val="22"/>
          <w:szCs w:val="22"/>
          <w:b w:val="1"/>
          <w:bCs w:val="1"/>
          <w:color w:val="auto"/>
        </w:rPr>
        <w:t>ALLETE</w:t>
      </w:r>
    </w:p>
    <w:p>
      <w:pPr>
        <w:jc w:val="center"/>
        <w:spacing w:after="0" w:line="218" w:lineRule="auto"/>
        <w:rPr>
          <w:sz w:val="20"/>
          <w:szCs w:val="20"/>
          <w:color w:val="auto"/>
        </w:rPr>
      </w:pPr>
      <w:r>
        <w:rPr>
          <w:rFonts w:ascii="Arial" w:cs="Arial" w:eastAsia="Arial" w:hAnsi="Arial"/>
          <w:sz w:val="22"/>
          <w:szCs w:val="22"/>
          <w:b w:val="1"/>
          <w:bCs w:val="1"/>
          <w:color w:val="auto"/>
        </w:rPr>
        <w:t>EXECUTIVE LONG-TERM INCENTIVE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GRANT</w:t>
      </w:r>
    </w:p>
    <w:p>
      <w:pPr>
        <w:spacing w:after="0" w:line="202" w:lineRule="exact"/>
        <w:rPr>
          <w:sz w:val="20"/>
          <w:szCs w:val="20"/>
          <w:color w:val="auto"/>
        </w:rPr>
      </w:pPr>
    </w:p>
    <w:p>
      <w:pPr>
        <w:ind w:right="180"/>
        <w:spacing w:after="0" w:line="313"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32" w:lineRule="exact"/>
        <w:rPr>
          <w:sz w:val="20"/>
          <w:szCs w:val="20"/>
          <w:color w:val="auto"/>
        </w:rPr>
      </w:pPr>
    </w:p>
    <w:p>
      <w:pPr>
        <w:ind w:right="40" w:firstLine="8"/>
        <w:spacing w:after="0" w:line="224" w:lineRule="auto"/>
        <w:tabs>
          <w:tab w:leader="none" w:pos="216"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203" w:lineRule="exact"/>
        <w:rPr>
          <w:rFonts w:ascii="Arial" w:cs="Arial" w:eastAsia="Arial" w:hAnsi="Arial"/>
          <w:sz w:val="22"/>
          <w:szCs w:val="22"/>
          <w:color w:val="auto"/>
        </w:rPr>
      </w:pPr>
    </w:p>
    <w:p>
      <w:pPr>
        <w:ind w:firstLine="8"/>
        <w:spacing w:after="0" w:line="234" w:lineRule="auto"/>
        <w:tabs>
          <w:tab w:leader="none" w:pos="216"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200" w:lineRule="exact"/>
        <w:rPr>
          <w:rFonts w:ascii="Arial" w:cs="Arial" w:eastAsia="Arial" w:hAnsi="Arial"/>
          <w:sz w:val="21"/>
          <w:szCs w:val="21"/>
          <w:color w:val="auto"/>
        </w:rPr>
      </w:pPr>
    </w:p>
    <w:p>
      <w:pPr>
        <w:spacing w:after="0" w:line="244" w:lineRule="exact"/>
        <w:rPr>
          <w:rFonts w:ascii="Arial" w:cs="Arial" w:eastAsia="Arial" w:hAnsi="Arial"/>
          <w:sz w:val="21"/>
          <w:szCs w:val="21"/>
          <w:color w:val="auto"/>
        </w:rPr>
      </w:pPr>
    </w:p>
    <w:p>
      <w:pPr>
        <w:ind w:right="660" w:firstLine="8"/>
        <w:spacing w:after="0" w:line="239" w:lineRule="auto"/>
        <w:tabs>
          <w:tab w:leader="none" w:pos="216"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98"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11"/>
          <w:szCs w:val="11"/>
          <w:color w:val="auto"/>
        </w:rPr>
        <w:t>th</w:t>
      </w:r>
      <w:r>
        <w:rPr>
          <w:rFonts w:ascii="Arial" w:cs="Arial" w:eastAsia="Arial" w:hAnsi="Arial"/>
          <w:sz w:val="20"/>
          <w:szCs w:val="20"/>
          <w:color w:val="auto"/>
        </w:rPr>
        <w:t xml:space="preserve"> of the month.</w:t>
      </w:r>
    </w:p>
    <w:p>
      <w:pPr>
        <w:spacing w:after="0" w:line="193" w:lineRule="exact"/>
        <w:rPr>
          <w:sz w:val="20"/>
          <w:szCs w:val="20"/>
          <w:color w:val="auto"/>
        </w:rPr>
      </w:pPr>
    </w:p>
    <w:p>
      <w:pPr>
        <w:jc w:val="both"/>
        <w:ind w:right="280" w:firstLine="648"/>
        <w:spacing w:after="0" w:line="282"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161" w:lineRule="exact"/>
        <w:rPr>
          <w:sz w:val="20"/>
          <w:szCs w:val="20"/>
          <w:color w:val="auto"/>
        </w:rPr>
      </w:pPr>
    </w:p>
    <w:p>
      <w:pPr>
        <w:ind w:right="160" w:firstLine="648"/>
        <w:spacing w:after="0" w:line="228" w:lineRule="auto"/>
        <w:rPr>
          <w:sz w:val="20"/>
          <w:szCs w:val="20"/>
          <w:color w:val="auto"/>
        </w:rPr>
      </w:pPr>
      <w:r>
        <w:rPr>
          <w:rFonts w:ascii="Arial" w:cs="Arial" w:eastAsia="Arial" w:hAnsi="Arial"/>
          <w:sz w:val="22"/>
          <w:szCs w:val="22"/>
          <w:color w:val="auto"/>
        </w:rPr>
        <w:t>3.3 If during the vesting period or prior to payment of all RSUs you are demoted, you default on any written agreement with a Related Company related to a restrictive employment covenant (such as confidentiality, non-disclosure, non-competition, non-solicitation, or the like), or if ALLETE determines, in its sole discretion, that your job performance is unsatisfactory, ALLETE may cancel or amend your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9"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grant relating to any unpaid RSUs, resulting in the forfeiture of some portion or all of your unpaid RSUs (and related Dividend Equivalents).</w:t>
      </w:r>
    </w:p>
    <w:p>
      <w:pPr>
        <w:spacing w:after="0" w:line="198" w:lineRule="exact"/>
        <w:rPr>
          <w:sz w:val="20"/>
          <w:szCs w:val="20"/>
          <w:color w:val="auto"/>
        </w:rPr>
      </w:pPr>
    </w:p>
    <w:p>
      <w:pPr>
        <w:ind w:right="20" w:firstLine="648"/>
        <w:spacing w:after="0" w:line="235" w:lineRule="auto"/>
        <w:rPr>
          <w:sz w:val="20"/>
          <w:szCs w:val="20"/>
          <w:color w:val="auto"/>
        </w:rPr>
      </w:pPr>
      <w:r>
        <w:rPr>
          <w:rFonts w:ascii="Arial" w:cs="Arial" w:eastAsia="Arial" w:hAnsi="Arial"/>
          <w:sz w:val="21"/>
          <w:szCs w:val="21"/>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201" w:lineRule="exact"/>
        <w:rPr>
          <w:sz w:val="20"/>
          <w:szCs w:val="20"/>
          <w:color w:val="auto"/>
        </w:rPr>
      </w:pPr>
    </w:p>
    <w:p>
      <w:pPr>
        <w:ind w:right="20" w:firstLine="8"/>
        <w:spacing w:after="0" w:line="243" w:lineRule="auto"/>
        <w:tabs>
          <w:tab w:leader="none" w:pos="216"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Arial" w:cs="Arial" w:eastAsia="Arial" w:hAnsi="Arial"/>
          <w:sz w:val="11"/>
          <w:szCs w:val="11"/>
          <w:color w:val="auto"/>
        </w:rPr>
        <w:t>th</w:t>
      </w:r>
      <w:r>
        <w:rPr>
          <w:rFonts w:ascii="Arial" w:cs="Arial" w:eastAsia="Arial" w:hAnsi="Arial"/>
          <w:sz w:val="20"/>
          <w:szCs w:val="20"/>
          <w:color w:val="auto"/>
        </w:rPr>
        <w:t xml:space="preserve"> of the month. In no event will you be permitted, directly or indirectly, to designate the taxable year of the distribution on account of or in connection with a Change in Control.</w:t>
      </w:r>
    </w:p>
    <w:p>
      <w:pPr>
        <w:spacing w:after="0" w:line="199" w:lineRule="exact"/>
        <w:rPr>
          <w:rFonts w:ascii="Arial" w:cs="Arial" w:eastAsia="Arial" w:hAnsi="Arial"/>
          <w:sz w:val="20"/>
          <w:szCs w:val="20"/>
          <w:color w:val="auto"/>
        </w:rPr>
      </w:pPr>
    </w:p>
    <w:p>
      <w:pPr>
        <w:ind w:right="120" w:firstLine="8"/>
        <w:spacing w:after="0" w:line="231" w:lineRule="auto"/>
        <w:tabs>
          <w:tab w:leader="none" w:pos="21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1" w:lineRule="exact"/>
        <w:rPr>
          <w:rFonts w:ascii="Arial" w:cs="Arial" w:eastAsia="Arial" w:hAnsi="Arial"/>
          <w:sz w:val="22"/>
          <w:szCs w:val="22"/>
          <w:color w:val="auto"/>
        </w:rPr>
      </w:pPr>
    </w:p>
    <w:p>
      <w:pPr>
        <w:ind w:right="40" w:firstLine="8"/>
        <w:spacing w:after="0" w:line="254" w:lineRule="auto"/>
        <w:tabs>
          <w:tab w:leader="none" w:pos="216"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ind w:left="220" w:hanging="212"/>
        <w:spacing w:after="0"/>
        <w:tabs>
          <w:tab w:leader="none" w:pos="220"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2" w:lineRule="exact"/>
        <w:rPr>
          <w:sz w:val="20"/>
          <w:szCs w:val="20"/>
          <w:color w:val="auto"/>
        </w:rPr>
      </w:pPr>
    </w:p>
    <w:p>
      <w:pPr>
        <w:jc w:val="both"/>
        <w:ind w:right="180" w:firstLine="648"/>
        <w:spacing w:after="0" w:line="22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9" w:lineRule="exact"/>
        <w:rPr>
          <w:sz w:val="20"/>
          <w:szCs w:val="20"/>
          <w:color w:val="auto"/>
        </w:rPr>
      </w:pPr>
    </w:p>
    <w:p>
      <w:pPr>
        <w:jc w:val="both"/>
        <w:ind w:right="120" w:firstLine="648"/>
        <w:spacing w:after="0" w:line="22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00" w:lineRule="exact"/>
        <w:rPr>
          <w:sz w:val="20"/>
          <w:szCs w:val="20"/>
          <w:color w:val="auto"/>
        </w:rPr>
      </w:pPr>
    </w:p>
    <w:p>
      <w:pPr>
        <w:ind w:right="280" w:firstLine="648"/>
        <w:spacing w:after="0" w:line="23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Notice of Denial</w:t>
      </w:r>
      <w:r>
        <w:rPr>
          <w:rFonts w:ascii="Arial" w:cs="Arial" w:eastAsia="Arial" w:hAnsi="Arial"/>
          <w:sz w:val="21"/>
          <w:szCs w:val="21"/>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99"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Arbitration</w:t>
      </w:r>
      <w:r>
        <w:rPr>
          <w:rFonts w:ascii="Arial" w:cs="Arial" w:eastAsia="Arial" w:hAnsi="Arial"/>
          <w:sz w:val="22"/>
          <w:szCs w:val="22"/>
          <w:color w:val="auto"/>
        </w:rPr>
        <w:t>. If, after exhausting the procedures set forth above, a Claimant wishes to pursue legal action, any action by the Claimant with respect to a claim, must be resolved by arbitration in the manner described herein.</w:t>
      </w:r>
    </w:p>
    <w:p>
      <w:pPr>
        <w:spacing w:after="0" w:line="198" w:lineRule="exact"/>
        <w:rPr>
          <w:sz w:val="20"/>
          <w:szCs w:val="20"/>
          <w:color w:val="auto"/>
        </w:rPr>
      </w:pPr>
    </w:p>
    <w:p>
      <w:pPr>
        <w:ind w:left="660" w:right="40" w:hanging="328"/>
        <w:spacing w:after="0" w:line="228" w:lineRule="auto"/>
        <w:tabs>
          <w:tab w:leader="none" w:pos="65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99" w:lineRule="exact"/>
        <w:rPr>
          <w:rFonts w:ascii="Arial" w:cs="Arial" w:eastAsia="Arial" w:hAnsi="Arial"/>
          <w:sz w:val="22"/>
          <w:szCs w:val="22"/>
          <w:color w:val="auto"/>
        </w:rPr>
      </w:pPr>
    </w:p>
    <w:p>
      <w:pPr>
        <w:ind w:left="660" w:right="540" w:hanging="328"/>
        <w:spacing w:after="0" w:line="239" w:lineRule="auto"/>
        <w:tabs>
          <w:tab w:leader="none" w:pos="65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198" w:lineRule="exact"/>
        <w:rPr>
          <w:rFonts w:ascii="Arial" w:cs="Arial" w:eastAsia="Arial" w:hAnsi="Arial"/>
          <w:sz w:val="22"/>
          <w:szCs w:val="22"/>
          <w:color w:val="auto"/>
        </w:rPr>
      </w:pPr>
    </w:p>
    <w:p>
      <w:pPr>
        <w:ind w:left="640" w:hanging="308"/>
        <w:spacing w:after="0"/>
        <w:tabs>
          <w:tab w:leader="none" w:pos="64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19" w:lineRule="exact"/>
        <w:rPr>
          <w:rFonts w:ascii="Arial" w:cs="Arial" w:eastAsia="Arial" w:hAnsi="Arial"/>
          <w:sz w:val="22"/>
          <w:szCs w:val="22"/>
          <w:color w:val="auto"/>
        </w:rPr>
      </w:pPr>
    </w:p>
    <w:p>
      <w:pPr>
        <w:ind w:left="660" w:right="280" w:hanging="328"/>
        <w:spacing w:after="0" w:line="239" w:lineRule="auto"/>
        <w:tabs>
          <w:tab w:leader="none" w:pos="651"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99" w:lineRule="exact"/>
        <w:rPr>
          <w:rFonts w:ascii="Arial" w:cs="Arial" w:eastAsia="Arial" w:hAnsi="Arial"/>
          <w:sz w:val="21"/>
          <w:szCs w:val="21"/>
          <w:color w:val="auto"/>
        </w:rPr>
      </w:pPr>
    </w:p>
    <w:p>
      <w:pPr>
        <w:ind w:left="660" w:right="320" w:hanging="328"/>
        <w:spacing w:after="0" w:line="239" w:lineRule="auto"/>
        <w:tabs>
          <w:tab w:leader="none" w:pos="65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198" w:lineRule="exact"/>
        <w:rPr>
          <w:rFonts w:ascii="Arial" w:cs="Arial" w:eastAsia="Arial" w:hAnsi="Arial"/>
          <w:sz w:val="22"/>
          <w:szCs w:val="22"/>
          <w:color w:val="auto"/>
        </w:rPr>
      </w:pPr>
    </w:p>
    <w:p>
      <w:pPr>
        <w:ind w:left="660" w:right="80" w:hanging="328"/>
        <w:spacing w:after="0" w:line="237" w:lineRule="auto"/>
        <w:tabs>
          <w:tab w:leader="none" w:pos="659"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Waiver of Class, Collective, and Representative Actions</w:t>
      </w:r>
      <w:r>
        <w:rPr>
          <w:rFonts w:ascii="Arial" w:cs="Arial" w:eastAsia="Arial" w:hAnsi="Arial"/>
          <w:sz w:val="21"/>
          <w:szCs w:val="21"/>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98" w:lineRule="exact"/>
        <w:rPr>
          <w:rFonts w:ascii="Arial" w:cs="Arial" w:eastAsia="Arial" w:hAnsi="Arial"/>
          <w:sz w:val="21"/>
          <w:szCs w:val="21"/>
          <w:color w:val="auto"/>
        </w:rPr>
      </w:pPr>
    </w:p>
    <w:p>
      <w:pPr>
        <w:ind w:left="660" w:right="160" w:hanging="328"/>
        <w:spacing w:after="0" w:line="224" w:lineRule="auto"/>
        <w:tabs>
          <w:tab w:leader="none" w:pos="651"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Standard of Review</w:t>
      </w:r>
      <w:r>
        <w:rPr>
          <w:rFonts w:ascii="Arial" w:cs="Arial" w:eastAsia="Arial" w:hAnsi="Arial"/>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22"/>
          <w:szCs w:val="22"/>
          <w:i w:val="1"/>
          <w:iCs w:val="1"/>
          <w:color w:val="auto"/>
        </w:rPr>
        <w:t>Conkright v. Frommert</w:t>
      </w:r>
      <w:r>
        <w:rPr>
          <w:rFonts w:ascii="Arial" w:cs="Arial" w:eastAsia="Arial" w:hAnsi="Arial"/>
          <w:sz w:val="22"/>
          <w:szCs w:val="22"/>
          <w:color w:val="auto"/>
        </w:rPr>
        <w:t xml:space="preserve">, 130 S. Ct. 1640 (2010), </w:t>
      </w:r>
      <w:r>
        <w:rPr>
          <w:rFonts w:ascii="Arial" w:cs="Arial" w:eastAsia="Arial" w:hAnsi="Arial"/>
          <w:sz w:val="22"/>
          <w:szCs w:val="22"/>
          <w:i w:val="1"/>
          <w:iCs w:val="1"/>
          <w:color w:val="auto"/>
        </w:rPr>
        <w:t>Metropolitan Life Insurance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 v. </w:t>
      </w:r>
      <w:r>
        <w:rPr>
          <w:rFonts w:ascii="Arial" w:cs="Arial" w:eastAsia="Arial" w:hAnsi="Arial"/>
          <w:sz w:val="22"/>
          <w:szCs w:val="22"/>
          <w:color w:val="auto"/>
        </w:rPr>
        <w:t>Glenn</w:t>
      </w:r>
      <w:r>
        <w:rPr>
          <w:rFonts w:ascii="Arial" w:cs="Arial" w:eastAsia="Arial" w:hAnsi="Arial"/>
          <w:sz w:val="22"/>
          <w:szCs w:val="22"/>
          <w:i w:val="1"/>
          <w:iCs w:val="1"/>
          <w:color w:val="auto"/>
        </w:rPr>
        <w:t xml:space="preserve">, </w:t>
      </w:r>
      <w:r>
        <w:rPr>
          <w:rFonts w:ascii="Arial" w:cs="Arial" w:eastAsia="Arial" w:hAnsi="Arial"/>
          <w:sz w:val="22"/>
          <w:szCs w:val="22"/>
          <w:color w:val="auto"/>
        </w:rPr>
        <w:t>554 U.S. 105 (2008), and</w:t>
      </w:r>
      <w:r>
        <w:rPr>
          <w:rFonts w:ascii="Arial" w:cs="Arial" w:eastAsia="Arial" w:hAnsi="Arial"/>
          <w:sz w:val="22"/>
          <w:szCs w:val="22"/>
          <w:i w:val="1"/>
          <w:iCs w:val="1"/>
          <w:color w:val="auto"/>
        </w:rPr>
        <w:t xml:space="preserve"> Firestone Tire and Rubber Company v. Bruch, </w:t>
      </w:r>
      <w:r>
        <w:rPr>
          <w:rFonts w:ascii="Arial" w:cs="Arial" w:eastAsia="Arial" w:hAnsi="Arial"/>
          <w:sz w:val="22"/>
          <w:szCs w:val="22"/>
          <w:color w:val="auto"/>
        </w:rPr>
        <w:t>489 U.S. 101 (1989), and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accord due deference to the determinations, interpretations, and construction of the Plan document by the Claim’s Administrator.</w:t>
      </w:r>
    </w:p>
    <w:p>
      <w:pPr>
        <w:spacing w:after="0" w:line="203" w:lineRule="exact"/>
        <w:rPr>
          <w:rFonts w:ascii="Arial" w:cs="Arial" w:eastAsia="Arial" w:hAnsi="Arial"/>
          <w:sz w:val="22"/>
          <w:szCs w:val="22"/>
          <w:color w:val="auto"/>
        </w:rPr>
      </w:pPr>
    </w:p>
    <w:p>
      <w:pPr>
        <w:ind w:left="640" w:hanging="308"/>
        <w:spacing w:after="0"/>
        <w:tabs>
          <w:tab w:leader="none" w:pos="64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9" w:lineRule="exact"/>
        <w:rPr>
          <w:sz w:val="20"/>
          <w:szCs w:val="20"/>
          <w:color w:val="auto"/>
        </w:rPr>
      </w:pPr>
    </w:p>
    <w:p>
      <w:pPr>
        <w:ind w:left="1060" w:right="320" w:hanging="323"/>
        <w:spacing w:after="0" w:line="254" w:lineRule="auto"/>
        <w:tabs>
          <w:tab w:leader="none" w:pos="1051" w:val="left"/>
        </w:tabs>
        <w:numPr>
          <w:ilvl w:val="2"/>
          <w:numId w:val="174"/>
        </w:numPr>
        <w:rPr>
          <w:rFonts w:ascii="Arial" w:cs="Arial" w:eastAsia="Arial" w:hAnsi="Arial"/>
          <w:sz w:val="19"/>
          <w:szCs w:val="19"/>
          <w:color w:val="auto"/>
        </w:rPr>
      </w:pP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5" w:lineRule="exact"/>
        <w:rPr>
          <w:rFonts w:ascii="Arial" w:cs="Arial" w:eastAsia="Arial" w:hAnsi="Arial"/>
          <w:sz w:val="19"/>
          <w:szCs w:val="19"/>
          <w:color w:val="auto"/>
        </w:rPr>
      </w:pPr>
    </w:p>
    <w:p>
      <w:pPr>
        <w:ind w:left="1060" w:hanging="323"/>
        <w:spacing w:after="0" w:line="224" w:lineRule="auto"/>
        <w:tabs>
          <w:tab w:leader="none" w:pos="1051" w:val="left"/>
        </w:tabs>
        <w:numPr>
          <w:ilvl w:val="2"/>
          <w:numId w:val="174"/>
        </w:numPr>
        <w:rPr>
          <w:rFonts w:ascii="Arial" w:cs="Arial" w:eastAsia="Arial" w:hAnsi="Arial"/>
          <w:sz w:val="22"/>
          <w:szCs w:val="22"/>
          <w:color w:val="auto"/>
        </w:rPr>
      </w:pPr>
      <w:r>
        <w:rPr>
          <w:rFonts w:ascii="Arial" w:cs="Arial" w:eastAsia="Arial" w:hAnsi="Arial"/>
          <w:sz w:val="22"/>
          <w:szCs w:val="22"/>
          <w:u w:val="single" w:color="auto"/>
          <w:color w:val="auto"/>
        </w:rPr>
        <w:t>Substantive Law</w:t>
      </w:r>
      <w:r>
        <w:rPr>
          <w:rFonts w:ascii="Arial" w:cs="Arial" w:eastAsia="Arial" w:hAnsi="Arial"/>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98" w:lineRule="exact"/>
        <w:rPr>
          <w:rFonts w:ascii="Arial" w:cs="Arial" w:eastAsia="Arial" w:hAnsi="Arial"/>
          <w:sz w:val="22"/>
          <w:szCs w:val="22"/>
          <w:color w:val="auto"/>
        </w:rPr>
      </w:pPr>
    </w:p>
    <w:p>
      <w:pPr>
        <w:ind w:left="1060" w:right="40" w:hanging="323"/>
        <w:spacing w:after="0" w:line="239" w:lineRule="auto"/>
        <w:tabs>
          <w:tab w:leader="none" w:pos="1051" w:val="left"/>
        </w:tabs>
        <w:numPr>
          <w:ilvl w:val="2"/>
          <w:numId w:val="174"/>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99" w:lineRule="exact"/>
        <w:rPr>
          <w:rFonts w:ascii="Arial" w:cs="Arial" w:eastAsia="Arial" w:hAnsi="Arial"/>
          <w:sz w:val="21"/>
          <w:szCs w:val="21"/>
          <w:color w:val="auto"/>
        </w:rPr>
      </w:pPr>
    </w:p>
    <w:p>
      <w:pPr>
        <w:ind w:left="1060" w:right="160" w:hanging="323"/>
        <w:spacing w:after="0" w:line="228" w:lineRule="auto"/>
        <w:tabs>
          <w:tab w:leader="none" w:pos="1051" w:val="left"/>
        </w:tabs>
        <w:numPr>
          <w:ilvl w:val="2"/>
          <w:numId w:val="174"/>
        </w:numPr>
        <w:rPr>
          <w:rFonts w:ascii="Arial" w:cs="Arial" w:eastAsia="Arial" w:hAnsi="Arial"/>
          <w:sz w:val="22"/>
          <w:szCs w:val="22"/>
          <w:color w:val="auto"/>
        </w:rPr>
      </w:pPr>
      <w:r>
        <w:rPr>
          <w:rFonts w:ascii="Arial" w:cs="Arial" w:eastAsia="Arial" w:hAnsi="Arial"/>
          <w:sz w:val="22"/>
          <w:szCs w:val="22"/>
          <w:u w:val="single" w:color="auto"/>
          <w:color w:val="auto"/>
        </w:rPr>
        <w:t>Pre-Hearing Procedures</w:t>
      </w:r>
      <w:r>
        <w:rPr>
          <w:rFonts w:ascii="Arial" w:cs="Arial" w:eastAsia="Arial" w:hAnsi="Arial"/>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99" w:lineRule="exact"/>
        <w:rPr>
          <w:rFonts w:ascii="Arial" w:cs="Arial" w:eastAsia="Arial" w:hAnsi="Arial"/>
          <w:sz w:val="22"/>
          <w:szCs w:val="22"/>
          <w:color w:val="auto"/>
        </w:rPr>
      </w:pPr>
    </w:p>
    <w:p>
      <w:pPr>
        <w:ind w:left="1060" w:right="20" w:hanging="323"/>
        <w:spacing w:after="0" w:line="260" w:lineRule="auto"/>
        <w:tabs>
          <w:tab w:leader="none" w:pos="1051" w:val="left"/>
        </w:tabs>
        <w:numPr>
          <w:ilvl w:val="2"/>
          <w:numId w:val="174"/>
        </w:numPr>
        <w:rPr>
          <w:rFonts w:ascii="Arial" w:cs="Arial" w:eastAsia="Arial" w:hAnsi="Arial"/>
          <w:sz w:val="19"/>
          <w:szCs w:val="19"/>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5" w:lineRule="exact"/>
        <w:rPr>
          <w:rFonts w:ascii="Arial" w:cs="Arial" w:eastAsia="Arial" w:hAnsi="Arial"/>
          <w:sz w:val="19"/>
          <w:szCs w:val="19"/>
          <w:color w:val="auto"/>
        </w:rPr>
      </w:pPr>
    </w:p>
    <w:p>
      <w:pPr>
        <w:ind w:left="660" w:hanging="328"/>
        <w:spacing w:after="0" w:line="228" w:lineRule="auto"/>
        <w:tabs>
          <w:tab w:leader="none" w:pos="649" w:val="left"/>
        </w:tabs>
        <w:numPr>
          <w:ilvl w:val="1"/>
          <w:numId w:val="175"/>
        </w:numPr>
        <w:rPr>
          <w:rFonts w:ascii="Arial" w:cs="Arial" w:eastAsia="Arial" w:hAnsi="Arial"/>
          <w:sz w:val="20"/>
          <w:szCs w:val="20"/>
          <w:color w:val="auto"/>
        </w:rPr>
      </w:pPr>
      <w:r>
        <w:rPr>
          <w:rFonts w:ascii="Arial" w:cs="Arial" w:eastAsia="Arial" w:hAnsi="Arial"/>
          <w:sz w:val="22"/>
          <w:szCs w:val="22"/>
          <w:u w:val="single" w:color="auto"/>
          <w:color w:val="auto"/>
        </w:rPr>
        <w:t>Interstate Commerce and the Federal Arbitration Act</w:t>
      </w:r>
      <w:r>
        <w:rPr>
          <w:rFonts w:ascii="Arial" w:cs="Arial" w:eastAsia="Arial" w:hAnsi="Arial"/>
          <w:sz w:val="22"/>
          <w:szCs w:val="22"/>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0" w:lineRule="exact"/>
        <w:rPr>
          <w:rFonts w:ascii="Arial" w:cs="Arial" w:eastAsia="Arial" w:hAnsi="Arial"/>
          <w:sz w:val="20"/>
          <w:szCs w:val="20"/>
          <w:color w:val="auto"/>
        </w:rPr>
      </w:pPr>
    </w:p>
    <w:p>
      <w:pPr>
        <w:spacing w:after="0" w:line="242" w:lineRule="exact"/>
        <w:rPr>
          <w:rFonts w:ascii="Arial" w:cs="Arial" w:eastAsia="Arial" w:hAnsi="Arial"/>
          <w:sz w:val="20"/>
          <w:szCs w:val="20"/>
          <w:color w:val="auto"/>
        </w:rPr>
      </w:pPr>
    </w:p>
    <w:p>
      <w:pPr>
        <w:ind w:right="80" w:firstLine="8"/>
        <w:spacing w:after="0" w:line="231" w:lineRule="auto"/>
        <w:tabs>
          <w:tab w:leader="none" w:pos="216"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201" w:lineRule="exact"/>
        <w:rPr>
          <w:rFonts w:ascii="Arial" w:cs="Arial" w:eastAsia="Arial" w:hAnsi="Arial"/>
          <w:sz w:val="22"/>
          <w:szCs w:val="22"/>
          <w:color w:val="auto"/>
        </w:rPr>
      </w:pPr>
    </w:p>
    <w:p>
      <w:pPr>
        <w:ind w:right="460" w:firstLine="8"/>
        <w:spacing w:after="0" w:line="239" w:lineRule="auto"/>
        <w:tabs>
          <w:tab w:leader="none" w:pos="211" w:val="left"/>
        </w:tabs>
        <w:numPr>
          <w:ilvl w:val="0"/>
          <w:numId w:val="176"/>
        </w:numPr>
        <w:rPr>
          <w:rFonts w:ascii="Arial" w:cs="Arial" w:eastAsia="Arial" w:hAnsi="Arial"/>
          <w:sz w:val="22"/>
          <w:szCs w:val="22"/>
          <w:color w:val="auto"/>
        </w:rPr>
      </w:pPr>
      <w:r>
        <w:rPr>
          <w:rFonts w:ascii="Arial" w:cs="Arial" w:eastAsia="Arial" w:hAnsi="Arial"/>
          <w:sz w:val="22"/>
          <w:szCs w:val="22"/>
          <w:u w:val="single" w:color="auto"/>
          <w:color w:val="auto"/>
        </w:rPr>
        <w:t>No Impact on Other Benefits</w:t>
      </w:r>
      <w:r>
        <w:rPr>
          <w:rFonts w:ascii="Arial" w:cs="Arial" w:eastAsia="Arial" w:hAnsi="Arial"/>
          <w:sz w:val="22"/>
          <w:szCs w:val="22"/>
          <w:color w:val="auto"/>
        </w:rPr>
        <w:t>. The Grant or payment on account thereof shall not be taken into account in determining any benefits under any severance, retirement, welfare, insurance or other benefit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9"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color w:val="auto"/>
        </w:rPr>
        <w:t>plan of ALLETE or any affiliate except to the extent otherwise expressly provided in writing in such other plan or an agreement thereunder.</w:t>
      </w:r>
    </w:p>
    <w:p>
      <w:pPr>
        <w:spacing w:after="0" w:line="198" w:lineRule="exact"/>
        <w:rPr>
          <w:sz w:val="20"/>
          <w:szCs w:val="20"/>
          <w:color w:val="auto"/>
        </w:rPr>
      </w:pPr>
    </w:p>
    <w:p>
      <w:pPr>
        <w:ind w:right="60" w:firstLine="8"/>
        <w:spacing w:after="0" w:line="282" w:lineRule="auto"/>
        <w:tabs>
          <w:tab w:leader="none" w:pos="324"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61" w:lineRule="exact"/>
        <w:rPr>
          <w:rFonts w:ascii="Arial" w:cs="Arial" w:eastAsia="Arial" w:hAnsi="Arial"/>
          <w:sz w:val="19"/>
          <w:szCs w:val="19"/>
          <w:color w:val="auto"/>
        </w:rPr>
      </w:pPr>
    </w:p>
    <w:p>
      <w:pPr>
        <w:ind w:firstLine="8"/>
        <w:spacing w:after="0" w:line="272" w:lineRule="auto"/>
        <w:tabs>
          <w:tab w:leader="none" w:pos="31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0" w:lineRule="exact"/>
        <w:rPr>
          <w:rFonts w:ascii="Arial" w:cs="Arial" w:eastAsia="Arial" w:hAnsi="Arial"/>
          <w:sz w:val="19"/>
          <w:szCs w:val="19"/>
          <w:color w:val="auto"/>
        </w:rPr>
      </w:pPr>
    </w:p>
    <w:p>
      <w:pPr>
        <w:ind w:right="340" w:firstLine="8"/>
        <w:spacing w:after="0" w:line="239" w:lineRule="auto"/>
        <w:tabs>
          <w:tab w:leader="none" w:pos="324" w:val="left"/>
        </w:tabs>
        <w:numPr>
          <w:ilvl w:val="0"/>
          <w:numId w:val="17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2" w:lineRule="exact"/>
        <w:rPr>
          <w:sz w:val="20"/>
          <w:szCs w:val="20"/>
          <w:color w:val="auto"/>
        </w:rPr>
      </w:pPr>
    </w:p>
    <w:p>
      <w:pPr>
        <w:ind w:right="20" w:firstLine="648"/>
        <w:spacing w:after="0" w:line="225"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ind w:left="740"/>
        <w:spacing w:after="0" w:line="215"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earliest of:</w:t>
      </w:r>
    </w:p>
    <w:p>
      <w:pPr>
        <w:spacing w:after="0" w:line="1" w:lineRule="exact"/>
        <w:rPr>
          <w:sz w:val="20"/>
          <w:szCs w:val="20"/>
          <w:color w:val="auto"/>
        </w:rPr>
      </w:pPr>
    </w:p>
    <w:p>
      <w:pPr>
        <w:ind w:left="1880" w:right="20" w:hanging="441"/>
        <w:spacing w:after="0" w:line="257" w:lineRule="auto"/>
        <w:tabs>
          <w:tab w:leader="none" w:pos="18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ownership of stock of the Company that, together with stock 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87" w:lineRule="exact"/>
        <w:rPr>
          <w:rFonts w:ascii="Arial" w:cs="Arial" w:eastAsia="Arial" w:hAnsi="Arial"/>
          <w:sz w:val="19"/>
          <w:szCs w:val="19"/>
          <w:color w:val="auto"/>
        </w:rPr>
      </w:pPr>
    </w:p>
    <w:p>
      <w:pPr>
        <w:ind w:left="1880" w:right="60" w:hanging="489"/>
        <w:spacing w:after="0" w:line="272" w:lineRule="auto"/>
        <w:tabs>
          <w:tab w:leader="none" w:pos="18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70" w:lineRule="exact"/>
        <w:rPr>
          <w:rFonts w:ascii="Arial" w:cs="Arial" w:eastAsia="Arial" w:hAnsi="Arial"/>
          <w:sz w:val="19"/>
          <w:szCs w:val="19"/>
          <w:color w:val="auto"/>
        </w:rPr>
      </w:pPr>
    </w:p>
    <w:p>
      <w:pPr>
        <w:jc w:val="both"/>
        <w:ind w:left="1880" w:right="160" w:hanging="537"/>
        <w:spacing w:after="0" w:line="244" w:lineRule="auto"/>
        <w:tabs>
          <w:tab w:leader="none" w:pos="188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94" w:lineRule="exact"/>
        <w:rPr>
          <w:rFonts w:ascii="Arial" w:cs="Arial" w:eastAsia="Arial" w:hAnsi="Arial"/>
          <w:sz w:val="21"/>
          <w:szCs w:val="21"/>
          <w:color w:val="auto"/>
        </w:rPr>
      </w:pPr>
    </w:p>
    <w:p>
      <w:pPr>
        <w:ind w:left="1880" w:right="20" w:hanging="549"/>
        <w:spacing w:after="0" w:line="235" w:lineRule="auto"/>
        <w:tabs>
          <w:tab w:leader="none" w:pos="1864"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9" w:lineRule="exact"/>
        <w:rPr>
          <w:sz w:val="20"/>
          <w:szCs w:val="20"/>
          <w:color w:val="auto"/>
        </w:rPr>
      </w:pPr>
    </w:p>
    <w:p>
      <w:pPr>
        <w:ind w:left="1880" w:right="100"/>
        <w:spacing w:after="0" w:line="239" w:lineRule="auto"/>
        <w:rPr>
          <w:sz w:val="20"/>
          <w:szCs w:val="20"/>
          <w:color w:val="auto"/>
        </w:rPr>
      </w:pPr>
      <w:r>
        <w:rPr>
          <w:rFonts w:ascii="Arial" w:cs="Arial" w:eastAsia="Arial" w:hAnsi="Arial"/>
          <w:sz w:val="22"/>
          <w:szCs w:val="22"/>
          <w:color w:val="auto"/>
        </w:rPr>
        <w:t>corporation’s assets, or the value of the assets being disposed of, without regard to any liabilities associated with these assets.</w:t>
      </w:r>
    </w:p>
    <w:p>
      <w:pPr>
        <w:spacing w:after="0" w:line="198" w:lineRule="exact"/>
        <w:rPr>
          <w:sz w:val="20"/>
          <w:szCs w:val="20"/>
          <w:color w:val="auto"/>
        </w:rPr>
      </w:pPr>
    </w:p>
    <w:p>
      <w:pPr>
        <w:ind w:right="80" w:firstLine="567"/>
        <w:spacing w:after="0" w:line="231" w:lineRule="auto"/>
        <w:rPr>
          <w:sz w:val="20"/>
          <w:szCs w:val="20"/>
          <w:color w:val="auto"/>
        </w:rPr>
      </w:pPr>
      <w:r>
        <w:rPr>
          <w:rFonts w:ascii="Arial" w:cs="Arial" w:eastAsia="Arial" w:hAnsi="Arial"/>
          <w:sz w:val="21"/>
          <w:szCs w:val="21"/>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ind w:left="580"/>
        <w:spacing w:after="0" w:line="218"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it may be amended from time to time.</w:t>
      </w:r>
    </w:p>
    <w:p>
      <w:pPr>
        <w:ind w:left="580"/>
        <w:spacing w:after="0" w:line="215"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b w:val="1"/>
          <w:bCs w:val="1"/>
          <w:color w:val="auto"/>
        </w:rPr>
        <w:t>Disability</w:t>
      </w:r>
      <w:r>
        <w:rPr>
          <w:rFonts w:ascii="Arial" w:cs="Arial" w:eastAsia="Arial" w:hAnsi="Arial"/>
          <w:sz w:val="22"/>
          <w:szCs w:val="22"/>
          <w:color w:val="auto"/>
        </w:rPr>
        <w:t>” or “</w:t>
      </w:r>
      <w:r>
        <w:rPr>
          <w:rFonts w:ascii="Arial" w:cs="Arial" w:eastAsia="Arial" w:hAnsi="Arial"/>
          <w:sz w:val="22"/>
          <w:szCs w:val="22"/>
          <w:b w:val="1"/>
          <w:bCs w:val="1"/>
          <w:color w:val="auto"/>
        </w:rPr>
        <w:t>Disabled</w:t>
      </w:r>
      <w:r>
        <w:rPr>
          <w:rFonts w:ascii="Arial" w:cs="Arial" w:eastAsia="Arial" w:hAnsi="Arial"/>
          <w:sz w:val="22"/>
          <w:szCs w:val="22"/>
          <w:color w:val="auto"/>
        </w:rPr>
        <w:t>” means a physical or mental condition in which the Participant is:</w:t>
      </w:r>
    </w:p>
    <w:p>
      <w:pPr>
        <w:ind w:left="1880" w:right="120" w:hanging="441"/>
        <w:spacing w:after="0" w:line="227" w:lineRule="auto"/>
        <w:tabs>
          <w:tab w:leader="none" w:pos="188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98" w:lineRule="exact"/>
        <w:rPr>
          <w:rFonts w:ascii="Arial" w:cs="Arial" w:eastAsia="Arial" w:hAnsi="Arial"/>
          <w:sz w:val="22"/>
          <w:szCs w:val="22"/>
          <w:color w:val="auto"/>
        </w:rPr>
      </w:pPr>
    </w:p>
    <w:p>
      <w:pPr>
        <w:ind w:left="1880" w:right="160" w:hanging="489"/>
        <w:spacing w:after="0" w:line="228" w:lineRule="auto"/>
        <w:tabs>
          <w:tab w:leader="none" w:pos="188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99" w:lineRule="exact"/>
        <w:rPr>
          <w:rFonts w:ascii="Arial" w:cs="Arial" w:eastAsia="Arial" w:hAnsi="Arial"/>
          <w:sz w:val="22"/>
          <w:szCs w:val="22"/>
          <w:color w:val="auto"/>
        </w:rPr>
      </w:pPr>
    </w:p>
    <w:p>
      <w:pPr>
        <w:ind w:left="1880" w:hanging="537"/>
        <w:spacing w:after="0"/>
        <w:tabs>
          <w:tab w:leader="none" w:pos="188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22"/>
          <w:szCs w:val="22"/>
          <w:color w:val="auto"/>
        </w:rPr>
      </w:pPr>
    </w:p>
    <w:p>
      <w:pPr>
        <w:ind w:left="1880" w:right="20" w:hanging="549"/>
        <w:spacing w:after="0" w:line="261" w:lineRule="auto"/>
        <w:tabs>
          <w:tab w:leader="none" w:pos="186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disabled pursuant to an Employer-sponsored disability insurance arrangement provided that the definition of disability applied under such disability insurance program complies with the foregoing definition of</w:t>
      </w:r>
    </w:p>
    <w:p>
      <w:pPr>
        <w:ind w:left="1880"/>
        <w:spacing w:after="0" w:line="219" w:lineRule="auto"/>
        <w:rPr>
          <w:sz w:val="20"/>
          <w:szCs w:val="20"/>
          <w:color w:val="auto"/>
        </w:rPr>
      </w:pPr>
      <w:r>
        <w:rPr>
          <w:rFonts w:ascii="Arial" w:cs="Arial" w:eastAsia="Arial" w:hAnsi="Arial"/>
          <w:sz w:val="22"/>
          <w:szCs w:val="22"/>
          <w:color w:val="auto"/>
        </w:rPr>
        <w:t>Disability.</w:t>
      </w:r>
    </w:p>
    <w:p>
      <w:pPr>
        <w:ind w:right="20" w:firstLine="648"/>
        <w:spacing w:after="0" w:line="220"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b w:val="1"/>
          <w:bCs w:val="1"/>
          <w:color w:val="auto"/>
        </w:rPr>
        <w:t>Related Company</w:t>
      </w:r>
      <w:r>
        <w:rPr>
          <w:rFonts w:ascii="Arial" w:cs="Arial" w:eastAsia="Arial" w:hAnsi="Arial"/>
          <w:sz w:val="22"/>
          <w:szCs w:val="22"/>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98" w:lineRule="exact"/>
        <w:rPr>
          <w:sz w:val="20"/>
          <w:szCs w:val="20"/>
          <w:color w:val="auto"/>
        </w:rPr>
      </w:pPr>
    </w:p>
    <w:p>
      <w:pPr>
        <w:ind w:right="160" w:firstLine="648"/>
        <w:spacing w:after="0" w:line="224"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b w:val="1"/>
          <w:bCs w:val="1"/>
          <w:color w:val="auto"/>
        </w:rPr>
        <w:t>Retirement</w:t>
      </w:r>
      <w:r>
        <w:rPr>
          <w:rFonts w:ascii="Arial" w:cs="Arial" w:eastAsia="Arial" w:hAnsi="Arial"/>
          <w:sz w:val="22"/>
          <w:szCs w:val="22"/>
          <w:color w:val="auto"/>
        </w:rPr>
        <w:t>” or “</w:t>
      </w:r>
      <w:r>
        <w:rPr>
          <w:rFonts w:ascii="Arial" w:cs="Arial" w:eastAsia="Arial" w:hAnsi="Arial"/>
          <w:sz w:val="22"/>
          <w:szCs w:val="22"/>
          <w:b w:val="1"/>
          <w:bCs w:val="1"/>
          <w:color w:val="auto"/>
        </w:rPr>
        <w:t>Retires</w:t>
      </w:r>
      <w:r>
        <w:rPr>
          <w:rFonts w:ascii="Arial" w:cs="Arial" w:eastAsia="Arial" w:hAnsi="Arial"/>
          <w:sz w:val="22"/>
          <w:szCs w:val="22"/>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197" w:lineRule="exact"/>
        <w:rPr>
          <w:sz w:val="20"/>
          <w:szCs w:val="20"/>
          <w:color w:val="auto"/>
        </w:rPr>
      </w:pPr>
    </w:p>
    <w:p>
      <w:pPr>
        <w:ind w:right="280" w:firstLine="648"/>
        <w:spacing w:after="0" w:line="233"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353"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13" w:lineRule="exact"/>
        <w:rPr>
          <w:sz w:val="20"/>
          <w:szCs w:val="20"/>
          <w:color w:val="auto"/>
        </w:rPr>
      </w:pPr>
    </w:p>
    <w:p>
      <w:pPr>
        <w:ind w:right="200" w:firstLine="729"/>
        <w:spacing w:after="0" w:line="241" w:lineRule="auto"/>
        <w:rPr>
          <w:sz w:val="20"/>
          <w:szCs w:val="20"/>
          <w:color w:val="auto"/>
        </w:rPr>
      </w:pPr>
      <w:r>
        <w:rPr>
          <w:rFonts w:ascii="Arial" w:cs="Arial" w:eastAsia="Arial" w:hAnsi="Arial"/>
          <w:sz w:val="21"/>
          <w:szCs w:val="21"/>
          <w:color w:val="auto"/>
        </w:rPr>
        <w:t>12.9 “</w:t>
      </w:r>
      <w:r>
        <w:rPr>
          <w:rFonts w:ascii="Arial" w:cs="Arial" w:eastAsia="Arial" w:hAnsi="Arial"/>
          <w:sz w:val="21"/>
          <w:szCs w:val="21"/>
          <w:b w:val="1"/>
          <w:bCs w:val="1"/>
          <w:color w:val="auto"/>
        </w:rPr>
        <w:t>Specified Employee</w:t>
      </w:r>
      <w:r>
        <w:rPr>
          <w:rFonts w:ascii="Arial" w:cs="Arial" w:eastAsia="Arial" w:hAnsi="Arial"/>
          <w:sz w:val="21"/>
          <w:szCs w:val="21"/>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10(i)18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GRANT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2022]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[Eligible Executive Employees]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9" w:lineRule="exact"/>
        <w:rPr>
          <w:sz w:val="20"/>
          <w:szCs w:val="20"/>
          <w:color w:val="auto"/>
        </w:rPr>
      </w:pPr>
    </w:p>
    <w:p>
      <w:pPr>
        <w:ind w:right="60"/>
        <w:spacing w:after="0" w:line="219" w:lineRule="auto"/>
        <w:rPr>
          <w:sz w:val="20"/>
          <w:szCs w:val="20"/>
          <w:color w:val="auto"/>
        </w:rPr>
      </w:pPr>
      <w:r>
        <w:rPr>
          <w:rFonts w:ascii="Arial" w:cs="Arial" w:eastAsia="Arial" w:hAnsi="Arial"/>
          <w:sz w:val="19"/>
          <w:szCs w:val="19"/>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and all documents incorporated herein by reference: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Number of Performance Shares Granted: #</w:t>
      </w:r>
    </w:p>
    <w:p>
      <w:pPr>
        <w:ind w:left="720"/>
        <w:spacing w:after="0" w:line="192" w:lineRule="auto"/>
        <w:rPr>
          <w:sz w:val="20"/>
          <w:szCs w:val="20"/>
          <w:color w:val="auto"/>
        </w:rPr>
      </w:pPr>
      <w:r>
        <w:rPr>
          <w:rFonts w:ascii="Arial" w:cs="Arial" w:eastAsia="Arial" w:hAnsi="Arial"/>
          <w:sz w:val="19"/>
          <w:szCs w:val="19"/>
          <w:color w:val="auto"/>
        </w:rPr>
        <w:t>[#]–Total Shareholder Return Metric #</w:t>
      </w:r>
    </w:p>
    <w:p>
      <w:pPr>
        <w:ind w:left="720"/>
        <w:spacing w:after="0" w:line="218" w:lineRule="auto"/>
        <w:rPr>
          <w:sz w:val="20"/>
          <w:szCs w:val="20"/>
          <w:color w:val="auto"/>
        </w:rPr>
      </w:pPr>
      <w:r>
        <w:rPr>
          <w:rFonts w:ascii="Arial" w:cs="Arial" w:eastAsia="Arial" w:hAnsi="Arial"/>
          <w:sz w:val="22"/>
          <w:szCs w:val="22"/>
          <w:color w:val="auto"/>
        </w:rPr>
        <w:t>[#]–Compound Annual Growth Rate Metric #</w:t>
      </w:r>
    </w:p>
    <w:p>
      <w:pPr>
        <w:ind w:left="20"/>
        <w:spacing w:after="0" w:line="218" w:lineRule="auto"/>
        <w:rPr>
          <w:sz w:val="20"/>
          <w:szCs w:val="20"/>
          <w:color w:val="auto"/>
        </w:rPr>
      </w:pPr>
      <w:r>
        <w:rPr>
          <w:rFonts w:ascii="Arial" w:cs="Arial" w:eastAsia="Arial" w:hAnsi="Arial"/>
          <w:sz w:val="22"/>
          <w:szCs w:val="22"/>
          <w:color w:val="auto"/>
        </w:rPr>
        <w:t>Date of Grant: February 1, 2022</w:t>
      </w:r>
    </w:p>
    <w:p>
      <w:pPr>
        <w:ind w:left="20"/>
        <w:spacing w:after="0" w:line="217" w:lineRule="auto"/>
        <w:rPr>
          <w:sz w:val="20"/>
          <w:szCs w:val="20"/>
          <w:color w:val="auto"/>
        </w:rPr>
      </w:pPr>
      <w:r>
        <w:rPr>
          <w:rFonts w:ascii="Arial" w:cs="Arial" w:eastAsia="Arial" w:hAnsi="Arial"/>
          <w:sz w:val="22"/>
          <w:szCs w:val="22"/>
          <w:color w:val="auto"/>
        </w:rPr>
        <w:t>Performance Period: January 1, 2022 through December 31, 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Performance Goals: See </w:t>
      </w:r>
      <w:r>
        <w:rPr>
          <w:rFonts w:ascii="Arial" w:cs="Arial" w:eastAsia="Arial" w:hAnsi="Arial"/>
          <w:sz w:val="22"/>
          <w:szCs w:val="22"/>
          <w:u w:val="single" w:color="auto"/>
          <w:color w:val="auto"/>
        </w:rPr>
        <w:t>Annex B</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166" w:lineRule="exact"/>
        <w:rPr>
          <w:sz w:val="20"/>
          <w:szCs w:val="20"/>
          <w:color w:val="auto"/>
        </w:rPr>
      </w:pPr>
    </w:p>
    <w:p>
      <w:pPr>
        <w:ind w:right="40"/>
        <w:spacing w:after="0" w:line="213"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45" w:lineRule="exact"/>
        <w:rPr>
          <w:sz w:val="20"/>
          <w:szCs w:val="20"/>
          <w:color w:val="auto"/>
        </w:rPr>
      </w:pPr>
    </w:p>
    <w:p>
      <w:pPr>
        <w:ind w:right="460"/>
        <w:spacing w:after="0" w:line="197" w:lineRule="auto"/>
        <w:rPr>
          <w:sz w:val="20"/>
          <w:szCs w:val="20"/>
          <w:color w:val="auto"/>
        </w:rPr>
      </w:pPr>
      <w:r>
        <w:rPr>
          <w:rFonts w:ascii="Arial" w:cs="Arial" w:eastAsia="Arial" w:hAnsi="Arial"/>
          <w:sz w:val="22"/>
          <w:szCs w:val="22"/>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47" w:lineRule="exact"/>
        <w:rPr>
          <w:sz w:val="20"/>
          <w:szCs w:val="20"/>
          <w:color w:val="auto"/>
        </w:rPr>
      </w:pPr>
    </w:p>
    <w:p>
      <w:pPr>
        <w:jc w:val="both"/>
        <w:ind w:right="480"/>
        <w:spacing w:after="0" w:line="197"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 HERETO</w:t>
      </w:r>
      <w:r>
        <w:rPr>
          <w:rFonts w:ascii="Arial" w:cs="Arial" w:eastAsia="Arial" w:hAnsi="Arial"/>
          <w:sz w:val="22"/>
          <w:szCs w:val="22"/>
          <w:color w:val="auto"/>
        </w:rPr>
        <w:t>, WHICH CONTAINS IMPORTANT INFORMATION, INCLUDING MANDATORY CLAIMS AND ARBITRATION PROCEDURES.</w:t>
      </w:r>
    </w:p>
    <w:p>
      <w:pPr>
        <w:spacing w:after="0" w:line="147" w:lineRule="exact"/>
        <w:rPr>
          <w:sz w:val="20"/>
          <w:szCs w:val="20"/>
          <w:color w:val="auto"/>
        </w:rPr>
      </w:pPr>
    </w:p>
    <w:p>
      <w:pPr>
        <w:ind w:right="100"/>
        <w:spacing w:after="0" w:line="229"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144" w:lineRule="exact"/>
        <w:rPr>
          <w:sz w:val="20"/>
          <w:szCs w:val="20"/>
          <w:color w:val="auto"/>
        </w:rPr>
      </w:pPr>
    </w:p>
    <w:p>
      <w:pPr>
        <w:ind w:right="120"/>
        <w:spacing w:after="0" w:line="213" w:lineRule="auto"/>
        <w:rPr>
          <w:sz w:val="20"/>
          <w:szCs w:val="20"/>
          <w:color w:val="auto"/>
        </w:rPr>
      </w:pPr>
      <w:r>
        <w:rPr>
          <w:rFonts w:ascii="Arial" w:cs="Arial" w:eastAsia="Arial" w:hAnsi="Arial"/>
          <w:sz w:val="22"/>
          <w:szCs w:val="22"/>
          <w:color w:val="auto"/>
        </w:rPr>
        <w:t>IN WITNESS WHEREOF, ALLETE has caused this Grant to be executed by its Chair, President and Chief Executive Officer as of the date and year first above written.</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ALLETE</w:t>
      </w:r>
    </w:p>
    <w:p>
      <w:pPr>
        <w:spacing w:after="0" w:line="3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13887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6">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Chair, President &amp; CEO</w:t>
      </w:r>
    </w:p>
    <w:p>
      <w:pPr>
        <w:spacing w:after="0" w:line="339"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ectPr>
          <w:pgSz w:w="11900" w:h="16838" w:orient="portrait"/>
          <w:cols w:equalWidth="0" w:num="1">
            <w:col w:w="11240"/>
          </w:cols>
          <w:pgMar w:left="320" w:top="121"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10(i)18</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3"/>
          <w:szCs w:val="23"/>
          <w:u w:val="single" w:color="auto"/>
          <w:color w:val="auto"/>
        </w:rPr>
        <w:t>ANNEX 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TO</w:t>
      </w:r>
    </w:p>
    <w:p>
      <w:pPr>
        <w:jc w:val="center"/>
        <w:spacing w:after="0" w:line="232" w:lineRule="auto"/>
        <w:rPr>
          <w:sz w:val="20"/>
          <w:szCs w:val="20"/>
          <w:color w:val="auto"/>
        </w:rPr>
      </w:pPr>
      <w:r>
        <w:rPr>
          <w:rFonts w:ascii="Arial" w:cs="Arial" w:eastAsia="Arial" w:hAnsi="Arial"/>
          <w:sz w:val="23"/>
          <w:szCs w:val="23"/>
          <w:b w:val="1"/>
          <w:bCs w:val="1"/>
          <w:color w:val="auto"/>
        </w:rPr>
        <w:t>ALLETE</w:t>
      </w:r>
    </w:p>
    <w:p>
      <w:pPr>
        <w:jc w:val="center"/>
        <w:spacing w:after="0" w:line="233" w:lineRule="auto"/>
        <w:rPr>
          <w:sz w:val="20"/>
          <w:szCs w:val="20"/>
          <w:color w:val="auto"/>
        </w:rPr>
      </w:pPr>
      <w:r>
        <w:rPr>
          <w:rFonts w:ascii="Arial" w:cs="Arial" w:eastAsia="Arial" w:hAnsi="Arial"/>
          <w:sz w:val="23"/>
          <w:szCs w:val="23"/>
          <w:b w:val="1"/>
          <w:bCs w:val="1"/>
          <w:color w:val="auto"/>
        </w:rPr>
        <w:t>EXECUTIVE LONG-TERM INCENTIVE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Performance Share Grant to which this is annexed is subject to the following additional terms and conditions:</w:t>
      </w:r>
    </w:p>
    <w:p>
      <w:pPr>
        <w:spacing w:after="0" w:line="220" w:lineRule="exact"/>
        <w:rPr>
          <w:sz w:val="20"/>
          <w:szCs w:val="20"/>
          <w:color w:val="auto"/>
        </w:rPr>
      </w:pPr>
    </w:p>
    <w:p>
      <w:pPr>
        <w:ind w:right="40" w:firstLine="8"/>
        <w:spacing w:after="0" w:line="262" w:lineRule="auto"/>
        <w:tabs>
          <w:tab w:leader="none" w:pos="216" w:val="left"/>
        </w:tabs>
        <w:numPr>
          <w:ilvl w:val="0"/>
          <w:numId w:val="182"/>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79" w:lineRule="exact"/>
        <w:rPr>
          <w:rFonts w:ascii="Arial" w:cs="Arial" w:eastAsia="Arial" w:hAnsi="Arial"/>
          <w:sz w:val="19"/>
          <w:szCs w:val="19"/>
          <w:color w:val="auto"/>
        </w:rPr>
      </w:pPr>
    </w:p>
    <w:p>
      <w:pPr>
        <w:ind w:firstLine="8"/>
        <w:spacing w:after="0" w:line="233" w:lineRule="auto"/>
        <w:tabs>
          <w:tab w:leader="none" w:pos="216"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Satisfaction of Goals.</w:t>
      </w:r>
      <w:r>
        <w:rPr>
          <w:rFonts w:ascii="Arial" w:cs="Arial" w:eastAsia="Arial" w:hAnsi="Arial"/>
          <w:sz w:val="21"/>
          <w:szCs w:val="21"/>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98" w:lineRule="exact"/>
        <w:rPr>
          <w:rFonts w:ascii="Arial" w:cs="Arial" w:eastAsia="Arial" w:hAnsi="Arial"/>
          <w:sz w:val="21"/>
          <w:szCs w:val="21"/>
          <w:color w:val="auto"/>
        </w:rPr>
      </w:pPr>
    </w:p>
    <w:p>
      <w:pPr>
        <w:ind w:right="20" w:firstLine="8"/>
        <w:spacing w:after="0" w:line="224" w:lineRule="auto"/>
        <w:tabs>
          <w:tab w:leader="none" w:pos="216"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200" w:lineRule="exact"/>
        <w:rPr>
          <w:rFonts w:ascii="Arial" w:cs="Arial" w:eastAsia="Arial" w:hAnsi="Arial"/>
          <w:sz w:val="22"/>
          <w:szCs w:val="22"/>
          <w:color w:val="auto"/>
        </w:rPr>
      </w:pPr>
    </w:p>
    <w:p>
      <w:pPr>
        <w:spacing w:after="0" w:line="246" w:lineRule="exact"/>
        <w:rPr>
          <w:rFonts w:ascii="Arial" w:cs="Arial" w:eastAsia="Arial" w:hAnsi="Arial"/>
          <w:sz w:val="22"/>
          <w:szCs w:val="22"/>
          <w:color w:val="auto"/>
        </w:rPr>
      </w:pPr>
    </w:p>
    <w:p>
      <w:pPr>
        <w:ind w:right="260" w:firstLine="8"/>
        <w:spacing w:after="0" w:line="239" w:lineRule="auto"/>
        <w:tabs>
          <w:tab w:leader="none" w:pos="216"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98" w:lineRule="exact"/>
        <w:rPr>
          <w:sz w:val="20"/>
          <w:szCs w:val="20"/>
          <w:color w:val="auto"/>
        </w:rPr>
      </w:pPr>
    </w:p>
    <w:p>
      <w:pPr>
        <w:ind w:right="100" w:firstLine="1296"/>
        <w:spacing w:after="0" w:line="248" w:lineRule="auto"/>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11"/>
          <w:szCs w:val="11"/>
          <w:color w:val="auto"/>
        </w:rPr>
        <w:t>th</w:t>
      </w:r>
      <w:r>
        <w:rPr>
          <w:rFonts w:ascii="Arial" w:cs="Arial" w:eastAsia="Arial" w:hAnsi="Arial"/>
          <w:sz w:val="20"/>
          <w:szCs w:val="20"/>
          <w:color w:val="auto"/>
        </w:rPr>
        <w:t xml:space="preserve"> of the month.</w:t>
      </w:r>
    </w:p>
    <w:p>
      <w:pPr>
        <w:sectPr>
          <w:pgSz w:w="11900" w:h="16838" w:orient="portrait"/>
          <w:cols w:equalWidth="0" w:num="1">
            <w:col w:w="11240"/>
          </w:cols>
          <w:pgMar w:left="320" w:top="121"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10(i)15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firstLine="1296"/>
        <w:spacing w:after="0" w:line="231" w:lineRule="auto"/>
        <w:rPr>
          <w:sz w:val="20"/>
          <w:szCs w:val="20"/>
          <w:color w:val="auto"/>
        </w:rPr>
      </w:pPr>
      <w:r>
        <w:rPr>
          <w:rFonts w:ascii="Arial" w:cs="Arial" w:eastAsia="Arial" w:hAnsi="Arial"/>
          <w:sz w:val="22"/>
          <w:szCs w:val="22"/>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201" w:lineRule="exact"/>
        <w:rPr>
          <w:sz w:val="20"/>
          <w:szCs w:val="20"/>
          <w:color w:val="auto"/>
        </w:rPr>
      </w:pPr>
    </w:p>
    <w:p>
      <w:pPr>
        <w:ind w:right="160" w:firstLine="1296"/>
        <w:spacing w:after="0" w:line="267"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75" w:lineRule="exact"/>
        <w:rPr>
          <w:sz w:val="20"/>
          <w:szCs w:val="20"/>
          <w:color w:val="auto"/>
        </w:rPr>
      </w:pPr>
    </w:p>
    <w:p>
      <w:pPr>
        <w:ind w:right="360" w:firstLine="1296"/>
        <w:spacing w:after="0" w:line="231"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201" w:lineRule="exact"/>
        <w:rPr>
          <w:sz w:val="20"/>
          <w:szCs w:val="20"/>
          <w:color w:val="auto"/>
        </w:rPr>
      </w:pPr>
    </w:p>
    <w:p>
      <w:pPr>
        <w:ind w:right="120" w:firstLine="8"/>
        <w:spacing w:after="0" w:line="231" w:lineRule="auto"/>
        <w:tabs>
          <w:tab w:leader="none" w:pos="216"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201" w:lineRule="exact"/>
        <w:rPr>
          <w:rFonts w:ascii="Arial" w:cs="Arial" w:eastAsia="Arial" w:hAnsi="Arial"/>
          <w:sz w:val="22"/>
          <w:szCs w:val="22"/>
          <w:color w:val="auto"/>
        </w:rPr>
      </w:pPr>
    </w:p>
    <w:p>
      <w:pPr>
        <w:ind w:right="20" w:firstLine="8"/>
        <w:spacing w:after="0" w:line="258" w:lineRule="auto"/>
        <w:tabs>
          <w:tab w:leader="none" w:pos="21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89" w:lineRule="exact"/>
        <w:rPr>
          <w:rFonts w:ascii="Arial" w:cs="Arial" w:eastAsia="Arial" w:hAnsi="Arial"/>
          <w:sz w:val="19"/>
          <w:szCs w:val="19"/>
          <w:color w:val="auto"/>
        </w:rPr>
      </w:pPr>
    </w:p>
    <w:p>
      <w:pPr>
        <w:ind w:left="880" w:hanging="224"/>
        <w:spacing w:after="0"/>
        <w:tabs>
          <w:tab w:leader="none" w:pos="880" w:val="left"/>
        </w:tabs>
        <w:numPr>
          <w:ilvl w:val="1"/>
          <w:numId w:val="183"/>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20" w:lineRule="exact"/>
        <w:rPr>
          <w:sz w:val="20"/>
          <w:szCs w:val="20"/>
          <w:color w:val="auto"/>
        </w:rPr>
      </w:pPr>
    </w:p>
    <w:p>
      <w:pPr>
        <w:jc w:val="both"/>
        <w:ind w:right="180" w:firstLine="648"/>
        <w:spacing w:after="0" w:line="22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200" w:lineRule="exact"/>
        <w:rPr>
          <w:sz w:val="20"/>
          <w:szCs w:val="20"/>
          <w:color w:val="auto"/>
        </w:rPr>
      </w:pPr>
    </w:p>
    <w:p>
      <w:pPr>
        <w:jc w:val="both"/>
        <w:ind w:right="120" w:firstLine="648"/>
        <w:spacing w:after="0" w:line="22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200" w:lineRule="exact"/>
        <w:rPr>
          <w:sz w:val="20"/>
          <w:szCs w:val="20"/>
          <w:color w:val="auto"/>
        </w:rPr>
      </w:pPr>
    </w:p>
    <w:p>
      <w:pPr>
        <w:ind w:right="280" w:firstLine="648"/>
        <w:spacing w:after="0" w:line="231"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Notice of Denial</w:t>
      </w:r>
      <w:r>
        <w:rPr>
          <w:rFonts w:ascii="Arial" w:cs="Arial" w:eastAsia="Arial" w:hAnsi="Arial"/>
          <w:sz w:val="22"/>
          <w:szCs w:val="22"/>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1"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b w:val="1"/>
          <w:bCs w:val="1"/>
          <w:color w:val="auto"/>
        </w:rPr>
        <w:t>Exhibit 10(i)15</w:t>
      </w:r>
    </w:p>
    <w:p>
      <w:pPr>
        <w:spacing w:after="0" w:line="200" w:lineRule="exact"/>
        <w:rPr>
          <w:sz w:val="20"/>
          <w:szCs w:val="20"/>
          <w:color w:val="auto"/>
        </w:rPr>
      </w:pPr>
    </w:p>
    <w:p>
      <w:pPr>
        <w:spacing w:after="0" w:line="359"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Plan, the Claims Administrator’s decision or action shall be final, conclusive and binding on all persons having any interest in the Plan.</w:t>
      </w:r>
    </w:p>
    <w:p>
      <w:pPr>
        <w:spacing w:after="0" w:line="198" w:lineRule="exact"/>
        <w:rPr>
          <w:sz w:val="20"/>
          <w:szCs w:val="20"/>
          <w:color w:val="auto"/>
        </w:rPr>
      </w:pPr>
    </w:p>
    <w:p>
      <w:pPr>
        <w:ind w:right="20" w:firstLine="648"/>
        <w:spacing w:after="0" w:line="239"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Arbitration</w:t>
      </w:r>
      <w:r>
        <w:rPr>
          <w:rFonts w:ascii="Arial" w:cs="Arial" w:eastAsia="Arial" w:hAnsi="Arial"/>
          <w:sz w:val="22"/>
          <w:szCs w:val="22"/>
          <w:color w:val="auto"/>
        </w:rPr>
        <w:t>. If, after exhausting the procedures set forth above, a Claimant wishes to pursue legal action, any action by the Claimant with respect to a claim, must be resolved by arbitration in the manner described herein.</w:t>
      </w:r>
    </w:p>
    <w:p>
      <w:pPr>
        <w:spacing w:after="0" w:line="198" w:lineRule="exact"/>
        <w:rPr>
          <w:sz w:val="20"/>
          <w:szCs w:val="20"/>
          <w:color w:val="auto"/>
        </w:rPr>
      </w:pPr>
    </w:p>
    <w:p>
      <w:pPr>
        <w:ind w:left="660" w:right="80" w:hanging="328"/>
        <w:spacing w:after="0" w:line="228" w:lineRule="auto"/>
        <w:tabs>
          <w:tab w:leader="none" w:pos="65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Time Limits</w:t>
      </w:r>
      <w:r>
        <w:rPr>
          <w:rFonts w:ascii="Arial" w:cs="Arial" w:eastAsia="Arial" w:hAnsi="Arial"/>
          <w:sz w:val="22"/>
          <w:szCs w:val="22"/>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99" w:lineRule="exact"/>
        <w:rPr>
          <w:rFonts w:ascii="Arial" w:cs="Arial" w:eastAsia="Arial" w:hAnsi="Arial"/>
          <w:sz w:val="22"/>
          <w:szCs w:val="22"/>
          <w:color w:val="auto"/>
        </w:rPr>
      </w:pPr>
    </w:p>
    <w:p>
      <w:pPr>
        <w:ind w:left="660" w:right="540" w:hanging="328"/>
        <w:spacing w:after="0" w:line="239" w:lineRule="auto"/>
        <w:tabs>
          <w:tab w:leader="none" w:pos="65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198" w:lineRule="exact"/>
        <w:rPr>
          <w:rFonts w:ascii="Arial" w:cs="Arial" w:eastAsia="Arial" w:hAnsi="Arial"/>
          <w:sz w:val="22"/>
          <w:szCs w:val="22"/>
          <w:color w:val="auto"/>
        </w:rPr>
      </w:pPr>
    </w:p>
    <w:p>
      <w:pPr>
        <w:ind w:left="640" w:hanging="308"/>
        <w:spacing w:after="0"/>
        <w:tabs>
          <w:tab w:leader="none" w:pos="64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219" w:lineRule="exact"/>
        <w:rPr>
          <w:rFonts w:ascii="Arial" w:cs="Arial" w:eastAsia="Arial" w:hAnsi="Arial"/>
          <w:sz w:val="22"/>
          <w:szCs w:val="22"/>
          <w:color w:val="auto"/>
        </w:rPr>
      </w:pPr>
    </w:p>
    <w:p>
      <w:pPr>
        <w:ind w:left="660" w:right="280" w:hanging="328"/>
        <w:spacing w:after="0" w:line="239" w:lineRule="auto"/>
        <w:tabs>
          <w:tab w:leader="none" w:pos="651"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99" w:lineRule="exact"/>
        <w:rPr>
          <w:rFonts w:ascii="Arial" w:cs="Arial" w:eastAsia="Arial" w:hAnsi="Arial"/>
          <w:sz w:val="21"/>
          <w:szCs w:val="21"/>
          <w:color w:val="auto"/>
        </w:rPr>
      </w:pPr>
    </w:p>
    <w:p>
      <w:pPr>
        <w:ind w:left="660" w:right="320" w:hanging="328"/>
        <w:spacing w:after="0" w:line="239" w:lineRule="auto"/>
        <w:tabs>
          <w:tab w:leader="none" w:pos="65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198" w:lineRule="exact"/>
        <w:rPr>
          <w:rFonts w:ascii="Arial" w:cs="Arial" w:eastAsia="Arial" w:hAnsi="Arial"/>
          <w:sz w:val="22"/>
          <w:szCs w:val="22"/>
          <w:color w:val="auto"/>
        </w:rPr>
      </w:pPr>
    </w:p>
    <w:p>
      <w:pPr>
        <w:ind w:left="660" w:right="80" w:hanging="328"/>
        <w:spacing w:after="0" w:line="231" w:lineRule="auto"/>
        <w:tabs>
          <w:tab w:leader="none" w:pos="659" w:val="left"/>
        </w:tabs>
        <w:numPr>
          <w:ilvl w:val="0"/>
          <w:numId w:val="184"/>
        </w:numPr>
        <w:rPr>
          <w:rFonts w:ascii="Arial" w:cs="Arial" w:eastAsia="Arial" w:hAnsi="Arial"/>
          <w:sz w:val="21"/>
          <w:szCs w:val="21"/>
          <w:color w:val="auto"/>
        </w:rPr>
      </w:pPr>
      <w:r>
        <w:rPr>
          <w:rFonts w:ascii="Arial" w:cs="Arial" w:eastAsia="Arial" w:hAnsi="Arial"/>
          <w:sz w:val="21"/>
          <w:szCs w:val="21"/>
          <w:u w:val="single" w:color="auto"/>
          <w:color w:val="auto"/>
        </w:rPr>
        <w:t>Waiver of Class, Collective, and Representative Actions</w:t>
      </w:r>
      <w:r>
        <w:rPr>
          <w:rFonts w:ascii="Arial" w:cs="Arial" w:eastAsia="Arial" w:hAnsi="Arial"/>
          <w:sz w:val="21"/>
          <w:szCs w:val="21"/>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3" w:lineRule="exact"/>
        <w:rPr>
          <w:rFonts w:ascii="Arial" w:cs="Arial" w:eastAsia="Arial" w:hAnsi="Arial"/>
          <w:sz w:val="21"/>
          <w:szCs w:val="21"/>
          <w:color w:val="auto"/>
        </w:rPr>
      </w:pPr>
    </w:p>
    <w:p>
      <w:pPr>
        <w:ind w:left="660" w:right="160" w:hanging="328"/>
        <w:spacing w:after="0" w:line="221" w:lineRule="auto"/>
        <w:tabs>
          <w:tab w:leader="none" w:pos="651"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Standard of Review</w:t>
      </w:r>
      <w:r>
        <w:rPr>
          <w:rFonts w:ascii="Arial" w:cs="Arial" w:eastAsia="Arial" w:hAnsi="Arial"/>
          <w:sz w:val="22"/>
          <w:szCs w:val="22"/>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22"/>
          <w:szCs w:val="22"/>
          <w:i w:val="1"/>
          <w:iCs w:val="1"/>
          <w:color w:val="auto"/>
        </w:rPr>
        <w:t>Conkright v. Frommert</w:t>
      </w:r>
      <w:r>
        <w:rPr>
          <w:rFonts w:ascii="Arial" w:cs="Arial" w:eastAsia="Arial" w:hAnsi="Arial"/>
          <w:sz w:val="22"/>
          <w:szCs w:val="22"/>
          <w:color w:val="auto"/>
        </w:rPr>
        <w:t xml:space="preserve">, 130 S. Ct. 1640 (2010), </w:t>
      </w:r>
      <w:r>
        <w:rPr>
          <w:rFonts w:ascii="Arial" w:cs="Arial" w:eastAsia="Arial" w:hAnsi="Arial"/>
          <w:sz w:val="22"/>
          <w:szCs w:val="22"/>
          <w:i w:val="1"/>
          <w:iCs w:val="1"/>
          <w:color w:val="auto"/>
        </w:rPr>
        <w:t>Metropolitan Life Insurance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 v. </w:t>
      </w:r>
      <w:r>
        <w:rPr>
          <w:rFonts w:ascii="Arial" w:cs="Arial" w:eastAsia="Arial" w:hAnsi="Arial"/>
          <w:sz w:val="22"/>
          <w:szCs w:val="22"/>
          <w:color w:val="auto"/>
        </w:rPr>
        <w:t>Glenn</w:t>
      </w:r>
      <w:r>
        <w:rPr>
          <w:rFonts w:ascii="Arial" w:cs="Arial" w:eastAsia="Arial" w:hAnsi="Arial"/>
          <w:sz w:val="22"/>
          <w:szCs w:val="22"/>
          <w:i w:val="1"/>
          <w:iCs w:val="1"/>
          <w:color w:val="auto"/>
        </w:rPr>
        <w:t xml:space="preserve">, </w:t>
      </w:r>
      <w:r>
        <w:rPr>
          <w:rFonts w:ascii="Arial" w:cs="Arial" w:eastAsia="Arial" w:hAnsi="Arial"/>
          <w:sz w:val="22"/>
          <w:szCs w:val="22"/>
          <w:color w:val="auto"/>
        </w:rPr>
        <w:t>554 U.S. 105 (2008), and</w:t>
      </w:r>
      <w:r>
        <w:rPr>
          <w:rFonts w:ascii="Arial" w:cs="Arial" w:eastAsia="Arial" w:hAnsi="Arial"/>
          <w:sz w:val="22"/>
          <w:szCs w:val="22"/>
          <w:i w:val="1"/>
          <w:iCs w:val="1"/>
          <w:color w:val="auto"/>
        </w:rPr>
        <w:t xml:space="preserve"> Firestone Tire and Rubber Company v. Bruch, </w:t>
      </w:r>
      <w:r>
        <w:rPr>
          <w:rFonts w:ascii="Arial" w:cs="Arial" w:eastAsia="Arial" w:hAnsi="Arial"/>
          <w:sz w:val="22"/>
          <w:szCs w:val="22"/>
          <w:color w:val="auto"/>
        </w:rPr>
        <w:t>489 U.S. 101 (1989), and shall</w:t>
      </w:r>
      <w:r>
        <w:rPr>
          <w:rFonts w:ascii="Arial" w:cs="Arial" w:eastAsia="Arial" w:hAnsi="Arial"/>
          <w:sz w:val="22"/>
          <w:szCs w:val="22"/>
          <w:i w:val="1"/>
          <w:iCs w:val="1"/>
          <w:color w:val="auto"/>
        </w:rPr>
        <w:t xml:space="preserve"> </w:t>
      </w:r>
      <w:r>
        <w:rPr>
          <w:rFonts w:ascii="Arial" w:cs="Arial" w:eastAsia="Arial" w:hAnsi="Arial"/>
          <w:sz w:val="22"/>
          <w:szCs w:val="22"/>
          <w:color w:val="auto"/>
        </w:rPr>
        <w:t>accord due deference to the determinations, interpretations, and construction of the Plan document by the Claims Administrator.</w:t>
      </w:r>
    </w:p>
    <w:p>
      <w:pPr>
        <w:spacing w:after="0" w:line="198" w:lineRule="exact"/>
        <w:rPr>
          <w:rFonts w:ascii="Arial" w:cs="Arial" w:eastAsia="Arial" w:hAnsi="Arial"/>
          <w:sz w:val="22"/>
          <w:szCs w:val="22"/>
          <w:color w:val="auto"/>
        </w:rPr>
      </w:pPr>
    </w:p>
    <w:p>
      <w:pPr>
        <w:ind w:left="640" w:hanging="308"/>
        <w:spacing w:after="0"/>
        <w:tabs>
          <w:tab w:leader="none" w:pos="640" w:val="left"/>
        </w:tabs>
        <w:numPr>
          <w:ilvl w:val="0"/>
          <w:numId w:val="184"/>
        </w:numPr>
        <w:rPr>
          <w:rFonts w:ascii="Arial" w:cs="Arial" w:eastAsia="Arial" w:hAnsi="Arial"/>
          <w:sz w:val="22"/>
          <w:szCs w:val="22"/>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ind w:left="740" w:right="160" w:hanging="3"/>
        <w:spacing w:after="0" w:line="231" w:lineRule="auto"/>
        <w:tabs>
          <w:tab w:leader="none" w:pos="1298" w:val="left"/>
        </w:tabs>
        <w:numPr>
          <w:ilvl w:val="1"/>
          <w:numId w:val="184"/>
        </w:numPr>
        <w:rPr>
          <w:rFonts w:ascii="Arial" w:cs="Arial" w:eastAsia="Arial" w:hAnsi="Arial"/>
          <w:sz w:val="21"/>
          <w:szCs w:val="21"/>
          <w:color w:val="auto"/>
        </w:rPr>
      </w:pPr>
      <w:r>
        <w:rPr>
          <w:rFonts w:ascii="Arial" w:cs="Arial" w:eastAsia="Arial" w:hAnsi="Arial"/>
          <w:sz w:val="21"/>
          <w:szCs w:val="21"/>
          <w:u w:val="single" w:color="auto"/>
          <w:color w:val="auto"/>
        </w:rPr>
        <w:t>Arbitration Rules</w:t>
      </w:r>
      <w:r>
        <w:rPr>
          <w:rFonts w:ascii="Arial" w:cs="Arial" w:eastAsia="Arial" w:hAnsi="Arial"/>
          <w:sz w:val="21"/>
          <w:szCs w:val="21"/>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1" w:right="339" w:bottom="1440" w:gutter="0" w:footer="0" w:header="0"/>
        </w:sectPr>
      </w:pPr>
    </w:p>
    <w:bookmarkStart w:id="270" w:name="page271"/>
    <w:bookmarkEnd w:id="270"/>
    <w:p>
      <w:pPr>
        <w:ind w:left="10100"/>
        <w:spacing w:after="0"/>
        <w:rPr>
          <w:sz w:val="20"/>
          <w:szCs w:val="20"/>
          <w:color w:val="auto"/>
        </w:rPr>
      </w:pPr>
      <w:r>
        <w:rPr>
          <w:rFonts w:ascii="Arial" w:cs="Arial" w:eastAsia="Arial" w:hAnsi="Arial"/>
          <w:sz w:val="16"/>
          <w:szCs w:val="16"/>
          <w:b w:val="1"/>
          <w:bCs w:val="1"/>
          <w:color w:val="auto"/>
        </w:rPr>
        <w:t>Exhibit 10(i)15</w:t>
      </w:r>
    </w:p>
    <w:p>
      <w:pPr>
        <w:spacing w:after="0" w:line="200" w:lineRule="exact"/>
        <w:rPr>
          <w:sz w:val="20"/>
          <w:szCs w:val="20"/>
          <w:color w:val="auto"/>
        </w:rPr>
      </w:pPr>
    </w:p>
    <w:p>
      <w:pPr>
        <w:spacing w:after="0" w:line="382" w:lineRule="exact"/>
        <w:rPr>
          <w:sz w:val="20"/>
          <w:szCs w:val="20"/>
          <w:color w:val="auto"/>
        </w:rPr>
      </w:pPr>
    </w:p>
    <w:p>
      <w:pPr>
        <w:ind w:left="740"/>
        <w:spacing w:after="0" w:line="228" w:lineRule="auto"/>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Substantive Law</w:t>
      </w:r>
      <w:r>
        <w:rPr>
          <w:rFonts w:ascii="Arial" w:cs="Arial" w:eastAsia="Arial" w:hAnsi="Arial"/>
          <w:sz w:val="22"/>
          <w:szCs w:val="22"/>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99" w:lineRule="exact"/>
        <w:rPr>
          <w:sz w:val="20"/>
          <w:szCs w:val="20"/>
          <w:color w:val="auto"/>
        </w:rPr>
      </w:pPr>
    </w:p>
    <w:p>
      <w:pPr>
        <w:ind w:left="740" w:right="20" w:hanging="327"/>
        <w:spacing w:after="0" w:line="228" w:lineRule="auto"/>
        <w:tabs>
          <w:tab w:leader="none" w:pos="731"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99" w:lineRule="exact"/>
        <w:rPr>
          <w:rFonts w:ascii="Arial" w:cs="Arial" w:eastAsia="Arial" w:hAnsi="Arial"/>
          <w:sz w:val="22"/>
          <w:szCs w:val="22"/>
          <w:color w:val="auto"/>
        </w:rPr>
      </w:pPr>
    </w:p>
    <w:p>
      <w:pPr>
        <w:ind w:left="740" w:right="80" w:hanging="327"/>
        <w:spacing w:after="0" w:line="228" w:lineRule="auto"/>
        <w:tabs>
          <w:tab w:leader="none" w:pos="731" w:val="left"/>
        </w:tabs>
        <w:numPr>
          <w:ilvl w:val="0"/>
          <w:numId w:val="185"/>
        </w:numPr>
        <w:rPr>
          <w:rFonts w:ascii="Arial" w:cs="Arial" w:eastAsia="Arial" w:hAnsi="Arial"/>
          <w:sz w:val="22"/>
          <w:szCs w:val="22"/>
          <w:color w:val="auto"/>
        </w:rPr>
      </w:pPr>
      <w:r>
        <w:rPr>
          <w:rFonts w:ascii="Arial" w:cs="Arial" w:eastAsia="Arial" w:hAnsi="Arial"/>
          <w:sz w:val="22"/>
          <w:szCs w:val="22"/>
          <w:u w:val="single" w:color="auto"/>
          <w:color w:val="auto"/>
        </w:rPr>
        <w:t>Pre-Hearing Procedures</w:t>
      </w:r>
      <w:r>
        <w:rPr>
          <w:rFonts w:ascii="Arial" w:cs="Arial" w:eastAsia="Arial" w:hAnsi="Arial"/>
          <w:sz w:val="22"/>
          <w:szCs w:val="22"/>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99" w:lineRule="exact"/>
        <w:rPr>
          <w:rFonts w:ascii="Arial" w:cs="Arial" w:eastAsia="Arial" w:hAnsi="Arial"/>
          <w:sz w:val="22"/>
          <w:szCs w:val="22"/>
          <w:color w:val="auto"/>
        </w:rPr>
      </w:pPr>
    </w:p>
    <w:p>
      <w:pPr>
        <w:ind w:left="740" w:right="20" w:hanging="327"/>
        <w:spacing w:after="0" w:line="260" w:lineRule="auto"/>
        <w:tabs>
          <w:tab w:leader="none" w:pos="731"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85" w:lineRule="exact"/>
        <w:rPr>
          <w:sz w:val="20"/>
          <w:szCs w:val="20"/>
          <w:color w:val="auto"/>
        </w:rPr>
      </w:pPr>
    </w:p>
    <w:p>
      <w:pPr>
        <w:ind w:left="740" w:right="560" w:hanging="327"/>
        <w:spacing w:after="0" w:line="239" w:lineRule="auto"/>
        <w:tabs>
          <w:tab w:leader="none" w:pos="731" w:val="left"/>
        </w:tabs>
        <w:numPr>
          <w:ilvl w:val="1"/>
          <w:numId w:val="186"/>
        </w:numPr>
        <w:rPr>
          <w:rFonts w:ascii="Arial" w:cs="Arial" w:eastAsia="Arial" w:hAnsi="Arial"/>
          <w:sz w:val="21"/>
          <w:szCs w:val="21"/>
          <w:color w:val="auto"/>
        </w:rPr>
      </w:pPr>
      <w:r>
        <w:rPr>
          <w:rFonts w:ascii="Arial" w:cs="Arial" w:eastAsia="Arial" w:hAnsi="Arial"/>
          <w:sz w:val="21"/>
          <w:szCs w:val="21"/>
          <w:u w:val="single" w:color="auto"/>
          <w:color w:val="auto"/>
        </w:rPr>
        <w:t>Interstate Commerce and the Federal Arbitration Act</w:t>
      </w:r>
      <w:r>
        <w:rPr>
          <w:rFonts w:ascii="Arial" w:cs="Arial" w:eastAsia="Arial" w:hAnsi="Arial"/>
          <w:sz w:val="21"/>
          <w:szCs w:val="21"/>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99" w:lineRule="exact"/>
        <w:rPr>
          <w:rFonts w:ascii="Arial" w:cs="Arial" w:eastAsia="Arial" w:hAnsi="Arial"/>
          <w:sz w:val="21"/>
          <w:szCs w:val="21"/>
          <w:color w:val="auto"/>
        </w:rPr>
      </w:pPr>
    </w:p>
    <w:p>
      <w:pPr>
        <w:jc w:val="both"/>
        <w:ind w:right="120" w:firstLine="656"/>
        <w:spacing w:after="0" w:line="231" w:lineRule="auto"/>
        <w:tabs>
          <w:tab w:leader="none" w:pos="864" w:val="left"/>
        </w:tabs>
        <w:numPr>
          <w:ilvl w:val="2"/>
          <w:numId w:val="186"/>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201" w:lineRule="exact"/>
        <w:rPr>
          <w:rFonts w:ascii="Arial" w:cs="Arial" w:eastAsia="Arial" w:hAnsi="Arial"/>
          <w:sz w:val="22"/>
          <w:szCs w:val="22"/>
          <w:color w:val="auto"/>
        </w:rPr>
      </w:pPr>
    </w:p>
    <w:p>
      <w:pPr>
        <w:ind w:right="180" w:firstLine="656"/>
        <w:spacing w:after="0" w:line="244" w:lineRule="auto"/>
        <w:tabs>
          <w:tab w:leader="none" w:pos="864" w:val="left"/>
        </w:tabs>
        <w:numPr>
          <w:ilvl w:val="2"/>
          <w:numId w:val="186"/>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94" w:lineRule="exact"/>
        <w:rPr>
          <w:rFonts w:ascii="Arial" w:cs="Arial" w:eastAsia="Arial" w:hAnsi="Arial"/>
          <w:sz w:val="21"/>
          <w:szCs w:val="21"/>
          <w:color w:val="auto"/>
        </w:rPr>
      </w:pPr>
    </w:p>
    <w:p>
      <w:pPr>
        <w:ind w:right="60" w:firstLine="8"/>
        <w:spacing w:after="0" w:line="282" w:lineRule="auto"/>
        <w:tabs>
          <w:tab w:leader="none" w:pos="324"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61" w:lineRule="exact"/>
        <w:rPr>
          <w:rFonts w:ascii="Arial" w:cs="Arial" w:eastAsia="Arial" w:hAnsi="Arial"/>
          <w:sz w:val="19"/>
          <w:szCs w:val="19"/>
          <w:color w:val="auto"/>
        </w:rPr>
      </w:pPr>
    </w:p>
    <w:p>
      <w:pPr>
        <w:ind w:right="220" w:firstLine="656"/>
        <w:spacing w:after="0" w:line="239" w:lineRule="auto"/>
        <w:tabs>
          <w:tab w:leader="none" w:pos="964" w:val="left"/>
        </w:tabs>
        <w:numPr>
          <w:ilvl w:val="2"/>
          <w:numId w:val="187"/>
        </w:numPr>
        <w:rPr>
          <w:rFonts w:ascii="Arial" w:cs="Arial" w:eastAsia="Arial" w:hAnsi="Arial"/>
          <w:sz w:val="22"/>
          <w:szCs w:val="22"/>
          <w:color w:val="auto"/>
        </w:rPr>
      </w:pPr>
      <w:r>
        <w:rPr>
          <w:rFonts w:ascii="Arial" w:cs="Arial" w:eastAsia="Arial" w:hAnsi="Arial"/>
          <w:sz w:val="22"/>
          <w:szCs w:val="22"/>
          <w:u w:val="single" w:color="auto"/>
          <w:color w:val="auto"/>
        </w:rPr>
        <w:t>Governing Law and Severability.</w:t>
      </w:r>
      <w:r>
        <w:rPr>
          <w:rFonts w:ascii="Arial" w:cs="Arial" w:eastAsia="Arial" w:hAnsi="Arial"/>
          <w:sz w:val="22"/>
          <w:szCs w:val="22"/>
          <w:color w:val="auto"/>
        </w:rPr>
        <w:t xml:space="preserve"> To the extent not preempted by the Federal law, the Grant will be governed by and construed in accordance with the laws of the State of Minnesota, without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10(i)15</w:t>
      </w:r>
    </w:p>
    <w:p>
      <w:pPr>
        <w:spacing w:after="0" w:line="200" w:lineRule="exact"/>
        <w:rPr>
          <w:sz w:val="20"/>
          <w:szCs w:val="20"/>
          <w:color w:val="auto"/>
        </w:rPr>
      </w:pPr>
    </w:p>
    <w:p>
      <w:pPr>
        <w:spacing w:after="0" w:line="359"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201" w:lineRule="exact"/>
        <w:rPr>
          <w:sz w:val="20"/>
          <w:szCs w:val="20"/>
          <w:color w:val="auto"/>
        </w:rPr>
      </w:pPr>
    </w:p>
    <w:p>
      <w:pPr>
        <w:ind w:right="340" w:firstLine="8"/>
        <w:spacing w:after="0" w:line="239" w:lineRule="auto"/>
        <w:tabs>
          <w:tab w:leader="none" w:pos="324"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92" w:lineRule="exact"/>
        <w:rPr>
          <w:sz w:val="20"/>
          <w:szCs w:val="20"/>
          <w:color w:val="auto"/>
        </w:rPr>
      </w:pPr>
    </w:p>
    <w:p>
      <w:pPr>
        <w:ind w:right="220" w:firstLine="1296"/>
        <w:spacing w:after="0" w:line="225"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ind w:left="1300"/>
        <w:spacing w:after="0" w:line="218"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it may be amended from time to time.</w:t>
      </w:r>
    </w:p>
    <w:p>
      <w:pPr>
        <w:ind w:left="1300"/>
        <w:spacing w:after="0" w:line="215"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Disability</w:t>
      </w:r>
      <w:r>
        <w:rPr>
          <w:rFonts w:ascii="Arial" w:cs="Arial" w:eastAsia="Arial" w:hAnsi="Arial"/>
          <w:sz w:val="22"/>
          <w:szCs w:val="22"/>
          <w:color w:val="auto"/>
        </w:rPr>
        <w:t>” or “</w:t>
      </w:r>
      <w:r>
        <w:rPr>
          <w:rFonts w:ascii="Arial" w:cs="Arial" w:eastAsia="Arial" w:hAnsi="Arial"/>
          <w:sz w:val="22"/>
          <w:szCs w:val="22"/>
          <w:b w:val="1"/>
          <w:bCs w:val="1"/>
          <w:color w:val="auto"/>
        </w:rPr>
        <w:t>Disabled</w:t>
      </w:r>
      <w:r>
        <w:rPr>
          <w:rFonts w:ascii="Arial" w:cs="Arial" w:eastAsia="Arial" w:hAnsi="Arial"/>
          <w:sz w:val="22"/>
          <w:szCs w:val="22"/>
          <w:color w:val="auto"/>
        </w:rPr>
        <w:t>” means a physical or mental condition in which the Participant is:</w:t>
      </w:r>
    </w:p>
    <w:p>
      <w:pPr>
        <w:spacing w:after="0" w:line="1" w:lineRule="exact"/>
        <w:rPr>
          <w:sz w:val="20"/>
          <w:szCs w:val="20"/>
          <w:color w:val="auto"/>
        </w:rPr>
      </w:pPr>
    </w:p>
    <w:p>
      <w:pPr>
        <w:ind w:left="2600" w:right="140" w:hanging="324"/>
        <w:spacing w:after="0" w:line="227" w:lineRule="auto"/>
        <w:tabs>
          <w:tab w:leader="none" w:pos="25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98" w:lineRule="exact"/>
        <w:rPr>
          <w:rFonts w:ascii="Arial" w:cs="Arial" w:eastAsia="Arial" w:hAnsi="Arial"/>
          <w:sz w:val="22"/>
          <w:szCs w:val="22"/>
          <w:color w:val="auto"/>
        </w:rPr>
      </w:pPr>
    </w:p>
    <w:p>
      <w:pPr>
        <w:ind w:left="2600" w:right="100" w:hanging="324"/>
        <w:spacing w:after="0" w:line="228" w:lineRule="auto"/>
        <w:tabs>
          <w:tab w:leader="none" w:pos="25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99" w:lineRule="exact"/>
        <w:rPr>
          <w:rFonts w:ascii="Arial" w:cs="Arial" w:eastAsia="Arial" w:hAnsi="Arial"/>
          <w:sz w:val="22"/>
          <w:szCs w:val="22"/>
          <w:color w:val="auto"/>
        </w:rPr>
      </w:pPr>
    </w:p>
    <w:p>
      <w:pPr>
        <w:ind w:left="2600" w:hanging="324"/>
        <w:spacing w:after="0"/>
        <w:tabs>
          <w:tab w:leader="none" w:pos="260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219" w:lineRule="exact"/>
        <w:rPr>
          <w:rFonts w:ascii="Arial" w:cs="Arial" w:eastAsia="Arial" w:hAnsi="Arial"/>
          <w:sz w:val="22"/>
          <w:szCs w:val="22"/>
          <w:color w:val="auto"/>
        </w:rPr>
      </w:pPr>
    </w:p>
    <w:p>
      <w:pPr>
        <w:ind w:left="2600" w:right="20" w:hanging="324"/>
        <w:spacing w:after="0" w:line="231" w:lineRule="auto"/>
        <w:tabs>
          <w:tab w:leader="none" w:pos="25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95" w:lineRule="exact"/>
        <w:rPr>
          <w:sz w:val="20"/>
          <w:szCs w:val="20"/>
          <w:color w:val="auto"/>
        </w:rPr>
      </w:pPr>
    </w:p>
    <w:p>
      <w:pPr>
        <w:ind w:right="60" w:firstLine="1296"/>
        <w:spacing w:after="0" w:line="233" w:lineRule="auto"/>
        <w:rPr>
          <w:sz w:val="20"/>
          <w:szCs w:val="20"/>
          <w:color w:val="auto"/>
        </w:rPr>
      </w:pPr>
      <w:r>
        <w:rPr>
          <w:rFonts w:ascii="Arial" w:cs="Arial" w:eastAsia="Arial" w:hAnsi="Arial"/>
          <w:sz w:val="21"/>
          <w:szCs w:val="21"/>
          <w:color w:val="auto"/>
        </w:rPr>
        <w:t>12.4 “</w:t>
      </w:r>
      <w:r>
        <w:rPr>
          <w:rFonts w:ascii="Arial" w:cs="Arial" w:eastAsia="Arial" w:hAnsi="Arial"/>
          <w:sz w:val="21"/>
          <w:szCs w:val="21"/>
          <w:b w:val="1"/>
          <w:bCs w:val="1"/>
          <w:color w:val="auto"/>
        </w:rPr>
        <w:t>Related Company</w:t>
      </w:r>
      <w:r>
        <w:rPr>
          <w:rFonts w:ascii="Arial" w:cs="Arial" w:eastAsia="Arial" w:hAnsi="Arial"/>
          <w:sz w:val="21"/>
          <w:szCs w:val="21"/>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9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Retirement</w:t>
      </w:r>
      <w:r>
        <w:rPr>
          <w:rFonts w:ascii="Arial" w:cs="Arial" w:eastAsia="Arial" w:hAnsi="Arial"/>
          <w:sz w:val="19"/>
          <w:szCs w:val="19"/>
          <w:color w:val="auto"/>
        </w:rPr>
        <w:t>” or “</w:t>
      </w:r>
      <w:r>
        <w:rPr>
          <w:rFonts w:ascii="Arial" w:cs="Arial" w:eastAsia="Arial" w:hAnsi="Arial"/>
          <w:sz w:val="19"/>
          <w:szCs w:val="19"/>
          <w:b w:val="1"/>
          <w:bCs w:val="1"/>
          <w:color w:val="auto"/>
        </w:rPr>
        <w:t>Retires</w:t>
      </w:r>
      <w:r>
        <w:rPr>
          <w:rFonts w:ascii="Arial" w:cs="Arial" w:eastAsia="Arial" w:hAnsi="Arial"/>
          <w:sz w:val="19"/>
          <w:szCs w:val="19"/>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10(i)15</w:t>
      </w:r>
    </w:p>
    <w:p>
      <w:pPr>
        <w:spacing w:after="0" w:line="200" w:lineRule="exact"/>
        <w:rPr>
          <w:sz w:val="20"/>
          <w:szCs w:val="20"/>
          <w:color w:val="auto"/>
        </w:rPr>
      </w:pPr>
    </w:p>
    <w:p>
      <w:pPr>
        <w:spacing w:after="0" w:line="35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Affiliated Companies Retirement Plan A, without regard to whether the Participant is a participant under the ALLETE and Affiliated Companies Retirement Plan A.</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10(i)18</w:t>
      </w:r>
    </w:p>
    <w:p>
      <w:pPr>
        <w:spacing w:after="0" w:line="200" w:lineRule="exact"/>
        <w:rPr>
          <w:sz w:val="20"/>
          <w:szCs w:val="20"/>
          <w:color w:val="auto"/>
        </w:rPr>
      </w:pPr>
    </w:p>
    <w:p>
      <w:pPr>
        <w:spacing w:after="0" w:line="367"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Effective 2022</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[Eligible Executive Employees]</w:t>
      </w:r>
    </w:p>
    <w:p>
      <w:pPr>
        <w:spacing w:after="0" w:line="4"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ANNEX B</w:t>
      </w:r>
    </w:p>
    <w:p>
      <w:pPr>
        <w:spacing w:after="0" w:line="4" w:lineRule="exact"/>
        <w:rPr>
          <w:sz w:val="20"/>
          <w:szCs w:val="20"/>
          <w:color w:val="auto"/>
        </w:rPr>
      </w:pPr>
    </w:p>
    <w:p>
      <w:pPr>
        <w:ind w:left="546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ALLETE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Executive Long Term Incentive Compensation Plan</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22"/>
          <w:szCs w:val="22"/>
          <w:b w:val="1"/>
          <w:bCs w:val="1"/>
          <w:color w:val="auto"/>
        </w:rPr>
        <w:t>Performance Share Grant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spacing w:after="0" w:line="8" w:lineRule="exact"/>
        <w:rPr>
          <w:sz w:val="20"/>
          <w:szCs w:val="20"/>
          <w:color w:val="auto"/>
        </w:rPr>
      </w:pPr>
    </w:p>
    <w:p>
      <w:pPr>
        <w:ind w:right="320"/>
        <w:spacing w:after="0" w:line="230" w:lineRule="auto"/>
        <w:rPr>
          <w:sz w:val="20"/>
          <w:szCs w:val="20"/>
          <w:color w:val="auto"/>
        </w:rPr>
      </w:pPr>
      <w:r>
        <w:rPr>
          <w:rFonts w:ascii="Arial" w:cs="Arial" w:eastAsia="Arial" w:hAnsi="Arial"/>
          <w:sz w:val="22"/>
          <w:szCs w:val="22"/>
          <w:color w:val="auto"/>
        </w:rPr>
        <w:t>Fifty percent (50%) of the total performance share opportunity is based on Total Shareholder Return (TSR) computed over the three-year performance period January 1, 2022 to December 31, 2024.</w:t>
      </w:r>
    </w:p>
    <w:p>
      <w:pPr>
        <w:spacing w:after="0" w:line="199" w:lineRule="exact"/>
        <w:rPr>
          <w:sz w:val="20"/>
          <w:szCs w:val="20"/>
          <w:color w:val="auto"/>
        </w:rPr>
      </w:pPr>
    </w:p>
    <w:p>
      <w:pPr>
        <w:ind w:right="580"/>
        <w:spacing w:after="0" w:line="260" w:lineRule="auto"/>
        <w:rPr>
          <w:sz w:val="20"/>
          <w:szCs w:val="20"/>
          <w:color w:val="auto"/>
        </w:rPr>
      </w:pPr>
      <w:r>
        <w:rPr>
          <w:rFonts w:ascii="Arial" w:cs="Arial" w:eastAsia="Arial" w:hAnsi="Arial"/>
          <w:sz w:val="21"/>
          <w:szCs w:val="21"/>
          <w:color w:val="auto"/>
        </w:rPr>
        <w:t>Fifty percent (50%) of the total performance share opportunity is based on the Company’s Compound Annual Growth Rate (CAGR) computed over the three-year performance period January 1, 2022 to December 31, 2024.</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(TSR metric):</w:t>
      </w:r>
    </w:p>
    <w:p>
      <w:pPr>
        <w:spacing w:after="0" w:line="8" w:lineRule="exact"/>
        <w:rPr>
          <w:sz w:val="20"/>
          <w:szCs w:val="20"/>
          <w:color w:val="auto"/>
        </w:rPr>
      </w:pPr>
    </w:p>
    <w:p>
      <w:pPr>
        <w:ind w:right="140"/>
        <w:spacing w:after="0" w:line="221" w:lineRule="auto"/>
        <w:rPr>
          <w:sz w:val="20"/>
          <w:szCs w:val="20"/>
          <w:color w:val="auto"/>
        </w:rPr>
      </w:pPr>
      <w:r>
        <w:rPr>
          <w:rFonts w:ascii="Arial" w:cs="Arial" w:eastAsia="Arial" w:hAnsi="Arial"/>
          <w:sz w:val="22"/>
          <w:szCs w:val="22"/>
          <w:color w:val="auto"/>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Arial" w:cs="Arial" w:eastAsia="Arial" w:hAnsi="Arial"/>
          <w:sz w:val="11"/>
          <w:szCs w:val="11"/>
          <w:color w:val="auto"/>
        </w:rPr>
        <w:t>th</w:t>
      </w:r>
      <w:r>
        <w:rPr>
          <w:rFonts w:ascii="Arial" w:cs="Arial" w:eastAsia="Arial" w:hAnsi="Arial"/>
          <w:sz w:val="22"/>
          <w:szCs w:val="22"/>
          <w:color w:val="auto"/>
        </w:rPr>
        <w:t xml:space="preserve"> percentile among the peer group (target performance), 100% of the weighted Performance Share Grant will be earned. If ALLETE’s TSR ranking is at the 30</w:t>
      </w:r>
      <w:r>
        <w:rPr>
          <w:rFonts w:ascii="Arial" w:cs="Arial" w:eastAsia="Arial" w:hAnsi="Arial"/>
          <w:sz w:val="11"/>
          <w:szCs w:val="11"/>
          <w:color w:val="auto"/>
        </w:rPr>
        <w:t>th</w:t>
      </w:r>
      <w:r>
        <w:rPr>
          <w:rFonts w:ascii="Arial" w:cs="Arial" w:eastAsia="Arial" w:hAnsi="Arial"/>
          <w:sz w:val="22"/>
          <w:szCs w:val="22"/>
          <w:color w:val="auto"/>
        </w:rPr>
        <w:t xml:space="preserve"> 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8" w:lineRule="exact"/>
        <w:rPr>
          <w:sz w:val="20"/>
          <w:szCs w:val="20"/>
          <w:color w:val="auto"/>
        </w:rPr>
      </w:pPr>
    </w:p>
    <w:p>
      <w:pPr>
        <w:ind w:right="120"/>
        <w:spacing w:after="0" w:line="224"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2024 that have been in the EEI Stock Index for at least three years as of December 31, 2024 will constitute the peer group used to determine actual payout results. The table below lists the EEI Stock Index as of December 31, 2021, based on published information available as of that date:</w:t>
      </w:r>
    </w:p>
    <w:p>
      <w:pPr>
        <w:spacing w:after="0" w:line="227" w:lineRule="exact"/>
        <w:rPr>
          <w:sz w:val="20"/>
          <w:szCs w:val="20"/>
          <w:color w:val="auto"/>
        </w:rPr>
      </w:pPr>
    </w:p>
    <w:tbl>
      <w:tblPr>
        <w:tblLayout w:type="fixed"/>
        <w:tblInd w:w="6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Alliant Energy Corporation</w:t>
            </w:r>
          </w:p>
        </w:tc>
        <w:tc>
          <w:tcPr>
            <w:tcW w:w="32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Entergy Corporation</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Otter Tail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Ameren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PG&amp;E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Electric Power Company</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Eversource Energy</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Pinnacle West Capital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Avangrid, Inc.</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Exelon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PNM Resources,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Avista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FirstEnergy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Portland General Electric Company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Black Hills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Hawaiian Electric Industries,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PPL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CenterPoint Energy, Inc.</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IDACORP,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Public Service Enterprise Group,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CMS Energy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MDU Resources Group,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Sempra Energy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Consolidated Edison, Inc.</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MGE Energy,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Southern Company</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Dominion Energy, Inc.</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NextEra Energy,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Unitil Corporation</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DTE Energy Company</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NiSource, Inc.</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WEC Energy Group,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Duke Energy Corporation</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NorthWestern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Xcel Energy, Inc.</w:t>
            </w:r>
          </w:p>
        </w:tc>
      </w:tr>
      <w:tr>
        <w:trPr>
          <w:trHeight w:val="223"/>
        </w:trPr>
        <w:tc>
          <w:tcPr>
            <w:tcW w:w="3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Edison International</w:t>
            </w:r>
          </w:p>
        </w:tc>
        <w:tc>
          <w:tcPr>
            <w:tcW w:w="3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OGE Energy Corp.</w:t>
            </w:r>
          </w:p>
        </w:tc>
        <w:tc>
          <w:tcPr>
            <w:tcW w:w="3480" w:type="dxa"/>
            <w:vAlign w:val="bottom"/>
            <w:tcBorders>
              <w:bottom w:val="single" w:sz="8" w:color="auto"/>
              <w:right w:val="single" w:sz="8" w:color="auto"/>
            </w:tcBorders>
          </w:tcPr>
          <w:p>
            <w:pPr>
              <w:spacing w:after="0"/>
              <w:rPr>
                <w:sz w:val="19"/>
                <w:szCs w:val="19"/>
                <w:color w:val="auto"/>
              </w:rPr>
            </w:pPr>
          </w:p>
        </w:tc>
      </w:tr>
    </w:tbl>
    <w:p>
      <w:pPr>
        <w:spacing w:after="0" w:line="316" w:lineRule="exact"/>
        <w:rPr>
          <w:sz w:val="20"/>
          <w:szCs w:val="20"/>
          <w:color w:val="auto"/>
        </w:rPr>
      </w:pPr>
    </w:p>
    <w:p>
      <w:pPr>
        <w:ind w:right="240"/>
        <w:spacing w:after="0" w:line="228" w:lineRule="auto"/>
        <w:rPr>
          <w:sz w:val="20"/>
          <w:szCs w:val="20"/>
          <w:color w:val="auto"/>
        </w:rPr>
      </w:pPr>
      <w:r>
        <w:rPr>
          <w:rFonts w:ascii="Arial" w:cs="Arial" w:eastAsia="Arial" w:hAnsi="Arial"/>
          <w:sz w:val="22"/>
          <w:szCs w:val="22"/>
          <w:color w:val="auto"/>
        </w:rPr>
        <w:t>Any Company that is no longer included in the EEI Stock Index as of December 31, 2024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w:t>
      </w:r>
    </w:p>
    <w:p>
      <w:pPr>
        <w:sectPr>
          <w:pgSz w:w="11900" w:h="16838" w:orient="portrait"/>
          <w:cols w:equalWidth="0" w:num="1">
            <w:col w:w="11240"/>
          </w:cols>
          <w:pgMar w:left="320" w:top="121"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10(i)18</w:t>
      </w:r>
    </w:p>
    <w:p>
      <w:pPr>
        <w:spacing w:after="0" w:line="200" w:lineRule="exact"/>
        <w:rPr>
          <w:sz w:val="20"/>
          <w:szCs w:val="20"/>
          <w:color w:val="auto"/>
        </w:rPr>
      </w:pPr>
    </w:p>
    <w:p>
      <w:pPr>
        <w:spacing w:after="0" w:line="359" w:lineRule="exact"/>
        <w:rPr>
          <w:sz w:val="20"/>
          <w:szCs w:val="20"/>
          <w:color w:val="auto"/>
        </w:rPr>
      </w:pPr>
    </w:p>
    <w:p>
      <w:pPr>
        <w:ind w:right="20"/>
        <w:spacing w:after="0" w:line="231" w:lineRule="auto"/>
        <w:rPr>
          <w:sz w:val="20"/>
          <w:szCs w:val="20"/>
          <w:color w:val="auto"/>
        </w:rPr>
      </w:pPr>
      <w:r>
        <w:rPr>
          <w:rFonts w:ascii="Arial" w:cs="Arial" w:eastAsia="Arial" w:hAnsi="Arial"/>
          <w:sz w:val="22"/>
          <w:szCs w:val="22"/>
          <w:color w:val="auto"/>
        </w:rPr>
        <w:t>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(CAGR metric):</w:t>
      </w:r>
    </w:p>
    <w:p>
      <w:pPr>
        <w:spacing w:after="0" w:line="233"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auto"/>
        </w:rPr>
        <w:t>CAGR will be calculated by using the baseline pro forma Earnings per Share (EPS) for the year ending December 31 of the year prior to the beginning of the three-year performance period and the pro forma EPS at the end of the three-year performance period. Achievement will be weighted on CAGR performance in accordance with the following table:</w:t>
      </w:r>
    </w:p>
    <w:tbl>
      <w:tblPr>
        <w:tblLayout w:type="fixed"/>
        <w:tblInd w:w="850" w:type="dxa"/>
        <w:tblCellMar>
          <w:top w:w="0" w:type="dxa"/>
          <w:left w:w="0" w:type="dxa"/>
          <w:bottom w:w="0" w:type="dxa"/>
          <w:right w:w="0" w:type="dxa"/>
        </w:tblCellMar>
      </w:tblPr>
      <w:tr>
        <w:trPr>
          <w:trHeight w:val="223"/>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Compound Annual Growth Rate</w:t>
            </w:r>
          </w:p>
        </w:tc>
        <w:tc>
          <w:tcPr>
            <w:tcW w:w="4800" w:type="dxa"/>
            <w:vAlign w:val="bottom"/>
            <w:tcBorders>
              <w:top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Payout Percentage (% of Target Award)</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Superior [ ]%</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Target [ ]%</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Threshold [ ]%</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bl>
    <w:p>
      <w:pPr>
        <w:spacing w:after="0" w:line="316" w:lineRule="exact"/>
        <w:rPr>
          <w:sz w:val="20"/>
          <w:szCs w:val="20"/>
          <w:color w:val="auto"/>
        </w:rPr>
      </w:pPr>
    </w:p>
    <w:p>
      <w:pPr>
        <w:ind w:right="40"/>
        <w:spacing w:after="0" w:line="313" w:lineRule="auto"/>
        <w:rPr>
          <w:sz w:val="20"/>
          <w:szCs w:val="20"/>
          <w:color w:val="auto"/>
        </w:rPr>
      </w:pPr>
      <w:r>
        <w:rPr>
          <w:rFonts w:ascii="Arial" w:cs="Arial" w:eastAsia="Arial" w:hAnsi="Arial"/>
          <w:sz w:val="19"/>
          <w:szCs w:val="19"/>
          <w:color w:val="auto"/>
        </w:rPr>
        <w:t>If CAGR percentage result is below threshold, no weighted Performance Shares will be earned. Straight-line interpolation will be used to determine earned awards based on the CAGR percentage result between threshold, target and superior.</w:t>
      </w:r>
    </w:p>
    <w:p>
      <w:pPr>
        <w:sectPr>
          <w:pgSz w:w="11900" w:h="16838" w:orient="portrait"/>
          <w:cols w:equalWidth="0" w:num="1">
            <w:col w:w="11240"/>
          </w:cols>
          <w:pgMar w:left="320" w:top="121" w:right="339" w:bottom="1440" w:gutter="0" w:footer="0" w:header="0"/>
        </w:sectPr>
      </w:pPr>
    </w:p>
    <w:bookmarkStart w:id="275" w:name="page276"/>
    <w:bookmarkEnd w:id="275"/>
    <w:p>
      <w:pPr>
        <w:spacing w:after="0" w:line="200" w:lineRule="exact"/>
        <w:rPr>
          <w:sz w:val="20"/>
          <w:szCs w:val="20"/>
          <w:color w:val="auto"/>
        </w:rPr>
      </w:pPr>
    </w:p>
    <w:p>
      <w:pPr>
        <w:spacing w:after="0" w:line="367" w:lineRule="exact"/>
        <w:rPr>
          <w:sz w:val="20"/>
          <w:szCs w:val="20"/>
          <w:color w:val="auto"/>
        </w:rPr>
      </w:pPr>
    </w:p>
    <w:p>
      <w:pPr>
        <w:jc w:val="center"/>
        <w:ind w:left="2112"/>
        <w:spacing w:after="0"/>
        <w:rPr>
          <w:sz w:val="20"/>
          <w:szCs w:val="20"/>
          <w:color w:val="auto"/>
        </w:rPr>
      </w:pPr>
      <w:r>
        <w:rPr>
          <w:rFonts w:ascii="Arial" w:cs="Arial" w:eastAsia="Arial" w:hAnsi="Arial"/>
          <w:sz w:val="25"/>
          <w:szCs w:val="25"/>
          <w:b w:val="1"/>
          <w:bCs w:val="1"/>
          <w:color w:val="auto"/>
        </w:rPr>
        <w:t>ALLETE, INC.</w:t>
      </w:r>
    </w:p>
    <w:p>
      <w:pPr>
        <w:spacing w:after="0" w:line="6" w:lineRule="exact"/>
        <w:rPr>
          <w:sz w:val="20"/>
          <w:szCs w:val="20"/>
          <w:color w:val="auto"/>
        </w:rPr>
      </w:pPr>
    </w:p>
    <w:p>
      <w:pPr>
        <w:jc w:val="center"/>
        <w:ind w:left="2112"/>
        <w:spacing w:after="0"/>
        <w:rPr>
          <w:sz w:val="20"/>
          <w:szCs w:val="20"/>
          <w:color w:val="auto"/>
        </w:rPr>
      </w:pPr>
      <w:r>
        <w:rPr>
          <w:rFonts w:ascii="Arial" w:cs="Arial" w:eastAsia="Arial" w:hAnsi="Arial"/>
          <w:sz w:val="22"/>
          <w:szCs w:val="22"/>
          <w:b w:val="1"/>
          <w:bCs w:val="1"/>
          <w:color w:val="auto"/>
        </w:rPr>
        <w:t>Non-Employee Director Compensation</w:t>
      </w:r>
    </w:p>
    <w:p>
      <w:pPr>
        <w:jc w:val="center"/>
        <w:ind w:left="2112"/>
        <w:spacing w:after="0"/>
        <w:rPr>
          <w:sz w:val="20"/>
          <w:szCs w:val="20"/>
          <w:color w:val="auto"/>
        </w:rPr>
      </w:pPr>
      <w:r>
        <w:rPr>
          <w:rFonts w:ascii="Arial" w:cs="Arial" w:eastAsia="Arial" w:hAnsi="Arial"/>
          <w:sz w:val="22"/>
          <w:szCs w:val="22"/>
          <w:b w:val="1"/>
          <w:bCs w:val="1"/>
          <w:color w:val="auto"/>
        </w:rPr>
        <w:t>Effective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6711950" cy="24003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7">
                      <a:extLst>
                        <a:ext uri="{28A0092B-C50C-407E-A947-70E740481C1C}"/>
                      </a:extLst>
                    </a:blip>
                    <a:srcRect/>
                    <a:stretch>
                      <a:fillRect/>
                    </a:stretch>
                  </pic:blipFill>
                  <pic:spPr bwMode="auto">
                    <a:xfrm>
                      <a:off x="0" y="0"/>
                      <a:ext cx="6711950" cy="2400300"/>
                    </a:xfrm>
                    <a:prstGeom prst="rect">
                      <a:avLst/>
                    </a:prstGeom>
                    <a:noFill/>
                  </pic:spPr>
                </pic:pic>
              </a:graphicData>
            </a:graphic>
          </wp:anchor>
        </w:drawing>
      </w:r>
    </w:p>
    <w:p>
      <w:pPr>
        <w:spacing w:after="0" w:line="297"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Stock</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Cash</w:t>
      </w:r>
    </w:p>
    <w:p>
      <w:pPr>
        <w:spacing w:after="0" w:line="133"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Audit</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Executive Compensation</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Corporate Governance &amp; Nominating</w:t>
      </w:r>
    </w:p>
    <w:p>
      <w:pPr>
        <w:spacing w:after="0" w:line="133"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Audit</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Executive Compensation</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711950" cy="8743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8">
                      <a:extLst>
                        <a:ext uri="{28A0092B-C50C-407E-A947-70E740481C1C}"/>
                      </a:extLst>
                    </a:blip>
                    <a:srcRect/>
                    <a:stretch>
                      <a:fillRect/>
                    </a:stretch>
                  </pic:blipFill>
                  <pic:spPr bwMode="auto">
                    <a:xfrm>
                      <a:off x="0" y="0"/>
                      <a:ext cx="6711950" cy="874395"/>
                    </a:xfrm>
                    <a:prstGeom prst="rect">
                      <a:avLst/>
                    </a:prstGeom>
                    <a:noFill/>
                  </pic:spPr>
                </pic:pic>
              </a:graphicData>
            </a:graphic>
          </wp:anchor>
        </w:drawing>
      </w:r>
    </w:p>
    <w:p>
      <w:pPr>
        <w:spacing w:after="0" w:line="248"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11"/>
          <w:szCs w:val="11"/>
          <w:color w:val="auto"/>
        </w:rPr>
        <w:t>(1) (2) (3)</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Board Stock Retainer</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Board Cash Retainer</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Lead Director Cash Retainer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72" w:hanging="172"/>
        <w:spacing w:after="0"/>
        <w:tabs>
          <w:tab w:leader="none" w:pos="172" w:val="left"/>
        </w:tabs>
        <w:numPr>
          <w:ilvl w:val="0"/>
          <w:numId w:val="190"/>
        </w:numPr>
        <w:rPr>
          <w:rFonts w:ascii="Arial" w:cs="Arial" w:eastAsia="Arial" w:hAnsi="Arial"/>
          <w:sz w:val="11"/>
          <w:szCs w:val="11"/>
          <w:color w:val="auto"/>
        </w:rPr>
      </w:pPr>
      <w:r>
        <w:rPr>
          <w:rFonts w:ascii="Arial" w:cs="Arial" w:eastAsia="Arial" w:hAnsi="Arial"/>
          <w:sz w:val="19"/>
          <w:szCs w:val="19"/>
          <w:color w:val="auto"/>
        </w:rPr>
        <w:t>Cash and stock retainers may be deferred under the Director Compensation Deferral Plan II.</w:t>
      </w:r>
    </w:p>
    <w:p>
      <w:pPr>
        <w:spacing w:after="0" w:line="42" w:lineRule="exact"/>
        <w:rPr>
          <w:rFonts w:ascii="Arial" w:cs="Arial" w:eastAsia="Arial" w:hAnsi="Arial"/>
          <w:sz w:val="11"/>
          <w:szCs w:val="11"/>
          <w:color w:val="auto"/>
        </w:rPr>
      </w:pPr>
    </w:p>
    <w:p>
      <w:pPr>
        <w:ind w:left="172" w:hanging="172"/>
        <w:spacing w:after="0" w:line="230" w:lineRule="auto"/>
        <w:tabs>
          <w:tab w:leader="none" w:pos="172" w:val="left"/>
        </w:tabs>
        <w:numPr>
          <w:ilvl w:val="0"/>
          <w:numId w:val="190"/>
        </w:numPr>
        <w:rPr>
          <w:rFonts w:ascii="Arial" w:cs="Arial" w:eastAsia="Arial" w:hAnsi="Arial"/>
          <w:sz w:val="12"/>
          <w:szCs w:val="12"/>
          <w:color w:val="auto"/>
        </w:rPr>
      </w:pPr>
      <w:r>
        <w:rPr>
          <w:rFonts w:ascii="Arial" w:cs="Arial" w:eastAsia="Arial" w:hAnsi="Arial"/>
          <w:sz w:val="22"/>
          <w:szCs w:val="22"/>
          <w:color w:val="auto"/>
        </w:rPr>
        <w:t>Cash retainers may be elected to be received in ALLETE stock.</w:t>
      </w:r>
    </w:p>
    <w:p>
      <w:pPr>
        <w:ind w:left="172" w:hanging="172"/>
        <w:spacing w:after="0"/>
        <w:tabs>
          <w:tab w:leader="none" w:pos="172" w:val="left"/>
        </w:tabs>
        <w:numPr>
          <w:ilvl w:val="0"/>
          <w:numId w:val="190"/>
        </w:numPr>
        <w:rPr>
          <w:rFonts w:ascii="Arial" w:cs="Arial" w:eastAsia="Arial" w:hAnsi="Arial"/>
          <w:sz w:val="12"/>
          <w:szCs w:val="12"/>
          <w:color w:val="auto"/>
        </w:rPr>
      </w:pPr>
      <w:r>
        <w:rPr>
          <w:rFonts w:ascii="Arial" w:cs="Arial" w:eastAsia="Arial" w:hAnsi="Arial"/>
          <w:sz w:val="22"/>
          <w:szCs w:val="22"/>
          <w:color w:val="auto"/>
        </w:rPr>
        <w:t>Lead Director is not eligible for other committee or chair retainers.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10(k)4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9"/>
          <w:szCs w:val="19"/>
          <w:color w:val="auto"/>
        </w:rPr>
        <w:t>$97,500</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$80,000</w:t>
      </w: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$9,000</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$7,500</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$7,500</w:t>
      </w:r>
    </w:p>
    <w:p>
      <w:pPr>
        <w:spacing w:after="0" w:line="200" w:lineRule="exact"/>
        <w:rPr>
          <w:sz w:val="20"/>
          <w:szCs w:val="20"/>
          <w:color w:val="auto"/>
        </w:rPr>
      </w:pPr>
    </w:p>
    <w:p>
      <w:pPr>
        <w:spacing w:after="0" w:line="297" w:lineRule="exact"/>
        <w:rPr>
          <w:sz w:val="20"/>
          <w:szCs w:val="20"/>
          <w:color w:val="auto"/>
        </w:rPr>
      </w:pPr>
    </w:p>
    <w:p>
      <w:pPr>
        <w:jc w:val="right"/>
        <w:ind w:right="700"/>
        <w:spacing w:after="0"/>
        <w:rPr>
          <w:sz w:val="20"/>
          <w:szCs w:val="20"/>
          <w:color w:val="auto"/>
        </w:rPr>
      </w:pPr>
      <w:r>
        <w:rPr>
          <w:rFonts w:ascii="Arial" w:cs="Arial" w:eastAsia="Arial" w:hAnsi="Arial"/>
          <w:sz w:val="19"/>
          <w:szCs w:val="19"/>
          <w:color w:val="auto"/>
        </w:rPr>
        <w:t>$10,000</w:t>
      </w:r>
    </w:p>
    <w:p>
      <w:pPr>
        <w:spacing w:after="0" w:line="106"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$7,500</w:t>
      </w:r>
    </w:p>
    <w:p>
      <w:pPr>
        <w:spacing w:after="0" w:line="71"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$5,000</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$97,500</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$80,000</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$40,000</w:t>
      </w:r>
    </w:p>
    <w:p>
      <w:pPr>
        <w:sectPr>
          <w:pgSz w:w="11900" w:h="16838" w:orient="portrait"/>
          <w:cols w:equalWidth="0" w:num="2">
            <w:col w:w="9112" w:space="720"/>
            <w:col w:w="1400"/>
          </w:cols>
          <w:pgMar w:left="328" w:top="846"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940" w:type="dxa"/>
            <w:vAlign w:val="bottom"/>
            <w:gridSpan w:val="2"/>
          </w:tcPr>
          <w:p>
            <w:pPr>
              <w:ind w:left="2120"/>
              <w:spacing w:after="0"/>
              <w:rPr>
                <w:sz w:val="20"/>
                <w:szCs w:val="20"/>
                <w:color w:val="auto"/>
              </w:rPr>
            </w:pPr>
            <w:r>
              <w:rPr>
                <w:rFonts w:ascii="Arial" w:cs="Arial" w:eastAsia="Arial" w:hAnsi="Arial"/>
                <w:sz w:val="18"/>
                <w:szCs w:val="18"/>
                <w:b w:val="1"/>
                <w:bCs w:val="1"/>
                <w:color w:val="auto"/>
                <w:w w:val="94"/>
              </w:rPr>
              <w:t>Exhibit 21</w:t>
            </w:r>
          </w:p>
        </w:tc>
      </w:tr>
      <w:tr>
        <w:trPr>
          <w:trHeight w:val="468"/>
        </w:trPr>
        <w:tc>
          <w:tcPr>
            <w:tcW w:w="8320" w:type="dxa"/>
            <w:vAlign w:val="bottom"/>
          </w:tcPr>
          <w:p>
            <w:pPr>
              <w:ind w:left="4020"/>
              <w:spacing w:after="0"/>
              <w:rPr>
                <w:sz w:val="20"/>
                <w:szCs w:val="20"/>
                <w:color w:val="auto"/>
              </w:rPr>
            </w:pPr>
            <w:r>
              <w:rPr>
                <w:rFonts w:ascii="Arial" w:cs="Arial" w:eastAsia="Arial" w:hAnsi="Arial"/>
                <w:sz w:val="18"/>
                <w:szCs w:val="18"/>
                <w:b w:val="1"/>
                <w:bCs w:val="1"/>
                <w:color w:val="auto"/>
              </w:rPr>
              <w:t>SUBSIDIARIES OF THE REGISTRANT</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320" w:type="dxa"/>
            <w:vAlign w:val="bottom"/>
          </w:tcPr>
          <w:p>
            <w:pPr>
              <w:ind w:left="4680"/>
              <w:spacing w:after="0"/>
              <w:rPr>
                <w:sz w:val="20"/>
                <w:szCs w:val="20"/>
                <w:color w:val="auto"/>
              </w:rPr>
            </w:pPr>
            <w:r>
              <w:rPr>
                <w:rFonts w:ascii="Arial" w:cs="Arial" w:eastAsia="Arial" w:hAnsi="Arial"/>
                <w:sz w:val="18"/>
                <w:szCs w:val="18"/>
                <w:b w:val="1"/>
                <w:bCs w:val="1"/>
                <w:color w:val="auto"/>
              </w:rPr>
              <w:t>As of December 31, 2021</w:t>
            </w: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r>
      <w:tr>
        <w:trPr>
          <w:trHeight w:val="223"/>
        </w:trPr>
        <w:tc>
          <w:tcPr>
            <w:tcW w:w="8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2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2"/>
              </w:rPr>
              <w:t>State or Country</w:t>
            </w:r>
          </w:p>
        </w:tc>
        <w:tc>
          <w:tcPr>
            <w:tcW w:w="20" w:type="dxa"/>
            <w:vAlign w:val="bottom"/>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Minnesota Power &amp; Light Company)</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Automotive Services, LLC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color w:val="auto"/>
              </w:rPr>
              <w:t>ALLETE Enterprises, Inc.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Clean Energy, Inc.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ACE O&amp;M,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ACE Solar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ACE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Mid-West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ACE Gopher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ACE Lincoln Heights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Arial" w:cs="Arial" w:eastAsia="Arial" w:hAnsi="Arial"/>
                <w:sz w:val="18"/>
                <w:szCs w:val="18"/>
                <w:color w:val="auto"/>
              </w:rPr>
              <w:t>Cisco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MWW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Arial" w:cs="Arial" w:eastAsia="Arial" w:hAnsi="Arial"/>
                <w:sz w:val="18"/>
                <w:szCs w:val="18"/>
                <w:color w:val="auto"/>
              </w:rPr>
              <w:t>Lake Benton Power Associates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Lake Benton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760"/>
              <w:spacing w:after="0"/>
              <w:rPr>
                <w:sz w:val="20"/>
                <w:szCs w:val="20"/>
                <w:color w:val="auto"/>
              </w:rPr>
            </w:pPr>
            <w:r>
              <w:rPr>
                <w:rFonts w:ascii="Arial" w:cs="Arial" w:eastAsia="Arial" w:hAnsi="Arial"/>
                <w:sz w:val="18"/>
                <w:szCs w:val="18"/>
                <w:color w:val="auto"/>
              </w:rPr>
              <w:t>Lake Benton Power Partners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Storm Lake Power Partners I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Arial" w:cs="Arial" w:eastAsia="Arial" w:hAnsi="Arial"/>
                <w:sz w:val="18"/>
                <w:szCs w:val="18"/>
                <w:color w:val="auto"/>
              </w:rPr>
              <w:t>Storm Lake II Power Associates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Storm Lake II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760"/>
              <w:spacing w:after="0"/>
              <w:rPr>
                <w:sz w:val="20"/>
                <w:szCs w:val="20"/>
                <w:color w:val="auto"/>
              </w:rPr>
            </w:pPr>
            <w:r>
              <w:rPr>
                <w:rFonts w:ascii="Arial" w:cs="Arial" w:eastAsia="Arial" w:hAnsi="Arial"/>
                <w:sz w:val="18"/>
                <w:szCs w:val="18"/>
                <w:color w:val="auto"/>
              </w:rPr>
              <w:t>Storm Lake Power Partners II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Northern Wind Energy,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Arial" w:cs="Arial" w:eastAsia="Arial" w:hAnsi="Arial"/>
                <w:sz w:val="18"/>
                <w:szCs w:val="18"/>
                <w:color w:val="auto"/>
              </w:rPr>
              <w:t>Chanarambie Power Partners,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Viking Wind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080"/>
              <w:spacing w:after="0"/>
              <w:rPr>
                <w:sz w:val="20"/>
                <w:szCs w:val="20"/>
                <w:color w:val="auto"/>
              </w:rPr>
            </w:pPr>
            <w:r>
              <w:rPr>
                <w:rFonts w:ascii="Arial" w:cs="Arial" w:eastAsia="Arial" w:hAnsi="Arial"/>
                <w:sz w:val="18"/>
                <w:szCs w:val="18"/>
                <w:color w:val="auto"/>
              </w:rPr>
              <w:t>Red Barn Energy, LLC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Rock Aetna Power Partners, LLC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1080"/>
              <w:spacing w:after="0"/>
              <w:rPr>
                <w:sz w:val="20"/>
                <w:szCs w:val="20"/>
                <w:color w:val="auto"/>
              </w:rPr>
            </w:pPr>
            <w:r>
              <w:rPr>
                <w:rFonts w:ascii="Arial" w:cs="Arial" w:eastAsia="Arial" w:hAnsi="Arial"/>
                <w:sz w:val="18"/>
                <w:szCs w:val="18"/>
                <w:color w:val="auto"/>
              </w:rPr>
              <w:t>Whitetail Wind, LLC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South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ACE Caddo Class 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ACE-SRE Caddo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480"/>
              <w:spacing w:after="0"/>
              <w:rPr>
                <w:sz w:val="20"/>
                <w:szCs w:val="20"/>
                <w:color w:val="auto"/>
              </w:rPr>
            </w:pPr>
            <w:r>
              <w:rPr>
                <w:rFonts w:ascii="Arial" w:cs="Arial" w:eastAsia="Arial" w:hAnsi="Arial"/>
                <w:sz w:val="18"/>
                <w:szCs w:val="18"/>
                <w:color w:val="auto"/>
              </w:rPr>
              <w:t>Caddo Holding Company,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Caddo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Diamond Spring QOZB,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ACE DS Class B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20"/>
              <w:spacing w:after="0"/>
              <w:rPr>
                <w:sz w:val="20"/>
                <w:szCs w:val="20"/>
                <w:color w:val="auto"/>
              </w:rPr>
            </w:pPr>
            <w:r>
              <w:rPr>
                <w:rFonts w:ascii="Arial" w:cs="Arial" w:eastAsia="Arial" w:hAnsi="Arial"/>
                <w:sz w:val="18"/>
                <w:szCs w:val="18"/>
                <w:color w:val="auto"/>
              </w:rPr>
              <w:t>Diamond Spring,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West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ACE GAWW Class 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Great American West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20"/>
              <w:spacing w:after="0"/>
              <w:rPr>
                <w:sz w:val="20"/>
                <w:szCs w:val="20"/>
                <w:color w:val="auto"/>
              </w:rPr>
            </w:pPr>
            <w:r>
              <w:rPr>
                <w:rFonts w:ascii="Arial" w:cs="Arial" w:eastAsia="Arial" w:hAnsi="Arial"/>
                <w:sz w:val="18"/>
                <w:szCs w:val="18"/>
                <w:color w:val="auto"/>
              </w:rPr>
              <w:t>Glen Ullin Energy Center,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South Peak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Condon Wind Power,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Ruso Wind Partners,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Arial" w:cs="Arial" w:eastAsia="Arial" w:hAnsi="Arial"/>
                <w:sz w:val="18"/>
                <w:szCs w:val="18"/>
                <w:color w:val="auto"/>
              </w:rPr>
              <w:t>Armenia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AMW I Holding,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Arial" w:cs="Arial" w:eastAsia="Arial" w:hAnsi="Arial"/>
                <w:sz w:val="18"/>
                <w:szCs w:val="18"/>
                <w:color w:val="auto"/>
              </w:rPr>
              <w:t>Armenia Mountain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Armenia Mountain Wind II,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880"/>
              <w:spacing w:after="0"/>
              <w:rPr>
                <w:sz w:val="20"/>
                <w:szCs w:val="20"/>
                <w:color w:val="auto"/>
              </w:rPr>
            </w:pPr>
            <w:r>
              <w:rPr>
                <w:rFonts w:ascii="Arial" w:cs="Arial" w:eastAsia="Arial" w:hAnsi="Arial"/>
                <w:sz w:val="18"/>
                <w:szCs w:val="18"/>
                <w:color w:val="auto"/>
              </w:rPr>
              <w:t>Thunder Spirit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Enterprises QOF,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Arial" w:cs="Arial" w:eastAsia="Arial" w:hAnsi="Arial"/>
                <w:sz w:val="18"/>
                <w:szCs w:val="18"/>
                <w:color w:val="auto"/>
              </w:rPr>
              <w:t>ALLETE Power Systems, Inc.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20"/>
                <w:szCs w:val="20"/>
                <w:color w:val="auto"/>
              </w:rPr>
            </w:pPr>
          </w:p>
        </w:tc>
      </w:tr>
    </w:tbl>
    <w:p>
      <w:pPr>
        <w:sectPr>
          <w:pgSz w:w="11900" w:h="16838" w:orient="portrait"/>
          <w:cols w:equalWidth="0" w:num="1">
            <w:col w:w="11240"/>
          </w:cols>
          <w:pgMar w:left="320" w:top="364" w:right="339" w:bottom="1440" w:gutter="0" w:footer="0" w:header="0"/>
        </w:sectPr>
      </w:pPr>
    </w:p>
    <w:bookmarkStart w:id="277" w:name="page278"/>
    <w:bookmarkEnd w:id="2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4320" w:type="dxa"/>
            <w:vAlign w:val="bottom"/>
            <w:gridSpan w:val="2"/>
          </w:tcPr>
          <w:p>
            <w:pPr>
              <w:ind w:left="3520"/>
              <w:spacing w:after="0"/>
              <w:rPr>
                <w:sz w:val="20"/>
                <w:szCs w:val="20"/>
                <w:color w:val="auto"/>
              </w:rPr>
            </w:pPr>
            <w:r>
              <w:rPr>
                <w:rFonts w:ascii="Arial" w:cs="Arial" w:eastAsia="Arial" w:hAnsi="Arial"/>
                <w:sz w:val="18"/>
                <w:szCs w:val="18"/>
                <w:b w:val="1"/>
                <w:bCs w:val="1"/>
                <w:color w:val="auto"/>
                <w:w w:val="91"/>
              </w:rPr>
              <w:t>Exhibit 21</w:t>
            </w:r>
          </w:p>
        </w:tc>
      </w:tr>
      <w:tr>
        <w:trPr>
          <w:trHeight w:val="547"/>
        </w:trPr>
        <w:tc>
          <w:tcPr>
            <w:tcW w:w="69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 Certain insignificant subsidiaries are omitted.</w:t>
            </w:r>
          </w:p>
        </w:tc>
        <w:tc>
          <w:tcPr>
            <w:tcW w:w="42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4260" w:type="dxa"/>
            <w:vAlign w:val="bottom"/>
          </w:tcPr>
          <w:p>
            <w:pPr>
              <w:jc w:val="center"/>
              <w:ind w:left="2430"/>
              <w:spacing w:after="0"/>
              <w:rPr>
                <w:sz w:val="20"/>
                <w:szCs w:val="20"/>
                <w:color w:val="auto"/>
              </w:rPr>
            </w:pPr>
            <w:r>
              <w:rPr>
                <w:rFonts w:ascii="Arial" w:cs="Arial" w:eastAsia="Arial" w:hAnsi="Arial"/>
                <w:sz w:val="18"/>
                <w:szCs w:val="18"/>
                <w:b w:val="1"/>
                <w:bCs w:val="1"/>
                <w:color w:val="auto"/>
                <w:w w:val="92"/>
              </w:rPr>
              <w:t>State or Country</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Renewable Resources, Inc.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North Dakota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ALLETE Transmission Holdings, Inc.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ASW Partners, LLC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ALLETE South Wind, LLC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Nobles 2 Power Partners, LLC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BNI Energy, Inc.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2"/>
              </w:rPr>
              <w:t>North Dakota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BNI Coal, Ltd.</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North Dakota</w:t>
            </w:r>
          </w:p>
        </w:tc>
        <w:tc>
          <w:tcPr>
            <w:tcW w:w="60" w:type="dxa"/>
            <w:vAlign w:val="bottom"/>
          </w:tcPr>
          <w:p>
            <w:pPr>
              <w:spacing w:after="0"/>
              <w:rPr>
                <w:sz w:val="19"/>
                <w:szCs w:val="19"/>
                <w:color w:val="auto"/>
              </w:rPr>
            </w:pPr>
          </w:p>
        </w:tc>
      </w:tr>
      <w:tr>
        <w:trPr>
          <w:trHeight w:val="230"/>
        </w:trPr>
        <w:tc>
          <w:tcPr>
            <w:tcW w:w="6920" w:type="dxa"/>
            <w:vAlign w:val="bottom"/>
          </w:tcPr>
          <w:p>
            <w:pPr>
              <w:ind w:left="480"/>
              <w:spacing w:after="0"/>
              <w:rPr>
                <w:sz w:val="20"/>
                <w:szCs w:val="20"/>
                <w:color w:val="auto"/>
              </w:rPr>
            </w:pPr>
            <w:r>
              <w:rPr>
                <w:rFonts w:ascii="Arial" w:cs="Arial" w:eastAsia="Arial" w:hAnsi="Arial"/>
                <w:sz w:val="18"/>
                <w:szCs w:val="18"/>
                <w:color w:val="auto"/>
              </w:rPr>
              <w:t>MP Affiliate Resources, Inc.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Rainy River Energy Corporation</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South Shore Energy, LLC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Upper Minnesota Properties, Inc.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Upper Minnesota Properties - Development, Inc.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ALLETE Commercial, LLC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Lehigh Acquisition, LLC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30"/>
        </w:trPr>
        <w:tc>
          <w:tcPr>
            <w:tcW w:w="6920" w:type="dxa"/>
            <w:vAlign w:val="bottom"/>
          </w:tcPr>
          <w:p>
            <w:pPr>
              <w:ind w:left="680"/>
              <w:spacing w:after="0"/>
              <w:rPr>
                <w:sz w:val="20"/>
                <w:szCs w:val="20"/>
                <w:color w:val="auto"/>
              </w:rPr>
            </w:pPr>
            <w:r>
              <w:rPr>
                <w:rFonts w:ascii="Arial" w:cs="Arial" w:eastAsia="Arial" w:hAnsi="Arial"/>
                <w:sz w:val="18"/>
                <w:szCs w:val="18"/>
                <w:color w:val="auto"/>
              </w:rPr>
              <w:t>Florida Landmark Communities, LLC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Water Services, Inc.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Energy Land, Incorporated</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MP Investments, Inc.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RendField Land Company, Inc.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Superior Water, Light and Power Company</w:t>
            </w:r>
          </w:p>
        </w:tc>
        <w:tc>
          <w:tcPr>
            <w:tcW w:w="4260" w:type="dxa"/>
            <w:vAlign w:val="bottom"/>
            <w:tcBorders>
              <w:bottom w:val="single" w:sz="8" w:color="auto"/>
            </w:tcBorders>
            <w:shd w:val="clear" w:color="auto" w:fill="CCEEFF"/>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16"/>
                <w:szCs w:val="16"/>
                <w:i w:val="1"/>
                <w:iCs w:val="1"/>
                <w:color w:val="auto"/>
              </w:rPr>
              <w:t>(a)  Certain insignificant subsidiaries are omitted.</w:t>
            </w: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23</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333-232905, 333-231030) and Form S-8 (Nos. 333-162890, 333-183051, 333-190336, 333-207846, 333-228120, 333-253190) of ALLETE, Inc. of our report dated February 16, 2022, relating to the financial statements, financial statement schedule and the effectiveness of internal control over financial reporting, which appears in this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2022</w:t>
      </w:r>
    </w:p>
    <w:p>
      <w:pPr>
        <w:sectPr>
          <w:pgSz w:w="11900" w:h="16838" w:orient="portrait"/>
          <w:cols w:equalWidth="0" w:num="1">
            <w:col w:w="11240"/>
          </w:cols>
          <w:pgMar w:left="320" w:top="364"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Bethany M. Owen, certify that:</w:t>
      </w:r>
    </w:p>
    <w:p>
      <w:pPr>
        <w:spacing w:after="0" w:line="252"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ALLETE,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400" w:hanging="332"/>
        <w:spacing w:after="0" w:line="263" w:lineRule="auto"/>
        <w:tabs>
          <w:tab w:leader="none" w:pos="32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4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31" w:val="left"/>
        </w:tabs>
        <w:numPr>
          <w:ilvl w:val="1"/>
          <w:numId w:val="1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4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February 16, 2022</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360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360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Steven W. Morris, certify that:</w:t>
      </w:r>
    </w:p>
    <w:p>
      <w:pPr>
        <w:spacing w:after="0" w:line="252" w:lineRule="exact"/>
        <w:rPr>
          <w:sz w:val="20"/>
          <w:szCs w:val="20"/>
          <w:color w:val="auto"/>
        </w:rPr>
      </w:pPr>
    </w:p>
    <w:p>
      <w:pPr>
        <w:ind w:left="320" w:hanging="312"/>
        <w:spacing w:after="0"/>
        <w:tabs>
          <w:tab w:leader="none" w:pos="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2021, of ALLETE,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400" w:hanging="332"/>
        <w:spacing w:after="0" w:line="263" w:lineRule="auto"/>
        <w:tabs>
          <w:tab w:leader="none" w:pos="3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4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4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3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3" w:lineRule="auto"/>
        <w:tabs>
          <w:tab w:leader="none" w:pos="64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16, 2022</w:t>
            </w: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 Morris</w:t>
            </w:r>
          </w:p>
        </w:tc>
      </w:tr>
      <w:tr>
        <w:trPr>
          <w:trHeight w:val="222"/>
        </w:trPr>
        <w:tc>
          <w:tcPr>
            <w:tcW w:w="36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Steven W. Morris</w:t>
            </w:r>
          </w:p>
        </w:tc>
      </w:tr>
      <w:tr>
        <w:trPr>
          <w:trHeight w:val="230"/>
        </w:trPr>
        <w:tc>
          <w:tcPr>
            <w:tcW w:w="36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170"/>
        <w:spacing w:after="0" w:line="277" w:lineRule="auto"/>
        <w:tabs>
          <w:tab w:leader="none" w:pos="57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2021,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480" w:hanging="310"/>
        <w:spacing w:after="0"/>
        <w:tabs>
          <w:tab w:leader="none" w:pos="4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40"/>
              <w:spacing w:after="0"/>
              <w:rPr>
                <w:sz w:val="20"/>
                <w:szCs w:val="20"/>
                <w:color w:val="auto"/>
              </w:rPr>
            </w:pPr>
            <w:r>
              <w:rPr>
                <w:rFonts w:ascii="Arial" w:cs="Arial" w:eastAsia="Arial" w:hAnsi="Arial"/>
                <w:sz w:val="18"/>
                <w:szCs w:val="18"/>
                <w:color w:val="auto"/>
              </w:rPr>
              <w:t>February 16, 2022</w:t>
            </w:r>
          </w:p>
        </w:tc>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r>
        <w:trPr>
          <w:trHeight w:val="3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40"/>
              <w:spacing w:after="0"/>
              <w:rPr>
                <w:sz w:val="20"/>
                <w:szCs w:val="20"/>
                <w:color w:val="auto"/>
              </w:rPr>
            </w:pPr>
            <w:r>
              <w:rPr>
                <w:rFonts w:ascii="Arial" w:cs="Arial" w:eastAsia="Arial" w:hAnsi="Arial"/>
                <w:sz w:val="18"/>
                <w:szCs w:val="18"/>
                <w:color w:val="auto"/>
              </w:rPr>
              <w:t>February 16, 2022</w:t>
            </w:r>
          </w:p>
        </w:tc>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621"/>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vMerge w:val="continue"/>
          </w:tcPr>
          <w:p>
            <w:pPr>
              <w:spacing w:after="0"/>
              <w:rPr>
                <w:sz w:val="11"/>
                <w:szCs w:val="11"/>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32"/>
        </w:trPr>
        <w:tc>
          <w:tcPr>
            <w:tcW w:w="1240" w:type="dxa"/>
            <w:vAlign w:val="bottom"/>
            <w:tcBorders>
              <w:left w:val="single" w:sz="8" w:color="auto"/>
              <w:right w:val="single" w:sz="8" w:color="auto"/>
            </w:tcBorders>
          </w:tcPr>
          <w:p>
            <w:pPr>
              <w:jc w:val="center"/>
              <w:spacing w:after="0" w:line="132"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quarter ended December 31, 2021, BNI Energy, owner of Center Mine, received one citation under Section 104(a) of the Mine Safety Act; seven citations under Section 104(a) of the Mine Safety Act, none of which were significant and substantial (S&amp;S) citations, were received for the year ended December 31, 2021. For the year ended December 31, 2021, BNI Energy paid $1,228 in penalties for citations closed during the period. For the year ended December 31, 2021, there were no citations, orders, violations or notices received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283" w:name="page284"/>
    <w:bookmarkEnd w:id="283"/>
    <w:p>
      <w:pPr>
        <w:ind w:left="10400"/>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-95885</wp:posOffset>
            </wp:positionV>
            <wp:extent cx="1371600" cy="6261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9">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5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For Release:</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6"/>
          <w:szCs w:val="16"/>
          <w:i w:val="1"/>
          <w:iCs w:val="1"/>
          <w:color w:val="auto"/>
        </w:rPr>
        <w:t>Investor Contact: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2022</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Vince Meyer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218-723-3952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vmeyer@allete.com</w:t>
      </w:r>
    </w:p>
    <w:p>
      <w:pPr>
        <w:spacing w:after="0" w:line="46" w:lineRule="exact"/>
        <w:rPr>
          <w:sz w:val="20"/>
          <w:szCs w:val="20"/>
          <w:color w:val="auto"/>
        </w:rPr>
      </w:pPr>
    </w:p>
    <w:p>
      <w:pPr>
        <w:sectPr>
          <w:pgSz w:w="11900" w:h="16838" w:orient="portrait"/>
          <w:cols w:equalWidth="0" w:num="2">
            <w:col w:w="8080" w:space="520"/>
            <w:col w:w="2620"/>
          </w:cols>
          <w:pgMar w:left="320" w:top="931" w:right="359" w:bottom="1440" w:gutter="0" w:footer="0" w:header="0"/>
          <w:type w:val="continuous"/>
        </w:sectPr>
      </w:pPr>
    </w:p>
    <w:p>
      <w:pPr>
        <w:ind w:left="40"/>
        <w:spacing w:after="0"/>
        <w:rPr>
          <w:sz w:val="20"/>
          <w:szCs w:val="20"/>
          <w:color w:val="auto"/>
        </w:rPr>
      </w:pPr>
      <w:r>
        <w:rPr>
          <w:rFonts w:ascii="Arial" w:cs="Arial" w:eastAsia="Arial" w:hAnsi="Arial"/>
          <w:sz w:val="86"/>
          <w:szCs w:val="86"/>
          <w:b w:val="1"/>
          <w:bCs w:val="1"/>
          <w:i w:val="1"/>
          <w:iCs w:val="1"/>
          <w:color w:val="auto"/>
        </w:rPr>
        <w:t>NEWS</w:t>
      </w:r>
    </w:p>
    <w:p>
      <w:pPr>
        <w:spacing w:after="0" w:line="352" w:lineRule="exact"/>
        <w:rPr>
          <w:sz w:val="20"/>
          <w:szCs w:val="20"/>
          <w:color w:val="auto"/>
        </w:rPr>
      </w:pPr>
    </w:p>
    <w:p>
      <w:pPr>
        <w:jc w:val="center"/>
        <w:ind w:left="360" w:right="40"/>
        <w:spacing w:after="0" w:line="282" w:lineRule="auto"/>
        <w:rPr>
          <w:sz w:val="20"/>
          <w:szCs w:val="20"/>
          <w:color w:val="auto"/>
        </w:rPr>
      </w:pPr>
      <w:r>
        <w:rPr>
          <w:rFonts w:ascii="Arial" w:cs="Arial" w:eastAsia="Arial" w:hAnsi="Arial"/>
          <w:sz w:val="25"/>
          <w:szCs w:val="25"/>
          <w:b w:val="1"/>
          <w:bCs w:val="1"/>
          <w:color w:val="auto"/>
        </w:rPr>
        <w:t>ALLETE, Inc. reports 2021 earnings of $3.23 per share; initiates 2022 earnings guidance range of $3.60 to 3.90 per share</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DULUTH, Minn. - ALLETE, Inc. (NYSE: ALE) today reported 2021 earnings of $3.23 per share on net income of $169.2 million and operating revenue of $1.4 billion. Reported results from 2020 were $3.35 per share on net income of $174.2 million and operating revenue of $1.2 billion.</w:t>
      </w:r>
    </w:p>
    <w:p>
      <w:pPr>
        <w:spacing w:after="0" w:line="213"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Earnings in 2021 reflect an approximately 16 cent gain recorded in the fourth quarter of 2021 for the sale of a portion of the Nemadji Trail Energy Center by South Shore Energy, ALLETE’s non-rate regulated, Wisconsin subsidiary. This positive impact was partially offset by a 10 cent per share, negative impact related to ALLETE Clean Energy’s Diamond Spring wind energy facility due to the February extreme winter storm event. Additionally, net income in 2021 included a 7 cent per share charge resulting from the Minnesota Public Utilities Commission’s decision to order refunds in Minnesota Power’s fuel adjustment clause filing covering the period July 2018 through December 2019.</w:t>
      </w:r>
    </w:p>
    <w:p>
      <w:pPr>
        <w:spacing w:after="0" w:line="4"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 am pleased with the Company’s 2021 financial results and strategic clean energy positioning as we launch 2022 from a position of strength,” said ALLETE Chair, President and CEO Bethany Owen, “ALLETE’s Sustainability in Action strategy will continue to capitalize on demand for clean energy, providing value to our customers, our communities and our investors, as well as opportunities for our employees.”</w:t>
      </w:r>
    </w:p>
    <w:p>
      <w:pPr>
        <w:spacing w:after="0" w:line="22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ALLETE’s Regulated Operations segment, which includes Minnesota Power, Superior Water, Light and Power and the Company’s investment in the American Transmission Co., recorded net income of $129.1 million, compared to $136.3 million in 2020. Earnings reflect lower net income at Minnesota Power primarily due to: lower margins from the expiration of a power sales contract in 2020; higher operating and maintenance, property tax and depreciation expenses; and the reserve for refunds in Minnesota Power’s fuel adjustment clause filing. These negative impacts were partially offset by increased earnings related to the Great Northern Transmission Line; and higher kilowatt-hour sales to retail and municipal customers. Net income in 2020 also included the rate case resolution impact of $8.3 million after-tax.</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ALLETE Clean Energy recorded 2021 net income of $26.3 million compared to $29.9 million in 2020. Net income in 2021 included the impact related to ALLETE Clean Energy’s Diamond Spring wind energy facility due to an extreme winter storm event in the southwest United States in February 2021 as well as lower wind resources at other wind energy facilities. These negative impacts were partially offset by expense management efforts.</w:t>
      </w:r>
    </w:p>
    <w:p>
      <w:pPr>
        <w:spacing w:after="0" w:line="21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Corporate and Other businesses, which include BNI Energy and ALLETE Properties, recorded net income of $13.8 million in 2021 compared to net income of $8 million in 2020. Net income in 2021 included South Shore Energy’s sale of a portion of its interest in NTEC to Basin Electric Cooperative which resulted in the recognition of an approximately $8.5 million after-tax gain related to prior development costs and risks incurred, higher earnings from our investment in Nobles 2 which commenced operations in December 2020 and higher net income from land sales at ALLETE Properties. These increases were partially offset by higher expenses.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4</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20"/>
          </w:cols>
          <w:pgMar w:left="320" w:top="931" w:right="359" w:bottom="1440" w:gutter="0" w:footer="0" w:header="0"/>
          <w:type w:val="continuous"/>
        </w:sectPr>
      </w:pPr>
    </w:p>
    <w:bookmarkStart w:id="284" w:name="page285"/>
    <w:bookmarkEnd w:id="284"/>
    <w:p>
      <w:pPr>
        <w:ind w:right="300"/>
        <w:spacing w:after="0" w:line="291" w:lineRule="auto"/>
        <w:rPr>
          <w:sz w:val="20"/>
          <w:szCs w:val="20"/>
          <w:color w:val="auto"/>
        </w:rPr>
      </w:pPr>
      <w:r>
        <w:rPr>
          <w:rFonts w:ascii="Arial" w:cs="Arial" w:eastAsia="Arial" w:hAnsi="Arial"/>
          <w:sz w:val="18"/>
          <w:szCs w:val="18"/>
          <w:color w:val="auto"/>
        </w:rPr>
        <w:t>“I am pleased with our financial performance and accomplishments in 2021, wrapping up the year with a strong fourth quarter; our businesses are well positioned as we move into 2022 and beyond,” said ALLETE Senior Vice President and Chief Financial Officer Steve Morris, “We believe our unique mix of businesses will continue to deliver a strong value proposition to shareholders for years to 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Company’s 2022 earnings guidance were filed as part of today’s Form 8-K filing.</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February 16, 2022; financial slides posted on company website</w:t>
      </w:r>
    </w:p>
    <w:p>
      <w:pPr>
        <w:spacing w:after="0" w:line="22"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 xml:space="preserve">ALLETE’s earnings conference call will be at 10:00 a.m. (EST), February 16, 2022, at which time management will discuss 2021 financial results and 2022 earnings guidance. To participate in the call, analysts are asked to dial 877-303-5852, pass code 1993529, ten minutes prior to the start time and refer to the “ALLETE’s Conference Call Announcing 2021 Financial Results.” All interested parties may listen to the live audio-only webcast accompanied by financial slides, which will be available on ALLETE’s Investor Relations website </w:t>
      </w:r>
      <w:r>
        <w:rPr>
          <w:rFonts w:ascii="Arial" w:cs="Arial" w:eastAsia="Arial" w:hAnsi="Arial"/>
          <w:sz w:val="19"/>
          <w:szCs w:val="19"/>
          <w:u w:val="single" w:color="auto"/>
          <w:color w:val="0563C1"/>
        </w:rPr>
        <w:t>http://investor.allete.com/events-presentations</w:t>
      </w:r>
      <w:r>
        <w:rPr>
          <w:rFonts w:ascii="Arial" w:cs="Arial" w:eastAsia="Arial" w:hAnsi="Arial"/>
          <w:sz w:val="19"/>
          <w:szCs w:val="19"/>
          <w:color w:val="000000"/>
        </w:rPr>
        <w:t>. A replay of the call will be available through February 23, 2022 by calling (855) 859-2056,</w:t>
      </w:r>
      <w:r>
        <w:rPr>
          <w:rFonts w:ascii="Arial" w:cs="Arial" w:eastAsia="Arial" w:hAnsi="Arial"/>
          <w:sz w:val="19"/>
          <w:szCs w:val="19"/>
          <w:color w:val="0563C1"/>
        </w:rPr>
        <w:t xml:space="preserve"> </w:t>
      </w:r>
      <w:r>
        <w:rPr>
          <w:rFonts w:ascii="Arial" w:cs="Arial" w:eastAsia="Arial" w:hAnsi="Arial"/>
          <w:sz w:val="19"/>
          <w:szCs w:val="19"/>
          <w:color w:val="000000"/>
        </w:rPr>
        <w:t xml:space="preserve">pass code 1993529. The webcast will be accessible for one year at </w:t>
      </w:r>
      <w:r>
        <w:rPr>
          <w:rFonts w:ascii="Arial" w:cs="Arial" w:eastAsia="Arial" w:hAnsi="Arial"/>
          <w:sz w:val="20"/>
          <w:szCs w:val="20"/>
          <w:u w:val="single" w:color="auto"/>
          <w:color w:val="0563C1"/>
        </w:rPr>
        <w:t>www.allete.com</w:t>
      </w:r>
      <w:r>
        <w:rPr>
          <w:rFonts w:ascii="Arial" w:cs="Arial" w:eastAsia="Arial" w:hAnsi="Arial"/>
          <w:sz w:val="19"/>
          <w:szCs w:val="19"/>
          <w:color w:val="000000"/>
        </w:rPr>
        <w:t>.</w:t>
      </w:r>
    </w:p>
    <w:p>
      <w:pPr>
        <w:spacing w:after="0" w:line="198"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and has an eight</w:t>
      </w:r>
    </w:p>
    <w:p>
      <w:pPr>
        <w:spacing w:after="0"/>
        <w:rPr>
          <w:sz w:val="20"/>
          <w:szCs w:val="20"/>
          <w:color w:val="auto"/>
        </w:rPr>
      </w:pPr>
      <w:r>
        <w:rPr>
          <w:rFonts w:ascii="Arial" w:cs="Arial" w:eastAsia="Arial" w:hAnsi="Arial"/>
          <w:sz w:val="18"/>
          <w:szCs w:val="18"/>
          <w:color w:val="auto"/>
        </w:rPr>
        <w:t xml:space="preserve">percent equity interest in the American Transmission Co. More information about ALLETE is available at www.allete.com. </w:t>
      </w:r>
      <w:r>
        <w:rPr>
          <w:rFonts w:ascii="Arial" w:cs="Arial" w:eastAsia="Arial" w:hAnsi="Arial"/>
          <w:sz w:val="19"/>
          <w:szCs w:val="19"/>
          <w:i w:val="1"/>
          <w:iCs w:val="1"/>
          <w:color w:val="auto"/>
        </w:rPr>
        <w:t>ALE-CORP</w:t>
      </w:r>
    </w:p>
    <w:p>
      <w:pPr>
        <w:spacing w:after="0" w:line="200" w:lineRule="exact"/>
        <w:rPr>
          <w:sz w:val="20"/>
          <w:szCs w:val="20"/>
          <w:color w:val="auto"/>
        </w:rPr>
      </w:pPr>
    </w:p>
    <w:p>
      <w:pPr>
        <w:spacing w:after="0" w:line="312" w:lineRule="exact"/>
        <w:rPr>
          <w:sz w:val="20"/>
          <w:szCs w:val="20"/>
          <w:color w:val="auto"/>
        </w:rPr>
      </w:pPr>
    </w:p>
    <w:p>
      <w:pPr>
        <w:spacing w:after="0" w:line="265" w:lineRule="auto"/>
        <w:rPr>
          <w:sz w:val="20"/>
          <w:szCs w:val="20"/>
          <w:color w:val="auto"/>
        </w:rPr>
      </w:pPr>
      <w:r>
        <w:rPr>
          <w:rFonts w:ascii="Arial" w:cs="Arial" w:eastAsia="Arial" w:hAnsi="Arial"/>
          <w:sz w:val="21"/>
          <w:szCs w:val="21"/>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56"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4</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40"/>
          </w:cols>
          <w:pgMar w:left="320" w:top="892"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2021 and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33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 to Date</w:t>
            </w:r>
          </w:p>
        </w:tc>
      </w:tr>
      <w:tr>
        <w:trPr>
          <w:trHeight w:val="234"/>
        </w:trPr>
        <w:tc>
          <w:tcPr>
            <w:tcW w:w="58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$339.7</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$266.1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$1,227.9</w:t>
            </w:r>
          </w:p>
        </w:tc>
        <w:tc>
          <w:tcPr>
            <w:tcW w:w="920" w:type="dxa"/>
            <w:vAlign w:val="bottom"/>
          </w:tcPr>
          <w:p>
            <w:pPr>
              <w:jc w:val="right"/>
              <w:spacing w:after="0"/>
              <w:rPr>
                <w:sz w:val="20"/>
                <w:szCs w:val="20"/>
                <w:color w:val="auto"/>
              </w:rPr>
            </w:pPr>
            <w:r>
              <w:rPr>
                <w:rFonts w:ascii="Arial" w:cs="Arial" w:eastAsia="Arial" w:hAnsi="Arial"/>
                <w:sz w:val="18"/>
                <w:szCs w:val="18"/>
                <w:color w:val="auto"/>
              </w:rPr>
              <w:t>$987.3</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56.5</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51.5</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Revenue</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399.0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320.4</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1,419.2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173.0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106.9</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19.2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75.3</w:t>
            </w: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21.0</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18.1</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59.1</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70.1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259.2</w:t>
            </w:r>
          </w:p>
        </w:tc>
        <w:tc>
          <w:tcPr>
            <w:tcW w:w="92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56.5</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18.4</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15.2</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349.0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284.0</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1,267.9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50.0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36.4</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(17.3)</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(69.1)</w:t>
            </w:r>
          </w:p>
        </w:tc>
        <w:tc>
          <w:tcPr>
            <w:tcW w:w="9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5.7</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Other Expense</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(6.7)</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41.0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110.9</w:t>
            </w:r>
          </w:p>
        </w:tc>
        <w:tc>
          <w:tcPr>
            <w:tcW w:w="92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2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48.6</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41.4</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137.8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r>
      <w:tr>
        <w:trPr>
          <w:trHeight w:val="223"/>
        </w:trPr>
        <w:tc>
          <w:tcPr>
            <w:tcW w:w="5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$47.1</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$169.2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Basic</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52.8</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52.0</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52.4</w:t>
            </w:r>
          </w:p>
        </w:tc>
        <w:tc>
          <w:tcPr>
            <w:tcW w:w="9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5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52.8</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$0.91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9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$0.63</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$0.6175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 31,</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 31,</w:t>
            </w:r>
          </w:p>
        </w:tc>
      </w:tr>
      <w:tr>
        <w:trPr>
          <w:trHeight w:val="234"/>
        </w:trPr>
        <w:tc>
          <w:tcPr>
            <w:tcW w:w="3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246.2</w:t>
            </w:r>
          </w:p>
        </w:tc>
        <w:tc>
          <w:tcPr>
            <w:tcW w:w="940" w:type="dxa"/>
            <w:vAlign w:val="bottom"/>
          </w:tcPr>
          <w:p>
            <w:pPr>
              <w:jc w:val="right"/>
              <w:spacing w:after="0"/>
              <w:rPr>
                <w:sz w:val="20"/>
                <w:szCs w:val="20"/>
                <w:color w:val="auto"/>
              </w:rPr>
            </w:pPr>
            <w:r>
              <w:rPr>
                <w:rFonts w:ascii="Arial" w:cs="Arial" w:eastAsia="Arial" w:hAnsi="Arial"/>
                <w:sz w:val="18"/>
                <w:szCs w:val="18"/>
                <w:color w:val="auto"/>
              </w:rPr>
              <w:t>210.6</w:t>
            </w:r>
          </w:p>
        </w:tc>
        <w:tc>
          <w:tcPr>
            <w:tcW w:w="384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1,763.2</w:t>
            </w:r>
          </w:p>
        </w:tc>
        <w:tc>
          <w:tcPr>
            <w:tcW w:w="880" w:type="dxa"/>
            <w:vAlign w:val="bottom"/>
          </w:tcPr>
          <w:p>
            <w:pPr>
              <w:jc w:val="right"/>
              <w:spacing w:after="0"/>
              <w:rPr>
                <w:sz w:val="20"/>
                <w:szCs w:val="20"/>
                <w:color w:val="auto"/>
              </w:rPr>
            </w:pPr>
            <w:r>
              <w:rPr>
                <w:rFonts w:ascii="Arial" w:cs="Arial" w:eastAsia="Arial" w:hAnsi="Arial"/>
                <w:sz w:val="18"/>
                <w:szCs w:val="18"/>
                <w:color w:val="auto"/>
              </w:rPr>
              <w:t>1,593.2</w:t>
            </w: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4,840.8</w:t>
            </w: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511.8</w:t>
            </w:r>
          </w:p>
        </w:tc>
        <w:tc>
          <w:tcPr>
            <w:tcW w:w="940" w:type="dxa"/>
            <w:vAlign w:val="bottom"/>
          </w:tcPr>
          <w:p>
            <w:pPr>
              <w:jc w:val="right"/>
              <w:spacing w:after="0"/>
              <w:rPr>
                <w:sz w:val="20"/>
                <w:szCs w:val="20"/>
                <w:color w:val="auto"/>
              </w:rPr>
            </w:pPr>
            <w:r>
              <w:rPr>
                <w:rFonts w:ascii="Arial" w:cs="Arial" w:eastAsia="Arial" w:hAnsi="Arial"/>
                <w:sz w:val="18"/>
                <w:szCs w:val="18"/>
                <w:color w:val="auto"/>
              </w:rPr>
              <w:t>480.9</w:t>
            </w:r>
          </w:p>
        </w:tc>
        <w:tc>
          <w:tcPr>
            <w:tcW w:w="384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536.1</w:t>
            </w:r>
          </w:p>
        </w:tc>
        <w:tc>
          <w:tcPr>
            <w:tcW w:w="880" w:type="dxa"/>
            <w:vAlign w:val="bottom"/>
          </w:tcPr>
          <w:p>
            <w:pPr>
              <w:jc w:val="right"/>
              <w:spacing w:after="0"/>
              <w:rPr>
                <w:sz w:val="20"/>
                <w:szCs w:val="20"/>
                <w:color w:val="auto"/>
              </w:rPr>
            </w:pPr>
            <w:r>
              <w:rPr>
                <w:rFonts w:ascii="Arial" w:cs="Arial" w:eastAsia="Arial" w:hAnsi="Arial"/>
                <w:sz w:val="18"/>
                <w:szCs w:val="18"/>
                <w:color w:val="auto"/>
              </w:rPr>
              <w:t>524.8</w:t>
            </w:r>
          </w:p>
        </w:tc>
      </w:tr>
      <w:tr>
        <w:trPr>
          <w:trHeight w:val="25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318.0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Defined Benefit Pension &amp; Other Postretirement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149"/>
        </w:trPr>
        <w:tc>
          <w:tcPr>
            <w:tcW w:w="3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4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Benefit Plans</w:t>
            </w:r>
          </w:p>
        </w:tc>
        <w:tc>
          <w:tcPr>
            <w:tcW w:w="1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213.7</w:t>
            </w:r>
          </w:p>
        </w:tc>
        <w:tc>
          <w:tcPr>
            <w:tcW w:w="940" w:type="dxa"/>
            <w:vAlign w:val="bottom"/>
          </w:tcPr>
          <w:p>
            <w:pPr>
              <w:jc w:val="right"/>
              <w:spacing w:after="0"/>
              <w:rPr>
                <w:sz w:val="20"/>
                <w:szCs w:val="20"/>
                <w:color w:val="auto"/>
              </w:rPr>
            </w:pPr>
            <w:r>
              <w:rPr>
                <w:rFonts w:ascii="Arial" w:cs="Arial" w:eastAsia="Arial" w:hAnsi="Arial"/>
                <w:sz w:val="18"/>
                <w:szCs w:val="18"/>
                <w:color w:val="auto"/>
              </w:rPr>
              <w:t>206.8</w:t>
            </w:r>
          </w:p>
        </w:tc>
        <w:tc>
          <w:tcPr>
            <w:tcW w:w="384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88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29"/>
        </w:trPr>
        <w:tc>
          <w:tcPr>
            <w:tcW w:w="3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2,800.2</w:t>
            </w: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$6,435.0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$6,435.0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$6,084.6</w:t>
            </w:r>
          </w:p>
        </w:tc>
      </w:tr>
    </w:tbl>
    <w:p>
      <w:pPr>
        <w:spacing w:after="0" w:line="200"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4</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30 West Superior Street, Duluth, Minnesota 55802</w:t>
      </w:r>
    </w:p>
    <w:p>
      <w:pPr>
        <w:sectPr>
          <w:pgSz w:w="11900" w:h="16838" w:orient="portrait"/>
          <w:cols w:equalWidth="0" w:num="1">
            <w:col w:w="11240"/>
          </w:cols>
          <w:pgMar w:left="320" w:top="891" w:right="339" w:bottom="1440" w:gutter="0" w:footer="0" w:header="0"/>
          <w:type w:val="continuous"/>
        </w:sectPr>
      </w:pPr>
    </w:p>
    <w:bookmarkStart w:id="286" w:name="page287"/>
    <w:bookmarkEnd w:id="286"/>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4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 to Date</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40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20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$29.7</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16"/>
        </w:trPr>
        <w:tc>
          <w:tcPr>
            <w:tcW w:w="5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ALLETE Clean Energy</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13.1</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51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17.6</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8.7</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$61.9</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$47.1</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$169.2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$0.90</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34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560"/>
              <w:spacing w:after="0"/>
              <w:rPr>
                <w:sz w:val="20"/>
                <w:szCs w:val="20"/>
                <w:color w:val="auto"/>
              </w:rPr>
            </w:pPr>
            <w:r>
              <w:rPr>
                <w:rFonts w:ascii="Arial" w:cs="Arial" w:eastAsia="Arial" w:hAnsi="Arial"/>
                <w:sz w:val="18"/>
                <w:szCs w:val="18"/>
                <w:color w:val="auto"/>
              </w:rPr>
              <w:t>High</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$66.71</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$62.28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$73.10</w:t>
            </w:r>
          </w:p>
        </w:tc>
        <w:tc>
          <w:tcPr>
            <w:tcW w:w="920" w:type="dxa"/>
            <w:vAlign w:val="bottom"/>
          </w:tcPr>
          <w:p>
            <w:pPr>
              <w:jc w:val="right"/>
              <w:spacing w:after="0"/>
              <w:rPr>
                <w:sz w:val="20"/>
                <w:szCs w:val="20"/>
                <w:color w:val="auto"/>
              </w:rPr>
            </w:pPr>
            <w:r>
              <w:rPr>
                <w:rFonts w:ascii="Arial" w:cs="Arial" w:eastAsia="Arial" w:hAnsi="Arial"/>
                <w:sz w:val="18"/>
                <w:szCs w:val="18"/>
                <w:color w:val="auto"/>
              </w:rPr>
              <w:t>$84.71</w:t>
            </w:r>
          </w:p>
        </w:tc>
      </w:tr>
      <w:tr>
        <w:trPr>
          <w:trHeight w:val="230"/>
        </w:trPr>
        <w:tc>
          <w:tcPr>
            <w:tcW w:w="5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$56.84</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$50.75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29"/>
        </w:trPr>
        <w:tc>
          <w:tcPr>
            <w:tcW w:w="5180" w:type="dxa"/>
            <w:vAlign w:val="bottom"/>
          </w:tcPr>
          <w:p>
            <w:pPr>
              <w:ind w:left="560"/>
              <w:spacing w:after="0"/>
              <w:rPr>
                <w:sz w:val="20"/>
                <w:szCs w:val="20"/>
                <w:color w:val="auto"/>
              </w:rPr>
            </w:pPr>
            <w:r>
              <w:rPr>
                <w:rFonts w:ascii="Arial" w:cs="Arial" w:eastAsia="Arial" w:hAnsi="Arial"/>
                <w:sz w:val="18"/>
                <w:szCs w:val="18"/>
                <w:color w:val="auto"/>
              </w:rPr>
              <w:t>Close</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$66.35</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$61.94</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$66.35</w:t>
            </w:r>
          </w:p>
        </w:tc>
        <w:tc>
          <w:tcPr>
            <w:tcW w:w="920" w:type="dxa"/>
            <w:vAlign w:val="bottom"/>
          </w:tcPr>
          <w:p>
            <w:pPr>
              <w:jc w:val="right"/>
              <w:spacing w:after="0"/>
              <w:rPr>
                <w:sz w:val="20"/>
                <w:szCs w:val="20"/>
                <w:color w:val="auto"/>
              </w:rPr>
            </w:pPr>
            <w:r>
              <w:rPr>
                <w:rFonts w:ascii="Arial" w:cs="Arial" w:eastAsia="Arial" w:hAnsi="Arial"/>
                <w:sz w:val="18"/>
                <w:szCs w:val="18"/>
                <w:color w:val="auto"/>
              </w:rPr>
              <w:t>$61.94</w:t>
            </w:r>
          </w:p>
        </w:tc>
      </w:tr>
      <w:tr>
        <w:trPr>
          <w:trHeight w:val="229"/>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$44.06</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r>
      <w:tr>
        <w:trPr>
          <w:trHeight w:val="33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30"/>
        </w:trPr>
        <w:tc>
          <w:tcPr>
            <w:tcW w:w="518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1,359</w:t>
            </w:r>
          </w:p>
        </w:tc>
        <w:tc>
          <w:tcPr>
            <w:tcW w:w="9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30"/>
        </w:trPr>
        <w:tc>
          <w:tcPr>
            <w:tcW w:w="5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1,845</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1,645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r>
      <w:tr>
        <w:trPr>
          <w:trHeight w:val="230"/>
        </w:trPr>
        <w:tc>
          <w:tcPr>
            <w:tcW w:w="5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150</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5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2,620</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2,417</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10,280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r>
      <w:tr>
        <w:trPr>
          <w:trHeight w:val="230"/>
        </w:trPr>
        <w:tc>
          <w:tcPr>
            <w:tcW w:w="5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1,407</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1,544</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w:t>
            </w:r>
          </w:p>
        </w:tc>
      </w:tr>
      <w:tr>
        <w:trPr>
          <w:trHeight w:val="223"/>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4,027</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3,961</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15,382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r>
      <w:tr>
        <w:trPr>
          <w:trHeight w:val="33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Regulated Utility Revenue</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Retail and Municipal Electric Revenue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$38.3</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$34.6</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41.4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34.5</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161.0</w:t>
            </w:r>
          </w:p>
        </w:tc>
        <w:tc>
          <w:tcPr>
            <w:tcW w:w="92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156.4</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115.6</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r>
      <w:tr>
        <w:trPr>
          <w:trHeight w:val="230"/>
        </w:trPr>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Municipal</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13.5</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10.7</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Retail and Municipal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249.6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195.4</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920.7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Other Power Suppliers</w:t>
            </w: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51.8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168.7</w:t>
            </w:r>
          </w:p>
        </w:tc>
        <w:tc>
          <w:tcPr>
            <w:tcW w:w="92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30"/>
        </w:trPr>
        <w:tc>
          <w:tcPr>
            <w:tcW w:w="5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(Includes Water and Gas Revenue)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38.3</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28.5</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138.5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Regulated Utility Revenue</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$339.7</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$266.1</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$1,227.9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r>
    </w:tbl>
    <w:p>
      <w:pPr>
        <w:spacing w:after="0" w:line="200" w:lineRule="exact"/>
        <w:rPr>
          <w:sz w:val="20"/>
          <w:szCs w:val="20"/>
          <w:color w:val="auto"/>
        </w:rPr>
      </w:pPr>
    </w:p>
    <w:p>
      <w:pPr>
        <w:spacing w:after="0" w:line="3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4</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
      <w:numFmt w:val="bullet"/>
      <w:start w:val="1"/>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1)"/>
      <w:numFmt w:val="lowerLetter"/>
      <w:start w:val="1"/>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1)"/>
      <w:numFmt w:val="lowerLetter"/>
      <w:start w:val="1"/>
    </w:lvl>
  </w:abstractNum>
  <w:abstractNum w:abstractNumId="6">
    <w:nsid w:val="6A5F7029"/>
    <w:multiLevelType w:val="hybridMultilevel"/>
    <w:lvl w:ilvl="0">
      <w:lvlJc w:val="left"/>
      <w:lvlText w:val="•"/>
      <w:numFmt w:val="bullet"/>
      <w:start w:val="1"/>
    </w:lvl>
  </w:abstractNum>
  <w:abstractNum w:abstractNumId="7">
    <w:nsid w:val="7D5E18F8"/>
    <w:multiLevelType w:val="hybridMultilevel"/>
    <w:lvl w:ilvl="0">
      <w:lvlJc w:val="left"/>
      <w:lvlText w:val="(%1)"/>
      <w:numFmt w:val="lowerLetter"/>
      <w:start w:val="1"/>
    </w:lvl>
  </w:abstractNum>
  <w:abstractNum w:abstractNumId="8">
    <w:nsid w:val="5F3534A4"/>
    <w:multiLevelType w:val="hybridMultilevel"/>
    <w:lvl w:ilvl="0">
      <w:lvlJc w:val="left"/>
      <w:lvlText w:val="(%1)"/>
      <w:numFmt w:val="lowerLetter"/>
      <w:start w:val="1"/>
    </w:lvl>
  </w:abstractNum>
  <w:abstractNum w:abstractNumId="9">
    <w:nsid w:val="73A1821B"/>
    <w:multiLevelType w:val="hybridMultilevel"/>
    <w:lvl w:ilvl="0">
      <w:lvlJc w:val="left"/>
      <w:lvlText w:val="•"/>
      <w:numFmt w:val="bullet"/>
      <w:start w:val="1"/>
    </w:lvl>
  </w:abstractNum>
  <w:abstractNum w:abstractNumId="10">
    <w:nsid w:val="7DE67713"/>
    <w:multiLevelType w:val="hybridMultilevel"/>
    <w:lvl w:ilvl="0">
      <w:lvlJc w:val="left"/>
      <w:lvlText w:val="•"/>
      <w:numFmt w:val="bullet"/>
      <w:start w:val="1"/>
    </w:lvl>
  </w:abstractNum>
  <w:abstractNum w:abstractNumId="11">
    <w:nsid w:val="555C55B5"/>
    <w:multiLevelType w:val="hybridMultilevel"/>
    <w:lvl w:ilvl="0">
      <w:lvlJc w:val="left"/>
      <w:lvlText w:val="(%1)"/>
      <w:numFmt w:val="lowerLetter"/>
      <w:start w:val="1"/>
    </w:lvl>
  </w:abstractNum>
  <w:abstractNum w:abstractNumId="12">
    <w:nsid w:val="3FA62ACA"/>
    <w:multiLevelType w:val="hybridMultilevel"/>
    <w:lvl w:ilvl="0">
      <w:lvlJc w:val="left"/>
      <w:lvlText w:val="(%1)"/>
      <w:numFmt w:val="lowerLetter"/>
      <w:start w:val="1"/>
    </w:lvl>
  </w:abstractNum>
  <w:abstractNum w:abstractNumId="13">
    <w:nsid w:val="14FCE74E"/>
    <w:multiLevelType w:val="hybridMultilevel"/>
    <w:lvl w:ilvl="0">
      <w:lvlJc w:val="left"/>
      <w:lvlText w:val="(%1)"/>
      <w:numFmt w:val="decimal"/>
      <w:start w:val="3"/>
    </w:lvl>
  </w:abstractNum>
  <w:abstractNum w:abstractNumId="14">
    <w:nsid w:val="6A3DD3E8"/>
    <w:multiLevelType w:val="hybridMultilevel"/>
    <w:lvl w:ilvl="0">
      <w:lvlJc w:val="left"/>
      <w:lvlText w:val="\emdash "/>
      <w:numFmt w:val="bullet"/>
      <w:start w:val="1"/>
    </w:lvl>
  </w:abstractNum>
  <w:abstractNum w:abstractNumId="15">
    <w:nsid w:val="71C91298"/>
    <w:multiLevelType w:val="hybridMultilevel"/>
    <w:lvl w:ilvl="0">
      <w:lvlJc w:val="left"/>
      <w:lvlText w:val="%1"/>
      <w:numFmt w:val="decimal"/>
      <w:start w:val="32"/>
    </w:lvl>
  </w:abstractNum>
  <w:abstractNum w:abstractNumId="16">
    <w:nsid w:val="9DAF632"/>
    <w:multiLevelType w:val="hybridMultilevel"/>
    <w:lvl w:ilvl="0">
      <w:lvlJc w:val="left"/>
      <w:lvlText w:val="%1"/>
      <w:numFmt w:val="decimal"/>
      <w:start w:val="99"/>
    </w:lvl>
  </w:abstractNum>
  <w:abstractNum w:abstractNumId="17">
    <w:nsid w:val="53299938"/>
    <w:multiLevelType w:val="hybridMultilevel"/>
    <w:lvl w:ilvl="0">
      <w:lvlJc w:val="left"/>
      <w:lvlText w:val="*"/>
      <w:numFmt w:val="bullet"/>
      <w:start w:val="1"/>
    </w:lvl>
  </w:abstractNum>
  <w:abstractNum w:abstractNumId="18">
    <w:nsid w:val="1FBFE8E0"/>
    <w:multiLevelType w:val="hybridMultilevel"/>
    <w:lvl w:ilvl="0">
      <w:lvlJc w:val="left"/>
      <w:lvlText w:val="+"/>
      <w:numFmt w:val="bullet"/>
      <w:start w:val="1"/>
    </w:lvl>
  </w:abstractNum>
  <w:abstractNum w:abstractNumId="19">
    <w:nsid w:val="5092CA79"/>
    <w:multiLevelType w:val="hybridMultilevel"/>
    <w:lvl w:ilvl="0">
      <w:lvlJc w:val="left"/>
      <w:lvlText w:val="(%1)"/>
      <w:numFmt w:val="lowerLetter"/>
      <w:start w:val="1"/>
    </w:lvl>
  </w:abstractNum>
  <w:abstractNum w:abstractNumId="20">
    <w:nsid w:val="1D545C4D"/>
    <w:multiLevelType w:val="hybridMultilevel"/>
    <w:lvl w:ilvl="0">
      <w:lvlJc w:val="left"/>
      <w:lvlText w:val="(%1)"/>
      <w:numFmt w:val="lowerLetter"/>
      <w:start w:val="1"/>
    </w:lvl>
  </w:abstractNum>
  <w:abstractNum w:abstractNumId="21">
    <w:nsid w:val="59ADEA3D"/>
    <w:multiLevelType w:val="hybridMultilevel"/>
    <w:lvl w:ilvl="0">
      <w:lvlJc w:val="left"/>
      <w:lvlText w:val="(%1)"/>
      <w:numFmt w:val="lowerLetter"/>
      <w:start w:val="1"/>
    </w:lvl>
  </w:abstractNum>
  <w:abstractNum w:abstractNumId="22">
    <w:nsid w:val="288F1A34"/>
    <w:multiLevelType w:val="hybridMultilevel"/>
    <w:lvl w:ilvl="0">
      <w:lvlJc w:val="left"/>
      <w:lvlText w:val="(%1)"/>
      <w:numFmt w:val="lowerLetter"/>
      <w:start w:val="1"/>
    </w:lvl>
  </w:abstractNum>
  <w:abstractNum w:abstractNumId="23">
    <w:nsid w:val="2A155DBC"/>
    <w:multiLevelType w:val="hybridMultilevel"/>
    <w:lvl w:ilvl="0">
      <w:lvlJc w:val="left"/>
      <w:lvlText w:val="(%1)"/>
      <w:numFmt w:val="lowerLetter"/>
      <w:start w:val="1"/>
    </w:lvl>
  </w:abstractNum>
  <w:abstractNum w:abstractNumId="24">
    <w:nsid w:val="1D9F6E5F"/>
    <w:multiLevelType w:val="hybridMultilevel"/>
    <w:lvl w:ilvl="0">
      <w:lvlJc w:val="left"/>
      <w:lvlText w:val="%1."/>
      <w:numFmt w:val="decimal"/>
      <w:start w:val="19"/>
    </w:lvl>
  </w:abstractNum>
  <w:abstractNum w:abstractNumId="25">
    <w:nsid w:val="97E1B4E"/>
    <w:multiLevelType w:val="hybridMultilevel"/>
    <w:lvl w:ilvl="0">
      <w:lvlJc w:val="left"/>
      <w:lvlText w:val="(%1)"/>
      <w:numFmt w:val="lowerLetter"/>
      <w:start w:val="1"/>
    </w:lvl>
  </w:abstractNum>
  <w:abstractNum w:abstractNumId="26">
    <w:nsid w:val="51088277"/>
    <w:multiLevelType w:val="hybridMultilevel"/>
    <w:lvl w:ilvl="0">
      <w:lvlJc w:val="left"/>
      <w:lvlText w:val="(%1)"/>
      <w:numFmt w:val="lowerLetter"/>
      <w:start w:val="1"/>
    </w:lvl>
  </w:abstractNum>
  <w:abstractNum w:abstractNumId="27">
    <w:nsid w:val="1CA0C5FA"/>
    <w:multiLevelType w:val="hybridMultilevel"/>
    <w:lvl w:ilvl="0">
      <w:lvlJc w:val="left"/>
      <w:lvlText w:val="(%1)"/>
      <w:numFmt w:val="lowerLetter"/>
      <w:start w:val="1"/>
    </w:lvl>
  </w:abstractNum>
  <w:abstractNum w:abstractNumId="28">
    <w:nsid w:val="53584BCB"/>
    <w:multiLevelType w:val="hybridMultilevel"/>
    <w:lvl w:ilvl="0">
      <w:lvlJc w:val="left"/>
      <w:lvlText w:val="(%1)"/>
      <w:numFmt w:val="lowerLetter"/>
      <w:start w:val="1"/>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lowerLetter"/>
      <w:start w:val="1"/>
    </w:lvl>
  </w:abstractNum>
  <w:abstractNum w:abstractNumId="31">
    <w:nsid w:val="23D86AAC"/>
    <w:multiLevelType w:val="hybridMultilevel"/>
    <w:lvl w:ilvl="0">
      <w:lvlJc w:val="left"/>
      <w:lvlText w:val="•"/>
      <w:numFmt w:val="bullet"/>
      <w:start w:val="1"/>
    </w:lvl>
  </w:abstractNum>
  <w:abstractNum w:abstractNumId="32">
    <w:nsid w:val="45E6D486"/>
    <w:multiLevelType w:val="hybridMultilevel"/>
    <w:lvl w:ilvl="0">
      <w:lvlJc w:val="left"/>
      <w:lvlText w:val="(%1)"/>
      <w:numFmt w:val="lowerLetter"/>
      <w:start w:val="1"/>
    </w:lvl>
  </w:abstractNum>
  <w:abstractNum w:abstractNumId="33">
    <w:nsid w:val="5C10FE21"/>
    <w:multiLevelType w:val="hybridMultilevel"/>
    <w:lvl w:ilvl="0">
      <w:lvlJc w:val="left"/>
      <w:lvlText w:val="(%1)"/>
      <w:numFmt w:val="lowerLetter"/>
      <w:start w:val="1"/>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1"/>
    </w:lvl>
  </w:abstractNum>
  <w:abstractNum w:abstractNumId="36">
    <w:nsid w:val="4BD8591A"/>
    <w:multiLevelType w:val="hybridMultilevel"/>
    <w:lvl w:ilvl="0">
      <w:lvlJc w:val="left"/>
      <w:lvlText w:val="(%1)"/>
      <w:numFmt w:val="lowerLetter"/>
      <w:start w:val="1"/>
    </w:lvl>
  </w:abstractNum>
  <w:abstractNum w:abstractNumId="37">
    <w:nsid w:val="78DF6A55"/>
    <w:multiLevelType w:val="hybridMultilevel"/>
    <w:lvl w:ilvl="0">
      <w:lvlJc w:val="left"/>
      <w:lvlText w:val="(%1)"/>
      <w:numFmt w:val="lowerLetter"/>
      <w:start w:val="1"/>
    </w:lvl>
  </w:abstractNum>
  <w:abstractNum w:abstractNumId="38">
    <w:nsid w:val="39B7AAA2"/>
    <w:multiLevelType w:val="hybridMultilevel"/>
    <w:lvl w:ilvl="0">
      <w:lvlJc w:val="left"/>
      <w:lvlText w:val="(%1)"/>
      <w:numFmt w:val="lowerLetter"/>
      <w:start w:val="1"/>
    </w:lvl>
  </w:abstractNum>
  <w:abstractNum w:abstractNumId="39">
    <w:nsid w:val="2B0D8DBE"/>
    <w:multiLevelType w:val="hybridMultilevel"/>
    <w:lvl w:ilvl="0">
      <w:lvlJc w:val="left"/>
      <w:lvlText w:val="(%1)"/>
      <w:numFmt w:val="lowerLetter"/>
      <w:start w:val="1"/>
    </w:lvl>
  </w:abstractNum>
  <w:abstractNum w:abstractNumId="40">
    <w:nsid w:val="6C80EC70"/>
    <w:multiLevelType w:val="hybridMultilevel"/>
    <w:lvl w:ilvl="0">
      <w:lvlJc w:val="left"/>
      <w:lvlText w:val="(%1)"/>
      <w:numFmt w:val="lowerLetter"/>
      <w:start w:val="1"/>
    </w:lvl>
  </w:abstractNum>
  <w:abstractNum w:abstractNumId="41">
    <w:nsid w:val="379E21B5"/>
    <w:multiLevelType w:val="hybridMultilevel"/>
    <w:lvl w:ilvl="0">
      <w:lvlJc w:val="left"/>
      <w:lvlText w:val="(%1)"/>
      <w:numFmt w:val="lowerLetter"/>
      <w:start w:val="2"/>
    </w:lvl>
  </w:abstractNum>
  <w:abstractNum w:abstractNumId="42">
    <w:nsid w:val="69E373"/>
    <w:multiLevelType w:val="hybridMultilevel"/>
    <w:lvl w:ilvl="0">
      <w:lvlJc w:val="left"/>
      <w:lvlText w:val="(%1)"/>
      <w:numFmt w:val="decimal"/>
      <w:start w:val="1"/>
    </w:lvl>
  </w:abstractNum>
  <w:abstractNum w:abstractNumId="43">
    <w:nsid w:val="2C27173B"/>
    <w:multiLevelType w:val="hybridMultilevel"/>
    <w:lvl w:ilvl="0">
      <w:lvlJc w:val="left"/>
      <w:lvlText w:val="(%1)"/>
      <w:numFmt w:val="decimal"/>
      <w:start w:val="1"/>
    </w:lvl>
  </w:abstractNum>
  <w:abstractNum w:abstractNumId="44">
    <w:nsid w:val="4C9B0904"/>
    <w:multiLevelType w:val="hybridMultilevel"/>
    <w:lvl w:ilvl="0">
      <w:lvlJc w:val="left"/>
      <w:lvlText w:val="(%1)"/>
      <w:numFmt w:val="decimal"/>
      <w:start w:val="1"/>
    </w:lvl>
  </w:abstractNum>
  <w:abstractNum w:abstractNumId="45">
    <w:nsid w:val="6AA7B75C"/>
    <w:multiLevelType w:val="hybridMultilevel"/>
    <w:lvl w:ilvl="0">
      <w:lvlJc w:val="left"/>
      <w:lvlText w:val="(%1)"/>
      <w:numFmt w:val="lowerRoman"/>
      <w:start w:val="1"/>
    </w:lvl>
  </w:abstractNum>
  <w:abstractNum w:abstractNumId="46">
    <w:nsid w:val="1DF029D3"/>
    <w:multiLevelType w:val="hybridMultilevel"/>
    <w:lvl w:ilvl="0">
      <w:lvlJc w:val="left"/>
      <w:lvlText w:val="(%1)"/>
      <w:numFmt w:val="lowerRoman"/>
      <w:start w:val="2"/>
    </w:lvl>
  </w:abstractNum>
  <w:abstractNum w:abstractNumId="47">
    <w:nsid w:val="5675FF36"/>
    <w:multiLevelType w:val="hybridMultilevel"/>
    <w:lvl w:ilvl="0">
      <w:lvlJc w:val="left"/>
      <w:lvlText w:val="(%1)"/>
      <w:numFmt w:val="lowerRoman"/>
      <w:start w:val="1"/>
    </w:lvl>
  </w:abstractNum>
  <w:abstractNum w:abstractNumId="48">
    <w:nsid w:val="3DD15094"/>
    <w:multiLevelType w:val="hybridMultilevel"/>
    <w:lvl w:ilvl="0">
      <w:lvlJc w:val="left"/>
      <w:lvlText w:val="(%1)"/>
      <w:numFmt w:val="lowerLetter"/>
      <w:start w:val="1"/>
    </w:lvl>
  </w:abstractNum>
  <w:abstractNum w:abstractNumId="49">
    <w:nsid w:val="3DB012B3"/>
    <w:multiLevelType w:val="hybridMultilevel"/>
    <w:lvl w:ilvl="0">
      <w:lvlJc w:val="left"/>
      <w:lvlText w:val="(%1)"/>
      <w:numFmt w:val="lowerLetter"/>
      <w:start w:val="3"/>
    </w:lvl>
  </w:abstractNum>
  <w:abstractNum w:abstractNumId="50">
    <w:nsid w:val="2708C9AF"/>
    <w:multiLevelType w:val="hybridMultilevel"/>
    <w:lvl w:ilvl="0">
      <w:lvlJc w:val="left"/>
      <w:lvlText w:val="(%1)"/>
      <w:numFmt w:val="lowerLetter"/>
      <w:start w:val="15"/>
    </w:lvl>
  </w:abstractNum>
  <w:abstractNum w:abstractNumId="51">
    <w:nsid w:val="5B25ACE2"/>
    <w:multiLevelType w:val="hybridMultilevel"/>
    <w:lvl w:ilvl="0">
      <w:lvlJc w:val="left"/>
      <w:lvlText w:val="(%1)"/>
      <w:numFmt w:val="lowerLetter"/>
      <w:start w:val="1"/>
    </w:lvl>
  </w:abstractNum>
  <w:abstractNum w:abstractNumId="52">
    <w:nsid w:val="175DFCF0"/>
    <w:multiLevelType w:val="hybridMultilevel"/>
    <w:lvl w:ilvl="0">
      <w:lvlJc w:val="left"/>
      <w:lvlText w:val="(%1)"/>
      <w:numFmt w:val="lowerLetter"/>
      <w:start w:val="2"/>
    </w:lvl>
  </w:abstractNum>
  <w:abstractNum w:abstractNumId="53">
    <w:nsid w:val="4F97E3E4"/>
    <w:multiLevelType w:val="hybridMultilevel"/>
    <w:lvl w:ilvl="0">
      <w:lvlJc w:val="left"/>
      <w:lvlText w:val="(%1)"/>
      <w:numFmt w:val="lowerLetter"/>
      <w:start w:val="1"/>
    </w:lvl>
  </w:abstractNum>
  <w:abstractNum w:abstractNumId="54">
    <w:nsid w:val="53B0A9E"/>
    <w:multiLevelType w:val="hybridMultilevel"/>
    <w:lvl w:ilvl="0">
      <w:lvlJc w:val="left"/>
      <w:lvlText w:val="(%1)"/>
      <w:numFmt w:val="lowerLetter"/>
      <w:start w:val="1"/>
    </w:lvl>
    <w:lvl w:ilvl="1">
      <w:lvlJc w:val="left"/>
      <w:lvlText w:val="(%2)"/>
      <w:numFmt w:val="lowerRoman"/>
      <w:start w:val="1"/>
    </w:lvl>
  </w:abstractNum>
  <w:abstractNum w:abstractNumId="55">
    <w:nsid w:val="34FD6B4F"/>
    <w:multiLevelType w:val="hybridMultilevel"/>
    <w:lvl w:ilvl="0">
      <w:lvlJc w:val="left"/>
      <w:lvlText w:val="%1"/>
      <w:numFmt w:val="lowerLetter"/>
      <w:start w:val="1"/>
    </w:lvl>
    <w:lvl w:ilvl="1">
      <w:lvlJc w:val="left"/>
      <w:lvlText w:val="(%2)"/>
      <w:numFmt w:val="lowerRoman"/>
      <w:start w:val="4"/>
    </w:lvl>
  </w:abstractNum>
  <w:abstractNum w:abstractNumId="56">
    <w:nsid w:val="5915FF32"/>
    <w:multiLevelType w:val="hybridMultilevel"/>
    <w:lvl w:ilvl="0">
      <w:lvlJc w:val="left"/>
      <w:lvlText w:val="(%1)"/>
      <w:numFmt w:val="lowerLetter"/>
      <w:start w:val="2"/>
    </w:lvl>
    <w:lvl w:ilvl="1">
      <w:lvlJc w:val="left"/>
      <w:lvlText w:val="%2"/>
      <w:numFmt w:val="lowerRoman"/>
      <w:start w:val="1"/>
    </w:lvl>
  </w:abstractNum>
  <w:abstractNum w:abstractNumId="57">
    <w:nsid w:val="56438D15"/>
    <w:multiLevelType w:val="hybridMultilevel"/>
    <w:lvl w:ilvl="0">
      <w:lvlJc w:val="left"/>
      <w:lvlText w:val="(%1)"/>
      <w:numFmt w:val="lowerLetter"/>
      <w:start w:val="1"/>
    </w:lvl>
  </w:abstractNum>
  <w:abstractNum w:abstractNumId="58">
    <w:nsid w:val="519E3149"/>
    <w:multiLevelType w:val="hybridMultilevel"/>
    <w:lvl w:ilvl="0">
      <w:lvlJc w:val="left"/>
      <w:lvlText w:val="(%1)"/>
      <w:numFmt w:val="lowerLetter"/>
      <w:start w:val="1"/>
    </w:lvl>
  </w:abstractNum>
  <w:abstractNum w:abstractNumId="59">
    <w:nsid w:val="2C6E4AFD"/>
    <w:multiLevelType w:val="hybridMultilevel"/>
    <w:lvl w:ilvl="0">
      <w:lvlJc w:val="left"/>
      <w:lvlText w:val="(%1)"/>
      <w:numFmt w:val="lowerLetter"/>
      <w:start w:val="2"/>
    </w:lvl>
    <w:lvl w:ilvl="1">
      <w:lvlJc w:val="left"/>
      <w:lvlText w:val="(%2)"/>
      <w:numFmt w:val="upperLetter"/>
      <w:start w:val="1"/>
    </w:lvl>
  </w:abstractNum>
  <w:abstractNum w:abstractNumId="60">
    <w:nsid w:val="17A1B582"/>
    <w:multiLevelType w:val="hybridMultilevel"/>
    <w:lvl w:ilvl="0">
      <w:lvlJc w:val="left"/>
      <w:lvlText w:val="(%1)"/>
      <w:numFmt w:val="upperLetter"/>
      <w:start w:val="4"/>
    </w:lvl>
  </w:abstractNum>
  <w:abstractNum w:abstractNumId="61">
    <w:nsid w:val="4DF72E4E"/>
    <w:multiLevelType w:val="hybridMultilevel"/>
    <w:lvl w:ilvl="0">
      <w:lvlJc w:val="left"/>
      <w:lvlText w:val="(%1)"/>
      <w:numFmt w:val="lowerLetter"/>
      <w:start w:val="1"/>
    </w:lvl>
  </w:abstractNum>
  <w:abstractNum w:abstractNumId="62">
    <w:nsid w:val="5046B5A9"/>
    <w:multiLevelType w:val="hybridMultilevel"/>
    <w:lvl w:ilvl="0">
      <w:lvlJc w:val="left"/>
      <w:lvlText w:val="(%1)"/>
      <w:numFmt w:val="lowerLetter"/>
      <w:start w:val="1"/>
    </w:lvl>
  </w:abstractNum>
  <w:abstractNum w:abstractNumId="63">
    <w:nsid w:val="5D888A08"/>
    <w:multiLevelType w:val="hybridMultilevel"/>
    <w:lvl w:ilvl="0">
      <w:lvlJc w:val="left"/>
      <w:lvlText w:val="(%1)"/>
      <w:numFmt w:val="lowerLetter"/>
      <w:start w:val="2"/>
    </w:lvl>
  </w:abstractNum>
  <w:abstractNum w:abstractNumId="64">
    <w:nsid w:val="2A082C70"/>
    <w:multiLevelType w:val="hybridMultilevel"/>
    <w:lvl w:ilvl="0">
      <w:lvlJc w:val="left"/>
      <w:lvlText w:val="(%1)"/>
      <w:numFmt w:val="lowerLetter"/>
      <w:start w:val="1"/>
    </w:lvl>
  </w:abstractNum>
  <w:abstractNum w:abstractNumId="65">
    <w:nsid w:val="5EC6AFD4"/>
    <w:multiLevelType w:val="hybridMultilevel"/>
    <w:lvl w:ilvl="0">
      <w:lvlJc w:val="left"/>
      <w:lvlText w:val="%1"/>
      <w:numFmt w:val="lowerLetter"/>
      <w:start w:val="1"/>
    </w:lvl>
    <w:lvl w:ilvl="1">
      <w:lvlJc w:val="left"/>
      <w:lvlText w:val="(%2)"/>
      <w:numFmt w:val="lowerLetter"/>
      <w:start w:val="5"/>
    </w:lvl>
  </w:abstractNum>
  <w:abstractNum w:abstractNumId="66">
    <w:nsid w:val="19E21BB2"/>
    <w:multiLevelType w:val="hybridMultilevel"/>
    <w:lvl w:ilvl="0">
      <w:lvlJc w:val="left"/>
      <w:lvlText w:val="(%1)"/>
      <w:numFmt w:val="lowerLetter"/>
      <w:start w:val="24"/>
    </w:lvl>
    <w:lvl w:ilvl="1">
      <w:lvlJc w:val="left"/>
      <w:lvlText w:val="(%2)"/>
      <w:numFmt w:val="lowerLetter"/>
      <w:start w:val="6"/>
    </w:lvl>
  </w:abstractNum>
  <w:abstractNum w:abstractNumId="67">
    <w:nsid w:val="75E0858A"/>
    <w:multiLevelType w:val="hybridMultilevel"/>
    <w:lvl w:ilvl="0">
      <w:lvlJc w:val="left"/>
      <w:lvlText w:val="(%1)"/>
      <w:numFmt w:val="lowerLetter"/>
      <w:start w:val="7"/>
    </w:lvl>
  </w:abstractNum>
  <w:abstractNum w:abstractNumId="68">
    <w:nsid w:val="57A61A29"/>
    <w:multiLevelType w:val="hybridMultilevel"/>
    <w:lvl w:ilvl="0">
      <w:lvlJc w:val="left"/>
      <w:lvlText w:val="(%1)"/>
      <w:numFmt w:val="lowerRoman"/>
      <w:start w:val="2"/>
    </w:lvl>
  </w:abstractNum>
  <w:abstractNum w:abstractNumId="69">
    <w:nsid w:val="5399C654"/>
    <w:multiLevelType w:val="hybridMultilevel"/>
    <w:lvl w:ilvl="0">
      <w:lvlJc w:val="left"/>
      <w:lvlText w:val="(%1)"/>
      <w:numFmt w:val="lowerLetter"/>
      <w:start w:val="10"/>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lowerLetter"/>
      <w:start w:val="2"/>
    </w:lvl>
  </w:abstractNum>
  <w:abstractNum w:abstractNumId="72">
    <w:nsid w:val="B37E80A"/>
    <w:multiLevelType w:val="hybridMultilevel"/>
    <w:lvl w:ilvl="0">
      <w:lvlJc w:val="left"/>
      <w:lvlText w:val="(%1)"/>
      <w:numFmt w:val="lowerLetter"/>
      <w:start w:val="5"/>
    </w:lvl>
  </w:abstractNum>
  <w:abstractNum w:abstractNumId="73">
    <w:nsid w:val="2157F6BC"/>
    <w:multiLevelType w:val="hybridMultilevel"/>
    <w:lvl w:ilvl="0">
      <w:lvlJc w:val="left"/>
      <w:lvlText w:val="(%1)"/>
      <w:numFmt w:val="lowerLetter"/>
      <w:start w:val="1"/>
    </w:lvl>
  </w:abstractNum>
  <w:abstractNum w:abstractNumId="74">
    <w:nsid w:val="704E1DD5"/>
    <w:multiLevelType w:val="hybridMultilevel"/>
    <w:lvl w:ilvl="0">
      <w:lvlJc w:val="left"/>
      <w:lvlText w:val="(%1)"/>
      <w:numFmt w:val="lowerLetter"/>
      <w:start w:val="2"/>
    </w:lvl>
    <w:lvl w:ilvl="1">
      <w:lvlJc w:val="left"/>
      <w:lvlText w:val="(%2)"/>
      <w:numFmt w:val="lowerRoman"/>
      <w:start w:val="1"/>
    </w:lvl>
  </w:abstractNum>
  <w:abstractNum w:abstractNumId="75">
    <w:nsid w:val="57D2F10E"/>
    <w:multiLevelType w:val="hybridMultilevel"/>
    <w:lvl w:ilvl="0">
      <w:lvlJc w:val="left"/>
      <w:lvlText w:val="%1"/>
      <w:numFmt w:val="lowerLetter"/>
      <w:start w:val="1"/>
    </w:lvl>
    <w:lvl w:ilvl="1">
      <w:lvlJc w:val="left"/>
      <w:lvlText w:val="(%2)"/>
      <w:numFmt w:val="lowerRoman"/>
      <w:start w:val="6"/>
    </w:lvl>
  </w:abstractNum>
  <w:abstractNum w:abstractNumId="76">
    <w:nsid w:val="BFFAE18"/>
    <w:multiLevelType w:val="hybridMultilevel"/>
    <w:lvl w:ilvl="0">
      <w:lvlJc w:val="left"/>
      <w:lvlText w:val="(%1)"/>
      <w:numFmt w:val="lowerLetter"/>
      <w:start w:val="3"/>
    </w:lvl>
    <w:lvl w:ilvl="1">
      <w:lvlJc w:val="left"/>
      <w:lvlText w:val="%2"/>
      <w:numFmt w:val="lowerRoman"/>
      <w:start w:val="1"/>
    </w:lvl>
  </w:abstractNum>
  <w:abstractNum w:abstractNumId="77">
    <w:nsid w:val="E3E47A8"/>
    <w:multiLevelType w:val="hybridMultilevel"/>
    <w:lvl w:ilvl="0">
      <w:lvlJc w:val="left"/>
      <w:lvlText w:val="(%1)"/>
      <w:numFmt w:val="lowerLetter"/>
      <w:start w:val="1"/>
    </w:lvl>
  </w:abstractNum>
  <w:abstractNum w:abstractNumId="78">
    <w:nsid w:val="2E48F044"/>
    <w:multiLevelType w:val="hybridMultilevel"/>
    <w:lvl w:ilvl="0">
      <w:lvlJc w:val="left"/>
      <w:lvlText w:val="(%1)"/>
      <w:numFmt w:val="lowerLetter"/>
      <w:start w:val="4"/>
    </w:lvl>
  </w:abstractNum>
  <w:abstractNum w:abstractNumId="79">
    <w:nsid w:val="49D0FEAC"/>
    <w:multiLevelType w:val="hybridMultilevel"/>
    <w:lvl w:ilvl="0">
      <w:lvlJc w:val="left"/>
      <w:lvlText w:val="(%1)"/>
      <w:numFmt w:val="lowerLetter"/>
      <w:start w:val="1"/>
    </w:lvl>
    <w:lvl w:ilvl="1">
      <w:lvlJc w:val="left"/>
      <w:lvlText w:val="(%2)"/>
      <w:numFmt w:val="lowerRoman"/>
      <w:start w:val="1"/>
    </w:lvl>
  </w:abstractNum>
  <w:abstractNum w:abstractNumId="80">
    <w:nsid w:val="4BEE5A5B"/>
    <w:multiLevelType w:val="hybridMultilevel"/>
    <w:lvl w:ilvl="0">
      <w:lvlJc w:val="left"/>
      <w:lvlText w:val="(%1)"/>
      <w:numFmt w:val="lowerLetter"/>
      <w:start w:val="4"/>
    </w:lvl>
  </w:abstractNum>
  <w:abstractNum w:abstractNumId="81">
    <w:nsid w:val="5551B9F3"/>
    <w:multiLevelType w:val="hybridMultilevel"/>
    <w:lvl w:ilvl="0">
      <w:lvlJc w:val="left"/>
      <w:lvlText w:val="(%1)"/>
      <w:numFmt w:val="lowerLetter"/>
      <w:start w:val="5"/>
    </w:lvl>
  </w:abstractNum>
  <w:abstractNum w:abstractNumId="82">
    <w:nsid w:val="24F6AB8E"/>
    <w:multiLevelType w:val="hybridMultilevel"/>
    <w:lvl w:ilvl="0">
      <w:lvlJc w:val="left"/>
      <w:lvlText w:val="(%1)"/>
      <w:numFmt w:val="lowerLetter"/>
      <w:start w:val="1"/>
    </w:lvl>
  </w:abstractNum>
  <w:abstractNum w:abstractNumId="83">
    <w:nsid w:val="634C574C"/>
    <w:multiLevelType w:val="hybridMultilevel"/>
    <w:lvl w:ilvl="0">
      <w:lvlJc w:val="left"/>
      <w:lvlText w:val="(%1)"/>
      <w:numFmt w:val="lowerLetter"/>
      <w:start w:val="1"/>
    </w:lvl>
    <w:lvl w:ilvl="1">
      <w:lvlJc w:val="left"/>
      <w:lvlText w:val="(%2)"/>
      <w:numFmt w:val="lowerRoman"/>
      <w:start w:val="1"/>
    </w:lvl>
  </w:abstractNum>
  <w:abstractNum w:abstractNumId="84">
    <w:nsid w:val="24E99DD7"/>
    <w:multiLevelType w:val="hybridMultilevel"/>
    <w:lvl w:ilvl="0">
      <w:lvlJc w:val="left"/>
      <w:lvlText w:val="(%1)"/>
      <w:numFmt w:val="lowerLetter"/>
      <w:start w:val="2"/>
    </w:lvl>
  </w:abstractNum>
  <w:abstractNum w:abstractNumId="85">
    <w:nsid w:val="2A31B62D"/>
    <w:multiLevelType w:val="hybridMultilevel"/>
    <w:lvl w:ilvl="0">
      <w:lvlJc w:val="left"/>
      <w:lvlText w:val="(%1)"/>
      <w:numFmt w:val="lowerLetter"/>
      <w:start w:val="4"/>
    </w:lvl>
  </w:abstractNum>
  <w:abstractNum w:abstractNumId="86">
    <w:nsid w:val="1849C29B"/>
    <w:multiLevelType w:val="hybridMultilevel"/>
    <w:lvl w:ilvl="0">
      <w:lvlJc w:val="left"/>
      <w:lvlText w:val="(%1)"/>
      <w:numFmt w:val="lowerLetter"/>
      <w:start w:val="1"/>
    </w:lvl>
    <w:lvl w:ilvl="1">
      <w:lvlJc w:val="left"/>
      <w:lvlText w:val="(%2)"/>
      <w:numFmt w:val="lowerRoman"/>
      <w:start w:val="1"/>
    </w:lvl>
  </w:abstractNum>
  <w:abstractNum w:abstractNumId="87">
    <w:nsid w:val="7DFF9D09"/>
    <w:multiLevelType w:val="hybridMultilevel"/>
    <w:lvl w:ilvl="0">
      <w:lvlJc w:val="left"/>
      <w:lvlText w:val="(%1)"/>
      <w:numFmt w:val="upperLetter"/>
      <w:start w:val="2"/>
    </w:lvl>
    <w:lvl w:ilvl="1">
      <w:lvlJc w:val="left"/>
      <w:lvlText w:val="(%2)"/>
      <w:numFmt w:val="lowerRoman"/>
      <w:start w:val="3"/>
    </w:lvl>
  </w:abstractNum>
  <w:abstractNum w:abstractNumId="88">
    <w:nsid w:val="754342"/>
    <w:multiLevelType w:val="hybridMultilevel"/>
    <w:lvl w:ilvl="0">
      <w:lvlJc w:val="left"/>
      <w:lvlText w:val="(%1)"/>
      <w:numFmt w:val="lowerLetter"/>
      <w:start w:val="2"/>
    </w:lvl>
    <w:lvl w:ilvl="1">
      <w:lvlJc w:val="left"/>
      <w:lvlText w:val="(%2)"/>
      <w:numFmt w:val="lowerLetter"/>
      <w:start w:val="9"/>
    </w:lvl>
  </w:abstractNum>
  <w:abstractNum w:abstractNumId="89">
    <w:nsid w:val="69E7F3E5"/>
    <w:multiLevelType w:val="hybridMultilevel"/>
    <w:lvl w:ilvl="0">
      <w:lvlJc w:val="left"/>
      <w:lvlText w:val="(%1)"/>
      <w:numFmt w:val="lowerRoman"/>
      <w:start w:val="2"/>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4"/>
    </w:lvl>
    <w:lvl w:ilvl="1">
      <w:lvlJc w:val="left"/>
      <w:lvlText w:val="(%2)"/>
      <w:numFmt w:val="lowerRoman"/>
      <w:start w:val="1"/>
    </w:lvl>
  </w:abstractNum>
  <w:abstractNum w:abstractNumId="92">
    <w:nsid w:val="37DF2233"/>
    <w:multiLevelType w:val="hybridMultilevel"/>
    <w:lvl w:ilvl="0">
      <w:lvlJc w:val="left"/>
      <w:lvlText w:val="(%1)"/>
      <w:numFmt w:val="upperLetter"/>
      <w:start w:val="1"/>
    </w:lvl>
  </w:abstractNum>
  <w:abstractNum w:abstractNumId="93">
    <w:nsid w:val="7AB49DAF"/>
    <w:multiLevelType w:val="hybridMultilevel"/>
    <w:lvl w:ilvl="0">
      <w:lvlJc w:val="left"/>
      <w:lvlText w:val="%1"/>
      <w:numFmt w:val="upperLetter"/>
      <w:start w:val="1"/>
    </w:lvl>
    <w:lvl w:ilvl="1">
      <w:lvlJc w:val="left"/>
      <w:lvlText w:val="%2."/>
      <w:numFmt w:val="decimal"/>
      <w:start w:val="1"/>
    </w:lvl>
  </w:abstractNum>
  <w:abstractNum w:abstractNumId="94">
    <w:nsid w:val="759F82CD"/>
    <w:multiLevelType w:val="hybridMultilevel"/>
    <w:lvl w:ilvl="0">
      <w:lvlJc w:val="left"/>
      <w:lvlText w:val="(%1)"/>
      <w:numFmt w:val="upperLetter"/>
      <w:start w:val="3"/>
    </w:lvl>
    <w:lvl w:ilvl="1">
      <w:lvlJc w:val="left"/>
      <w:lvlText w:val="%2"/>
      <w:numFmt w:val="decimal"/>
      <w:start w:val="1"/>
    </w:lvl>
  </w:abstractNum>
  <w:abstractNum w:abstractNumId="95">
    <w:nsid w:val="61E74EA3"/>
    <w:multiLevelType w:val="hybridMultilevel"/>
    <w:lvl w:ilvl="0">
      <w:lvlJc w:val="left"/>
      <w:lvlText w:val="(%1)"/>
      <w:numFmt w:val="lowerLetter"/>
      <w:start w:val="7"/>
    </w:lvl>
  </w:abstractNum>
  <w:abstractNum w:abstractNumId="96">
    <w:nsid w:val="597B4D84"/>
    <w:multiLevelType w:val="hybridMultilevel"/>
    <w:lvl w:ilvl="0">
      <w:lvlJc w:val="left"/>
      <w:lvlText w:val="(%1)"/>
      <w:numFmt w:val="lowerLetter"/>
      <w:start w:val="1"/>
    </w:lvl>
  </w:abstractNum>
  <w:abstractNum w:abstractNumId="97">
    <w:nsid w:val="F819E7F"/>
    <w:multiLevelType w:val="hybridMultilevel"/>
    <w:lvl w:ilvl="0">
      <w:lvlJc w:val="left"/>
      <w:lvlText w:val="(%1)"/>
      <w:numFmt w:val="lowerLetter"/>
      <w:start w:val="1"/>
    </w:lvl>
  </w:abstractNum>
  <w:abstractNum w:abstractNumId="98">
    <w:nsid w:val="57C7D42D"/>
    <w:multiLevelType w:val="hybridMultilevel"/>
    <w:lvl w:ilvl="0">
      <w:lvlJc w:val="left"/>
      <w:lvlText w:val="(%1)"/>
      <w:numFmt w:val="lowerLetter"/>
      <w:start w:val="1"/>
    </w:lvl>
  </w:abstractNum>
  <w:abstractNum w:abstractNumId="99">
    <w:nsid w:val="312167AD"/>
    <w:multiLevelType w:val="hybridMultilevel"/>
    <w:lvl w:ilvl="0">
      <w:lvlJc w:val="left"/>
      <w:lvlText w:val="(%1)"/>
      <w:numFmt w:val="lowerLetter"/>
      <w:start w:val="1"/>
    </w:lvl>
  </w:abstractNum>
  <w:abstractNum w:abstractNumId="100">
    <w:nsid w:val="631B64D4"/>
    <w:multiLevelType w:val="hybridMultilevel"/>
    <w:lvl w:ilvl="0">
      <w:lvlJc w:val="left"/>
      <w:lvlText w:val="(%1)"/>
      <w:numFmt w:val="lowerLetter"/>
      <w:start w:val="1"/>
    </w:lvl>
  </w:abstractNum>
  <w:abstractNum w:abstractNumId="101">
    <w:nsid w:val="78B5E776"/>
    <w:multiLevelType w:val="hybridMultilevel"/>
    <w:lvl w:ilvl="0">
      <w:lvlJc w:val="left"/>
      <w:lvlText w:val="(%1)"/>
      <w:numFmt w:val="lowerLetter"/>
      <w:start w:val="1"/>
    </w:lvl>
  </w:abstractNum>
  <w:abstractNum w:abstractNumId="102">
    <w:nsid w:val="75486E47"/>
    <w:multiLevelType w:val="hybridMultilevel"/>
    <w:lvl w:ilvl="0">
      <w:lvlJc w:val="left"/>
      <w:lvlText w:val="(%1)"/>
      <w:numFmt w:val="lowerLetter"/>
      <w:start w:val="5"/>
    </w:lvl>
  </w:abstractNum>
  <w:abstractNum w:abstractNumId="103">
    <w:nsid w:val="6E534CDE"/>
    <w:multiLevelType w:val="hybridMultilevel"/>
    <w:lvl w:ilvl="0">
      <w:lvlJc w:val="left"/>
      <w:lvlText w:val="(%1)"/>
      <w:numFmt w:val="lowerLetter"/>
      <w:start w:val="1"/>
    </w:lvl>
  </w:abstractNum>
  <w:abstractNum w:abstractNumId="104">
    <w:nsid w:val="1A0DDE32"/>
    <w:multiLevelType w:val="hybridMultilevel"/>
    <w:lvl w:ilvl="0">
      <w:lvlJc w:val="left"/>
      <w:lvlText w:val="(%1)"/>
      <w:numFmt w:val="lowerLetter"/>
      <w:start w:val="2"/>
    </w:lvl>
  </w:abstractNum>
  <w:abstractNum w:abstractNumId="105">
    <w:nsid w:val="65968C1C"/>
    <w:multiLevelType w:val="hybridMultilevel"/>
    <w:lvl w:ilvl="0">
      <w:lvlJc w:val="left"/>
      <w:lvlText w:val="(%1)"/>
      <w:numFmt w:val="lowerLetter"/>
      <w:start w:val="1"/>
    </w:lvl>
  </w:abstractNum>
  <w:abstractNum w:abstractNumId="106">
    <w:nsid w:val="46263DEC"/>
    <w:multiLevelType w:val="hybridMultilevel"/>
    <w:lvl w:ilvl="0">
      <w:lvlJc w:val="left"/>
      <w:lvlText w:val="(%1)"/>
      <w:numFmt w:val="lowerLetter"/>
      <w:start w:val="4"/>
    </w:lvl>
  </w:abstractNum>
  <w:abstractNum w:abstractNumId="107">
    <w:nsid w:val="260D8C4A"/>
    <w:multiLevelType w:val="hybridMultilevel"/>
    <w:lvl w:ilvl="0">
      <w:lvlJc w:val="left"/>
      <w:lvlText w:val="(%1)"/>
      <w:numFmt w:val="lowerLetter"/>
      <w:start w:val="1"/>
    </w:lvl>
  </w:abstractNum>
  <w:abstractNum w:abstractNumId="108">
    <w:nsid w:val="73D4D3C4"/>
    <w:multiLevelType w:val="hybridMultilevel"/>
    <w:lvl w:ilvl="0">
      <w:lvlJc w:val="left"/>
      <w:lvlText w:val="(%1)"/>
      <w:numFmt w:val="lowerLetter"/>
      <w:start w:val="2"/>
    </w:lvl>
  </w:abstractNum>
  <w:abstractNum w:abstractNumId="109">
    <w:nsid w:val="746F2E30"/>
    <w:multiLevelType w:val="hybridMultilevel"/>
    <w:lvl w:ilvl="0">
      <w:lvlJc w:val="left"/>
      <w:lvlText w:val="(%1)"/>
      <w:numFmt w:val="lowerLetter"/>
      <w:start w:val="5"/>
    </w:lvl>
  </w:abstractNum>
  <w:abstractNum w:abstractNumId="110">
    <w:nsid w:val="6FDE8AF6"/>
    <w:multiLevelType w:val="hybridMultilevel"/>
    <w:lvl w:ilvl="0">
      <w:lvlJc w:val="left"/>
      <w:lvlText w:val="(%1)"/>
      <w:numFmt w:val="lowerLetter"/>
      <w:start w:val="1"/>
    </w:lvl>
  </w:abstractNum>
  <w:abstractNum w:abstractNumId="111">
    <w:nsid w:val="3FC32E20"/>
    <w:multiLevelType w:val="hybridMultilevel"/>
    <w:lvl w:ilvl="0">
      <w:lvlJc w:val="left"/>
      <w:lvlText w:val="(%1)"/>
      <w:numFmt w:val="lowerLetter"/>
      <w:start w:val="3"/>
    </w:lvl>
  </w:abstractNum>
  <w:abstractNum w:abstractNumId="112">
    <w:nsid w:val="49C0E823"/>
    <w:multiLevelType w:val="hybridMultilevel"/>
    <w:lvl w:ilvl="0">
      <w:lvlJc w:val="left"/>
      <w:lvlText w:val="%1"/>
      <w:numFmt w:val="lowerLetter"/>
      <w:start w:val="1"/>
    </w:lvl>
    <w:lvl w:ilvl="1">
      <w:lvlJc w:val="left"/>
      <w:lvlText w:val="(%2)"/>
      <w:numFmt w:val="lowerLetter"/>
      <w:start w:val="1"/>
    </w:lvl>
  </w:abstractNum>
  <w:abstractNum w:abstractNumId="113">
    <w:nsid w:val="14D53685"/>
    <w:multiLevelType w:val="hybridMultilevel"/>
    <w:lvl w:ilvl="0">
      <w:lvlJc w:val="left"/>
      <w:lvlText w:val="(%1)"/>
      <w:numFmt w:val="lowerLetter"/>
      <w:start w:val="61"/>
    </w:lvl>
    <w:lvl w:ilvl="1">
      <w:lvlJc w:val="left"/>
      <w:lvlText w:val="%2"/>
      <w:numFmt w:val="lowerLetter"/>
      <w:start w:val="1"/>
    </w:lvl>
  </w:abstractNum>
  <w:abstractNum w:abstractNumId="114">
    <w:nsid w:val="230F856C"/>
    <w:multiLevelType w:val="hybridMultilevel"/>
    <w:lvl w:ilvl="0">
      <w:lvlJc w:val="left"/>
      <w:lvlText w:val="%1"/>
      <w:numFmt w:val="lowerRoman"/>
      <w:start w:val="1"/>
    </w:lvl>
    <w:lvl w:ilvl="1">
      <w:lvlJc w:val="left"/>
      <w:lvlText w:val="(%2)"/>
      <w:numFmt w:val="lowerRoman"/>
      <w:start w:val="1"/>
    </w:lvl>
  </w:abstractNum>
  <w:abstractNum w:abstractNumId="115">
    <w:nsid w:val="6EAA85FB"/>
    <w:multiLevelType w:val="hybridMultilevel"/>
    <w:lvl w:ilvl="0">
      <w:lvlJc w:val="left"/>
      <w:lvlText w:val="(%1)"/>
      <w:numFmt w:val="lowerRoman"/>
      <w:start w:val="12"/>
    </w:lvl>
    <w:lvl w:ilvl="1">
      <w:lvlJc w:val="left"/>
      <w:lvlText w:val="%2"/>
      <w:numFmt w:val="lowerRoman"/>
      <w:start w:val="1"/>
    </w:lvl>
  </w:abstractNum>
  <w:abstractNum w:abstractNumId="116">
    <w:nsid w:val="3F06ECB2"/>
    <w:multiLevelType w:val="hybridMultilevel"/>
    <w:lvl w:ilvl="0">
      <w:lvlJc w:val="left"/>
      <w:lvlText w:val="(%1)"/>
      <w:numFmt w:val="lowerLetter"/>
      <w:start w:val="10"/>
    </w:lvl>
  </w:abstractNum>
  <w:abstractNum w:abstractNumId="117">
    <w:nsid w:val="3B594807"/>
    <w:multiLevelType w:val="hybridMultilevel"/>
    <w:lvl w:ilvl="0">
      <w:lvlJc w:val="left"/>
      <w:lvlText w:val="(%1)"/>
      <w:numFmt w:val="lowerLetter"/>
      <w:start w:val="1"/>
    </w:lvl>
  </w:abstractNum>
  <w:abstractNum w:abstractNumId="118">
    <w:nsid w:val="6CAA2304"/>
    <w:multiLevelType w:val="hybridMultilevel"/>
    <w:lvl w:ilvl="0">
      <w:lvlJc w:val="left"/>
      <w:lvlText w:val="(%1)"/>
      <w:numFmt w:val="lowerLetter"/>
      <w:start w:val="4"/>
    </w:lvl>
    <w:lvl w:ilvl="1">
      <w:lvlJc w:val="left"/>
      <w:lvlText w:val="(%2)"/>
      <w:numFmt w:val="lowerRoman"/>
      <w:start w:val="1"/>
    </w:lvl>
  </w:abstractNum>
  <w:abstractNum w:abstractNumId="119">
    <w:nsid w:val="3F7C2FF4"/>
    <w:multiLevelType w:val="hybridMultilevel"/>
    <w:lvl w:ilvl="0">
      <w:lvlJc w:val="left"/>
      <w:lvlText w:val="(%1)"/>
      <w:numFmt w:val="lowerRoman"/>
      <w:start w:val="2"/>
    </w:lvl>
  </w:abstractNum>
  <w:abstractNum w:abstractNumId="120">
    <w:nsid w:val="25413BEC"/>
    <w:multiLevelType w:val="hybridMultilevel"/>
    <w:lvl w:ilvl="0">
      <w:lvlJc w:val="left"/>
      <w:lvlText w:val="(%1)"/>
      <w:numFmt w:val="lowerLetter"/>
      <w:start w:val="8"/>
    </w:lvl>
  </w:abstractNum>
  <w:abstractNum w:abstractNumId="121">
    <w:nsid w:val="17180B0B"/>
    <w:multiLevelType w:val="hybridMultilevel"/>
    <w:lvl w:ilvl="0">
      <w:lvlJc w:val="left"/>
      <w:lvlText w:val="(%1)"/>
      <w:numFmt w:val="lowerLetter"/>
      <w:start w:val="1"/>
    </w:lvl>
  </w:abstractNum>
  <w:abstractNum w:abstractNumId="122">
    <w:nsid w:val="579328B9"/>
    <w:multiLevelType w:val="hybridMultilevel"/>
    <w:lvl w:ilvl="0">
      <w:lvlJc w:val="left"/>
      <w:lvlText w:val="(%1)"/>
      <w:numFmt w:val="lowerLetter"/>
      <w:start w:val="1"/>
    </w:lvl>
  </w:abstractNum>
  <w:abstractNum w:abstractNumId="123">
    <w:nsid w:val="5D205E20"/>
    <w:multiLevelType w:val="hybridMultilevel"/>
    <w:lvl w:ilvl="0">
      <w:lvlJc w:val="left"/>
      <w:lvlText w:val="(%1)"/>
      <w:numFmt w:val="lowerLetter"/>
      <w:start w:val="4"/>
    </w:lvl>
  </w:abstractNum>
  <w:abstractNum w:abstractNumId="124">
    <w:nsid w:val="11CCA8BA"/>
    <w:multiLevelType w:val="hybridMultilevel"/>
    <w:lvl w:ilvl="0">
      <w:lvlJc w:val="left"/>
      <w:lvlText w:val="(%1)"/>
      <w:numFmt w:val="lowerLetter"/>
      <w:start w:val="1"/>
    </w:lvl>
  </w:abstractNum>
  <w:abstractNum w:abstractNumId="125">
    <w:nsid w:val="4D32AB86"/>
    <w:multiLevelType w:val="hybridMultilevel"/>
    <w:lvl w:ilvl="0">
      <w:lvlJc w:val="left"/>
      <w:lvlText w:val="(%1)"/>
      <w:numFmt w:val="lowerLetter"/>
      <w:start w:val="2"/>
    </w:lvl>
  </w:abstractNum>
  <w:abstractNum w:abstractNumId="126">
    <w:nsid w:val="3F07ACC3"/>
    <w:multiLevelType w:val="hybridMultilevel"/>
    <w:lvl w:ilvl="0">
      <w:lvlJc w:val="left"/>
      <w:lvlText w:val="%1"/>
      <w:numFmt w:val="lowerLetter"/>
      <w:start w:val="1"/>
    </w:lvl>
    <w:lvl w:ilvl="1">
      <w:lvlJc w:val="left"/>
      <w:lvlText w:val="(%2)"/>
      <w:numFmt w:val="lowerLetter"/>
      <w:start w:val="1"/>
    </w:lvl>
  </w:abstractNum>
  <w:abstractNum w:abstractNumId="127">
    <w:nsid w:val="6B47F63E"/>
    <w:multiLevelType w:val="hybridMultilevel"/>
    <w:lvl w:ilvl="0">
      <w:lvlJc w:val="left"/>
      <w:lvlText w:val="(%1)"/>
      <w:numFmt w:val="lowerLetter"/>
      <w:start w:val="2"/>
    </w:lvl>
    <w:lvl w:ilvl="1">
      <w:lvlJc w:val="left"/>
      <w:lvlText w:val="%2"/>
      <w:numFmt w:val="lowerLetter"/>
      <w:start w:val="1"/>
    </w:lvl>
  </w:abstractNum>
  <w:abstractNum w:abstractNumId="128">
    <w:nsid w:val="5CB44A05"/>
    <w:multiLevelType w:val="hybridMultilevel"/>
    <w:lvl w:ilvl="0">
      <w:lvlJc w:val="left"/>
      <w:lvlText w:val="%1"/>
      <w:numFmt w:val="upperLetter"/>
      <w:start w:val="1"/>
    </w:lvl>
    <w:lvl w:ilvl="1">
      <w:lvlJc w:val="left"/>
      <w:lvlText w:val="(%2)"/>
      <w:numFmt w:val="lowerRoman"/>
      <w:start w:val="1"/>
    </w:lvl>
  </w:abstractNum>
  <w:abstractNum w:abstractNumId="129">
    <w:nsid w:val="16CF80F1"/>
    <w:multiLevelType w:val="hybridMultilevel"/>
    <w:lvl w:ilvl="0">
      <w:lvlJc w:val="left"/>
      <w:lvlText w:val="(%1)"/>
      <w:numFmt w:val="upperLetter"/>
      <w:start w:val="4"/>
    </w:lvl>
    <w:lvl w:ilvl="1">
      <w:lvlJc w:val="left"/>
      <w:lvlText w:val="(%2)"/>
      <w:numFmt w:val="lowerRoman"/>
      <w:start w:val="4"/>
    </w:lvl>
  </w:abstractNum>
  <w:abstractNum w:abstractNumId="130">
    <w:nsid w:val="1C695DEC"/>
    <w:multiLevelType w:val="hybridMultilevel"/>
    <w:lvl w:ilvl="0">
      <w:lvlJc w:val="left"/>
      <w:lvlText w:val="(%1)"/>
      <w:numFmt w:val="lowerLetter"/>
      <w:start w:val="2"/>
    </w:lvl>
  </w:abstractNum>
  <w:abstractNum w:abstractNumId="131">
    <w:nsid w:val="3FCFAED9"/>
    <w:multiLevelType w:val="hybridMultilevel"/>
    <w:lvl w:ilvl="0">
      <w:lvlJc w:val="left"/>
      <w:lvlText w:val="(%1)"/>
      <w:numFmt w:val="lowerLetter"/>
      <w:start w:val="61"/>
    </w:lvl>
    <w:lvl w:ilvl="1">
      <w:lvlJc w:val="left"/>
      <w:lvlText w:val="(%2)"/>
      <w:numFmt w:val="lowerLetter"/>
      <w:start w:val="4"/>
    </w:lvl>
  </w:abstractNum>
  <w:abstractNum w:abstractNumId="132">
    <w:nsid w:val="F856867"/>
    <w:multiLevelType w:val="hybridMultilevel"/>
    <w:lvl w:ilvl="0">
      <w:lvlJc w:val="left"/>
      <w:lvlText w:val="%1"/>
      <w:numFmt w:val="lowerRoman"/>
      <w:start w:val="1"/>
    </w:lvl>
    <w:lvl w:ilvl="1">
      <w:lvlJc w:val="left"/>
      <w:lvlText w:val="(%2)"/>
      <w:numFmt w:val="lowerRoman"/>
      <w:start w:val="2"/>
    </w:lvl>
  </w:abstractNum>
  <w:abstractNum w:abstractNumId="133">
    <w:nsid w:val="11B1CC33"/>
    <w:multiLevelType w:val="hybridMultilevel"/>
    <w:lvl w:ilvl="0">
      <w:lvlJc w:val="left"/>
      <w:lvlText w:val="(%1)"/>
      <w:numFmt w:val="lowerRoman"/>
      <w:start w:val="10"/>
    </w:lvl>
    <w:lvl w:ilvl="1">
      <w:lvlJc w:val="left"/>
      <w:lvlText w:val="(%2)"/>
      <w:numFmt w:val="lowerRoman"/>
      <w:start w:val="3"/>
    </w:lvl>
  </w:abstractNum>
  <w:abstractNum w:abstractNumId="134">
    <w:nsid w:val="2E22FB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3"/>
    </w:lvl>
    <w:lvl w:ilvl="4">
      <w:lvlJc w:val="left"/>
      <w:lvlText w:val="(%5)"/>
      <w:numFmt w:val="upperLetter"/>
      <w:start w:val="1"/>
    </w:lvl>
  </w:abstractNum>
  <w:abstractNum w:abstractNumId="135">
    <w:nsid w:val="29934699"/>
    <w:multiLevelType w:val="hybridMultilevel"/>
    <w:lvl w:ilvl="0">
      <w:lvlJc w:val="left"/>
      <w:lvlText w:val="(%1)"/>
      <w:numFmt w:val="lowerLetter"/>
      <w:start w:val="2"/>
    </w:lvl>
  </w:abstractNum>
  <w:abstractNum w:abstractNumId="136">
    <w:nsid w:val="77485850"/>
    <w:multiLevelType w:val="hybridMultilevel"/>
    <w:lvl w:ilvl="0">
      <w:lvlJc w:val="left"/>
      <w:lvlText w:val="(%1)"/>
      <w:numFmt w:val="lowerLetter"/>
      <w:start w:val="3"/>
    </w:lvl>
  </w:abstractNum>
  <w:abstractNum w:abstractNumId="137">
    <w:nsid w:val="744939A3"/>
    <w:multiLevelType w:val="hybridMultilevel"/>
    <w:lvl w:ilvl="0">
      <w:lvlJc w:val="left"/>
      <w:lvlText w:val="(%1)"/>
      <w:numFmt w:val="lowerLetter"/>
      <w:start w:val="1"/>
    </w:lvl>
  </w:abstractNum>
  <w:abstractNum w:abstractNumId="138">
    <w:nsid w:val="4FA0D2E3"/>
    <w:multiLevelType w:val="hybridMultilevel"/>
    <w:lvl w:ilvl="0">
      <w:lvlJc w:val="left"/>
      <w:lvlText w:val="(%1)"/>
      <w:numFmt w:val="lowerLetter"/>
      <w:start w:val="1"/>
    </w:lvl>
  </w:abstractNum>
  <w:abstractNum w:abstractNumId="139">
    <w:nsid w:val="6B1D2C14"/>
    <w:multiLevelType w:val="hybridMultilevel"/>
    <w:lvl w:ilvl="0">
      <w:lvlJc w:val="left"/>
      <w:lvlText w:val="(%1)"/>
      <w:numFmt w:val="lowerLetter"/>
      <w:start w:val="2"/>
    </w:lvl>
  </w:abstractNum>
  <w:abstractNum w:abstractNumId="140">
    <w:nsid w:val="68B867D3"/>
    <w:multiLevelType w:val="hybridMultilevel"/>
    <w:lvl w:ilvl="0">
      <w:lvlJc w:val="left"/>
      <w:lvlText w:val="(%1)"/>
      <w:numFmt w:val="lowerLetter"/>
      <w:start w:val="5"/>
    </w:lvl>
  </w:abstractNum>
  <w:abstractNum w:abstractNumId="141">
    <w:nsid w:val="3F7F5DD9"/>
    <w:multiLevelType w:val="hybridMultilevel"/>
    <w:lvl w:ilvl="0">
      <w:lvlJc w:val="left"/>
      <w:lvlText w:val="(%1)"/>
      <w:numFmt w:val="lowerLetter"/>
      <w:start w:val="1"/>
    </w:lvl>
    <w:lvl w:ilvl="1">
      <w:lvlJc w:val="left"/>
      <w:lvlText w:val="(%2)"/>
      <w:numFmt w:val="lowerLetter"/>
      <w:start w:val="9"/>
    </w:lvl>
  </w:abstractNum>
  <w:abstractNum w:abstractNumId="142">
    <w:nsid w:val="2AE05A34"/>
    <w:multiLevelType w:val="hybridMultilevel"/>
    <w:lvl w:ilvl="0">
      <w:lvlJc w:val="left"/>
      <w:lvlText w:val="(%1)"/>
      <w:numFmt w:val="upperLetter"/>
      <w:start w:val="1"/>
    </w:lvl>
  </w:abstractNum>
  <w:abstractNum w:abstractNumId="143">
    <w:nsid w:val="32794FF7"/>
    <w:multiLevelType w:val="hybridMultilevel"/>
    <w:lvl w:ilvl="0">
      <w:lvlJc w:val="left"/>
      <w:lvlText w:val="(%1)"/>
      <w:numFmt w:val="lowerRoman"/>
      <w:start w:val="2"/>
    </w:lvl>
  </w:abstractNum>
  <w:abstractNum w:abstractNumId="144">
    <w:nsid w:val="5454945E"/>
    <w:multiLevelType w:val="hybridMultilevel"/>
    <w:lvl w:ilvl="0">
      <w:lvlJc w:val="left"/>
      <w:lvlText w:val="(%1)"/>
      <w:numFmt w:val="upperLetter"/>
      <w:start w:val="1"/>
    </w:lvl>
  </w:abstractNum>
  <w:abstractNum w:abstractNumId="145">
    <w:nsid w:val="4DEFDFA0"/>
    <w:multiLevelType w:val="hybridMultilevel"/>
    <w:lvl w:ilvl="0">
      <w:lvlJc w:val="left"/>
      <w:lvlText w:val="(%1)"/>
      <w:numFmt w:val="upperLetter"/>
      <w:start w:val="2"/>
    </w:lvl>
  </w:abstractNum>
  <w:abstractNum w:abstractNumId="146">
    <w:nsid w:val="2123D5F2"/>
    <w:multiLevelType w:val="hybridMultilevel"/>
    <w:lvl w:ilvl="0">
      <w:lvlJc w:val="left"/>
      <w:lvlText w:val="(%1)"/>
      <w:numFmt w:val="lowerRoman"/>
      <w:start w:val="4"/>
    </w:lvl>
  </w:abstractNum>
  <w:abstractNum w:abstractNumId="147">
    <w:nsid w:val="135B8110"/>
    <w:multiLevelType w:val="hybridMultilevel"/>
    <w:lvl w:ilvl="0">
      <w:lvlJc w:val="left"/>
      <w:lvlText w:val="(%1)"/>
      <w:numFmt w:val="lowerLetter"/>
      <w:start w:val="3"/>
    </w:lvl>
    <w:lvl w:ilvl="1">
      <w:lvlJc w:val="left"/>
      <w:lvlText w:val="(%2)"/>
      <w:numFmt w:val="lowerLetter"/>
      <w:start w:val="9"/>
    </w:lvl>
  </w:abstractNum>
  <w:abstractNum w:abstractNumId="148">
    <w:nsid w:val="94927A8"/>
    <w:multiLevelType w:val="hybridMultilevel"/>
    <w:lvl w:ilvl="0">
      <w:lvlJc w:val="left"/>
      <w:lvlText w:val="%1"/>
      <w:numFmt w:val="lowerLetter"/>
      <w:start w:val="1"/>
    </w:lvl>
    <w:lvl w:ilvl="1">
      <w:lvlJc w:val="left"/>
      <w:lvlText w:val="(%2)"/>
      <w:numFmt w:val="lowerLetter"/>
      <w:start w:val="35"/>
    </w:lvl>
  </w:abstractNum>
  <w:abstractNum w:abstractNumId="149">
    <w:nsid w:val="DCDF8F6"/>
    <w:multiLevelType w:val="hybridMultilevel"/>
    <w:lvl w:ilvl="0">
      <w:lvlJc w:val="left"/>
      <w:lvlText w:val="(%1)"/>
      <w:numFmt w:val="lowerLetter"/>
      <w:start w:val="4"/>
    </w:lvl>
    <w:lvl w:ilvl="1">
      <w:lvlJc w:val="left"/>
      <w:lvlText w:val="%2"/>
      <w:numFmt w:val="lowerLetter"/>
      <w:start w:val="1"/>
    </w:lvl>
  </w:abstractNum>
  <w:abstractNum w:abstractNumId="150">
    <w:nsid w:val="52D7B105"/>
    <w:multiLevelType w:val="hybridMultilevel"/>
    <w:lvl w:ilvl="0">
      <w:lvlJc w:val="left"/>
      <w:lvlText w:val="(%1)"/>
      <w:numFmt w:val="lowerLetter"/>
      <w:start w:val="5"/>
    </w:lvl>
  </w:abstractNum>
  <w:abstractNum w:abstractNumId="151">
    <w:nsid w:val="2E8A6394"/>
    <w:multiLevelType w:val="hybridMultilevel"/>
    <w:lvl w:ilvl="0">
      <w:lvlJc w:val="left"/>
      <w:lvlText w:val="(%1)"/>
      <w:numFmt w:val="lowerLetter"/>
      <w:start w:val="1"/>
    </w:lvl>
  </w:abstractNum>
  <w:abstractNum w:abstractNumId="152">
    <w:nsid w:val="24E60401"/>
    <w:multiLevelType w:val="hybridMultilevel"/>
    <w:lvl w:ilvl="0">
      <w:lvlJc w:val="left"/>
      <w:lvlText w:val="%1"/>
      <w:numFmt w:val="lowerLetter"/>
      <w:start w:val="1"/>
    </w:lvl>
    <w:lvl w:ilvl="1">
      <w:lvlJc w:val="left"/>
      <w:lvlText w:val="(%2)"/>
      <w:numFmt w:val="lowerLetter"/>
      <w:start w:val="2"/>
    </w:lvl>
  </w:abstractNum>
  <w:abstractNum w:abstractNumId="153">
    <w:nsid w:val="2A6AD9BE"/>
    <w:multiLevelType w:val="hybridMultilevel"/>
    <w:lvl w:ilvl="0">
      <w:lvlJc w:val="left"/>
      <w:lvlText w:val="(%1)"/>
      <w:numFmt w:val="lowerLetter"/>
      <w:start w:val="26"/>
    </w:lvl>
    <w:lvl w:ilvl="1">
      <w:lvlJc w:val="left"/>
      <w:lvlText w:val="%2"/>
      <w:numFmt w:val="lowerLetter"/>
      <w:start w:val="1"/>
    </w:lvl>
  </w:abstractNum>
  <w:abstractNum w:abstractNumId="154">
    <w:nsid w:val="BAAC1B4"/>
    <w:multiLevelType w:val="hybridMultilevel"/>
    <w:lvl w:ilvl="0">
      <w:lvlJc w:val="left"/>
      <w:lvlText w:val="(%1)"/>
      <w:numFmt w:val="lowerLetter"/>
      <w:start w:val="1"/>
    </w:lvl>
  </w:abstractNum>
  <w:abstractNum w:abstractNumId="155">
    <w:nsid w:val="36B2ACBC"/>
    <w:multiLevelType w:val="hybridMultilevel"/>
    <w:lvl w:ilvl="0">
      <w:lvlJc w:val="left"/>
      <w:lvlText w:val="(%1)"/>
      <w:numFmt w:val="lowerLetter"/>
      <w:start w:val="2"/>
    </w:lvl>
  </w:abstractNum>
  <w:abstractNum w:abstractNumId="156">
    <w:nsid w:val="779D8544"/>
    <w:multiLevelType w:val="hybridMultilevel"/>
    <w:lvl w:ilvl="0">
      <w:lvlJc w:val="left"/>
      <w:lvlText w:val="(%1)"/>
      <w:numFmt w:val="lowerLetter"/>
      <w:start w:val="1"/>
    </w:lvl>
  </w:abstractNum>
  <w:abstractNum w:abstractNumId="157">
    <w:nsid w:val="4AB26E78"/>
    <w:multiLevelType w:val="hybridMultilevel"/>
    <w:lvl w:ilvl="0">
      <w:lvlJc w:val="left"/>
      <w:lvlText w:val="(%1)"/>
      <w:numFmt w:val="lowerLetter"/>
      <w:start w:val="3"/>
    </w:lvl>
  </w:abstractNum>
  <w:abstractNum w:abstractNumId="158">
    <w:nsid w:val="21FAA2FA"/>
    <w:multiLevelType w:val="hybridMultilevel"/>
    <w:lvl w:ilvl="0">
      <w:lvlJc w:val="left"/>
      <w:lvlText w:val="(%1)"/>
      <w:numFmt w:val="lowerLetter"/>
      <w:start w:val="1"/>
    </w:lvl>
    <w:lvl w:ilvl="1">
      <w:lvlJc w:val="left"/>
      <w:lvlText w:val="(%2)"/>
      <w:numFmt w:val="lowerRoman"/>
      <w:start w:val="1"/>
    </w:lvl>
  </w:abstractNum>
  <w:abstractNum w:abstractNumId="159">
    <w:nsid w:val="5451CF4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60">
    <w:nsid w:val="6181EF69"/>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161">
    <w:nsid w:val="3E6400E6"/>
    <w:multiLevelType w:val="hybridMultilevel"/>
    <w:lvl w:ilvl="0">
      <w:lvlJc w:val="left"/>
      <w:lvlText w:val="1"/>
      <w:numFmt w:val="bullet"/>
      <w:start w:val="1"/>
    </w:lvl>
  </w:abstractNum>
  <w:abstractNum w:abstractNumId="162">
    <w:nsid w:val="14217E23"/>
    <w:multiLevelType w:val="hybridMultilevel"/>
    <w:lvl w:ilvl="0">
      <w:lvlJc w:val="left"/>
      <w:lvlText w:val="(%1)"/>
      <w:numFmt w:val="lowerRoman"/>
      <w:start w:val="1"/>
    </w:lvl>
  </w:abstractNum>
  <w:abstractNum w:abstractNumId="163">
    <w:nsid w:val="710757D0"/>
    <w:multiLevelType w:val="hybridMultilevel"/>
    <w:lvl w:ilvl="0">
      <w:lvlJc w:val="left"/>
      <w:lvlText w:val="(%1)"/>
      <w:numFmt w:val="lowerLetter"/>
      <w:start w:val="1"/>
    </w:lvl>
  </w:abstractNum>
  <w:abstractNum w:abstractNumId="164">
    <w:nsid w:val="5015CD1A"/>
    <w:multiLevelType w:val="hybridMultilevel"/>
    <w:lvl w:ilvl="0">
      <w:lvlJc w:val="left"/>
      <w:lvlText w:val="(%1)"/>
      <w:numFmt w:val="lowerLetter"/>
      <w:start w:val="4"/>
    </w:lvl>
  </w:abstractNum>
  <w:abstractNum w:abstractNumId="165">
    <w:nsid w:val="424479DA"/>
    <w:multiLevelType w:val="hybridMultilevel"/>
    <w:lvl w:ilvl="0">
      <w:lvlJc w:val="left"/>
      <w:lvlText w:val="(%1)"/>
      <w:numFmt w:val="lowerLetter"/>
      <w:start w:val="1"/>
    </w:lvl>
  </w:abstractNum>
  <w:abstractNum w:abstractNumId="166">
    <w:nsid w:val="1A9A9E69"/>
    <w:multiLevelType w:val="hybridMultilevel"/>
    <w:lvl w:ilvl="0">
      <w:lvlJc w:val="left"/>
      <w:lvlText w:val="(%1)"/>
      <w:numFmt w:val="lowerLetter"/>
      <w:start w:val="2"/>
    </w:lvl>
  </w:abstractNum>
  <w:abstractNum w:abstractNumId="167">
    <w:nsid w:val="475E256A"/>
    <w:multiLevelType w:val="hybridMultilevel"/>
    <w:lvl w:ilvl="0">
      <w:lvlJc w:val="left"/>
      <w:lvlText w:val="(%1)"/>
      <w:numFmt w:val="lowerLetter"/>
      <w:start w:val="1"/>
    </w:lvl>
  </w:abstractNum>
  <w:abstractNum w:abstractNumId="168">
    <w:nsid w:val="368DB37E"/>
    <w:multiLevelType w:val="hybridMultilevel"/>
    <w:lvl w:ilvl="0">
      <w:lvlJc w:val="left"/>
      <w:lvlText w:val="(%1)"/>
      <w:numFmt w:val="lowerLetter"/>
      <w:start w:val="2"/>
    </w:lvl>
  </w:abstractNum>
  <w:abstractNum w:abstractNumId="169">
    <w:nsid w:val="6A3B714C"/>
    <w:multiLevelType w:val="hybridMultilevel"/>
    <w:lvl w:ilvl="0">
      <w:lvlJc w:val="left"/>
      <w:lvlText w:val="(%1)"/>
      <w:numFmt w:val="lowerLetter"/>
      <w:start w:val="1"/>
    </w:lvl>
  </w:abstractNum>
  <w:abstractNum w:abstractNumId="170">
    <w:nsid w:val="327B517E"/>
    <w:multiLevelType w:val="hybridMultilevel"/>
    <w:lvl w:ilvl="0">
      <w:lvlJc w:val="left"/>
      <w:lvlText w:val="%1."/>
      <w:numFmt w:val="decimal"/>
      <w:start w:val="1"/>
    </w:lvl>
  </w:abstractNum>
  <w:abstractNum w:abstractNumId="171">
    <w:nsid w:val="1F461B51"/>
    <w:multiLevelType w:val="hybridMultilevel"/>
    <w:lvl w:ilvl="0">
      <w:lvlJc w:val="left"/>
      <w:lvlText w:val="%1."/>
      <w:numFmt w:val="decimal"/>
      <w:start w:val="4"/>
    </w:lvl>
  </w:abstractNum>
  <w:abstractNum w:abstractNumId="172">
    <w:nsid w:val="29BACF25"/>
    <w:multiLevelType w:val="hybridMultilevel"/>
    <w:lvl w:ilvl="0">
      <w:lvlJc w:val="left"/>
      <w:lvlText w:val="%1."/>
      <w:numFmt w:val="lowerLetter"/>
      <w:start w:val="1"/>
    </w:lvl>
  </w:abstractNum>
  <w:abstractNum w:abstractNumId="173">
    <w:nsid w:val="5D5BABB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74">
    <w:nsid w:val="51BF6B4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75">
    <w:nsid w:val="7E0F6384"/>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176">
    <w:nsid w:val="2B4B8B53"/>
    <w:multiLevelType w:val="hybridMultilevel"/>
    <w:lvl w:ilvl="0">
      <w:lvlJc w:val="left"/>
      <w:lvlText w:val="%1."/>
      <w:numFmt w:val="decimal"/>
      <w:start w:val="10"/>
    </w:lvl>
  </w:abstractNum>
  <w:abstractNum w:abstractNumId="177">
    <w:nsid w:val="72E3413A"/>
    <w:multiLevelType w:val="hybridMultilevel"/>
    <w:lvl w:ilvl="0">
      <w:lvlJc w:val="left"/>
      <w:lvlText w:val="%1"/>
      <w:numFmt w:val="lowerRoman"/>
      <w:start w:val="1"/>
    </w:lvl>
    <w:lvl w:ilvl="1">
      <w:lvlJc w:val="left"/>
      <w:lvlText w:val="%2."/>
      <w:numFmt w:val="lowerRoman"/>
      <w:start w:val="1"/>
    </w:lvl>
  </w:abstractNum>
  <w:abstractNum w:abstractNumId="178">
    <w:nsid w:val="116AE494"/>
    <w:multiLevelType w:val="hybridMultilevel"/>
    <w:lvl w:ilvl="0">
      <w:lvlJc w:val="left"/>
      <w:lvlText w:val="%1."/>
      <w:numFmt w:val="lowerRoman"/>
      <w:start w:val="4"/>
    </w:lvl>
    <w:lvl w:ilvl="1">
      <w:lvlJc w:val="left"/>
      <w:lvlText w:val="%2"/>
      <w:numFmt w:val="lowerRoman"/>
      <w:start w:val="1"/>
    </w:lvl>
  </w:abstractNum>
  <w:abstractNum w:abstractNumId="179">
    <w:nsid w:val="3494B2FB"/>
    <w:multiLevelType w:val="hybridMultilevel"/>
    <w:lvl w:ilvl="0">
      <w:lvlJc w:val="left"/>
      <w:lvlText w:val="%1"/>
      <w:numFmt w:val="lowerRoman"/>
      <w:start w:val="1"/>
    </w:lvl>
    <w:lvl w:ilvl="1">
      <w:lvlJc w:val="left"/>
      <w:lvlText w:val="%2."/>
      <w:numFmt w:val="lowerRoman"/>
      <w:start w:val="1"/>
    </w:lvl>
  </w:abstractNum>
  <w:abstractNum w:abstractNumId="180">
    <w:nsid w:val="B13A31"/>
    <w:multiLevelType w:val="hybridMultilevel"/>
    <w:lvl w:ilvl="0">
      <w:lvlJc w:val="left"/>
      <w:lvlText w:val="%1."/>
      <w:numFmt w:val="lowerRoman"/>
      <w:start w:val="4"/>
    </w:lvl>
    <w:lvl w:ilvl="1">
      <w:lvlJc w:val="left"/>
      <w:lvlText w:val="%2"/>
      <w:numFmt w:val="lowerRoman"/>
      <w:start w:val="1"/>
    </w:lvl>
  </w:abstractNum>
  <w:abstractNum w:abstractNumId="181">
    <w:nsid w:val="64429599"/>
    <w:multiLevelType w:val="hybridMultilevel"/>
    <w:lvl w:ilvl="0">
      <w:lvlJc w:val="left"/>
      <w:lvlText w:val="%1."/>
      <w:numFmt w:val="decimal"/>
      <w:start w:val="1"/>
    </w:lvl>
  </w:abstractNum>
  <w:abstractNum w:abstractNumId="182">
    <w:nsid w:val="631F1690"/>
    <w:multiLevelType w:val="hybridMultilevel"/>
    <w:lvl w:ilvl="0">
      <w:lvlJc w:val="left"/>
      <w:lvlText w:val="%1."/>
      <w:numFmt w:val="decimal"/>
      <w:start w:val="5"/>
    </w:lvl>
    <w:lvl w:ilvl="1">
      <w:lvlJc w:val="left"/>
      <w:lvlText w:val="%2."/>
      <w:numFmt w:val="decimal"/>
      <w:start w:val="7"/>
    </w:lvl>
  </w:abstractNum>
  <w:abstractNum w:abstractNumId="183">
    <w:nsid w:val="25973E32"/>
    <w:multiLevelType w:val="hybridMultilevel"/>
    <w:lvl w:ilvl="0">
      <w:lvlJc w:val="left"/>
      <w:lvlText w:val="%1."/>
      <w:numFmt w:val="lowerLetter"/>
      <w:start w:val="1"/>
    </w:lvl>
    <w:lvl w:ilvl="1">
      <w:lvlJc w:val="left"/>
      <w:lvlText w:val="%2."/>
      <w:numFmt w:val="decimal"/>
      <w:start w:val="1"/>
    </w:lvl>
  </w:abstractNum>
  <w:abstractNum w:abstractNumId="184">
    <w:nsid w:val="EAD6F57"/>
    <w:multiLevelType w:val="hybridMultilevel"/>
    <w:lvl w:ilvl="0">
      <w:lvlJc w:val="left"/>
      <w:lvlText w:val="%1."/>
      <w:numFmt w:val="decimal"/>
      <w:start w:val="3"/>
    </w:lvl>
  </w:abstractNum>
  <w:abstractNum w:abstractNumId="185">
    <w:nsid w:val="6EC9D844"/>
    <w:multiLevelType w:val="hybridMultilevel"/>
    <w:lvl w:ilvl="0">
      <w:lvlJc w:val="left"/>
      <w:lvlText w:val="%1"/>
      <w:numFmt w:val="decimal"/>
      <w:start w:val="1"/>
    </w:lvl>
    <w:lvl w:ilvl="1">
      <w:lvlJc w:val="left"/>
      <w:lvlText w:val="%2."/>
      <w:numFmt w:val="lowerLetter"/>
      <w:start w:val="1"/>
    </w:lvl>
    <w:lvl w:ilvl="2">
      <w:lvlJc w:val="left"/>
      <w:lvlText w:val="%3."/>
      <w:numFmt w:val="decimal"/>
      <w:start w:val="8"/>
    </w:lvl>
  </w:abstractNum>
  <w:abstractNum w:abstractNumId="186">
    <w:nsid w:val="5C49EAEE"/>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1"/>
    </w:lvl>
  </w:abstractNum>
  <w:abstractNum w:abstractNumId="187">
    <w:nsid w:val="64AF49B"/>
    <w:multiLevelType w:val="hybridMultilevel"/>
    <w:lvl w:ilvl="0">
      <w:lvlJc w:val="left"/>
      <w:lvlText w:val="%1."/>
      <w:numFmt w:val="decimal"/>
      <w:start w:val="12"/>
    </w:lvl>
  </w:abstractNum>
  <w:abstractNum w:abstractNumId="188">
    <w:nsid w:val="397C46BC"/>
    <w:multiLevelType w:val="hybridMultilevel"/>
    <w:lvl w:ilvl="0">
      <w:lvlJc w:val="left"/>
      <w:lvlText w:val="%1."/>
      <w:numFmt w:val="lowerLetter"/>
      <w:start w:val="1"/>
    </w:lvl>
  </w:abstractNum>
  <w:abstractNum w:abstractNumId="189">
    <w:nsid w:val="7E448DE9"/>
    <w:multiLevelType w:val="hybridMultilevel"/>
    <w:lvl w:ilvl="0">
      <w:lvlJc w:val="left"/>
      <w:lvlText w:val="(%1)"/>
      <w:numFmt w:val="decimal"/>
      <w:start w:val="1"/>
    </w:lvl>
  </w:abstractNum>
  <w:abstractNum w:abstractNumId="190">
    <w:nsid w:val="5A9CC3E5"/>
    <w:multiLevelType w:val="hybridMultilevel"/>
    <w:lvl w:ilvl="0">
      <w:lvlJc w:val="left"/>
      <w:lvlText w:val="%1."/>
      <w:numFmt w:val="decimal"/>
      <w:start w:val="1"/>
    </w:lvl>
    <w:lvl w:ilvl="1">
      <w:lvlJc w:val="left"/>
      <w:lvlText w:val="%2."/>
      <w:numFmt w:val="lowerLetter"/>
      <w:start w:val="1"/>
    </w:lvl>
  </w:abstractNum>
  <w:abstractNum w:abstractNumId="191">
    <w:nsid w:val="1AFE3625"/>
    <w:multiLevelType w:val="hybridMultilevel"/>
    <w:lvl w:ilvl="0">
      <w:lvlJc w:val="left"/>
      <w:lvlText w:val="%1."/>
      <w:numFmt w:val="decimal"/>
      <w:start w:val="1"/>
    </w:lvl>
    <w:lvl w:ilvl="1">
      <w:lvlJc w:val="left"/>
      <w:lvlText w:val="%2."/>
      <w:numFmt w:val="lowerLetter"/>
      <w:start w:val="1"/>
    </w:lvl>
  </w:abstractNum>
  <w:abstractNum w:abstractNumId="192">
    <w:nsid w:val="3CA88E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8" Type="http://schemas.openxmlformats.org/officeDocument/2006/relationships/image" Target="media/image67.png"/><Relationship Id="rId81"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112" Type="http://schemas.openxmlformats.org/officeDocument/2006/relationships/image" Target="media/image71.png"/><Relationship Id="rId117" Type="http://schemas.openxmlformats.org/officeDocument/2006/relationships/image" Target="media/image72.png"/><Relationship Id="rId121" Type="http://schemas.openxmlformats.org/officeDocument/2006/relationships/image" Target="media/image73.png"/><Relationship Id="rId141" Type="http://schemas.openxmlformats.org/officeDocument/2006/relationships/image" Target="media/image74.png"/><Relationship Id="rId142" Type="http://schemas.openxmlformats.org/officeDocument/2006/relationships/image" Target="media/image75.png"/><Relationship Id="rId144" Type="http://schemas.openxmlformats.org/officeDocument/2006/relationships/image" Target="media/image76.png"/><Relationship Id="rId147" Type="http://schemas.openxmlformats.org/officeDocument/2006/relationships/image" Target="media/image77.png"/><Relationship Id="rId150" Type="http://schemas.openxmlformats.org/officeDocument/2006/relationships/image" Target="media/image78.png"/><Relationship Id="rId153" Type="http://schemas.openxmlformats.org/officeDocument/2006/relationships/image" Target="media/image79.png"/><Relationship Id="rId156" Type="http://schemas.openxmlformats.org/officeDocument/2006/relationships/image" Target="media/image80.png"/><Relationship Id="rId159" Type="http://schemas.openxmlformats.org/officeDocument/2006/relationships/image" Target="media/image81.png"/><Relationship Id="rId162" Type="http://schemas.openxmlformats.org/officeDocument/2006/relationships/image" Target="media/image82.png"/><Relationship Id="rId165" Type="http://schemas.openxmlformats.org/officeDocument/2006/relationships/image" Target="media/image83.png"/><Relationship Id="rId167" Type="http://schemas.openxmlformats.org/officeDocument/2006/relationships/image" Target="media/image84.png"/><Relationship Id="rId169" Type="http://schemas.openxmlformats.org/officeDocument/2006/relationships/image" Target="media/image85.png"/><Relationship Id="rId172" Type="http://schemas.openxmlformats.org/officeDocument/2006/relationships/image" Target="media/image86.png"/><Relationship Id="rId174" Type="http://schemas.openxmlformats.org/officeDocument/2006/relationships/image" Target="media/image87.png"/><Relationship Id="rId177" Type="http://schemas.openxmlformats.org/officeDocument/2006/relationships/image" Target="media/image88.png"/><Relationship Id="rId180" Type="http://schemas.openxmlformats.org/officeDocument/2006/relationships/image" Target="media/image89.png"/><Relationship Id="rId183" Type="http://schemas.openxmlformats.org/officeDocument/2006/relationships/image" Target="media/image90.png"/><Relationship Id="rId185" Type="http://schemas.openxmlformats.org/officeDocument/2006/relationships/image" Target="media/image91.png"/><Relationship Id="rId188" Type="http://schemas.openxmlformats.org/officeDocument/2006/relationships/image" Target="media/image92.png"/><Relationship Id="rId189" Type="http://schemas.openxmlformats.org/officeDocument/2006/relationships/image" Target="media/image93.png"/><Relationship Id="rId190" Type="http://schemas.openxmlformats.org/officeDocument/2006/relationships/image" Target="media/image94.png"/><Relationship Id="rId191" Type="http://schemas.openxmlformats.org/officeDocument/2006/relationships/image" Target="media/image95.png"/><Relationship Id="rId192" Type="http://schemas.openxmlformats.org/officeDocument/2006/relationships/image" Target="media/image96.png"/><Relationship Id="rId193" Type="http://schemas.openxmlformats.org/officeDocument/2006/relationships/image" Target="media/image97.png"/><Relationship Id="rId194" Type="http://schemas.openxmlformats.org/officeDocument/2006/relationships/image" Target="media/image98.png"/><Relationship Id="rId195" Type="http://schemas.openxmlformats.org/officeDocument/2006/relationships/image" Target="media/image99.png"/><Relationship Id="rId196" Type="http://schemas.openxmlformats.org/officeDocument/2006/relationships/image" Target="media/image100.png"/><Relationship Id="rId197" Type="http://schemas.openxmlformats.org/officeDocument/2006/relationships/image" Target="media/image101.png"/><Relationship Id="rId198" Type="http://schemas.openxmlformats.org/officeDocument/2006/relationships/image" Target="media/image102.png"/><Relationship Id="rId199" Type="http://schemas.openxmlformats.org/officeDocument/2006/relationships/image" Target="media/image103.png"/><Relationship Id="rId200" Type="http://schemas.openxmlformats.org/officeDocument/2006/relationships/image" Target="media/image104.png"/><Relationship Id="rId201" Type="http://schemas.openxmlformats.org/officeDocument/2006/relationships/image" Target="media/image105.png"/><Relationship Id="rId202" Type="http://schemas.openxmlformats.org/officeDocument/2006/relationships/image" Target="media/image106.png"/><Relationship Id="rId203" Type="http://schemas.openxmlformats.org/officeDocument/2006/relationships/image" Target="media/image107.png"/><Relationship Id="rId204" Type="http://schemas.openxmlformats.org/officeDocument/2006/relationships/image" Target="media/image108.png"/><Relationship Id="rId205" Type="http://schemas.openxmlformats.org/officeDocument/2006/relationships/image" Target="media/image109.png"/><Relationship Id="rId206" Type="http://schemas.openxmlformats.org/officeDocument/2006/relationships/image" Target="media/image110.png"/><Relationship Id="rId207" Type="http://schemas.openxmlformats.org/officeDocument/2006/relationships/image" Target="media/image111.png"/><Relationship Id="rId208" Type="http://schemas.openxmlformats.org/officeDocument/2006/relationships/image" Target="media/image112.png"/><Relationship Id="rId209" Type="http://schemas.openxmlformats.org/officeDocument/2006/relationships/image" Target="media/image113.png"/><Relationship Id="rId210" Type="http://schemas.openxmlformats.org/officeDocument/2006/relationships/image" Target="media/image114.png"/><Relationship Id="rId211" Type="http://schemas.openxmlformats.org/officeDocument/2006/relationships/image" Target="media/image115.png"/><Relationship Id="rId212" Type="http://schemas.openxmlformats.org/officeDocument/2006/relationships/image" Target="media/image116.png"/><Relationship Id="rId213" Type="http://schemas.openxmlformats.org/officeDocument/2006/relationships/image" Target="media/image117.png"/><Relationship Id="rId214" Type="http://schemas.openxmlformats.org/officeDocument/2006/relationships/image" Target="media/image118.png"/><Relationship Id="rId215" Type="http://schemas.openxmlformats.org/officeDocument/2006/relationships/image" Target="media/image119.png"/><Relationship Id="rId216" Type="http://schemas.openxmlformats.org/officeDocument/2006/relationships/image" Target="media/image120.png"/><Relationship Id="rId217" Type="http://schemas.openxmlformats.org/officeDocument/2006/relationships/image" Target="media/image121.png"/><Relationship Id="rId218" Type="http://schemas.openxmlformats.org/officeDocument/2006/relationships/image" Target="media/image122.png"/><Relationship Id="rId219" Type="http://schemas.openxmlformats.org/officeDocument/2006/relationships/image" Target="media/image123.png"/><Relationship Id="rId220" Type="http://schemas.openxmlformats.org/officeDocument/2006/relationships/image" Target="media/image124.png"/><Relationship Id="rId221" Type="http://schemas.openxmlformats.org/officeDocument/2006/relationships/image" Target="media/image125.png"/><Relationship Id="rId222" Type="http://schemas.openxmlformats.org/officeDocument/2006/relationships/image" Target="media/image126.png"/><Relationship Id="rId223" Type="http://schemas.openxmlformats.org/officeDocument/2006/relationships/image" Target="media/image127.png"/><Relationship Id="rId224" Type="http://schemas.openxmlformats.org/officeDocument/2006/relationships/image" Target="media/image128.png"/><Relationship Id="rId225" Type="http://schemas.openxmlformats.org/officeDocument/2006/relationships/image" Target="media/image129.png"/><Relationship Id="rId226" Type="http://schemas.openxmlformats.org/officeDocument/2006/relationships/image" Target="media/image130.png"/><Relationship Id="rId227" Type="http://schemas.openxmlformats.org/officeDocument/2006/relationships/image" Target="media/image131.png"/><Relationship Id="rId228" Type="http://schemas.openxmlformats.org/officeDocument/2006/relationships/image" Target="media/image132.png"/><Relationship Id="rId229" Type="http://schemas.openxmlformats.org/officeDocument/2006/relationships/image" Target="media/image133.png"/><Relationship Id="rId230" Type="http://schemas.openxmlformats.org/officeDocument/2006/relationships/image" Target="media/image134.png"/><Relationship Id="rId231" Type="http://schemas.openxmlformats.org/officeDocument/2006/relationships/image" Target="media/image135.png"/><Relationship Id="rId232" Type="http://schemas.openxmlformats.org/officeDocument/2006/relationships/image" Target="media/image136.png"/><Relationship Id="rId233" Type="http://schemas.openxmlformats.org/officeDocument/2006/relationships/image" Target="media/image137.png"/><Relationship Id="rId234" Type="http://schemas.openxmlformats.org/officeDocument/2006/relationships/image" Target="media/image138.png"/><Relationship Id="rId235" Type="http://schemas.openxmlformats.org/officeDocument/2006/relationships/image" Target="media/image139.png"/><Relationship Id="rId236" Type="http://schemas.openxmlformats.org/officeDocument/2006/relationships/image" Target="media/image140.png"/><Relationship Id="rId237" Type="http://schemas.openxmlformats.org/officeDocument/2006/relationships/image" Target="media/image141.png"/><Relationship Id="rId238" Type="http://schemas.openxmlformats.org/officeDocument/2006/relationships/image" Target="media/image142.png"/><Relationship Id="rId239" Type="http://schemas.openxmlformats.org/officeDocument/2006/relationships/image" Target="media/image143.png"/><Relationship Id="rId240" Type="http://schemas.openxmlformats.org/officeDocument/2006/relationships/image" Target="media/image144.png"/><Relationship Id="rId241" Type="http://schemas.openxmlformats.org/officeDocument/2006/relationships/image" Target="media/image145.png"/><Relationship Id="rId242" Type="http://schemas.openxmlformats.org/officeDocument/2006/relationships/image" Target="media/image146.png"/><Relationship Id="rId243" Type="http://schemas.openxmlformats.org/officeDocument/2006/relationships/image" Target="media/image147.png"/><Relationship Id="rId244" Type="http://schemas.openxmlformats.org/officeDocument/2006/relationships/image" Target="media/image148.png"/><Relationship Id="rId245" Type="http://schemas.openxmlformats.org/officeDocument/2006/relationships/image" Target="media/image149.png"/><Relationship Id="rId246" Type="http://schemas.openxmlformats.org/officeDocument/2006/relationships/image" Target="media/image150.png"/><Relationship Id="rId247" Type="http://schemas.openxmlformats.org/officeDocument/2006/relationships/image" Target="media/image151.png"/><Relationship Id="rId248" Type="http://schemas.openxmlformats.org/officeDocument/2006/relationships/image" Target="media/image152.png"/><Relationship Id="rId249" Type="http://schemas.openxmlformats.org/officeDocument/2006/relationships/image" Target="media/image153.png"/><Relationship Id="rId250" Type="http://schemas.openxmlformats.org/officeDocument/2006/relationships/image" Target="media/image154.png"/><Relationship Id="rId251" Type="http://schemas.openxmlformats.org/officeDocument/2006/relationships/image" Target="media/image155.png"/><Relationship Id="rId252" Type="http://schemas.openxmlformats.org/officeDocument/2006/relationships/image" Target="media/image156.png"/><Relationship Id="rId253" Type="http://schemas.openxmlformats.org/officeDocument/2006/relationships/image" Target="media/image157.png"/><Relationship Id="rId254" Type="http://schemas.openxmlformats.org/officeDocument/2006/relationships/image" Target="media/image158.png"/><Relationship Id="rId255" Type="http://schemas.openxmlformats.org/officeDocument/2006/relationships/image" Target="media/image159.png"/><Relationship Id="rId256" Type="http://schemas.openxmlformats.org/officeDocument/2006/relationships/image" Target="media/image160.png"/><Relationship Id="rId257" Type="http://schemas.openxmlformats.org/officeDocument/2006/relationships/image" Target="media/image161.png"/><Relationship Id="rId258" Type="http://schemas.openxmlformats.org/officeDocument/2006/relationships/image" Target="media/image162.png"/><Relationship Id="rId259" Type="http://schemas.openxmlformats.org/officeDocument/2006/relationships/image" Target="media/image163.png"/><Relationship Id="rId260" Type="http://schemas.openxmlformats.org/officeDocument/2006/relationships/image" Target="media/image164.png"/><Relationship Id="rId261" Type="http://schemas.openxmlformats.org/officeDocument/2006/relationships/image" Target="media/image165.png"/><Relationship Id="rId262" Type="http://schemas.openxmlformats.org/officeDocument/2006/relationships/image" Target="media/image166.png"/><Relationship Id="rId263" Type="http://schemas.openxmlformats.org/officeDocument/2006/relationships/image" Target="media/image167.png"/><Relationship Id="rId264" Type="http://schemas.openxmlformats.org/officeDocument/2006/relationships/image" Target="media/image168.png"/><Relationship Id="rId265" Type="http://schemas.openxmlformats.org/officeDocument/2006/relationships/image" Target="media/image169.png"/><Relationship Id="rId266" Type="http://schemas.openxmlformats.org/officeDocument/2006/relationships/image" Target="media/image170.png"/><Relationship Id="rId267" Type="http://schemas.openxmlformats.org/officeDocument/2006/relationships/image" Target="media/image171.png"/><Relationship Id="rId268" Type="http://schemas.openxmlformats.org/officeDocument/2006/relationships/image" Target="media/image172.png"/><Relationship Id="rId269" Type="http://schemas.openxmlformats.org/officeDocument/2006/relationships/image" Target="media/image173.png"/><Relationship Id="rId270" Type="http://schemas.openxmlformats.org/officeDocument/2006/relationships/image" Target="media/image174.png"/><Relationship Id="rId271" Type="http://schemas.openxmlformats.org/officeDocument/2006/relationships/image" Target="media/image175.png"/><Relationship Id="rId272" Type="http://schemas.openxmlformats.org/officeDocument/2006/relationships/image" Target="media/image176.png"/><Relationship Id="rId273" Type="http://schemas.openxmlformats.org/officeDocument/2006/relationships/image" Target="media/image177.png"/><Relationship Id="rId274" Type="http://schemas.openxmlformats.org/officeDocument/2006/relationships/image" Target="media/image178.png"/><Relationship Id="rId275" Type="http://schemas.openxmlformats.org/officeDocument/2006/relationships/image" Target="media/image179.png"/><Relationship Id="rId276" Type="http://schemas.openxmlformats.org/officeDocument/2006/relationships/image" Target="media/image180.png"/><Relationship Id="rId277" Type="http://schemas.openxmlformats.org/officeDocument/2006/relationships/image" Target="media/image181.png"/><Relationship Id="rId278" Type="http://schemas.openxmlformats.org/officeDocument/2006/relationships/image" Target="media/image182.png"/><Relationship Id="rId279" Type="http://schemas.openxmlformats.org/officeDocument/2006/relationships/image" Target="media/image183.png"/><Relationship Id="rId280" Type="http://schemas.openxmlformats.org/officeDocument/2006/relationships/image" Target="media/image184.png"/><Relationship Id="rId281" Type="http://schemas.openxmlformats.org/officeDocument/2006/relationships/image" Target="media/image185.png"/><Relationship Id="rId282" Type="http://schemas.openxmlformats.org/officeDocument/2006/relationships/image" Target="media/image186.png"/><Relationship Id="rId283" Type="http://schemas.openxmlformats.org/officeDocument/2006/relationships/image" Target="media/image187.png"/><Relationship Id="rId284" Type="http://schemas.openxmlformats.org/officeDocument/2006/relationships/image" Target="media/image188.png"/><Relationship Id="rId285" Type="http://schemas.openxmlformats.org/officeDocument/2006/relationships/image" Target="media/image189.png"/><Relationship Id="rId286" Type="http://schemas.openxmlformats.org/officeDocument/2006/relationships/image" Target="media/image190.png"/><Relationship Id="rId287" Type="http://schemas.openxmlformats.org/officeDocument/2006/relationships/image" Target="media/image191.png"/><Relationship Id="rId288" Type="http://schemas.openxmlformats.org/officeDocument/2006/relationships/image" Target="media/image192.png"/><Relationship Id="rId289" Type="http://schemas.openxmlformats.org/officeDocument/2006/relationships/image" Target="media/image193.png"/><Relationship Id="rId290" Type="http://schemas.openxmlformats.org/officeDocument/2006/relationships/image" Target="media/image194.png"/><Relationship Id="rId291" Type="http://schemas.openxmlformats.org/officeDocument/2006/relationships/image" Target="media/image195.png"/><Relationship Id="rId292" Type="http://schemas.openxmlformats.org/officeDocument/2006/relationships/image" Target="media/image196.png"/><Relationship Id="rId293" Type="http://schemas.openxmlformats.org/officeDocument/2006/relationships/image" Target="media/image197.png"/><Relationship Id="rId294" Type="http://schemas.openxmlformats.org/officeDocument/2006/relationships/image" Target="media/image198.png"/><Relationship Id="rId295" Type="http://schemas.openxmlformats.org/officeDocument/2006/relationships/image" Target="media/image199.png"/><Relationship Id="rId296" Type="http://schemas.openxmlformats.org/officeDocument/2006/relationships/image" Target="media/image200.png"/><Relationship Id="rId297" Type="http://schemas.openxmlformats.org/officeDocument/2006/relationships/image" Target="media/image201.png"/><Relationship Id="rId298" Type="http://schemas.openxmlformats.org/officeDocument/2006/relationships/image" Target="media/image202.png"/><Relationship Id="rId299" Type="http://schemas.openxmlformats.org/officeDocument/2006/relationships/image" Target="media/image203.png"/><Relationship Id="rId300" Type="http://schemas.openxmlformats.org/officeDocument/2006/relationships/image" Target="media/image204.png"/><Relationship Id="rId301" Type="http://schemas.openxmlformats.org/officeDocument/2006/relationships/image" Target="media/image205.png"/><Relationship Id="rId302" Type="http://schemas.openxmlformats.org/officeDocument/2006/relationships/image" Target="media/image206.png"/><Relationship Id="rId303" Type="http://schemas.openxmlformats.org/officeDocument/2006/relationships/image" Target="media/image207.png"/><Relationship Id="rId304" Type="http://schemas.openxmlformats.org/officeDocument/2006/relationships/image" Target="media/image208.png"/><Relationship Id="rId305" Type="http://schemas.openxmlformats.org/officeDocument/2006/relationships/image" Target="media/image209.png"/><Relationship Id="rId306" Type="http://schemas.openxmlformats.org/officeDocument/2006/relationships/image" Target="media/image210.png"/><Relationship Id="rId307" Type="http://schemas.openxmlformats.org/officeDocument/2006/relationships/image" Target="media/image211.png"/><Relationship Id="rId308" Type="http://schemas.openxmlformats.org/officeDocument/2006/relationships/image" Target="media/image212.png"/><Relationship Id="rId309" Type="http://schemas.openxmlformats.org/officeDocument/2006/relationships/image" Target="media/image213.jpeg"/><Relationship Id="rId73" Type="http://schemas.openxmlformats.org/officeDocument/2006/relationships/hyperlink" Target="http://www.sec.gov/Archives/edgar/data/66756/000006675619000054/ale3-31x2019exx2.htm" TargetMode="External"/><Relationship Id="rId74" Type="http://schemas.openxmlformats.org/officeDocument/2006/relationships/hyperlink" Target="http://www.sec.gov/Archives/edgar/data/66756/000006675601500027/ex3b.txt" TargetMode="External"/><Relationship Id="rId76" Type="http://schemas.openxmlformats.org/officeDocument/2006/relationships/hyperlink" Target="http://www.sec.gov/Archives/edgar/data/66756/000006675604000094/r8k092104exhibit3.txt" TargetMode="External"/><Relationship Id="rId77" Type="http://schemas.openxmlformats.org/officeDocument/2006/relationships/hyperlink" Target="http://www.sec.gov/Archives/edgar/data/66756/000006675609000076/exhibit_3.htm" TargetMode="External"/><Relationship Id="rId79" Type="http://schemas.openxmlformats.org/officeDocument/2006/relationships/hyperlink" Target="http://www.sec.gov/Archives/edgar/data/66756/000006675610000052/articles.htm" TargetMode="External"/><Relationship Id="rId80" Type="http://schemas.openxmlformats.org/officeDocument/2006/relationships/hyperlink" Target="http://www.sec.gov/Archives/edgar/data/66756/000006675601500027/ex3a.txt" TargetMode="External"/><Relationship Id="rId82" Type="http://schemas.openxmlformats.org/officeDocument/2006/relationships/hyperlink" Target="http://www.sec.gov/Archives/edgar/data/66756/000006675620000039/ex-3bylawsxamended.htm" TargetMode="External"/><Relationship Id="rId85" Type="http://schemas.openxmlformats.org/officeDocument/2006/relationships/hyperlink" Target="http://www.sec.gov/Archives/edgar/data/66756/0000066756-97-000034-index.html" TargetMode="External"/><Relationship Id="rId86" Type="http://schemas.openxmlformats.org/officeDocument/2006/relationships/hyperlink" Target="http://www.sec.gov/Archives/edgar/data/66756/0000066756-98-000017-index.html" TargetMode="External"/><Relationship Id="rId87" Type="http://schemas.openxmlformats.org/officeDocument/2006/relationships/hyperlink" Target="http://www.sec.gov/Archives/edgar/data/66756/000095012001000018/0000950120-01-000018-0002.txt" TargetMode="External"/><Relationship Id="rId88" Type="http://schemas.openxmlformats.org/officeDocument/2006/relationships/hyperlink" Target="http://www.sec.gov/Archives/edgar/data/66756/000006675603000114/rexhibit4.txt" TargetMode="External"/><Relationship Id="rId89" Type="http://schemas.openxmlformats.org/officeDocument/2006/relationships/hyperlink" Target="http://www.sec.gov/Archives/edgar/data/66756/000006675604000114/rexhibit4a.txt" TargetMode="External"/><Relationship Id="rId90" Type="http://schemas.openxmlformats.org/officeDocument/2006/relationships/hyperlink" Target="http://www.sec.gov/Archives/edgar/data/66756/000006675605000072/ex4.txt" TargetMode="External"/><Relationship Id="rId91" Type="http://schemas.openxmlformats.org/officeDocument/2006/relationships/hyperlink" Target="http://www.sec.gov/Archives/edgar/data/66756/000006675606000035/exhibit4.txt" TargetMode="External"/><Relationship Id="rId92" Type="http://schemas.openxmlformats.org/officeDocument/2006/relationships/hyperlink" Target="http://www.sec.gov/Archives/edgar/data/66756/000006675607000013/rexhibit4a3.txt" TargetMode="External"/><Relationship Id="rId93" Type="http://schemas.openxmlformats.org/officeDocument/2006/relationships/hyperlink" Target="http://www.sec.gov/Archives/edgar/data/66756/000006675608000017/exhibit_4a3.htm" TargetMode="External"/><Relationship Id="rId94" Type="http://schemas.openxmlformats.org/officeDocument/2006/relationships/hyperlink" Target="http://www.sec.gov/Archives/edgar/data/66756/000006675608000056/exhibit_4.htm" TargetMode="External"/><Relationship Id="rId95" Type="http://schemas.openxmlformats.org/officeDocument/2006/relationships/hyperlink" Target="http://www.sec.gov/Archives/edgar/data/66756/000006675609000015/exhibit_4a3.htm" TargetMode="External"/><Relationship Id="rId96" Type="http://schemas.openxmlformats.org/officeDocument/2006/relationships/hyperlink" Target="http://www.sec.gov/Archives/edgar/data/66756/000006675609000015/exhibit_4a4.htm" TargetMode="External"/><Relationship Id="rId97" Type="http://schemas.openxmlformats.org/officeDocument/2006/relationships/hyperlink" Target="http://www.sec.gov/Archives/edgar/data/66756/000006675610000043/exhibit_4.htm" TargetMode="External"/><Relationship Id="rId98" Type="http://schemas.openxmlformats.org/officeDocument/2006/relationships/hyperlink" Target="http://www.sec.gov/Archives/edgar/data/66756/000006675610000091/exhibit_4.htm" TargetMode="External"/><Relationship Id="rId99" Type="http://schemas.openxmlformats.org/officeDocument/2006/relationships/hyperlink" Target="http://www.sec.gov/Archives/edgar/data/66756/000006675612000095/exhibit4.htm" TargetMode="External"/><Relationship Id="rId100" Type="http://schemas.openxmlformats.org/officeDocument/2006/relationships/hyperlink" Target="http://www.sec.gov/Archives/edgar/data/66756/000006675613000064/exhibit4supplementalindent.htm" TargetMode="External"/><Relationship Id="rId101" Type="http://schemas.openxmlformats.org/officeDocument/2006/relationships/hyperlink" Target="http://www.sec.gov/Archives/edgar/data/66756/000006675614000049/ale3-31x2014exx4.htm" TargetMode="External"/><Relationship Id="rId102" Type="http://schemas.openxmlformats.org/officeDocument/2006/relationships/hyperlink" Target="http://www.sec.gov/Archives/edgar/data/66756/000006675614000080/ale6-30x2014exx4.htm" TargetMode="External"/><Relationship Id="rId103" Type="http://schemas.openxmlformats.org/officeDocument/2006/relationships/hyperlink" Target="http://www.sec.gov/Archives/edgar/data/66756/000006675614000089/ale9-30x2014exx4.htm" TargetMode="External"/><Relationship Id="rId104" Type="http://schemas.openxmlformats.org/officeDocument/2006/relationships/hyperlink" Target="http://www.sec.gov/Archives/edgar/data/66756/000006675615000104/ale9-30x2015exx4a.htm" TargetMode="External"/><Relationship Id="rId105" Type="http://schemas.openxmlformats.org/officeDocument/2006/relationships/hyperlink" Target="http://www.sec.gov/Archives/edgar/data/66756/000006675618000045/ale3-31x2018exx4.htm" TargetMode="External"/><Relationship Id="rId106" Type="http://schemas.openxmlformats.org/officeDocument/2006/relationships/hyperlink" Target="http://www.sec.gov/Archives/edgar/data/66756/000006675619000054/ale3-31x2019exx4a.htm" TargetMode="External"/><Relationship Id="rId107" Type="http://schemas.openxmlformats.org/officeDocument/2006/relationships/hyperlink" Target="http://www.sec.gov/Archives/edgar/data/66756/000006675620000082/ale9-20x3030exx4a.htm" TargetMode="External"/><Relationship Id="rId108" Type="http://schemas.openxmlformats.org/officeDocument/2006/relationships/hyperlink" Target="http://www.sec.gov/Archives/edgar/data/66756/000006675621000081/ale9-30x2021exx4.htm" TargetMode="External"/><Relationship Id="rId109" Type="http://schemas.openxmlformats.org/officeDocument/2006/relationships/hyperlink" Target="http://www.sec.gov/Archives/edgar/data/66756/000006675608000017/exhibit_4c3.htm" TargetMode="External"/><Relationship Id="rId110" Type="http://schemas.openxmlformats.org/officeDocument/2006/relationships/hyperlink" Target="http://www.sec.gov/Archives/edgar/data/66756/000006675608000017/exhibit_4c4.htm" TargetMode="External"/><Relationship Id="rId111" Type="http://schemas.openxmlformats.org/officeDocument/2006/relationships/hyperlink" Target="http://www.sec.gov/Archives/edgar/data/66756/000006675609000015/exhibit_4c3.htm" TargetMode="External"/><Relationship Id="rId113" Type="http://schemas.openxmlformats.org/officeDocument/2006/relationships/hyperlink" Target="http://www.sec.gov/Archives/edgar/data/66756/000006675614000026/exhibit4c312-31x2013.htm" TargetMode="External"/><Relationship Id="rId114" Type="http://schemas.openxmlformats.org/officeDocument/2006/relationships/hyperlink" Target="http://www.sec.gov/Archives/edgar/data/66756/000006675618000075/ale6-30x2018exx4.htm" TargetMode="External"/><Relationship Id="rId115" Type="http://schemas.openxmlformats.org/officeDocument/2006/relationships/hyperlink" Target="http://www.sec.gov/Archives/edgar/data/66756/000006675621000068/ale6-30x2021exx4a.htm" TargetMode="External"/><Relationship Id="rId116" Type="http://schemas.openxmlformats.org/officeDocument/2006/relationships/hyperlink" Target="http://www.sec.gov/Archives/edgar/data/66756/000006675621000068/ale6-30x2021exx4b.htm" TargetMode="External"/><Relationship Id="rId118" Type="http://schemas.openxmlformats.org/officeDocument/2006/relationships/hyperlink" Target="http://www.sec.gov/Archives/edgar/data/66756/000006675615000117/ex-4aceagreement.htm" TargetMode="External"/><Relationship Id="rId119" Type="http://schemas.openxmlformats.org/officeDocument/2006/relationships/hyperlink" Target="http://www.sec.gov/Archives/edgar/data/66756/000006675616000265/ex-4notepurchaseagreement.htm" TargetMode="External"/><Relationship Id="rId120" Type="http://schemas.openxmlformats.org/officeDocument/2006/relationships/hyperlink" Target="http://www.sec.gov/Archives/edgar/data/66756/000006675620000016/exhibit4h.htm" TargetMode="External"/><Relationship Id="rId122" Type="http://schemas.openxmlformats.org/officeDocument/2006/relationships/hyperlink" Target="http://www.sec.gov/Archives/edgar/data/66756/000006675620000082/ale9-30x2020exx4.htm" TargetMode="External"/><Relationship Id="rId123" Type="http://schemas.openxmlformats.org/officeDocument/2006/relationships/hyperlink" Target="http://www.sec.gov/Archives/edgar/data/66756/0000066756-98-000036-index.html" TargetMode="External"/><Relationship Id="rId124" Type="http://schemas.openxmlformats.org/officeDocument/2006/relationships/hyperlink" Target="http://www.sec.gov/Archives/edgar/data/66756/000006675619000023/exhibit10b212-31x2018.htm" TargetMode="External"/><Relationship Id="rId125" Type="http://schemas.openxmlformats.org/officeDocument/2006/relationships/hyperlink" Target="http://www.sec.gov/Archives/edgar/data/66756/000006675619000094/ale6-30x2019exx4.htm" TargetMode="External"/><Relationship Id="rId126" Type="http://schemas.openxmlformats.org/officeDocument/2006/relationships/hyperlink" Target="http://www.sec.gov/Archives/edgar/data/66756/000006675606000067/exhibit10b1.txt" TargetMode="External"/><Relationship Id="rId127" Type="http://schemas.openxmlformats.org/officeDocument/2006/relationships/hyperlink" Target="http://www.sec.gov/Archives/edgar/data/66756/000006675611000112/credit_agreement.htm" TargetMode="External"/><Relationship Id="rId128" Type="http://schemas.openxmlformats.org/officeDocument/2006/relationships/hyperlink" Target="http://www.sec.gov/Archives/edgar/data/66756/000006675613000102/ale6-30x2013exx10b.htm" TargetMode="External"/><Relationship Id="rId129" Type="http://schemas.openxmlformats.org/officeDocument/2006/relationships/hyperlink" Target="http://www.sec.gov/Archives/edgar/data/66756/000006675610000018/exhibit_10g.htm" TargetMode="External"/><Relationship Id="rId130" Type="http://schemas.openxmlformats.org/officeDocument/2006/relationships/hyperlink" Target="http://www.sec.gov/Archives/edgar/data/66756/000006675611000029/exhibit_10h1.htm" TargetMode="External"/><Relationship Id="rId131" Type="http://schemas.openxmlformats.org/officeDocument/2006/relationships/hyperlink" Target="http://www.sec.gov/Archives/edgar/data/66756/000006675617000035/exhibit10e612-31x2016.htm" TargetMode="External"/><Relationship Id="rId132" Type="http://schemas.openxmlformats.org/officeDocument/2006/relationships/hyperlink" Target="http://www.sec.gov/Archives/edgar/data/66756/000006675617000035/exhibit10e712-31x2016.htm" TargetMode="External"/><Relationship Id="rId133" Type="http://schemas.openxmlformats.org/officeDocument/2006/relationships/hyperlink" Target="http://www.sec.gov/Archives/edgar/data/66756/000006675618000045/ale3-31x2018exx10a1.htm" TargetMode="External"/><Relationship Id="rId134" Type="http://schemas.openxmlformats.org/officeDocument/2006/relationships/hyperlink" Target="http://www.sec.gov/Archives/edgar/data/66756/000006675618000045/ale3-31x2018exx10a2.htm" TargetMode="External"/><Relationship Id="rId135" Type="http://schemas.openxmlformats.org/officeDocument/2006/relationships/hyperlink" Target="http://www.sec.gov/Archives/edgar/data/66756/000006675619000023/exhibit10e712-31x2018.htm" TargetMode="External"/><Relationship Id="rId136" Type="http://schemas.openxmlformats.org/officeDocument/2006/relationships/hyperlink" Target="http://www.sec.gov/Archives/edgar/data/66756/000006675620000016/exhibit10e812-31x2019.htm" TargetMode="External"/><Relationship Id="rId137" Type="http://schemas.openxmlformats.org/officeDocument/2006/relationships/hyperlink" Target="https://www.sec.gov/Archives/edgar/data/66756/000006675621000025/exhibit10e812-31x2020.htm" TargetMode="External"/><Relationship Id="rId138" Type="http://schemas.openxmlformats.org/officeDocument/2006/relationships/hyperlink" Target="http://www.sec.gov/Archives/edgar/data/66756/000006675609000015/exhibit_10i4.htm" TargetMode="External"/><Relationship Id="rId139" Type="http://schemas.openxmlformats.org/officeDocument/2006/relationships/hyperlink" Target="http://www.sec.gov/Archives/edgar/data/66756/000006675611000029/exhibit_10i2.htm" TargetMode="External"/><Relationship Id="rId140" Type="http://schemas.openxmlformats.org/officeDocument/2006/relationships/hyperlink" Target="http://www.sec.gov/Archives/edgar/data/66756/000006675619000023/exhibit10f412-31x2018.htm" TargetMode="External"/><Relationship Id="rId143" Type="http://schemas.openxmlformats.org/officeDocument/2006/relationships/hyperlink" Target="http://www.sec.gov/Archives/edgar/data/66756/000006675613000030/exhibit10j12-31x2012.htm" TargetMode="External"/><Relationship Id="rId145" Type="http://schemas.openxmlformats.org/officeDocument/2006/relationships/hyperlink" Target="http://www.sec.gov/Archives/edgar/data/66756/000006675615000110/exhibit99ltip.htm" TargetMode="External"/><Relationship Id="rId146" Type="http://schemas.openxmlformats.org/officeDocument/2006/relationships/hyperlink" Target="http://www.sec.gov/Archives/edgar/data/66756/000006675616000169/exhibit10k312-31x2015.htm" TargetMode="External"/><Relationship Id="rId148" Type="http://schemas.openxmlformats.org/officeDocument/2006/relationships/hyperlink" Target="http://www.sec.gov/Archives/edgar/data/66756/000006675616000169/exhibit10k212-31x2015.htm" TargetMode="External"/><Relationship Id="rId149" Type="http://schemas.openxmlformats.org/officeDocument/2006/relationships/hyperlink" Target="http://www.sec.gov/Archives/edgar/data/66756/000006675617000035/exhibit10i512-31x2016.htm" TargetMode="External"/><Relationship Id="rId151" Type="http://schemas.openxmlformats.org/officeDocument/2006/relationships/hyperlink" Target="http://www.sec.gov/Archives/edgar/data/66756/000006675617000035/exhibit10i612-31x2016.htm" TargetMode="External"/><Relationship Id="rId152" Type="http://schemas.openxmlformats.org/officeDocument/2006/relationships/hyperlink" Target="http://www.sec.gov/Archives/edgar/data/66756/000006675618000045/ale3-31x2018exx10b.htm" TargetMode="External"/><Relationship Id="rId154" Type="http://schemas.openxmlformats.org/officeDocument/2006/relationships/hyperlink" Target="http://www.sec.gov/Archives/edgar/data/66756/000006675618000029/exhibit10i712-31x2017.htm" TargetMode="External"/><Relationship Id="rId155" Type="http://schemas.openxmlformats.org/officeDocument/2006/relationships/hyperlink" Target="http://www.sec.gov/Archives/edgar/data/66756/000006675618000029/exhibit10i812-31x2017.htm" TargetMode="External"/><Relationship Id="rId157" Type="http://schemas.openxmlformats.org/officeDocument/2006/relationships/hyperlink" Target="http://www.sec.gov/Archives/edgar/data/66756/000006675619000023/exhibit10i1012-31x2018.htm" TargetMode="External"/><Relationship Id="rId158" Type="http://schemas.openxmlformats.org/officeDocument/2006/relationships/hyperlink" Target="http://www.sec.gov/Archives/edgar/data/66756/000006675619000023/exhibit10i1112-31x2018.htm" TargetMode="External"/><Relationship Id="rId160" Type="http://schemas.openxmlformats.org/officeDocument/2006/relationships/hyperlink" Target="http://www.sec.gov/Archives/edgar/data/66756/000006675620000016/exhibit10i1212-31x2019.htm" TargetMode="External"/><Relationship Id="rId161" Type="http://schemas.openxmlformats.org/officeDocument/2006/relationships/hyperlink" Target="http://www.sec.gov/Archives/edgar/data/66756/000006675620000016/exhibit10i1312-31x2019.htm" TargetMode="External"/><Relationship Id="rId163" Type="http://schemas.openxmlformats.org/officeDocument/2006/relationships/hyperlink" Target="https://www.sec.gov/Archives/edgar/data/66756/000006675621000025/exhibit10i1412-31x2020.htm" TargetMode="External"/><Relationship Id="rId164" Type="http://schemas.openxmlformats.org/officeDocument/2006/relationships/hyperlink" Target="https://www.sec.gov/Archives/edgar/data/66756/000006675621000025/exhibit10i1512-31x2020.htm" TargetMode="External"/><Relationship Id="rId166" Type="http://schemas.openxmlformats.org/officeDocument/2006/relationships/hyperlink" Target="http://www.sec.gov/Archives/edgar/data/66756/000006675620000002/a8-kowenelectionceoand.htm" TargetMode="External"/><Relationship Id="rId168" Type="http://schemas.openxmlformats.org/officeDocument/2006/relationships/hyperlink" Target="http://www.sec.gov/Archives/edgar/data/66756/000006675613000102/ale6-30x2013exx10a.htm" TargetMode="External"/><Relationship Id="rId170" Type="http://schemas.openxmlformats.org/officeDocument/2006/relationships/hyperlink" Target="http://www.sec.gov/Archives/edgar/data/66756/000006675619000023/exhibit10k312-31x2018.htm" TargetMode="External"/><Relationship Id="rId171" Type="http://schemas.openxmlformats.org/officeDocument/2006/relationships/hyperlink" Target="https://www.sec.gov/Archives/edgar/data/66756/000006675621000025/exhibit10k312-31x2020.htm" TargetMode="External"/><Relationship Id="rId173" Type="http://schemas.openxmlformats.org/officeDocument/2006/relationships/hyperlink" Target="http://www.sec.gov/Archives/edgar/data/66756/000006675603000048/exhibit10ac.txt" TargetMode="External"/><Relationship Id="rId175" Type="http://schemas.openxmlformats.org/officeDocument/2006/relationships/hyperlink" Target="http://www.sec.gov/Archives/edgar/data/66756/000006675604000034/rexhibit10aa2.txt" TargetMode="External"/><Relationship Id="rId176" Type="http://schemas.openxmlformats.org/officeDocument/2006/relationships/hyperlink" Target="http://www.sec.gov/Archives/edgar/data/66756/000006675605000072/ex10c.txt" TargetMode="External"/><Relationship Id="rId178" Type="http://schemas.openxmlformats.org/officeDocument/2006/relationships/hyperlink" Target="http://www.sec.gov/Archives/edgar/data/66756/000006675606000076/exhibit10d.txt" TargetMode="External"/><Relationship Id="rId179" Type="http://schemas.openxmlformats.org/officeDocument/2006/relationships/hyperlink" Target="http://www.sec.gov/Archives/edgar/data/66756/000006675613000030/ex10n512-31x2012.htm" TargetMode="External"/><Relationship Id="rId181" Type="http://schemas.openxmlformats.org/officeDocument/2006/relationships/hyperlink" Target="http://www.sec.gov/Archives/edgar/data/66756/000006675609000076/exhibit_10a.htm" TargetMode="External"/><Relationship Id="rId182" Type="http://schemas.openxmlformats.org/officeDocument/2006/relationships/hyperlink" Target="http://www.sec.gov/Archives/edgar/data/66756/000006675613000030/ex10o212-31x2012.htm" TargetMode="External"/><Relationship Id="rId184" Type="http://schemas.openxmlformats.org/officeDocument/2006/relationships/hyperlink" Target="http://www.sec.gov/Archives/edgar/data/66756/000006675613000030/ex10p212-31x2012.htm" TargetMode="External"/><Relationship Id="rId186" Type="http://schemas.openxmlformats.org/officeDocument/2006/relationships/hyperlink" Target="http://www.sec.gov/Archives/edgar/data/66756/000006675611000029/exhibit_10q.htm" TargetMode="External"/><Relationship Id="rId187" Type="http://schemas.openxmlformats.org/officeDocument/2006/relationships/hyperlink" Target="http://www.sec.gov/Archives/edgar/data/66756/000006675618000045/ale3-31x2018exx10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2022-02-16T05:25:41Z</dcterms:created>
  <dcterms:modified xsi:type="dcterms:W3CDTF">2022-02-16T05:25:41Z</dcterms:modified>
</cp:coreProperties>
</file>