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2016</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1148"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114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148"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1148"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148"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1148"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1148"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49,379,945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June 30, 2016</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9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4100" w:type="dxa"/>
            <w:vAlign w:val="bottom"/>
            <w:gridSpan w:val="6"/>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6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3060" w:type="dxa"/>
            <w:vAlign w:val="bottom"/>
            <w:gridSpan w:val="4"/>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Financial Statements</w:t>
              </w:r>
            </w:hyperlink>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rPr>
                <w:sz w:val="20"/>
                <w:szCs w:val="20"/>
                <w:color w:val="auto"/>
              </w:rPr>
            </w:pPr>
            <w:r>
              <w:rPr>
                <w:rFonts w:ascii="Arial" w:cs="Arial" w:eastAsia="Arial" w:hAnsi="Arial"/>
                <w:sz w:val="18"/>
                <w:szCs w:val="18"/>
                <w:color w:val="auto"/>
              </w:rPr>
              <w:t>June 30, 2016 and December 31, 2015</w:t>
            </w:r>
          </w:p>
        </w:tc>
        <w:tc>
          <w:tcPr>
            <w:tcW w:w="200" w:type="dxa"/>
            <w:vAlign w:val="bottom"/>
            <w:gridSpan w:val="3"/>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Quarter and Six Months Ended June 30, 2016 and 2015</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line="202" w:lineRule="exact"/>
              <w:rPr>
                <w:sz w:val="20"/>
                <w:szCs w:val="20"/>
                <w:color w:val="auto"/>
              </w:rPr>
            </w:pPr>
            <w:r>
              <w:rPr>
                <w:rFonts w:ascii="Arial" w:cs="Arial" w:eastAsia="Arial" w:hAnsi="Arial"/>
                <w:sz w:val="18"/>
                <w:szCs w:val="18"/>
                <w:color w:val="auto"/>
              </w:rPr>
              <w:t>Quarter and Six Months Ended June 30, 2016 and 2015</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auto"/>
              </w:rPr>
              <w:t>Six Months Ended June 30, 2016 and 2015</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380" w:type="dxa"/>
            <w:vAlign w:val="bottom"/>
            <w:gridSpan w:val="20"/>
            <w:shd w:val="clear" w:color="auto" w:fill="CCEEFF"/>
          </w:tcPr>
          <w:p>
            <w:pPr>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Consolidated Statement of Equity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7"/>
          </w:tcPr>
          <w:p>
            <w:pPr>
              <w:spacing w:after="0" w:line="202" w:lineRule="exact"/>
              <w:rPr>
                <w:sz w:val="20"/>
                <w:szCs w:val="20"/>
                <w:color w:val="auto"/>
              </w:rPr>
            </w:pPr>
            <w:r>
              <w:rPr>
                <w:rFonts w:ascii="Arial" w:cs="Arial" w:eastAsia="Arial" w:hAnsi="Arial"/>
                <w:sz w:val="18"/>
                <w:szCs w:val="18"/>
                <w:color w:val="auto"/>
              </w:rPr>
              <w:t>Six Months Ended June 30, 2016</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20"/>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520" w:type="dxa"/>
            <w:vAlign w:val="bottom"/>
            <w:gridSpan w:val="2"/>
          </w:tcPr>
          <w:p>
            <w:pPr>
              <w:spacing w:after="0"/>
              <w:rPr>
                <w:sz w:val="17"/>
                <w:szCs w:val="17"/>
                <w:color w:val="auto"/>
              </w:rPr>
            </w:pPr>
          </w:p>
        </w:tc>
        <w:tc>
          <w:tcPr>
            <w:tcW w:w="9340" w:type="dxa"/>
            <w:vAlign w:val="bottom"/>
            <w:gridSpan w:val="17"/>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and Results of Operations</w:t>
              </w:r>
            </w:hyperlink>
          </w:p>
        </w:tc>
        <w:tc>
          <w:tcPr>
            <w:tcW w:w="4800" w:type="dxa"/>
            <w:vAlign w:val="bottom"/>
          </w:tcPr>
          <w:p>
            <w:pPr>
              <w:spacing w:after="0"/>
              <w:rPr>
                <w:sz w:val="17"/>
                <w:szCs w:val="17"/>
                <w:color w:val="auto"/>
              </w:rPr>
            </w:pPr>
          </w:p>
        </w:tc>
        <w:tc>
          <w:tcPr>
            <w:tcW w:w="200" w:type="dxa"/>
            <w:vAlign w:val="bottom"/>
            <w:gridSpan w:val="3"/>
          </w:tcPr>
          <w:p>
            <w:pPr>
              <w:jc w:val="right"/>
              <w:ind w:right="20"/>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55</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Part II.</w:t>
              </w:r>
            </w:hyperlink>
          </w:p>
        </w:tc>
        <w:tc>
          <w:tcPr>
            <w:tcW w:w="10380" w:type="dxa"/>
            <w:vAlign w:val="bottom"/>
            <w:gridSpan w:val="20"/>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1A.</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2.</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5.</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9340" w:type="dxa"/>
            <w:vAlign w:val="bottom"/>
            <w:gridSpan w:val="17"/>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4"/>
          </w:tcPr>
          <w:p>
            <w:pPr>
              <w:ind w:left="40"/>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Signatures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r>
      <w:tr>
        <w:trPr>
          <w:trHeight w:val="446"/>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gridSpan w:val="5"/>
          </w:tcPr>
          <w:p>
            <w:pPr>
              <w:ind w:left="120"/>
              <w:spacing w:after="0"/>
              <w:rPr>
                <w:sz w:val="20"/>
                <w:szCs w:val="20"/>
                <w:color w:val="auto"/>
              </w:rPr>
            </w:pPr>
            <w:r>
              <w:rPr>
                <w:rFonts w:ascii="Arial" w:cs="Arial" w:eastAsia="Arial" w:hAnsi="Arial"/>
                <w:sz w:val="14"/>
                <w:szCs w:val="14"/>
                <w:color w:val="auto"/>
              </w:rPr>
              <w:t>ALLETE, Inc. Second Quarter 2016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1040" w:right="239" w:bottom="705"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70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Coal, Ltd. d/b/a BNI Energy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Cliffs</w:t>
            </w:r>
          </w:p>
        </w:tc>
        <w:tc>
          <w:tcPr>
            <w:tcW w:w="8180" w:type="dxa"/>
            <w:vAlign w:val="bottom"/>
            <w:gridSpan w:val="2"/>
          </w:tcPr>
          <w:p>
            <w:pPr>
              <w:spacing w:after="0"/>
              <w:rPr>
                <w:sz w:val="20"/>
                <w:szCs w:val="20"/>
                <w:color w:val="auto"/>
              </w:rPr>
            </w:pPr>
            <w:r>
              <w:rPr>
                <w:rFonts w:ascii="Arial" w:cs="Arial" w:eastAsia="Arial" w:hAnsi="Arial"/>
                <w:sz w:val="18"/>
                <w:szCs w:val="18"/>
                <w:color w:val="auto"/>
              </w:rPr>
              <w:t>Cliffs Natural Resources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Essar</w:t>
            </w:r>
          </w:p>
        </w:tc>
        <w:tc>
          <w:tcPr>
            <w:tcW w:w="8180" w:type="dxa"/>
            <w:vAlign w:val="bottom"/>
            <w:gridSpan w:val="2"/>
          </w:tcPr>
          <w:p>
            <w:pPr>
              <w:spacing w:after="0"/>
              <w:rPr>
                <w:sz w:val="20"/>
                <w:szCs w:val="20"/>
                <w:color w:val="auto"/>
              </w:rPr>
            </w:pPr>
            <w:r>
              <w:rPr>
                <w:rFonts w:ascii="Arial" w:cs="Arial" w:eastAsia="Arial" w:hAnsi="Arial"/>
                <w:sz w:val="18"/>
                <w:szCs w:val="18"/>
                <w:color w:val="auto"/>
              </w:rPr>
              <w:t>Essar Steel Minnesota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1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IBEW</w:t>
            </w:r>
          </w:p>
        </w:tc>
        <w:tc>
          <w:tcPr>
            <w:tcW w:w="8180" w:type="dxa"/>
            <w:vAlign w:val="bottom"/>
            <w:gridSpan w:val="2"/>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43"/>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18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Arial" w:cs="Arial" w:eastAsia="Arial" w:hAnsi="Arial"/>
                <w:sz w:val="14"/>
                <w:szCs w:val="14"/>
                <w:color w:val="auto"/>
              </w:rPr>
              <w:t>ALLETE, Inc. Second Quarter 2016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Northshore Mining</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Shell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Shell Energy North America (US), L.P.</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United Taconite</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680"/>
              <w:spacing w:after="0"/>
              <w:rPr>
                <w:sz w:val="20"/>
                <w:szCs w:val="20"/>
                <w:color w:val="auto"/>
              </w:rPr>
            </w:pPr>
            <w:r>
              <w:rPr>
                <w:rFonts w:ascii="Arial" w:cs="Arial" w:eastAsia="Arial" w:hAnsi="Arial"/>
                <w:sz w:val="14"/>
                <w:szCs w:val="14"/>
                <w:color w:val="auto"/>
              </w:rPr>
              <w:t>ALLETE, Inc. Second Quarter 2016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beginning on page 25 of our 2015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2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$1.5 and $1.0)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113.6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121.2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38.4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354.3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3,631.3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3,669.1</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359.1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129.0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124.5</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212.7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215.2</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$4,857.6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$4,894.5</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$64.8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$88.8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17.8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85.9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271.6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1,498.9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595.1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579.8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94.6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204.5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206.8</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340.8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r>
      <w:tr>
        <w:trPr>
          <w:trHeight w:val="237"/>
        </w:trPr>
        <w:tc>
          <w:tcPr>
            <w:tcW w:w="8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3,005.5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3,072.1</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1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ALLETE’s Equity</w:t>
            </w:r>
          </w:p>
        </w:tc>
        <w:tc>
          <w:tcPr>
            <w:tcW w:w="1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Common Stock Without Par Value, 80.0 Shares Authorized, 49.4 and 49.1 Shares Outstanding</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1,283.5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1,271.4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592.8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573.3</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1,852.1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1,852.1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1,822.4</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$4,857.6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$4,894.5</w:t>
            </w:r>
          </w:p>
        </w:tc>
      </w:tr>
      <w:tr>
        <w:trPr>
          <w:trHeight w:val="27"/>
        </w:trPr>
        <w:tc>
          <w:tcPr>
            <w:tcW w:w="8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0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4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Quarter Ended</w:t>
            </w:r>
          </w:p>
        </w:tc>
        <w:tc>
          <w:tcPr>
            <w:tcW w:w="2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72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720" w:type="dxa"/>
            <w:vAlign w:val="bottom"/>
          </w:tcPr>
          <w:p>
            <w:pPr>
              <w:spacing w:after="0"/>
              <w:rPr>
                <w:sz w:val="23"/>
                <w:szCs w:val="23"/>
                <w:color w:val="auto"/>
              </w:rPr>
            </w:pPr>
          </w:p>
        </w:tc>
        <w:tc>
          <w:tcPr>
            <w:tcW w:w="2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2016</w:t>
            </w: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2015</w:t>
            </w: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7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$314.8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$323.3</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$648.6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$643.3</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78.1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80.1</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16.1</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11.3</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32.9</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33.4</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52.3</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66.7</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82.0</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85.4</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160.1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165.1</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48.7</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41.3</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14.3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28.1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272.6</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283.8</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539.6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42.2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39.5</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109.0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(17.4)</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(16.2)</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(34.3)</w:t>
            </w: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4.7</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0.6</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0.7</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3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(12.7)</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(10.8)</w:t>
            </w:r>
          </w:p>
        </w:tc>
        <w:tc>
          <w:tcPr>
            <w:tcW w:w="1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29.5</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28.7</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85.2</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4.7</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6.4</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24.8</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22.3</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71.2</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$24.8</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$22.5</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$70.7</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57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Basic</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49.3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48.6</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49.2</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49.5</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48.7</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49.3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3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$0.50</w:t>
            </w:r>
          </w:p>
        </w:tc>
        <w:tc>
          <w:tcPr>
            <w:tcW w:w="11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$0.46</w:t>
            </w:r>
          </w:p>
        </w:tc>
        <w:tc>
          <w:tcPr>
            <w:tcW w:w="15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$1.44</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3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$0.50</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$0.46</w:t>
            </w:r>
          </w:p>
        </w:tc>
        <w:tc>
          <w:tcPr>
            <w:tcW w:w="15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340" w:type="dxa"/>
            <w:vAlign w:val="bottom"/>
          </w:tcPr>
          <w:p>
            <w:pPr>
              <w:jc w:val="right"/>
              <w:ind w:right="410"/>
              <w:spacing w:after="0"/>
              <w:rPr>
                <w:sz w:val="20"/>
                <w:szCs w:val="20"/>
                <w:color w:val="auto"/>
              </w:rPr>
            </w:pPr>
            <w:r>
              <w:rPr>
                <w:rFonts w:ascii="Arial" w:cs="Arial" w:eastAsia="Arial" w:hAnsi="Arial"/>
                <w:sz w:val="18"/>
                <w:szCs w:val="18"/>
                <w:color w:val="auto"/>
              </w:rPr>
              <w:t>$0.52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$0.505</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8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060" w:type="dxa"/>
            <w:vAlign w:val="bottom"/>
            <w:gridSpan w:val="2"/>
          </w:tcPr>
          <w:p>
            <w:pPr>
              <w:ind w:left="338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3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06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3"/>
                <w:szCs w:val="23"/>
                <w:color w:val="auto"/>
              </w:rPr>
            </w:pPr>
          </w:p>
        </w:tc>
      </w:tr>
      <w:tr>
        <w:trPr>
          <w:trHeight w:val="270"/>
        </w:trPr>
        <w:tc>
          <w:tcPr>
            <w:tcW w:w="6060" w:type="dxa"/>
            <w:vAlign w:val="bottom"/>
          </w:tcPr>
          <w:p>
            <w:pPr>
              <w:spacing w:after="0"/>
              <w:rPr>
                <w:sz w:val="23"/>
                <w:szCs w:val="23"/>
                <w:color w:val="auto"/>
              </w:rPr>
            </w:pPr>
          </w:p>
        </w:tc>
        <w:tc>
          <w:tcPr>
            <w:tcW w:w="2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2015</w:t>
            </w: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60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$24.8</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$22.3</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$71.2</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$0.3, $–, $–, and $0.1</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2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 $0.1, $–, and $0.1</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2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of Income Taxes of $0.1, $0.2, $0.2, and $0.4</w:t>
            </w:r>
          </w:p>
        </w:tc>
        <w:tc>
          <w:tcPr>
            <w:tcW w:w="238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0.3</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6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0.3</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25.3</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22.7</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71.5</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r>
      <w:tr>
        <w:trPr>
          <w:trHeight w:val="27"/>
        </w:trPr>
        <w:tc>
          <w:tcPr>
            <w:tcW w:w="6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3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0.5</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3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$25.3</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$22.9</w:t>
            </w:r>
          </w:p>
        </w:tc>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$71.0</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19"/>
                <w:szCs w:val="19"/>
                <w:color w:val="auto"/>
              </w:rPr>
            </w:pPr>
          </w:p>
        </w:tc>
        <w:tc>
          <w:tcPr>
            <w:tcW w:w="260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Six Months Ended</w:t>
            </w:r>
          </w:p>
        </w:tc>
      </w:tr>
      <w:tr>
        <w:trPr>
          <w:trHeight w:val="270"/>
        </w:trPr>
        <w:tc>
          <w:tcPr>
            <w:tcW w:w="88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720" w:type="dxa"/>
            <w:vAlign w:val="bottom"/>
          </w:tcPr>
          <w:p>
            <w:pPr>
              <w:spacing w:after="0"/>
              <w:rPr>
                <w:sz w:val="23"/>
                <w:szCs w:val="23"/>
                <w:color w:val="auto"/>
              </w:rPr>
            </w:pPr>
          </w:p>
        </w:tc>
      </w:tr>
      <w:tr>
        <w:trPr>
          <w:trHeight w:val="270"/>
        </w:trPr>
        <w:tc>
          <w:tcPr>
            <w:tcW w:w="8820" w:type="dxa"/>
            <w:vAlign w:val="bottom"/>
          </w:tcPr>
          <w:p>
            <w:pPr>
              <w:spacing w:after="0"/>
              <w:rPr>
                <w:sz w:val="23"/>
                <w:szCs w:val="23"/>
                <w:color w:val="auto"/>
              </w:rPr>
            </w:pPr>
          </w:p>
        </w:tc>
        <w:tc>
          <w:tcPr>
            <w:tcW w:w="1880" w:type="dxa"/>
            <w:vAlign w:val="bottom"/>
          </w:tcPr>
          <w:p>
            <w:pPr>
              <w:jc w:val="right"/>
              <w:ind w:right="655"/>
              <w:spacing w:after="0"/>
              <w:rPr>
                <w:sz w:val="20"/>
                <w:szCs w:val="20"/>
                <w:color w:val="auto"/>
              </w:rPr>
            </w:pPr>
            <w:r>
              <w:rPr>
                <w:rFonts w:ascii="Arial" w:cs="Arial" w:eastAsia="Arial" w:hAnsi="Arial"/>
                <w:sz w:val="17"/>
                <w:szCs w:val="17"/>
                <w:b w:val="1"/>
                <w:bCs w:val="1"/>
                <w:color w:val="auto"/>
              </w:rPr>
              <w:t>2016</w:t>
            </w:r>
          </w:p>
        </w:tc>
        <w:tc>
          <w:tcPr>
            <w:tcW w:w="720" w:type="dxa"/>
            <w:vAlign w:val="bottom"/>
          </w:tcPr>
          <w:p>
            <w:pPr>
              <w:jc w:val="right"/>
              <w:ind w:right="255"/>
              <w:spacing w:after="0"/>
              <w:rPr>
                <w:sz w:val="20"/>
                <w:szCs w:val="20"/>
                <w:color w:val="auto"/>
              </w:rPr>
            </w:pPr>
            <w:r>
              <w:rPr>
                <w:rFonts w:ascii="Arial" w:cs="Arial" w:eastAsia="Arial" w:hAnsi="Arial"/>
                <w:sz w:val="17"/>
                <w:szCs w:val="17"/>
                <w:b w:val="1"/>
                <w:bCs w:val="1"/>
                <w:color w:val="auto"/>
                <w:w w:val="95"/>
              </w:rPr>
              <w:t>2015</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15"/>
        </w:trPr>
        <w:tc>
          <w:tcPr>
            <w:tcW w:w="88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$71.2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$62.4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(2.9)</w:t>
            </w: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 on Sales of Investments</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94.2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78.7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(11.1)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5.0</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2.9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13.8</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1.3</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ESOP Compensation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0.9</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2.6</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7.7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Bad Debt Expense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1.1</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Receivable</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6.7</w:t>
            </w:r>
          </w:p>
        </w:tc>
        <w:tc>
          <w:tcPr>
            <w:tcW w:w="72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Prepayments and Other</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(0.8)</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r>
      <w:tr>
        <w:trPr>
          <w:trHeight w:val="239"/>
        </w:trPr>
        <w:tc>
          <w:tcPr>
            <w:tcW w:w="88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1.3</w:t>
            </w:r>
          </w:p>
        </w:tc>
        <w:tc>
          <w:tcPr>
            <w:tcW w:w="72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Other Current Liabilities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(18.5)</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47.4</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(21.0)</w:t>
            </w:r>
          </w:p>
        </w:tc>
        <w:tc>
          <w:tcPr>
            <w:tcW w:w="7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(2.9)</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146.2</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182.3</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1.4</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0.7</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(214.4)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Investment in ATC</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(1.6)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to Other Investments</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2.1</w:t>
            </w:r>
          </w:p>
        </w:tc>
        <w:tc>
          <w:tcPr>
            <w:tcW w:w="72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(74.8)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(140.5)</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Cash in Escrow for Acquisition</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Plant and Equipment</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882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8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(73.9)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(371.2)</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8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880" w:type="dxa"/>
            <w:vAlign w:val="bottom"/>
          </w:tcPr>
          <w:p>
            <w:pPr>
              <w:jc w:val="right"/>
              <w:ind w:right="415"/>
              <w:spacing w:after="0"/>
              <w:rPr>
                <w:sz w:val="20"/>
                <w:szCs w:val="20"/>
                <w:color w:val="auto"/>
              </w:rPr>
            </w:pPr>
            <w:r>
              <w:rPr>
                <w:rFonts w:ascii="Arial" w:cs="Arial" w:eastAsia="Arial" w:hAnsi="Arial"/>
                <w:sz w:val="17"/>
                <w:szCs w:val="17"/>
                <w:color w:val="auto"/>
              </w:rPr>
              <w:t>15.2</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148.2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2.2</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(2.0)</w:t>
            </w: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Notes Payable</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Repayments of Long-Term Debt</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(32.1)</w:t>
            </w:r>
          </w:p>
        </w:tc>
        <w:tc>
          <w:tcPr>
            <w:tcW w:w="7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(8.0)</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(0.7)</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(0.1)</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2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880" w:type="dxa"/>
            <w:vAlign w:val="bottom"/>
          </w:tcPr>
          <w:p>
            <w:pPr>
              <w:jc w:val="right"/>
              <w:ind w:right="375"/>
              <w:spacing w:after="0"/>
              <w:rPr>
                <w:sz w:val="20"/>
                <w:szCs w:val="20"/>
                <w:color w:val="auto"/>
              </w:rPr>
            </w:pPr>
            <w:r>
              <w:rPr>
                <w:rFonts w:ascii="Arial" w:cs="Arial" w:eastAsia="Arial" w:hAnsi="Arial"/>
                <w:sz w:val="17"/>
                <w:szCs w:val="17"/>
                <w:color w:val="auto"/>
              </w:rPr>
              <w:t>(51.2)</w:t>
            </w:r>
          </w:p>
        </w:tc>
        <w:tc>
          <w:tcPr>
            <w:tcW w:w="720" w:type="dxa"/>
            <w:vAlign w:val="bottom"/>
          </w:tcPr>
          <w:p>
            <w:pPr>
              <w:jc w:val="right"/>
              <w:spacing w:after="0"/>
              <w:rPr>
                <w:sz w:val="20"/>
                <w:szCs w:val="20"/>
                <w:color w:val="auto"/>
              </w:rPr>
            </w:pPr>
            <w:r>
              <w:rPr>
                <w:rFonts w:ascii="Arial" w:cs="Arial" w:eastAsia="Arial" w:hAnsi="Arial"/>
                <w:sz w:val="17"/>
                <w:szCs w:val="17"/>
                <w:color w:val="auto"/>
              </w:rPr>
              <w:t>(49.5)</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(for) Financing Activities</w:t>
            </w:r>
          </w:p>
        </w:tc>
        <w:tc>
          <w:tcPr>
            <w:tcW w:w="18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(77.4)</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103.7</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8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(5.1)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(85.2)</w:t>
            </w:r>
          </w:p>
        </w:tc>
      </w:tr>
      <w:tr>
        <w:trPr>
          <w:trHeight w:val="31"/>
        </w:trPr>
        <w:tc>
          <w:tcPr>
            <w:tcW w:w="88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88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97.0</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145.8</w:t>
            </w:r>
          </w:p>
        </w:tc>
      </w:tr>
      <w:tr>
        <w:trPr>
          <w:trHeight w:val="233"/>
        </w:trPr>
        <w:tc>
          <w:tcPr>
            <w:tcW w:w="88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88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$91.9</w:t>
            </w:r>
          </w:p>
        </w:tc>
        <w:tc>
          <w:tcPr>
            <w:tcW w:w="7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$60.6</w:t>
            </w:r>
          </w:p>
        </w:tc>
      </w:tr>
      <w:tr>
        <w:trPr>
          <w:trHeight w:val="31"/>
        </w:trPr>
        <w:tc>
          <w:tcPr>
            <w:tcW w:w="8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882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34"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134"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40" w:type="dxa"/>
            <w:vAlign w:val="bottom"/>
          </w:tcPr>
          <w:p>
            <w:pPr>
              <w:jc w:val="center"/>
              <w:ind w:right="135"/>
              <w:spacing w:after="0"/>
              <w:rPr>
                <w:sz w:val="20"/>
                <w:szCs w:val="20"/>
                <w:color w:val="auto"/>
              </w:rPr>
            </w:pPr>
            <w:r>
              <w:rPr>
                <w:rFonts w:ascii="Arial" w:cs="Arial" w:eastAsia="Arial" w:hAnsi="Arial"/>
                <w:sz w:val="16"/>
                <w:szCs w:val="16"/>
                <w:b w:val="1"/>
                <w:bCs w:val="1"/>
                <w:color w:val="auto"/>
                <w:w w:val="93"/>
              </w:rPr>
              <w:t>Other</w:t>
            </w:r>
          </w:p>
        </w:tc>
        <w:tc>
          <w:tcPr>
            <w:tcW w:w="1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Non-Controlling</w:t>
            </w:r>
          </w:p>
        </w:tc>
      </w:tr>
      <w:tr>
        <w:trPr>
          <w:trHeight w:val="203"/>
        </w:trPr>
        <w:tc>
          <w:tcPr>
            <w:tcW w:w="3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0" w:type="dxa"/>
            <w:vAlign w:val="bottom"/>
          </w:tcPr>
          <w:p>
            <w:pPr>
              <w:jc w:val="right"/>
              <w:ind w:right="434"/>
              <w:spacing w:after="0"/>
              <w:rPr>
                <w:sz w:val="20"/>
                <w:szCs w:val="20"/>
                <w:color w:val="auto"/>
              </w:rPr>
            </w:pPr>
            <w:r>
              <w:rPr>
                <w:rFonts w:ascii="Arial" w:cs="Arial" w:eastAsia="Arial" w:hAnsi="Arial"/>
                <w:sz w:val="16"/>
                <w:szCs w:val="16"/>
                <w:b w:val="1"/>
                <w:bCs w:val="1"/>
                <w:color w:val="auto"/>
              </w:rPr>
              <w:t>Total</w:t>
            </w:r>
          </w:p>
        </w:tc>
        <w:tc>
          <w:tcPr>
            <w:tcW w:w="1340" w:type="dxa"/>
            <w:vAlign w:val="bottom"/>
          </w:tcPr>
          <w:p>
            <w:pPr>
              <w:jc w:val="right"/>
              <w:ind w:right="313"/>
              <w:spacing w:after="0"/>
              <w:rPr>
                <w:sz w:val="20"/>
                <w:szCs w:val="20"/>
                <w:color w:val="auto"/>
              </w:rPr>
            </w:pPr>
            <w:r>
              <w:rPr>
                <w:rFonts w:ascii="Arial" w:cs="Arial" w:eastAsia="Arial" w:hAnsi="Arial"/>
                <w:sz w:val="16"/>
                <w:szCs w:val="16"/>
                <w:b w:val="1"/>
                <w:bCs w:val="1"/>
                <w:color w:val="auto"/>
              </w:rPr>
              <w:t>Retained</w:t>
            </w:r>
          </w:p>
        </w:tc>
        <w:tc>
          <w:tcPr>
            <w:tcW w:w="154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Comprehensive</w:t>
            </w:r>
          </w:p>
        </w:tc>
        <w:tc>
          <w:tcPr>
            <w:tcW w:w="1100" w:type="dxa"/>
            <w:vAlign w:val="bottom"/>
          </w:tcPr>
          <w:p>
            <w:pPr>
              <w:jc w:val="right"/>
              <w:ind w:right="213"/>
              <w:spacing w:after="0"/>
              <w:rPr>
                <w:sz w:val="20"/>
                <w:szCs w:val="20"/>
                <w:color w:val="auto"/>
              </w:rPr>
            </w:pPr>
            <w:r>
              <w:rPr>
                <w:rFonts w:ascii="Arial" w:cs="Arial" w:eastAsia="Arial" w:hAnsi="Arial"/>
                <w:sz w:val="16"/>
                <w:szCs w:val="16"/>
                <w:b w:val="1"/>
                <w:bCs w:val="1"/>
                <w:color w:val="auto"/>
              </w:rPr>
              <w:t>Common</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Interest in</w:t>
            </w:r>
          </w:p>
        </w:tc>
      </w:tr>
      <w:tr>
        <w:trPr>
          <w:trHeight w:val="210"/>
        </w:trPr>
        <w:tc>
          <w:tcPr>
            <w:tcW w:w="3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right"/>
              <w:ind w:right="374"/>
              <w:spacing w:after="0"/>
              <w:rPr>
                <w:sz w:val="20"/>
                <w:szCs w:val="20"/>
                <w:color w:val="auto"/>
              </w:rPr>
            </w:pPr>
            <w:r>
              <w:rPr>
                <w:rFonts w:ascii="Arial" w:cs="Arial" w:eastAsia="Arial" w:hAnsi="Arial"/>
                <w:sz w:val="16"/>
                <w:szCs w:val="16"/>
                <w:b w:val="1"/>
                <w:bCs w:val="1"/>
                <w:color w:val="auto"/>
              </w:rPr>
              <w:t>Equity</w:t>
            </w:r>
          </w:p>
        </w:tc>
        <w:tc>
          <w:tcPr>
            <w:tcW w:w="1340" w:type="dxa"/>
            <w:vAlign w:val="bottom"/>
          </w:tcPr>
          <w:p>
            <w:pPr>
              <w:jc w:val="right"/>
              <w:ind w:right="313"/>
              <w:spacing w:after="0"/>
              <w:rPr>
                <w:sz w:val="20"/>
                <w:szCs w:val="20"/>
                <w:color w:val="auto"/>
              </w:rPr>
            </w:pPr>
            <w:r>
              <w:rPr>
                <w:rFonts w:ascii="Arial" w:cs="Arial" w:eastAsia="Arial" w:hAnsi="Arial"/>
                <w:sz w:val="16"/>
                <w:szCs w:val="16"/>
                <w:b w:val="1"/>
                <w:bCs w:val="1"/>
                <w:color w:val="auto"/>
              </w:rPr>
              <w:t>Earnings</w:t>
            </w:r>
          </w:p>
        </w:tc>
        <w:tc>
          <w:tcPr>
            <w:tcW w:w="154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Income (Loss)</w:t>
            </w:r>
          </w:p>
        </w:tc>
        <w:tc>
          <w:tcPr>
            <w:tcW w:w="1100" w:type="dxa"/>
            <w:vAlign w:val="bottom"/>
          </w:tcPr>
          <w:p>
            <w:pPr>
              <w:jc w:val="right"/>
              <w:ind w:right="353"/>
              <w:spacing w:after="0"/>
              <w:rPr>
                <w:sz w:val="20"/>
                <w:szCs w:val="20"/>
                <w:color w:val="auto"/>
              </w:rPr>
            </w:pPr>
            <w:r>
              <w:rPr>
                <w:rFonts w:ascii="Arial" w:cs="Arial" w:eastAsia="Arial" w:hAnsi="Arial"/>
                <w:sz w:val="16"/>
                <w:szCs w:val="16"/>
                <w:b w:val="1"/>
                <w:bCs w:val="1"/>
                <w:color w:val="auto"/>
              </w:rPr>
              <w:t>Stock</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Subsidiaries</w:t>
            </w:r>
          </w:p>
        </w:tc>
      </w:tr>
      <w:tr>
        <w:trPr>
          <w:trHeight w:val="33"/>
        </w:trPr>
        <w:tc>
          <w:tcPr>
            <w:tcW w:w="3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8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$1,822.4</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$573.3</w:t>
            </w:r>
          </w:p>
        </w:tc>
        <w:tc>
          <w:tcPr>
            <w:tcW w:w="15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$(24.5)</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$1,271.4</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70.7</w:t>
            </w: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1"/>
              </w:rPr>
              <w:t>Other Comprehensive Income – Net of Tax</w:t>
            </w:r>
          </w:p>
        </w:tc>
        <w:tc>
          <w:tcPr>
            <w:tcW w:w="1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Defined Benefit Pension and Other Postretirement Plans –</w:t>
            </w:r>
          </w:p>
        </w:tc>
        <w:tc>
          <w:tcPr>
            <w:tcW w:w="1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Tax</w:t>
            </w:r>
          </w:p>
        </w:tc>
        <w:tc>
          <w:tcPr>
            <w:tcW w:w="14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3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460" w:type="dxa"/>
            <w:vAlign w:val="bottom"/>
          </w:tcPr>
          <w:p>
            <w:pPr>
              <w:spacing w:after="0"/>
              <w:rPr>
                <w:sz w:val="20"/>
                <w:szCs w:val="20"/>
                <w:color w:val="auto"/>
              </w:rPr>
            </w:pP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71.5</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28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Non-Controlling Interest</w:t>
            </w:r>
          </w:p>
        </w:tc>
        <w:tc>
          <w:tcPr>
            <w:tcW w:w="2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June 30, 2016</w:t>
            </w:r>
          </w:p>
        </w:tc>
        <w:tc>
          <w:tcPr>
            <w:tcW w:w="2860" w:type="dxa"/>
            <w:vAlign w:val="bottom"/>
            <w:tcBorders>
              <w:top w:val="single" w:sz="8" w:color="auto"/>
            </w:tcBorders>
            <w:gridSpan w:val="2"/>
          </w:tcPr>
          <w:p>
            <w:pPr>
              <w:jc w:val="right"/>
              <w:ind w:right="34"/>
              <w:spacing w:after="0"/>
              <w:rPr>
                <w:sz w:val="20"/>
                <w:szCs w:val="20"/>
                <w:color w:val="auto"/>
              </w:rPr>
            </w:pPr>
            <w:r>
              <w:rPr>
                <w:rFonts w:ascii="Arial" w:cs="Arial" w:eastAsia="Arial" w:hAnsi="Arial"/>
                <w:sz w:val="18"/>
                <w:szCs w:val="18"/>
                <w:color w:val="auto"/>
              </w:rPr>
              <w:t>$1,852.1</w:t>
            </w:r>
          </w:p>
        </w:tc>
        <w:tc>
          <w:tcPr>
            <w:tcW w:w="13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$592.8</w:t>
            </w:r>
          </w:p>
        </w:tc>
        <w:tc>
          <w:tcPr>
            <w:tcW w:w="154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$(24.2)</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$1,283.5</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4"/>
        </w:trPr>
        <w:tc>
          <w:tcPr>
            <w:tcW w:w="3340" w:type="dxa"/>
            <w:vAlign w:val="bottom"/>
          </w:tcPr>
          <w:p>
            <w:pPr>
              <w:spacing w:after="0"/>
              <w:rPr>
                <w:sz w:val="19"/>
                <w:szCs w:val="19"/>
                <w:color w:val="auto"/>
              </w:rPr>
            </w:pPr>
          </w:p>
        </w:tc>
        <w:tc>
          <w:tcPr>
            <w:tcW w:w="5740" w:type="dxa"/>
            <w:vAlign w:val="bottom"/>
            <w:gridSpan w:val="4"/>
          </w:tcPr>
          <w:p>
            <w:pPr>
              <w:jc w:val="right"/>
              <w:ind w:right="955"/>
              <w:spacing w:after="0"/>
              <w:rPr>
                <w:sz w:val="20"/>
                <w:szCs w:val="20"/>
                <w:color w:val="auto"/>
              </w:rPr>
            </w:pPr>
            <w:r>
              <w:rPr>
                <w:rFonts w:ascii="Arial" w:cs="Arial" w:eastAsia="Arial" w:hAnsi="Arial"/>
                <w:sz w:val="18"/>
                <w:szCs w:val="18"/>
                <w:color w:val="auto"/>
                <w:w w:val="89"/>
              </w:rPr>
              <w:t>The accompanying notes are an integral part of these statements.</w:t>
            </w:r>
          </w:p>
        </w:tc>
        <w:tc>
          <w:tcPr>
            <w:tcW w:w="11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2015,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six months ended June 30, 2016, are not necessarily indicative of results that may be expected for any other interim period or for the year ending December 31, 2016. For further information, refer to the Consolidated Financial Statements and notes included in our 2015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Inventories in our Regulated Operations and ALLETE Clean Energy segments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cost or first-in, first-out basis. Inventories in our U.S. Water Services and Corporate and Other segments are carried at an average cost, first-in, first-out or specific identification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Inventories</w:t>
            </w:r>
          </w:p>
        </w:tc>
        <w:tc>
          <w:tcPr>
            <w:tcW w:w="33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300" w:type="dxa"/>
            <w:vAlign w:val="bottom"/>
          </w:tcPr>
          <w:p>
            <w:pPr>
              <w:jc w:val="right"/>
              <w:ind w:right="170"/>
              <w:spacing w:after="0"/>
              <w:rPr>
                <w:sz w:val="20"/>
                <w:szCs w:val="20"/>
                <w:color w:val="auto"/>
              </w:rPr>
            </w:pPr>
            <w:r>
              <w:rPr>
                <w:rFonts w:ascii="Arial" w:cs="Arial" w:eastAsia="Arial" w:hAnsi="Arial"/>
                <w:sz w:val="18"/>
                <w:szCs w:val="18"/>
                <w:color w:val="auto"/>
              </w:rPr>
              <w:t>49.8</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30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3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r>
      <w:tr>
        <w:trPr>
          <w:trHeight w:val="200"/>
        </w:trPr>
        <w:tc>
          <w:tcPr>
            <w:tcW w:w="20" w:type="dxa"/>
            <w:vAlign w:val="bottom"/>
          </w:tcPr>
          <w:p>
            <w:pPr>
              <w:spacing w:after="0"/>
              <w:rPr>
                <w:sz w:val="17"/>
                <w:szCs w:val="17"/>
                <w:color w:val="auto"/>
              </w:rPr>
            </w:pPr>
          </w:p>
        </w:tc>
        <w:tc>
          <w:tcPr>
            <w:tcW w:w="66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384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1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6"/>
                <w:szCs w:val="16"/>
                <w:i w:val="1"/>
                <w:iCs w:val="1"/>
                <w:color w:val="auto"/>
              </w:rPr>
              <w:t>(a)</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6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6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$38.4</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includes collateral deposits required under ALLETE Clean Energy’s loan agreements and cash pledged as collateral for U.S. Water Services’ standby letters of credit.</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Non-Current Assets. </w:t>
      </w:r>
      <w:r>
        <w:rPr>
          <w:rFonts w:ascii="Arial" w:cs="Arial" w:eastAsia="Arial" w:hAnsi="Arial"/>
          <w:sz w:val="18"/>
          <w:szCs w:val="18"/>
          <w:color w:val="auto"/>
        </w:rPr>
        <w:t>As of June 30, 2016, included in Other Non-Current Assets on the Consolidated Balance Sheet was restricted cash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deposits required under ALLETE Clean Energy’s loan agreements and PPAs of $8.2 million ($8.1 million as of December 31, 2015). Also included in Other Non-Current Assets on the Consolidated Balance Sheet as of June 30, 2016, was a $31 million contract payment made to Cliffs as part of a long-term power sales agreement between Minnesota Power and Silver Bay Power. (See Note 13. Commitments, Guarantees and Contingencies.) The contract payment will be amortized over the term of the sales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32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56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37"/>
        </w:trPr>
        <w:tc>
          <w:tcPr>
            <w:tcW w:w="5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$85.9</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5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20"/>
          </w:cols>
          <w:pgMar w:left="240" w:top="104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27"/>
        </w:trPr>
        <w:tc>
          <w:tcPr>
            <w:tcW w:w="7900" w:type="dxa"/>
            <w:vAlign w:val="bottom"/>
          </w:tcPr>
          <w:p>
            <w:pPr>
              <w:spacing w:after="0"/>
              <w:rPr>
                <w:sz w:val="24"/>
                <w:szCs w:val="24"/>
                <w:color w:val="auto"/>
              </w:rPr>
            </w:pPr>
          </w:p>
        </w:tc>
        <w:tc>
          <w:tcPr>
            <w:tcW w:w="206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$135.2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125.9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138.1</w:t>
            </w:r>
          </w:p>
        </w:tc>
      </w:tr>
      <w:tr>
        <w:trPr>
          <w:trHeight w:val="27"/>
        </w:trPr>
        <w:tc>
          <w:tcPr>
            <w:tcW w:w="79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42.4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79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$340.8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r>
      <w:tr>
        <w:trPr>
          <w:trHeight w:val="20"/>
        </w:trPr>
        <w:tc>
          <w:tcPr>
            <w:tcW w:w="79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resulting from the U.S. Water Services acquisition. (See Note 3. Acquisitions and Note 5. Fair Value.)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$(24.4)</w:t>
            </w: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Amendments to the Consolidation Analysis. </w:t>
      </w:r>
      <w:r>
        <w:rPr>
          <w:rFonts w:ascii="Arial" w:cs="Arial" w:eastAsia="Arial" w:hAnsi="Arial"/>
          <w:sz w:val="16"/>
          <w:szCs w:val="16"/>
          <w:color w:val="auto"/>
        </w:rPr>
        <w:t>In February 2015, the FASB issued revised guidance which changes the analysis that a reporting entity must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to determine whether it should consolidate certain types of legal entities. The new standard affects (1) limited partnerships and similar legal entities,</w:t>
      </w:r>
    </w:p>
    <w:p>
      <w:pPr>
        <w:jc w:val="both"/>
        <w:ind w:firstLine="8"/>
        <w:spacing w:after="0" w:line="255" w:lineRule="auto"/>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fees paid to a decision maker or a service provider as a variable interest, (3) the effect of fee arrangements on the primary beneficiary determination, (4) the effect of related parties on the primary beneficiary determination, and (5) certain investment funds. This guidance was adopted in the first quarter of 2016 and did not have a material impact on our Consolidated Financial Statements.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Disclosures for Investments in Certain Entities That Calculate Net Asset Value per Share (or Its Equivalent). </w:t>
      </w:r>
      <w:r>
        <w:rPr>
          <w:rFonts w:ascii="Arial" w:cs="Arial" w:eastAsia="Arial" w:hAnsi="Arial"/>
          <w:sz w:val="18"/>
          <w:szCs w:val="18"/>
          <w:color w:val="auto"/>
        </w:rPr>
        <w:t>In May 2015, the FASB issued an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update which removes the requirement to categorize within the fair value hierarchy all investments for which fair value is measured using the net asset value per share (or its equivalent) practical expedient. The guidance applies to investments for which there is not a readily determinable fair value (market quote) or the investment is in a mutual fund without a publicly available net asset value. This guidance was adopted in the first quarter of 2016 and did not have a material impact on our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on the Consolidated Balance Sheet as a direct deduction from the carrying amount of that debt liability. This guidance was adopted in the first quarter of 2016 resulting in the reclassification of unamortized debt issuance costs from Other Non-Current Assets to Long-Term Debt on the Consolidated Balance Sheet. The effect of the adoption decreased Total Assets and Total Liabilities on ALLETE's Consolidated Balance Sheet by $12.6 million as of December 31,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0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The Company is evaluating the impact of the amended lease guidance on the Company’s Consolidated Financial Statements.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May 2014, the FASB issued amended revenue recognition guidance to clarify the principles for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The guidance is effective for the Company beginning in the first quarter of 2018 with early adoption permitted. The Company is evaluating the impact of the amended revenue recognition guidance on the Company’s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June 30, 2016, the investment portfolio included the legacy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3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56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$47.8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300" w:type="dxa"/>
            <w:vAlign w:val="bottom"/>
          </w:tcPr>
          <w:p>
            <w:pPr>
              <w:jc w:val="right"/>
              <w:ind w:right="210"/>
              <w:spacing w:after="0"/>
              <w:rPr>
                <w:sz w:val="20"/>
                <w:szCs w:val="20"/>
                <w:color w:val="auto"/>
              </w:rPr>
            </w:pPr>
            <w:r>
              <w:rPr>
                <w:rFonts w:ascii="Arial" w:cs="Arial" w:eastAsia="Arial" w:hAnsi="Arial"/>
                <w:sz w:val="18"/>
                <w:szCs w:val="18"/>
                <w:color w:val="auto"/>
              </w:rPr>
              <w:t>18.4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56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430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6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$72.3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0"/>
        </w:trPr>
        <w:tc>
          <w:tcPr>
            <w:tcW w:w="56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of June 30, 2016, the aggregate amount of available-for-sale corporate debt securities maturing in one year or less was $0.2 million, in one year to less than three years was $2.5 million, in three years to less than five years was $5.0 million, and in five or more years was $3.3 million.</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Land Inventory. </w:t>
      </w:r>
      <w:r>
        <w:rPr>
          <w:rFonts w:ascii="Arial" w:cs="Arial" w:eastAsia="Arial" w:hAnsi="Arial"/>
          <w:sz w:val="16"/>
          <w:szCs w:val="16"/>
          <w:color w:val="auto"/>
        </w:rPr>
        <w:t>Land inventory is accounted for as held for use and is recorded at cost, unless the carrying value is determined not to be recoverable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accounting standards for property, plant and equipment, in which case the land inventory is written down to estimated fair value. Land values are reviewed for indicators of impairment on a quarterly basis and no impairments were recorded for the quarter and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acquisitions below are consistent with ALLETE’s stated strategy of investing in energy infrastructure and related services businesses to complement its core regulated utility, balance exposure to business cycles and changing demand, and provide potential long-term earnings growth. The pro forma impact of the following acquisitions was not significant, either individually or in the aggregate, to the results of the Company for the six months ended June 30,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On April 15,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its Condon wind energy facility for $8.0 million. This transaction was accounted for as an equity transaction, and no gain or loss was recognized in net income or other comprehensive income. As a result of the acquisition, the Condon wind energy facility is now a wholly-owned subsidiary of ALLETE Clean Energy.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In February 2015, ALLETE acquired U.S. Water Services. Total consideration for the transaction was $202.3 million,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$166.6 million in cash and an estimated fair value of earnings-based contingent consideration of $35.7 million, as estimated at the date of acquisition, to be paid through 2019. The contingent consideration is presented within Other Non-Current Liabilities on the Consolidated Balance Sheet. The Consolidated Statement of Income reflects 100 percent of the results of operations for U.S. Water Services since the acquisition date as the Company has acquired 100 percent of U.S. Water Services.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(c)</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(d)</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progress and finished goods inventories which were recognized as Cost of Sales within one year from the acquisition date.</w:t>
      </w:r>
    </w:p>
    <w:p>
      <w:pPr>
        <w:ind w:left="340" w:hanging="332"/>
        <w:spacing w:after="0" w:line="263" w:lineRule="auto"/>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was recognized as Cost of Sales within one year from the acquisition date. Also included in Other Current Assets was restricted cash of $2.1 million relating to cash pledged as collateral for standby letters of credit.</w:t>
      </w:r>
    </w:p>
    <w:p>
      <w:pPr>
        <w:ind w:left="340" w:hanging="332"/>
        <w:spacing w:after="0"/>
        <w:tabs>
          <w:tab w:leader="none" w:pos="34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4. Goodwill and Intangible Assets.)</w:t>
      </w:r>
    </w:p>
    <w:p>
      <w:pPr>
        <w:spacing w:after="0" w:line="16" w:lineRule="exact"/>
        <w:rPr>
          <w:rFonts w:ascii="Arial" w:cs="Arial" w:eastAsia="Arial" w:hAnsi="Arial"/>
          <w:sz w:val="15"/>
          <w:szCs w:val="15"/>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$2.9 million of deductible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of $3.0 million after-tax were expensed as incurred during the first quarter of 2015 and recorded in Operating and Maintenance on the Consolidated Statement of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Chanarambie/Viking. </w:t>
      </w:r>
      <w:r>
        <w:rPr>
          <w:rFonts w:ascii="Arial" w:cs="Arial" w:eastAsia="Arial" w:hAnsi="Arial"/>
          <w:sz w:val="18"/>
          <w:szCs w:val="18"/>
          <w:color w:val="auto"/>
        </w:rPr>
        <w:t>In April 2015, ALLETE Clean Energy acquired 100 percent of wind energy facilities in southern Minnesota (Chanarambie/Viking)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EDF Renewable Energy, Inc. for $48.0 million.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facilities have 97.5 MW of generating capability and are located near ALLETE Clean Energy’s Lake Benton facility. The wind energy facilities began commercial operations in 2003 and have PPAs in place for their entire output, which expire in 2018 (12 MW) and 2023 (85.5 MW).</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(a)</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520" w:type="dxa"/>
            <w:vAlign w:val="bottom"/>
            <w:tcBorders>
              <w:top w:val="single" w:sz="8" w:color="auto"/>
            </w:tcBorders>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16"/>
                <w:szCs w:val="16"/>
                <w:i w:val="1"/>
                <w:iCs w:val="1"/>
                <w:color w:val="auto"/>
              </w:rPr>
              <w:t>(b)</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Power Purchase Agreements</w:t>
            </w:r>
          </w:p>
        </w:tc>
        <w:tc>
          <w:tcPr>
            <w:tcW w:w="4520" w:type="dxa"/>
            <w:vAlign w:val="bottom"/>
          </w:tcPr>
          <w:p>
            <w:pPr>
              <w:jc w:val="right"/>
              <w:ind w:right="10"/>
              <w:spacing w:after="0"/>
              <w:rPr>
                <w:sz w:val="20"/>
                <w:szCs w:val="20"/>
                <w:color w:val="auto"/>
              </w:rPr>
            </w:pPr>
            <w:r>
              <w:rPr>
                <w:rFonts w:ascii="Arial" w:cs="Arial" w:eastAsia="Arial" w:hAnsi="Arial"/>
                <w:sz w:val="18"/>
                <w:szCs w:val="18"/>
                <w:color w:val="auto"/>
              </w:rPr>
              <w:t>49.0</w:t>
            </w:r>
          </w:p>
        </w:tc>
      </w:tr>
      <w:tr>
        <w:trPr>
          <w:trHeight w:val="27"/>
        </w:trPr>
        <w:tc>
          <w:tcPr>
            <w:tcW w:w="69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690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9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0"/>
        </w:trPr>
        <w:tc>
          <w:tcPr>
            <w:tcW w:w="690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of goodwill. For tax purposes, the purchase price allocation resulted in no allocation to goodwill.</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 Liabilities included $5.9 million related to the current portion of PPAs.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$0.2 million after-tax were expensed as incurred during the second quarter of 2015 and recorded in Operating and Maintenance on the Consolidated Statement of Income.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Armenia Mountain. </w:t>
      </w:r>
      <w:r>
        <w:rPr>
          <w:rFonts w:ascii="Arial" w:cs="Arial" w:eastAsia="Arial" w:hAnsi="Arial"/>
          <w:sz w:val="18"/>
          <w:szCs w:val="18"/>
          <w:color w:val="auto"/>
        </w:rPr>
        <w:t>In July 2015, ALLETE Clean Energy acquired 100 percent of a wind energy facility located near Troy, Pennsylvania (Armenia Mountain)</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AES Corporation (AES) and a minority shareholder for $111.1 million, plus the assumption of existing debt.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PPAs in place for its entire output, which expire in 2024.</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ACQUISITIONS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134620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Current Assets </w:t>
            </w:r>
            <w:r>
              <w:rPr>
                <w:rFonts w:ascii="Arial" w:cs="Arial" w:eastAsia="Arial" w:hAnsi="Arial"/>
                <w:sz w:val="16"/>
                <w:szCs w:val="16"/>
                <w:i w:val="1"/>
                <w:iCs w:val="1"/>
                <w:color w:val="auto"/>
              </w:rPr>
              <w:t>(a)</w:t>
            </w:r>
          </w:p>
        </w:tc>
        <w:tc>
          <w:tcPr>
            <w:tcW w:w="45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6"/>
                <w:szCs w:val="16"/>
                <w:i w:val="1"/>
                <w:iCs w:val="1"/>
                <w:color w:val="auto"/>
              </w:rPr>
              <w:t>(b)</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r>
      <w:tr>
        <w:trPr>
          <w:trHeight w:val="237"/>
        </w:trPr>
        <w:tc>
          <w:tcPr>
            <w:tcW w:w="6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7"/>
        </w:trPr>
        <w:tc>
          <w:tcPr>
            <w:tcW w:w="68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55"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Assets was $1.0 million related to the current portion of PPAs and $6.0 million of restricted cash related to collateral deposits required under its loan agreement.</w:t>
      </w:r>
    </w:p>
    <w:p>
      <w:pPr>
        <w:spacing w:after="0" w:line="1" w:lineRule="exact"/>
        <w:rPr>
          <w:rFonts w:ascii="Arial" w:cs="Arial" w:eastAsia="Arial" w:hAnsi="Arial"/>
          <w:sz w:val="16"/>
          <w:szCs w:val="16"/>
          <w:i w:val="1"/>
          <w:iCs w:val="1"/>
          <w:color w:val="auto"/>
        </w:rPr>
      </w:pPr>
    </w:p>
    <w:p>
      <w:pPr>
        <w:ind w:left="340" w:hanging="332"/>
        <w:spacing w:after="0" w:line="290" w:lineRule="auto"/>
        <w:tabs>
          <w:tab w:leader="none" w:pos="34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Non-Current Assets was $8.2 million related to the non-current portion of PPAs, $6.1 million of restricted cash related to collateral deposits required under its loan agreements, and an immaterial amount of goodwill. For tax purposes, the purchase price allocation resulted in no allocation to goodwill.</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of $1.6 million after-tax were expensed as incurred throughout the second and third quarters of 2015, and recorded in Operating and Maintenance on the Consolidated Statement of Income.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 and W Technologies. </w:t>
      </w:r>
      <w:r>
        <w:rPr>
          <w:rFonts w:ascii="Arial" w:cs="Arial" w:eastAsia="Arial" w:hAnsi="Arial"/>
          <w:sz w:val="16"/>
          <w:szCs w:val="16"/>
          <w:color w:val="auto"/>
        </w:rPr>
        <w:t>In November 2015, U.S. Water Services acquired 100 percent of A and W Technologies, Inc. (AWT). Total consideration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was $9.3 million, which included payment of $8.3 million in cash and a $1.0 million payment due in April 2017. AWT, similar to U.S. Water Services, is an integrated water management company and was acquired to expand U.S. Water Services’ regional footprint in the Southeastern United States.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purchase price accounting, which was finalized in 2015, is reflected in the following table.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37"/>
        </w:trPr>
        <w:tc>
          <w:tcPr>
            <w:tcW w:w="69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Intangible Assets include customer relationships and non-compete agreements. (See Note 4.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$4.4 million of deductible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the fourth quarter of 2015 and recorded in Operating and Maintenance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20"/>
          </w:cols>
          <w:pgMar w:left="240" w:top="1040"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carrying amount of goodwill was $130.6 million as of June 30, 2016, and December 31, 2015. There have been no changes to goodwill by reportable segment for the six months ended June 30,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w w:val="95"/>
              </w:rPr>
              <w:t>Balances of intangible assets, net, excluding goodwill as of June 30, 2016, are as follows:</w:t>
            </w:r>
          </w:p>
        </w:tc>
        <w:tc>
          <w:tcPr>
            <w:tcW w:w="1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December 31,</w:t>
            </w:r>
          </w:p>
        </w:tc>
        <w:tc>
          <w:tcPr>
            <w:tcW w:w="1760" w:type="dxa"/>
            <w:vAlign w:val="bottom"/>
          </w:tcPr>
          <w:p>
            <w:pPr>
              <w:spacing w:after="0"/>
              <w:rPr>
                <w:sz w:val="24"/>
                <w:szCs w:val="24"/>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Amortization</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1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1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$60.8</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20" w:type="dxa"/>
            <w:vAlign w:val="bottom"/>
          </w:tcPr>
          <w:p>
            <w:pPr>
              <w:spacing w:after="0"/>
              <w:rPr>
                <w:sz w:val="21"/>
                <w:szCs w:val="21"/>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Definite-Lived Intangible Assets</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68.0</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20" w:type="dxa"/>
            <w:vAlign w:val="bottom"/>
          </w:tcPr>
          <w:p>
            <w:pPr>
              <w:spacing w:after="0"/>
              <w:rPr>
                <w:sz w:val="21"/>
                <w:szCs w:val="21"/>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1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16.6</w:t>
            </w:r>
          </w:p>
        </w:tc>
        <w:tc>
          <w:tcPr>
            <w:tcW w:w="1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20" w:type="dxa"/>
            <w:vAlign w:val="bottom"/>
          </w:tcPr>
          <w:p>
            <w:pPr>
              <w:spacing w:after="0"/>
              <w:rPr>
                <w:sz w:val="20"/>
                <w:szCs w:val="20"/>
                <w:color w:val="auto"/>
              </w:rPr>
            </w:pPr>
          </w:p>
        </w:tc>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$84.6</w:t>
            </w:r>
          </w:p>
        </w:tc>
        <w:tc>
          <w:tcPr>
            <w:tcW w:w="1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w:t>
            </w:r>
          </w:p>
        </w:tc>
      </w:tr>
      <w:tr>
        <w:trPr>
          <w:trHeight w:val="27"/>
        </w:trPr>
        <w:tc>
          <w:tcPr>
            <w:tcW w:w="68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67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w w:val="92"/>
              </w:rPr>
              <w:t>(a)  Developed Technology and Other includes patents, non-compete agreements and land easements.</w:t>
            </w:r>
          </w:p>
        </w:tc>
        <w:tc>
          <w:tcPr>
            <w:tcW w:w="16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bl>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22 years and developed technology and other have remaining useful lives ranging from approximately 3 years to approximately 13 years (weighted average of approximately 8 years). The weighted average remaining useful life of all definite-lived intangible assets as of June 30, 2016, is approximately 20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of intangible assets for the six months ended June 30, 2016, was $2.5 million. Accumulated amortization was $6.6 million as of June 30, 2016 ($4.1 million as of December 31, 2015). The estimated amortization expense for definite-lived intangible assets for the remainder of 2016 is $2.6 million. Estimated annual amortization expense for definite-lived intangible assets is $5.0 million in 2017, $4.7 million in 2018, $4.4 million in 2019, $4.2 million in 2020 and $44.6 million thereafter.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2015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June 30, 2016, and December 31, 2015.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46"/>
        </w:trPr>
        <w:tc>
          <w:tcPr>
            <w:tcW w:w="5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2"/>
              </w:rPr>
              <w:t>Fair Value as of June 30, 2016</w:t>
            </w:r>
          </w:p>
        </w:tc>
        <w:tc>
          <w:tcPr>
            <w:tcW w:w="80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$11.0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$11.0</w:t>
            </w:r>
          </w:p>
        </w:tc>
        <w:tc>
          <w:tcPr>
            <w:tcW w:w="12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w:t>
            </w:r>
          </w:p>
        </w:tc>
      </w:tr>
      <w:tr>
        <w:trPr>
          <w:trHeight w:val="27"/>
        </w:trPr>
        <w:tc>
          <w:tcPr>
            <w:tcW w:w="5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8"/>
                <w:szCs w:val="18"/>
                <w:i w:val="1"/>
                <w:iCs w:val="1"/>
                <w:color w:val="auto"/>
              </w:rPr>
              <w:t>(b)</w:t>
            </w:r>
          </w:p>
        </w:tc>
        <w:tc>
          <w:tcPr>
            <w:tcW w:w="24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$37.3</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37.3</w:t>
            </w:r>
          </w:p>
        </w:tc>
      </w:tr>
      <w:tr>
        <w:trPr>
          <w:trHeight w:val="27"/>
        </w:trPr>
        <w:tc>
          <w:tcPr>
            <w:tcW w:w="54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$15.9</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$37.3</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$(4.9)</w:t>
            </w:r>
          </w:p>
        </w:tc>
        <w:tc>
          <w:tcPr>
            <w:tcW w:w="12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2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2015</w:t>
            </w:r>
          </w:p>
        </w:tc>
        <w:tc>
          <w:tcPr>
            <w:tcW w:w="70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$10.9</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$10.9</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$36.6</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$36.6</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$9.6</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$(5.2)</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$(36.6)</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Level 3 activity in the preceding tables is the result of the February 2015 acquisition of U.S. Water Services. Changes in the fair value of U.S. Water Services’ Contingent Consideration for the six months ended June 30, 2016, are primarily due to accretion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2016, and the year ended December 31, 2015, there were no transfers in or out of Levels 1, 2 or 3.</w:t>
      </w:r>
    </w:p>
    <w:p>
      <w:pPr>
        <w:spacing w:after="0" w:line="221"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June 30, 2016</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$1,575.2</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$1,647.6</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2015</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$1,605.0</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$1,676.0</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20"/>
          </w:cols>
          <w:pgMar w:left="240" w:top="1040"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FAIR VALUE (Continued)</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six months ended June 30, 2016, and the year ended December 31, 2015, there were no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Regulatory matters are summarized in Note 5. Regulatory Matters to our Consolidated Financial Statements in our 2015 Form 10-K, with additional disclosure provided in the following paragraphs.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percent return on common equity and a 54.29 percent equity ratio. Subsequent to this order, and as authorized by the MPUC, Minnesota Power also recognizes revenue under cost recovery riders for environmental, renewable and transmission investments. (See </w:t>
      </w: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xml:space="preserve"> </w:t>
      </w:r>
      <w:r>
        <w:rPr>
          <w:rFonts w:ascii="Arial" w:cs="Arial" w:eastAsia="Arial" w:hAnsi="Arial"/>
          <w:sz w:val="18"/>
          <w:szCs w:val="18"/>
          <w:i w:val="1"/>
          <w:iCs w:val="1"/>
          <w:color w:val="auto"/>
        </w:rPr>
        <w:t>Renewable Cost Recovery Rider and Boswell Mercury Emissions Reduction Plan</w:t>
      </w:r>
      <w:r>
        <w:rPr>
          <w:rFonts w:ascii="Arial" w:cs="Arial" w:eastAsia="Arial" w:hAnsi="Arial"/>
          <w:sz w:val="18"/>
          <w:szCs w:val="18"/>
          <w:color w:val="auto"/>
        </w:rPr>
        <w:t>.) Revenue from cost recovery riders was $48.9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2016 ($44.9 million for the six months ended June 30, 2015).</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Energy-Intensive Trade-Exposed (EITE) Customer Rates. </w:t>
      </w:r>
      <w:r>
        <w:rPr>
          <w:rFonts w:ascii="Arial" w:cs="Arial" w:eastAsia="Arial" w:hAnsi="Arial"/>
          <w:sz w:val="16"/>
          <w:szCs w:val="16"/>
          <w:color w:val="auto"/>
        </w:rPr>
        <w:t>The state of Minnesota enacted an EITE customer ratemaking law in June 2015 which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is the energy policy of the state to have competitive rates for certain industries such as mining and forest products. In November 2015, Minnesota Power filed a rate schedule petition for EITE customers and a corresponding rider for EITE cost recovery with the MPUC. The rate proposal was revenue and cash flow neutral to Minnesota Power. In an order dated March 23, 2016, the MPUC dismissed the petition without prejudice, providing Minnesota Power the option to refile the petition with additional information or file a new petition. On June 30, 2016, Minnesota Power filed a revised EITE petition with the MPUC, which includes additional information on the net benefits analysis, limits on eligible customers and term lengths for the EITE discount.</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 has 16 non-affiliated municipal customers in Minnesota. SWL&amp;P is a Wisconsin utility and a wholesale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of Minnesota Power. All of the wholesale contracts include a termination clause requiring a three-year notice to terminate.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Minnesota Power amended its formula-based wholesale electric sales contract with the Nashwauk Public Utilities Commission, extending the term through June 30, 2028. The electric service agreements with SWL&amp;P and one other municipal customer are effective through June 30, 2019.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Minnesota Power amended its wholesale electric contracts with 14 municipal customers, extending the contract terms through December 31, 2024.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one of Minnesota Power’s municipal customers provided notice of its intent to terminate its contract effective June 30, 2019. Minnesota Power currently provides approximately 29 MW of average monthly demand to this customer. Under the Nashwauk Public Utilities Commission agreement, no termination notice may be given prior to June 30, 2025. Under the agreement with SWL&amp;P, no termination notice may be given prior to July 31, 2016. The remaining 14 municipal customers may not give termination notices prior to December 31, 2021.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2016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On June 28, 2016, SWL&amp;P filed a rate increase request with the PSCW requesting an average overall increase of 3.1 percent for retail customers (a 3.5 percent increase in electric rates, a 1.3 percent decrease in natural gas rates and a 7.8 percent increase in water rates). The rate filing seeks an overall return on equity of 10.9 percent, based on a capital structure consisting of approximately 55 percent equity and 45 percent debt. On an annualized basis, the requested rate increase would generate approximately $2.7 million in additional revenue. Hearings are expected to be scheduled in late 2016. The Company anticipates new rates will take effect during the first quarter of 2017. We cannot predict the level of rates that may be approved by the PSCW.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order dated February 3, 2016, the MPUC approved Minnesota Power’s updated billing factor which allows Minnesota Power to charge retail customers on a current basis for the costs of constructing certain transmission facilities plus a return on the capital invested. As a result of the MPUC approval of the certificate of need for the GNTL in June 2015, the project is eligible for cost recovery under the existing transmission cost recovery rider. Minnesota Power anticipates including its portion of the investments and expenditures for the GNTL in future transmission factor filings to include updated billing rates on customer bills.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the 497 MW</w:t>
      </w:r>
      <w:r>
        <w:rPr>
          <w:rFonts w:ascii="Arial" w:cs="Arial" w:eastAsia="Arial" w:hAnsi="Arial"/>
          <w:sz w:val="18"/>
          <w:szCs w:val="18"/>
          <w:i w:val="1"/>
          <w:iCs w:val="1"/>
          <w:color w:val="auto"/>
        </w:rPr>
        <w:t xml:space="preserve"> </w:t>
      </w:r>
      <w:r>
        <w:rPr>
          <w:rFonts w:ascii="Arial" w:cs="Arial" w:eastAsia="Arial" w:hAnsi="Arial"/>
          <w:sz w:val="18"/>
          <w:szCs w:val="18"/>
          <w:color w:val="auto"/>
        </w:rPr>
        <w:t>Bison Wind Energy Center in North Dakota and the restoration and repair of Thomson. Updated customer billing rates for the renewable cost recovery rider were approved by the MPUC in an order dated March 9, 2016, allowing Minnesota Power to charge retail customers on a current basis for the costs of constructing certain renewable investments plus a return on the capital invested. While approving the updated customer billing rates for the renewable cost recovery rider, the MPUC also allowed Minnesota Power additional time to submit support for its position on its utilization of North Dakota investment tax credits.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Minnesota Power accounts for North Dakota investment tax credits based on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the ALLETE consolidated group. The Minnesota Department of Commerce (Department) has inquired about our use of the North Dakota investment tax credits, taking the position that all North Dakota investment tax credits generated from the Bison Wind Energy Center should be credited to Minnesota Power ratepayers. The MPUC did not come to a decision on this issue in its order dated March 9, 2016, but requested that Minnesota Power provide further support on its position which was submitted on April 8, 2016. On April 22, 2016, the Department submitted additional comments restating its position that the tax credits should be credited to ratepayers.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North Dakota investment tax credits recognized by ALLETE as of June 30, 2016, total approximately $8 million, which represents the amount of North Dakota investment tax credits that the Department believes should be refunded to ratepayers. Minnesota Power will appropriately consider all avenues of appeal should an adverse decision be issued by the MPUC.</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Annual Automatic Adjustment (AAA) of Charges. </w:t>
      </w:r>
      <w:r>
        <w:rPr>
          <w:rFonts w:ascii="Arial" w:cs="Arial" w:eastAsia="Arial" w:hAnsi="Arial"/>
          <w:sz w:val="18"/>
          <w:szCs w:val="18"/>
          <w:color w:val="auto"/>
        </w:rPr>
        <w:t>In an order dated June 2, 2016, the MPUC approved Minnesota Power’s AAA filings made in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deferred action for 90 days on the AAA filing made in 2014 pending review and confirmation of coal transportation costs and terms of service. Minnesota Power’s AAA filings made in 2014 and 2015 are pending MPUC approval, and represent approximately $350 million in retail fuel cost recovery collected, but subject to refund. Minnesota Power currently expects full recovery of amounts represented by each AAA filing, although we cannot predict the outcome of the MPUC’s review of our pending filings.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Integrated Resource Plan (IRP). </w:t>
      </w:r>
      <w:r>
        <w:rPr>
          <w:rFonts w:ascii="Arial" w:cs="Arial" w:eastAsia="Arial" w:hAnsi="Arial"/>
          <w:sz w:val="17"/>
          <w:szCs w:val="17"/>
          <w:color w:val="auto"/>
        </w:rPr>
        <w:t>In a November 2013 order, the MPUC approved Minnesota Power’s 2013 IRP which detailed its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plan, announced in January 2013.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 major wind investments in North Dakota completed in the fourth quarter of 2014, the installation of emissions control technology at Boswell Unit 4 completed in December 2015, planning for the proposed GNTL, the conversion of Laskin from coal to natural gas completed in June 2015 and the retirement of Taconite Harbor Unit 3 completed in May 2015. In September 2015, Minnesota Power filed its 2015 IRP with the MPUC which includes an analysis of a variety of existing and future energy resource alternatives and a projection of customer cost impact by class. The 2015 IRP also contains the next steps in Minnesota Power’s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including the economic idling of Taconite Harbor Units 1 and 2 in the fall of 2016, the ceasing of coal-fired operations at Taconite Harbor in 2020, and the addition of between 200 MW and 300 MW of natural gas-fired generation in the next decade.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an order dated July 18, 2016,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Minnesota Power’s next IRP must be filed by February 1, 2018.</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Boswell Mercury Emissions Reduction Plan. </w:t>
      </w:r>
      <w:r>
        <w:rPr>
          <w:rFonts w:ascii="Arial" w:cs="Arial" w:eastAsia="Arial" w:hAnsi="Arial"/>
          <w:sz w:val="18"/>
          <w:szCs w:val="18"/>
          <w:color w:val="auto"/>
        </w:rPr>
        <w:t>Minnesota Power has an approved environmental improvement rider in place for investments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related to the implementation of the Boswell Unit 4 mercury emissions reduction plan completed in 2015. Customer billing rates for the environmental improvement rider were approved by the MPUC in August 2015. In September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Boswell Remaining Life Petition. </w:t>
      </w:r>
      <w:r>
        <w:rPr>
          <w:rFonts w:ascii="Arial" w:cs="Arial" w:eastAsia="Arial" w:hAnsi="Arial"/>
          <w:sz w:val="18"/>
          <w:szCs w:val="18"/>
          <w:color w:val="auto"/>
        </w:rPr>
        <w:t>In November 2015, Minnesota Power filed a petition with the MPUC for approval to extend Boswell’s remaining life to</w:t>
      </w:r>
      <w:r>
        <w:rPr>
          <w:rFonts w:ascii="Arial" w:cs="Arial" w:eastAsia="Arial" w:hAnsi="Arial"/>
          <w:sz w:val="18"/>
          <w:szCs w:val="18"/>
          <w:i w:val="1"/>
          <w:iCs w:val="1"/>
          <w:color w:val="auto"/>
        </w:rPr>
        <w:t xml:space="preserve"> </w:t>
      </w:r>
      <w:r>
        <w:rPr>
          <w:rFonts w:ascii="Arial" w:cs="Arial" w:eastAsia="Arial" w:hAnsi="Arial"/>
          <w:sz w:val="18"/>
          <w:szCs w:val="18"/>
          <w:color w:val="auto"/>
        </w:rPr>
        <w:t>2050 for all units and utilize the existing environmental improvement rider to credit a portion of the depreciation expense savings to customers. The extension request is based on the significant multi-emissions retrofit work done at Boswell Unit 3 and Boswell Unit 4.</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Great Northern Transmission Line (GNTL)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and Manitoba Hydro have proposed construction of the GNTL, an approximately 220-mile</w:t>
      </w:r>
      <w:r>
        <w:rPr>
          <w:rFonts w:ascii="Arial" w:cs="Arial" w:eastAsia="Arial" w:hAnsi="Arial"/>
          <w:sz w:val="16"/>
          <w:szCs w:val="16"/>
          <w:b w:val="1"/>
          <w:bCs w:val="1"/>
          <w:color w:val="auto"/>
        </w:rPr>
        <w:t xml:space="preserve"> </w:t>
      </w:r>
      <w:r>
        <w:rPr>
          <w:rFonts w:ascii="Arial" w:cs="Arial" w:eastAsia="Arial" w:hAnsi="Arial"/>
          <w:sz w:val="16"/>
          <w:szCs w:val="16"/>
          <w:color w:val="auto"/>
        </w:rPr>
        <w:t>500 kV transmission line between Manitoba and Minnesota’s Iron Range. 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 final decision on the presidential permit by the U.S. Department of Energy is expected in the third quarter of 2016. Manitoba Hydro must also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Conservation Improvement Program (CIP). </w:t>
      </w:r>
      <w:r>
        <w:rPr>
          <w:rFonts w:ascii="Arial" w:cs="Arial" w:eastAsia="Arial" w:hAnsi="Arial"/>
          <w:sz w:val="18"/>
          <w:szCs w:val="18"/>
          <w:color w:val="auto"/>
        </w:rPr>
        <w:t>Minnesota requires electric utilities to spend a minimum of 1.5 percent of net gross operating revenues from</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provided in the state on energy CIPs each year. On June 1, 2016, Minnesota Power submitted its CIP triennial filing for 2017 through 2019 with the Minnesota Department of Commerce, which outlines Minnesota Power’s CIP spending and energy-saving goals for 2017 through 2019. A decision on the CIP triennial filing by the Minnesota Department of Commerce is expected in the fourth quarter of 2016.</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 2016, Minnesota Power submitted its 2015 CIP consolidated filing, which detailed Minnesota Power’s CIP program results and requested a CIP financial incentive of $7.5 million based upon MPUC procedures. In an order dated July 19, 2016, the MPUC approved Minnesota Power’s CIP consolidated filing, including the requested CIP financial incentive. CIP financial incentives are recognized in the period in which the MPUC approves the filing.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November 2013, several customer groups located within the MISO service area filed complaints with the FERC</w:t>
      </w:r>
      <w:r>
        <w:rPr>
          <w:rFonts w:ascii="Arial" w:cs="Arial" w:eastAsia="Arial" w:hAnsi="Arial"/>
          <w:sz w:val="18"/>
          <w:szCs w:val="18"/>
          <w:b w:val="1"/>
          <w:bCs w:val="1"/>
          <w:color w:val="auto"/>
        </w:rPr>
        <w:t xml:space="preserve"> </w:t>
      </w:r>
      <w:r>
        <w:rPr>
          <w:rFonts w:ascii="Arial" w:cs="Arial" w:eastAsia="Arial" w:hAnsi="Arial"/>
          <w:sz w:val="18"/>
          <w:szCs w:val="18"/>
          <w:color w:val="auto"/>
        </w:rPr>
        <w:t>requesting, among other things, a reduction in the base return on equity used by MISO transmission owners, including ALLETE and ATC, to 9.15 percent. In December 2015, a federal administrative law judge ruled on the November 2013 complaint proposing a reduction in the base return on equity to 10.32 percent, subject to approval or adjustment by the FERC. A final decision from the FERC on the administrative law judge’s recommendation is expected in 2016.</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an additional complaint was filed with the FERC seeking an order to further reduce the base return on equity to 8.67 percent. On June 30, 2016, a federal administrative law judge ruled on the February 2015 complaint proposing a further reduction in the base return on equity to 9.70 percent, subject to approval or adjustment by the FERC. A final decision from the FERC on the administrative law judge’s recommendation is expected in 2017. On January 6, 2015, the FERC approved an incentive adder of up to 50 basis points on the allowed base return on equity for our participation in a regional transmission organization, subject to the outcome of the return on equity complaints.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In May 2013, legislation was enacted by the state of Minnesota requiring at least 1.5 percent of total retail electric sales,</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two solar projects under development. In August 2015, Minnesota Power filed for MPUC approval of a 10 MW utility scale solar project at Camp Ripley, a Minnesota Army National Guard base and training facility near Little Falls, Minnesota. In an order dated February 24, 2016, the MPUC approved the Camp Ripley solar project as eligible to meet the solar energy standard and for current cost recovery, subject to certain compliance requirements. In September 2015, Minnesota Power filed for MPUC approval of a community solar garden project in Duluth,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June 1, 2016, Minnesota Power filed a proposal with the MPUC to increase the amount of solar rebates available for customer-sited solar installations and recover costs of the program through Minnesota Power’s renewable cost recovery rider. If approved, Minnesota Power expects the projects to meet part of the mandate related to solar photovoltaic devices with a nameplate capacity of 20 kW or less.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of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103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288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2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Deferred Fuel Adjustment Clause</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$14.5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8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215.0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64.7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(d)</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47.2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(e)</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23.5</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359.1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2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$373.6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$382.6</w:t>
            </w:r>
          </w:p>
        </w:tc>
      </w:tr>
      <w:tr>
        <w:trPr>
          <w:trHeight w:val="27"/>
        </w:trPr>
        <w:tc>
          <w:tcPr>
            <w:tcW w:w="69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8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(f)</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$57.0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14.4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(c)</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(b)</w:t>
            </w:r>
          </w:p>
        </w:tc>
        <w:tc>
          <w:tcPr>
            <w:tcW w:w="28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9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37"/>
        </w:trPr>
        <w:tc>
          <w:tcPr>
            <w:tcW w:w="6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8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$94.6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These assets and liabilities are offsets to deferred income taxes recognized on certain regulatory temporary differences, which will reverse over the remaining lives of those temporary differences.</w:t>
      </w:r>
    </w:p>
    <w:p>
      <w:pPr>
        <w:jc w:val="both"/>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revenues not yet collected from our customers primarily due to capital expenditures related to the Bison Wind Energy Center, investment in CapX2020 projects, and the Boswell Unit 4 environmental upgrade and are recognized in accordance with the accounting standards for alternative revenue programs. The cost recovery rider regulatory assets as of June 30, 2016, will be recovered over the next two years.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the regulatory offset to AFUDC Equity and Debt recorded during the construction period of our cost recovery rider projects prior to placing the projects in service. The regulatory liability will decrease over the remaining depreciable life of the related asset.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June 30, 2016, our equity investment in ATC was $129.0 million ($124.5 million at December 31, 2015). In the first six months of 2016, we invested $1.6 million in ATC, and on July 29, 2016, we invested an additional $1.9 million. We expect to make additional investments of approximately $2.7 million in 2016.</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2015</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June 30, 2016</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944"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1040" w:right="239" w:bottom="944"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equity earnings in ATC continue to be impacted by reductions for estimated refunds related to complaints filed with the FERC by several customer groups located within the MISO service area. (See Note 6. Regulatory Matters.) ATC's current authorized return on equity is 12.2 percent. We own approximately 8 percent of ATC and estimate that for every 50 basis point reduction in ATC’s allowed return on equity our equity earnings in ATC would be impacted annually by approximately $0.5 million after-tax ($0.9 million pre-tax).</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ALLETE’s short-term and long-term debt as of June 30,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June 30, 2016</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$66.0</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1,510.1</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(11.2)</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1,498.9</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$1,576.1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$(11.8)</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$1,564.3</w:t>
            </w:r>
          </w:p>
        </w:tc>
      </w:tr>
      <w:tr>
        <w:trPr>
          <w:trHeight w:val="200"/>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 and notes payable.</w:t>
            </w:r>
          </w:p>
        </w:tc>
        <w:tc>
          <w:tcPr>
            <w:tcW w:w="1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December 31, 2015</w:t>
            </w:r>
          </w:p>
        </w:tc>
        <w:tc>
          <w:tcPr>
            <w:tcW w:w="196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$37.9</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1,568.7</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(12.0)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1,556.7</w:t>
            </w:r>
          </w:p>
        </w:tc>
      </w:tr>
      <w:tr>
        <w:trPr>
          <w:trHeight w:val="27"/>
        </w:trPr>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9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$1,606.6</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$(12.6)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$1,594.0</w:t>
            </w:r>
          </w:p>
        </w:tc>
      </w:tr>
      <w:tr>
        <w:trPr>
          <w:trHeight w:val="200"/>
        </w:trPr>
        <w:tc>
          <w:tcPr>
            <w:tcW w:w="20" w:type="dxa"/>
            <w:vAlign w:val="bottom"/>
          </w:tcPr>
          <w:p>
            <w:pPr>
              <w:spacing w:after="0"/>
              <w:rPr>
                <w:sz w:val="17"/>
                <w:szCs w:val="17"/>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 and notes payable.</w:t>
            </w:r>
          </w:p>
        </w:tc>
        <w:tc>
          <w:tcPr>
            <w:tcW w:w="19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long-term debt was issued in the first six months of 2016.</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June 30, 2016, our ratio was approximately 0.46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2016,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3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6"/>
        </w:trPr>
        <w:tc>
          <w:tcPr>
            <w:tcW w:w="4840" w:type="dxa"/>
            <w:vAlign w:val="bottom"/>
          </w:tcPr>
          <w:p>
            <w:pPr>
              <w:spacing w:after="0"/>
              <w:rPr>
                <w:sz w:val="24"/>
                <w:szCs w:val="24"/>
                <w:color w:val="auto"/>
              </w:rPr>
            </w:pPr>
          </w:p>
        </w:tc>
        <w:tc>
          <w:tcPr>
            <w:tcW w:w="41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840" w:type="dxa"/>
            <w:vAlign w:val="bottom"/>
          </w:tcPr>
          <w:p>
            <w:pPr>
              <w:spacing w:after="0"/>
              <w:rPr>
                <w:sz w:val="23"/>
                <w:szCs w:val="23"/>
                <w:color w:val="auto"/>
              </w:rPr>
            </w:pP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r>
      <w:tr>
        <w:trPr>
          <w:trHeight w:val="270"/>
        </w:trPr>
        <w:tc>
          <w:tcPr>
            <w:tcW w:w="4840" w:type="dxa"/>
            <w:vAlign w:val="bottom"/>
          </w:tcPr>
          <w:p>
            <w:pPr>
              <w:spacing w:after="0"/>
              <w:rPr>
                <w:sz w:val="23"/>
                <w:szCs w:val="23"/>
                <w:color w:val="auto"/>
              </w:rPr>
            </w:pPr>
          </w:p>
        </w:tc>
        <w:tc>
          <w:tcPr>
            <w:tcW w:w="31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2016</w:t>
            </w: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2015</w:t>
            </w: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48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Tax Expense </w:t>
            </w:r>
            <w:r>
              <w:rPr>
                <w:rFonts w:ascii="Arial" w:cs="Arial" w:eastAsia="Arial" w:hAnsi="Arial"/>
                <w:sz w:val="16"/>
                <w:szCs w:val="16"/>
                <w:i w:val="1"/>
                <w:iCs w:val="1"/>
                <w:color w:val="auto"/>
              </w:rPr>
              <w:t>(a)</w:t>
            </w:r>
          </w:p>
        </w:tc>
        <w:tc>
          <w:tcPr>
            <w:tcW w:w="3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2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$0.2</w:t>
            </w:r>
          </w:p>
        </w:tc>
        <w:tc>
          <w:tcPr>
            <w:tcW w:w="16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7"/>
        </w:trPr>
        <w:tc>
          <w:tcPr>
            <w:tcW w:w="48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1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$0.1</w:t>
            </w:r>
          </w:p>
        </w:tc>
        <w:tc>
          <w:tcPr>
            <w:tcW w:w="9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$0.2</w:t>
            </w:r>
          </w:p>
        </w:tc>
        <w:tc>
          <w:tcPr>
            <w:tcW w:w="16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$0.2</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48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120" w:type="dxa"/>
            <w:vAlign w:val="bottom"/>
          </w:tcPr>
          <w:p>
            <w:pPr>
              <w:jc w:val="right"/>
              <w:ind w:right="510"/>
              <w:spacing w:after="0"/>
              <w:rPr>
                <w:sz w:val="20"/>
                <w:szCs w:val="20"/>
                <w:color w:val="auto"/>
              </w:rPr>
            </w:pPr>
            <w:r>
              <w:rPr>
                <w:rFonts w:ascii="Arial" w:cs="Arial" w:eastAsia="Arial" w:hAnsi="Arial"/>
                <w:sz w:val="18"/>
                <w:szCs w:val="18"/>
                <w:color w:val="auto"/>
              </w:rPr>
              <w:t>$2.1</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$3.9</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$6.7</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$8.7</w:t>
            </w:r>
          </w:p>
        </w:tc>
      </w:tr>
      <w:tr>
        <w:trPr>
          <w:trHeight w:val="27"/>
        </w:trPr>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12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w:t>
            </w:r>
          </w:p>
        </w:tc>
        <w:tc>
          <w:tcPr>
            <w:tcW w:w="16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7.5</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120" w:type="dxa"/>
            <w:vAlign w:val="bottom"/>
          </w:tcPr>
          <w:p>
            <w:pPr>
              <w:jc w:val="right"/>
              <w:ind w:right="530"/>
              <w:spacing w:after="0"/>
              <w:rPr>
                <w:sz w:val="20"/>
                <w:szCs w:val="20"/>
                <w:color w:val="auto"/>
              </w:rPr>
            </w:pPr>
            <w:r>
              <w:rPr>
                <w:rFonts w:ascii="Arial" w:cs="Arial" w:eastAsia="Arial" w:hAnsi="Arial"/>
                <w:sz w:val="18"/>
                <w:szCs w:val="18"/>
                <w:color w:val="auto"/>
              </w:rPr>
              <w:t>(0.2)</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(0.2)</w:t>
            </w: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(0.4)</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48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1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$4.6</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$6.2</w:t>
            </w:r>
          </w:p>
        </w:tc>
        <w:tc>
          <w:tcPr>
            <w:tcW w:w="16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$13.8</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$12.3</w:t>
            </w:r>
          </w:p>
        </w:tc>
      </w:tr>
      <w:tr>
        <w:trPr>
          <w:trHeight w:val="237"/>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1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$4.7</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$6.4</w:t>
            </w:r>
          </w:p>
        </w:tc>
        <w:tc>
          <w:tcPr>
            <w:tcW w:w="160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$14.0</w:t>
            </w: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310" w:lineRule="auto"/>
        <w:tabs>
          <w:tab w:leader="none" w:pos="34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For the six months ended June 30, 2016 and 2015, the federal and state current tax expense was minimal due to NOLs which resulted from the bonus depreciation provisions of the Protecting Americans from Tax Hikes Act of 2015, the Tax Increase Prevention Act of 2014 and the American Taxpayer Relief Act of 2012.</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34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$85.2</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$75.0</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44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$29.8</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3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5.0</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(20.5)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(20.8)</w:t>
            </w:r>
          </w:p>
        </w:tc>
      </w:tr>
      <w:tr>
        <w:trPr>
          <w:trHeight w:val="27"/>
        </w:trPr>
        <w:tc>
          <w:tcPr>
            <w:tcW w:w="69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34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Other</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(0.2)</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6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4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$14.0</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w:t>
            </w:r>
          </w:p>
        </w:tc>
      </w:tr>
      <w:tr>
        <w:trPr>
          <w:trHeight w:val="20"/>
        </w:trPr>
        <w:tc>
          <w:tcPr>
            <w:tcW w:w="69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2016, the effective tax rate was 16.4 percent (16.8 percent for the six months ended June 30, 2015).</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2016, we had gross unrecognized tax benefits of $2.2 million ($2.4 million as of December 31, 2015).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$0.5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or state examination for years before 2012.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20"/>
          </w:cols>
          <w:pgMar w:left="240" w:top="10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10. RECLASSIFICATIONS OUT OF ACCUMULATED OTHER COMPREHENSIVE INCOME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defined benefit pension and other postretirement items, consisting of deferred actuarial gains or losses and prior service costs or credits, and gains and losses on derivatives accounted for as cash flow hedges.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quarter and six months ended June 30, 2016 and 2015, reclassifications out of accumulated other comprehensive income for the Company were not material. Changes in accumulated other comprehensive loss for the six months ended June 30, 2016, are presented on the Consolidated Statement of Equity.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entered into in February 2014. For the six months ended June 30, 2016 and 2015, no options to purchase shares of common stock were excluded from the computation of diluted earnings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 Per Share</w:t>
            </w: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540" w:type="dxa"/>
            <w:vAlign w:val="bottom"/>
            <w:gridSpan w:val="3"/>
          </w:tcPr>
          <w:p>
            <w:pPr>
              <w:ind w:left="260"/>
              <w:spacing w:after="0"/>
              <w:rPr>
                <w:sz w:val="20"/>
                <w:szCs w:val="20"/>
                <w:color w:val="auto"/>
              </w:rPr>
            </w:pPr>
            <w:r>
              <w:rPr>
                <w:rFonts w:ascii="Arial" w:cs="Arial" w:eastAsia="Arial" w:hAnsi="Arial"/>
                <w:sz w:val="18"/>
                <w:szCs w:val="18"/>
                <w:b w:val="1"/>
                <w:bCs w:val="1"/>
                <w:color w:val="auto"/>
              </w:rPr>
              <w:t>Diluted</w:t>
            </w: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Basic</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ALLETE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$24.8</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$22.5</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49.3</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48.6</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$0.50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$0.46</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ALLETE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$70.7</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$62.4</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49.2</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47.7</w:t>
            </w:r>
          </w:p>
        </w:tc>
        <w:tc>
          <w:tcPr>
            <w:tcW w:w="14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$1.31</w:t>
            </w:r>
          </w:p>
        </w:tc>
        <w:tc>
          <w:tcPr>
            <w:tcW w:w="1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gridSpan w:val="3"/>
          </w:tcPr>
          <w:p>
            <w:pPr>
              <w:ind w:left="880"/>
              <w:spacing w:after="0"/>
              <w:rPr>
                <w:sz w:val="20"/>
                <w:szCs w:val="20"/>
                <w:color w:val="auto"/>
              </w:rPr>
            </w:pPr>
            <w:r>
              <w:rPr>
                <w:rFonts w:ascii="Arial" w:cs="Arial" w:eastAsia="Arial" w:hAnsi="Arial"/>
                <w:sz w:val="18"/>
                <w:szCs w:val="18"/>
                <w:b w:val="1"/>
                <w:bCs w:val="1"/>
                <w:color w:val="auto"/>
                <w:w w:val="91"/>
              </w:rPr>
              <w:t>Pension</w:t>
            </w:r>
          </w:p>
        </w:tc>
        <w:tc>
          <w:tcPr>
            <w:tcW w:w="900" w:type="dxa"/>
            <w:vAlign w:val="bottom"/>
          </w:tcPr>
          <w:p>
            <w:pPr>
              <w:spacing w:after="0"/>
              <w:rPr>
                <w:sz w:val="20"/>
                <w:szCs w:val="20"/>
                <w:color w:val="auto"/>
              </w:rPr>
            </w:pPr>
          </w:p>
        </w:tc>
        <w:tc>
          <w:tcPr>
            <w:tcW w:w="23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70"/>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Components of Net Periodic Benefit Expense (Income)</w:t>
            </w:r>
          </w:p>
        </w:tc>
        <w:tc>
          <w:tcPr>
            <w:tcW w:w="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2015</w:t>
            </w: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2016</w:t>
            </w: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1.8</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(2.8)</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4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64"/>
        </w:trPr>
        <w:tc>
          <w:tcPr>
            <w:tcW w:w="40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$5.0</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$2.0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14.9</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3.7</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(5.6)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3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Amortization of Net Loss</w:t>
            </w: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9.0</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$8.7</w:t>
            </w:r>
          </w:p>
        </w:tc>
        <w:tc>
          <w:tcPr>
            <w:tcW w:w="14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$(1.3)</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104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six months ended June 30, 2016 and 2015, no contributions were made to our defined benefit pension plan; we expect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$2.0 million in contributions to our defined benefit pension plan in 2016. For the six months ended June 30, 2016 and 2015, we made no contributions to our other postretirement benefit plan; we do not expect to make any contributions to our other postretirement benefit plan in 2016.</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12. Commitments, Guarantees and Contingencies to our Consolidated Financial Statements in our 2015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a North Dakota cooperative corporation, that extends through 2026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is obligated to pay its pro rata share of Square Butte’s costs based on its entitlement to the output of Square Butte’s 455 MW coal-fired generating unit. Minnesota Power’s output entitlement under the Agreement is 50 percent for the remainder of the Agreement, subject to the provisions of the Minnkota Power sales agreement described below. Square Butte’s costs consist primarily of debt service, operating and maintenance, depreciation and fuel expenses. As of June 30, 2016, Square Butte had total debt outstanding of $361.9 million. Fuel expenses are recoverable through Minnesota Power’s fuel adjustment clause and include the cost of coal purchased from BNI Energy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six months ended June 30, 2016, was $37.7 million ($39.5 million for the six months ended June 30, 2015). This reflects Minnesota Power’s pro rata share of total Square Butte costs based on the 50 percent output entitlement. Included in this amount was Minnesota Power’s pro rata share of interest expense of $4.8 million during the six months ended June 30, 2016 ($5.0 million for the six months ended June 30, 2015).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Minnesota Power has a power sales agreement with Minnkota Power, which commenced June 1, 2014. Under the power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agreement,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2016 and in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Silver Bay Power Sales Agreement</w:t>
      </w:r>
      <w:r>
        <w:rPr>
          <w:rFonts w:ascii="Arial" w:cs="Arial" w:eastAsia="Arial" w:hAnsi="Arial"/>
          <w:sz w:val="17"/>
          <w:szCs w:val="17"/>
          <w:color w:val="auto"/>
        </w:rPr>
        <w:t>. On May 23, 2016, Minnesota Power and Silver Bay Power entered into a long-term power purchase agreement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2031. Silver Bay Power supplies approximately 90 MW of load to Northshore Mining which has been served predominately through self-generation by Silver Bay Power. In the years 2016 through 2019, Minnesota Power will supply Silver Bay Power with at least 50 MW of energy and Silver Bay Power will have the option to purchase additional energy from Minnesota Power as it transitions away from self-generation. On December 31, 2019, Silver Bay Power will cease self-generation and Minnesota Power will supply the entire energy requirements for Silver Bay Power.</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Shell Energy PPA. </w:t>
      </w:r>
      <w:r>
        <w:rPr>
          <w:rFonts w:ascii="Arial" w:cs="Arial" w:eastAsia="Arial" w:hAnsi="Arial"/>
          <w:sz w:val="18"/>
          <w:szCs w:val="18"/>
          <w:color w:val="auto"/>
        </w:rPr>
        <w:t>In June 2016, Minnesota Power and Shell Energy signed a PPA that provides for Minnesota Power to purchase 50 MW of energy at fixed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The PPA begins in January 2017 and expires in December 2019.</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2016 and a portion of its coal requirements through December 2021. Minnesota Power also has coal transportation agreements in place for the delivery of a significant portion of its coal requirements through December 2018. The minimum annual payment obligation under these supply and transportation agreements is $17.7 million for the remainder of 2016, $27.9 million in 2017, $27.0 million in 2018, $1.8 million in 2019 and none thereafter. The delivered costs of fuel for Minnesota Power’s generation are recoverable from Minnesota Power’s utility customers through the fuel adjustment clause.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0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Energy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$14.0 million in 2016, $12.6 million in 2017, $11.1 million in 2018, $9.9 million in 2019, $6.9 million in 2020 and $23.2 million thereafter.</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transmission investments are summarized in Note 12. Commitments, Guarantees and Contingencies to our Consolidated Financial Statements in our 2015 Form 10-K, with additional disclosure provided in the following paragraphs.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6. Regulatory Matters.)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 final decision on the presidential permit by the U.S. Department of Energy is expected in the third quarter of 2016. Manitoba Hydro must also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 Total project cost in the U.S., including substation work, is estimated to be between $560 million and $710 million. Minnesota Power is expected to have majority ownership of the transmission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New Source Review (NSR). </w:t>
      </w:r>
      <w:r>
        <w:rPr>
          <w:rFonts w:ascii="Arial" w:cs="Arial" w:eastAsia="Arial" w:hAnsi="Arial"/>
          <w:sz w:val="16"/>
          <w:szCs w:val="16"/>
          <w:color w:val="auto"/>
        </w:rPr>
        <w:t>In August 2008, Minnesota Power received a Notice of Violation (NOV) from the EPA asserting violations of the NSR</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the Clean Air Act at Boswell and Laskin Unit 2 between the years of 1981 and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(Court) in September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Minnesota Power estimates that if the units are not retired, capital expenditures could range between $20 million and $40 million. Minnesota Power’s 2015 IRP filed with the MPUC on September 1, 2015, outlined Minnesota Power’s preferred option to reroute emissions from Boswell Units 1 and 2 through existing emission control technology at Boswell Unit</w:t>
      </w:r>
    </w:p>
    <w:p>
      <w:pPr>
        <w:spacing w:after="0" w:line="6" w:lineRule="exact"/>
        <w:rPr>
          <w:sz w:val="20"/>
          <w:szCs w:val="20"/>
          <w:color w:val="auto"/>
        </w:rPr>
      </w:pPr>
    </w:p>
    <w:p>
      <w:pPr>
        <w:ind w:right="20" w:firstLine="8"/>
        <w:spacing w:after="0" w:line="323" w:lineRule="auto"/>
        <w:tabs>
          <w:tab w:leader="none" w:pos="1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a total of 28 states in the eastern half of the United States, including Minnesota,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power plant emissions that contribute to ozone or fine particulate pollution in other states. The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the EPA distributed the CSAPR allowances to CSAPR-subject units for the Phase I years (2015 and 2016). Phase II allowances (2017 and beyond) for 2017 and 2018 were distributed on June 29, 2016. Based on our review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and Phase II allowances already issued, and Phase II allowances not yet issued, we currently expect projected generation levels and emission rates will result in compliance in both Phase I and Phase II.</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1, 2016. Construction on the project to implement the Boswell Unit 4 mercury emissions reduction plan was completed in 2015. Boswell Unit 3 is also subject to the MATS rule; however, investments and compliance work completed at Boswell Unit 3, including the emission reduction investments completed in 2009, meet the requirements of the MATS rule. The conversion of Laskin Units 1 and 2 to natural gas in June 2015 positioned those units for MATS compliance.</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December 2015, the U.S. Court of Appeals for the D.C. Circuit rejected a motion by utilities and states to vacate the MATS rule, instead ordering the rule to remain in effect while the EPA completes its review. On April 15, 2016, the EPA announced its determination that the MATS rule is appropriate and necessary, even after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7"/>
          <w:szCs w:val="17"/>
          <w:i w:val="1"/>
          <w:iCs w:val="1"/>
          <w:color w:val="auto"/>
        </w:rPr>
        <w:t>New Source Review.</w:t>
      </w:r>
      <w:r>
        <w:rPr>
          <w:rFonts w:ascii="Arial" w:cs="Arial" w:eastAsia="Arial" w:hAnsi="Arial"/>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10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2006 Minnesota Mercury Emissions Reduction Act, which was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into 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MACT became effective in December 2012. Major existing sources had until January 31, 2016, to achieve compliance with the final rule and July 29, 2016, to perform initial compliance demonstrations. Minnesota Power’s Hibbard Renewable Energy Center and Rapids Energy Center are subject to this rule. Compliance consists largely of adjustments to our operating practices; therefore the costs for complying with the final rule are not expected to be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more stringent control related to emissions that result in ground level ozone. In January 2010, the EPA proposed to</w:t>
      </w:r>
      <w:r>
        <w:rPr>
          <w:rFonts w:ascii="Arial" w:cs="Arial" w:eastAsia="Arial" w:hAnsi="Arial"/>
          <w:sz w:val="17"/>
          <w:szCs w:val="17"/>
          <w:i w:val="1"/>
          <w:iCs w:val="1"/>
          <w:color w:val="auto"/>
        </w:rPr>
        <w:t xml:space="preserve"> </w:t>
      </w:r>
      <w:r>
        <w:rPr>
          <w:rFonts w:ascii="Arial" w:cs="Arial" w:eastAsia="Arial" w:hAnsi="Arial"/>
          <w:sz w:val="17"/>
          <w:szCs w:val="17"/>
          <w:color w:val="auto"/>
        </w:rPr>
        <w:t>revise the 2008 eight-hour ozone standard of 75 parts per billion (ppb) and to adopt a secondary standard for the protection of sensitive vegetation from ozone-related damage. In October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so voluntary efforts to reduce ozone continue in the state. No additional costs for compliance are anticipated at this time.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revising aspects of relevant monitoring, designation and permitting requirements. New projects and permits must comply with the new standard, which is generally demonstrated by modeling at the facility level.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final rule, states will be responsible for additional PM</w:t>
      </w:r>
      <w:r>
        <w:rPr>
          <w:rFonts w:ascii="Arial" w:cs="Arial" w:eastAsia="Arial" w:hAnsi="Arial"/>
          <w:sz w:val="11"/>
          <w:szCs w:val="11"/>
          <w:color w:val="auto"/>
        </w:rPr>
        <w:t>2.5</w:t>
      </w:r>
      <w:r>
        <w:rPr>
          <w:rFonts w:ascii="Arial" w:cs="Arial" w:eastAsia="Arial" w:hAnsi="Arial"/>
          <w:sz w:val="17"/>
          <w:szCs w:val="17"/>
          <w:color w:val="auto"/>
        </w:rPr>
        <w:t xml:space="preserve"> monitoring, which will likely be accomplished by relocating or repurposing existing monitors. The EPA asked states to submit attainment designations by December 2013, based on already available monitoring data, and issued designations of the 2012 revised primary annual fine particulate attainment status in December 2014. The EPA designated the entire state of Minnesota as unclassifiable/attainment; however, Minnesota sources may ultimately be required to reduce their emissions to assist with attainment in neighboring states. Accordingly, the costs for complying with the final Particulate Matter NAAQS cannot be estimated at this time.</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standard. The EPA notified states that their infrastructure SIPs for maintaining attainment of the standard were required to be submitted to the EPA for approval by June 2013. However, the State of Minnesota delayed completing the documents pending EPA guidance to states for preparing the SIP submittal.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4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the EPA provided guidance to states regarding implementation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and in June 2014, as clarified in February 2015, the MPCA submitted a SIP revision to the EPA addressing the infrastructure requirements of Sections 110(a)(1) and 110(a)(2) of the Clean Air Act in regards to the one-hour NO</w:t>
      </w:r>
      <w:r>
        <w:rPr>
          <w:rFonts w:ascii="Arial" w:cs="Arial" w:eastAsia="Arial" w:hAnsi="Arial"/>
          <w:sz w:val="12"/>
          <w:szCs w:val="12"/>
          <w:color w:val="auto"/>
        </w:rPr>
        <w:t>2</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NAAQS, among other standards. The SIP stated that since the EPA determined in January 2012 that no area in the country is in violation of the one-hour NO</w:t>
      </w:r>
      <w:r>
        <w:rPr>
          <w:rFonts w:ascii="Arial" w:cs="Arial" w:eastAsia="Arial" w:hAnsi="Arial"/>
          <w:sz w:val="12"/>
          <w:szCs w:val="12"/>
          <w:color w:val="auto"/>
        </w:rPr>
        <w:t>2</w:t>
      </w:r>
      <w:r>
        <w:rPr>
          <w:rFonts w:ascii="Arial" w:cs="Arial" w:eastAsia="Arial" w:hAnsi="Arial"/>
          <w:sz w:val="18"/>
          <w:szCs w:val="18"/>
          <w:color w:val="auto"/>
        </w:rPr>
        <w:t xml:space="preserve"> NAAQS, there are no nonattainment areas in the country for this pollutant, and therefore Minnesota’s NO</w:t>
      </w:r>
      <w:r>
        <w:rPr>
          <w:rFonts w:ascii="Arial" w:cs="Arial" w:eastAsia="Arial" w:hAnsi="Arial"/>
          <w:sz w:val="12"/>
          <w:szCs w:val="12"/>
          <w:color w:val="auto"/>
        </w:rPr>
        <w:t>2</w:t>
      </w:r>
      <w:r>
        <w:rPr>
          <w:rFonts w:ascii="Arial" w:cs="Arial" w:eastAsia="Arial" w:hAnsi="Arial"/>
          <w:sz w:val="18"/>
          <w:szCs w:val="18"/>
          <w:color w:val="auto"/>
        </w:rPr>
        <w:t xml:space="preserve"> emissions cannot be significantly contributing to nonattainment in any other state. In October 2015, the EPA published in the Federal Register an approval and partial disapproval of the June 2014 SIP revision. According to the MPCA, the partial disapproval is regarding state delegation of a program unrelated to the one-hour NAAQS for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2</w:t>
      </w:r>
      <w:r>
        <w:rPr>
          <w:rFonts w:ascii="Arial" w:cs="Arial" w:eastAsia="Arial" w:hAnsi="Arial"/>
          <w:sz w:val="18"/>
          <w:szCs w:val="18"/>
          <w:color w:val="auto"/>
        </w:rPr>
        <w:t>, and is not expected to require further action. As such, additional compliance costs for the one-hour NO</w:t>
      </w:r>
      <w:r>
        <w:rPr>
          <w:rFonts w:ascii="Arial" w:cs="Arial" w:eastAsia="Arial" w:hAnsi="Arial"/>
          <w:sz w:val="12"/>
          <w:szCs w:val="12"/>
          <w:color w:val="auto"/>
        </w:rPr>
        <w:t>2</w:t>
      </w:r>
      <w:r>
        <w:rPr>
          <w:rFonts w:ascii="Arial" w:cs="Arial" w:eastAsia="Arial" w:hAnsi="Arial"/>
          <w:sz w:val="18"/>
          <w:szCs w:val="18"/>
          <w:color w:val="auto"/>
        </w:rPr>
        <w:t xml:space="preserve"> NAAQS are not expected at this time.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August 2015, the EPA finalized the SO</w:t>
      </w:r>
      <w:r>
        <w:rPr>
          <w:rFonts w:ascii="Arial" w:cs="Arial" w:eastAsia="Arial" w:hAnsi="Arial"/>
          <w:sz w:val="11"/>
          <w:szCs w:val="11"/>
          <w:color w:val="auto"/>
        </w:rPr>
        <w:t>2</w:t>
      </w:r>
      <w:r>
        <w:rPr>
          <w:rFonts w:ascii="Arial" w:cs="Arial" w:eastAsia="Arial" w:hAnsi="Arial"/>
          <w:sz w:val="17"/>
          <w:szCs w:val="17"/>
          <w:color w:val="auto"/>
        </w:rPr>
        <w:t xml:space="preserve"> data requirements rule (DRR) for the 2010 one-hour NAAQS to assist the states in implementing the standard. The rule sets emissions thresholds and exemptions for facilities that trigger modeling requirements. On January 8, 2016, the MPCA informed the EPA of the Minnesota sources subject to the rule, confirming that Boswell and Taconite Harbor are the only Minnesota Power generating facilities subject to the DRR. The MPCA was required to notify the EPA how each source will evaluate air quality by July 1, 2016. The MPCA has informed Minnesota Power that compliant SO</w:t>
      </w:r>
      <w:r>
        <w:rPr>
          <w:rFonts w:ascii="Arial" w:cs="Arial" w:eastAsia="Arial" w:hAnsi="Arial"/>
          <w:sz w:val="11"/>
          <w:szCs w:val="11"/>
          <w:color w:val="auto"/>
        </w:rPr>
        <w:t>2</w:t>
      </w:r>
      <w:r>
        <w:rPr>
          <w:rFonts w:ascii="Arial" w:cs="Arial" w:eastAsia="Arial" w:hAnsi="Arial"/>
          <w:sz w:val="17"/>
          <w:szCs w:val="17"/>
          <w:color w:val="auto"/>
        </w:rPr>
        <w:t xml:space="preserve"> modeling recently completed at these facilities should satisfy the DRR obligations, and no further modeling should be required. The MPCA is in discussion with the EPA to confirm its conclusion. The DRR also requires the MPCA to amend the operating permits for Boswell and Taconite Harbor by January 13, 2017, to include emissions limits at which one-hour SO</w:t>
      </w:r>
      <w:r>
        <w:rPr>
          <w:rFonts w:ascii="Arial" w:cs="Arial" w:eastAsia="Arial" w:hAnsi="Arial"/>
          <w:sz w:val="11"/>
          <w:szCs w:val="11"/>
          <w:color w:val="auto"/>
        </w:rPr>
        <w:t>2</w:t>
      </w:r>
      <w:r>
        <w:rPr>
          <w:rFonts w:ascii="Arial" w:cs="Arial" w:eastAsia="Arial" w:hAnsi="Arial"/>
          <w:sz w:val="17"/>
          <w:szCs w:val="17"/>
          <w:color w:val="auto"/>
        </w:rPr>
        <w:t xml:space="preserve"> NAAQS compliance was modeled. Minnesota Power is assisting the MPCA to ensure this deadline will be met. Compliance costs for the one-hour SO</w:t>
      </w:r>
      <w:r>
        <w:rPr>
          <w:rFonts w:ascii="Arial" w:cs="Arial" w:eastAsia="Arial" w:hAnsi="Arial"/>
          <w:sz w:val="11"/>
          <w:szCs w:val="11"/>
          <w:color w:val="auto"/>
        </w:rPr>
        <w:t>2</w:t>
      </w:r>
      <w:r>
        <w:rPr>
          <w:rFonts w:ascii="Arial" w:cs="Arial" w:eastAsia="Arial" w:hAnsi="Arial"/>
          <w:sz w:val="17"/>
          <w:szCs w:val="17"/>
          <w:color w:val="auto"/>
        </w:rPr>
        <w:t xml:space="preserve"> NAAQS are not expected to be material.</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Class I Air Quality Petitions and Requests. </w:t>
      </w:r>
      <w:r>
        <w:rPr>
          <w:rFonts w:ascii="Arial" w:cs="Arial" w:eastAsia="Arial" w:hAnsi="Arial"/>
          <w:sz w:val="17"/>
          <w:szCs w:val="17"/>
          <w:color w:val="auto"/>
        </w:rPr>
        <w:t>In July 2014, the Fond du Lac Band of Lake Superior Chippewa (Fond du Lac Band) announced its intent to</w:t>
      </w:r>
      <w:r>
        <w:rPr>
          <w:rFonts w:ascii="Arial" w:cs="Arial" w:eastAsia="Arial" w:hAnsi="Arial"/>
          <w:sz w:val="17"/>
          <w:szCs w:val="17"/>
          <w:i w:val="1"/>
          <w:iCs w:val="1"/>
          <w:color w:val="auto"/>
        </w:rPr>
        <w:t xml:space="preserve"> </w:t>
      </w:r>
      <w:r>
        <w:rPr>
          <w:rFonts w:ascii="Arial" w:cs="Arial" w:eastAsia="Arial" w:hAnsi="Arial"/>
          <w:sz w:val="17"/>
          <w:szCs w:val="17"/>
          <w:color w:val="auto"/>
        </w:rPr>
        <w:t>petition 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received Class I status. A public hearing was held by the Fond du Lac Band in October 2014, and the extended public comment period on the petition expired in November 2014. After the Fond du Lac Band prepares responses to the comments, it is anticipated to make a formal submittal request to the EPA. The Company has requested additional clarification from the Fond du Lac Band and the MPCA on the final regulatory structure that may arise from a Class I redesignation.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2013, the Bad River Band of Lake Superior Chippewa (Bad River Band) announced its intent to petition the EPA to redesignate its reservation air shed, which is located approximately 100 miles east of Duluth, Minnesota, from Class II to Class I air quality pursuant to Section 164(c) of the Clean Air Act. The Class I analysis report was issued by the Bad River Band in January 2015 which was followed by public hearings in March 2015 and a public comment period ending in May 2015. After the Bad River Band prepares responses to the comments, it is also anticipated to make a formal submittal request to the EPA.</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August 2015, together with a proposed federal implementation plan and a model rule for emissions trading. Numerous petitions for review of the rule have been filed with the U.S. Court of Appeals for the District of Columbia Circuit. On February 9, 2016, the U.S. Supreme Court issued an order staying the effectiveness of the rule until after the appellate court process is complete. In May 2016, the U.S. Court of Appeals for the District of Columbia announced the petitions for review will be heard on September 27, 2016. The EPA is precluded from enforcing the CPP while the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 the EPA’s guideline for a Best System of Emission Reductions (BSER). BSER is comprised of three building blocks: 1) improved fossil fuel power plant efficiency, 2) increased reliance on low-emitting power sources by generating more electricity from existing natural gas combined 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 goals under the CPP are expressed as both mass-based and rate-based goals, and include interim goals to be met over the years 2022 through 2029, as well as a final goal to be met in 2030 and thereafter. Under the CPP, each state is required to develop a SIP by September 6, 2016, or by September 6, 2018, if granted an extension. If the CPP is upheld at the completion of the appellate court process, all of the CPP regulatory deadlines may be reset based on the length of time that the appeals process takes.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any additional costs through cost recovery riders or in a general rate case.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the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(NEGA)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PPAs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May 2014. On June 15, 2016, the U.S. Court of Appeals for the Eighth Circuit upheld the federal district court’s decision that part of the NEGA violated the Commerce Clause of the U.S. Constitution.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October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however, our preliminary assessment suggests costs of compliance could be up to approximately $15 million. Minnesota Power would seek recovery of any additional costs through a general rate case.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Steam Electric Power Generating Effluent Guidelines. </w:t>
      </w:r>
      <w:r>
        <w:rPr>
          <w:rFonts w:ascii="Arial" w:cs="Arial" w:eastAsia="Arial" w:hAnsi="Arial"/>
          <w:sz w:val="16"/>
          <w:szCs w:val="16"/>
          <w:color w:val="auto"/>
        </w:rPr>
        <w:t>In April 2013, the EPA announced proposed revisions to the federal effluent limit guidelines (ELG) for</w:t>
      </w:r>
      <w:r>
        <w:rPr>
          <w:rFonts w:ascii="Arial" w:cs="Arial" w:eastAsia="Arial" w:hAnsi="Arial"/>
          <w:sz w:val="16"/>
          <w:szCs w:val="16"/>
          <w:i w:val="1"/>
          <w:iCs w:val="1"/>
          <w:color w:val="auto"/>
        </w:rPr>
        <w:t xml:space="preserve"> </w:t>
      </w:r>
      <w:r>
        <w:rPr>
          <w:rFonts w:ascii="Arial" w:cs="Arial" w:eastAsia="Arial" w:hAnsi="Arial"/>
          <w:sz w:val="16"/>
          <w:szCs w:val="16"/>
          <w:color w:val="auto"/>
        </w:rPr>
        <w:t>steam electric power generating stations under the Clean Water Act. The final ELG was issued in September 2015.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reviewing the final rule and evaluating its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and/or reuse. Minnesota Power would seek recovery of any additional costs through cost recovery riders or in a general rate case.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Coal Ash Management Facilities. </w:t>
      </w:r>
      <w:r>
        <w:rPr>
          <w:rFonts w:ascii="Arial" w:cs="Arial" w:eastAsia="Arial" w:hAnsi="Arial"/>
          <w:sz w:val="16"/>
          <w:szCs w:val="16"/>
          <w:color w:val="auto"/>
        </w:rPr>
        <w:t>Minnesota Power generates or disposes coal ash at four of its electric generating facilities. One facility stores ash in onsite</w:t>
      </w:r>
      <w:r>
        <w:rPr>
          <w:rFonts w:ascii="Arial" w:cs="Arial" w:eastAsia="Arial" w:hAnsi="Arial"/>
          <w:sz w:val="16"/>
          <w:szCs w:val="16"/>
          <w:i w:val="1"/>
          <w:iCs w:val="1"/>
          <w:color w:val="auto"/>
        </w:rPr>
        <w:t xml:space="preserve"> </w:t>
      </w:r>
      <w:r>
        <w:rPr>
          <w:rFonts w:ascii="Arial" w:cs="Arial" w:eastAsia="Arial" w:hAnsi="Arial"/>
          <w:sz w:val="16"/>
          <w:szCs w:val="16"/>
          <w:color w:val="auto"/>
        </w:rPr>
        <w:t>impoundments (ash ponds) with engineered liners and containment dikes. Another facility’s ash is beneficially re-used. The other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EPA issued the final CCR rule in December 2014 under Subtitle D (non-hazardous) of RCRA and it was published in the Federal Register in April 2015.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Minnesota Power has not disposed ash onsite at Taconite Harbor since the effective date of the rule, and therefore, the CCR rule is not applicable to that generating facility. Minnesota Power continues to work on minimizing costs through evaluation of beneficial re-use and recycling of CCR and CCR-related waters. Minnesota Power would seek recovery of any additional costs through a general rate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PPAs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June 30, 2016, ALLETE Clean Energy has $14.6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June 30, 2016, U.S. Water Services has $0.8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June 30, 2016, BNI Energy had surety bonds outstanding of $49.9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its coal supply agreements obligate the customers to provide for the closing costs, additional assurance is required by federal and state regulations. In addition to the surety bonds, BNI Energy has secured a letter of credit for an additional $0.6 million to provide for BNI Energy’s total reclamation liability, which is currently estimated at $47.5 million. BNI Energy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2016,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$10.1 million primarily related to development and maintenance obligations for various projects. The estimated cost of the remaining development work is approximately $6.1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June 30, 2016, we owned 72 percent of the assessable land in the Town Center District (72 percent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2015) and 92 percent of the assessable land in the Palm Coast Park District (92 percent at December 31, 2015). At these ownership levels, our annual assessments related to capital improvement and special assessment bonds for the ALLETE Properties projects within these districts are approximately $1.4 million for Town Center at Palm Coast and $2.1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04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2015, management updated our reportable segment presentation to reflect the manner in which we operate, assess, and allocate resources after our recent acquisitions. We now present three reportable segments, Regulated Operations, ALLETE Clean Energy and U.S. Water Services. Prior period amounts have been revised to conform with the current business segment presentation.</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 Wisconsin-based regulated utility that owns and maintains electric transmission assets in parts of Wisconsin, Michigan, Minnesota and Illinois. ALLETE Clean Energy is our business aimed at acquiring or developing capital projects that create energy solutions by way of wind, solar, biomass, hydro, natural gas, shale resources, clean coal technology and other emerging energy innovations. U.S. Water Services is our integrated water management company which was acquired in February 2015.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8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Quarter Ended</w:t>
            </w:r>
          </w:p>
        </w:tc>
        <w:tc>
          <w:tcPr>
            <w:tcW w:w="22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300" w:type="dxa"/>
            <w:vAlign w:val="bottom"/>
          </w:tcPr>
          <w:p>
            <w:pPr>
              <w:spacing w:after="0"/>
              <w:rPr>
                <w:sz w:val="23"/>
                <w:szCs w:val="23"/>
                <w:color w:val="auto"/>
              </w:rPr>
            </w:pP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23"/>
                <w:szCs w:val="23"/>
                <w:color w:val="auto"/>
              </w:rPr>
            </w:pPr>
          </w:p>
        </w:tc>
      </w:tr>
      <w:tr>
        <w:trPr>
          <w:trHeight w:val="270"/>
        </w:trPr>
        <w:tc>
          <w:tcPr>
            <w:tcW w:w="5300" w:type="dxa"/>
            <w:vAlign w:val="bottom"/>
          </w:tcPr>
          <w:p>
            <w:pPr>
              <w:spacing w:after="0"/>
              <w:rPr>
                <w:sz w:val="23"/>
                <w:szCs w:val="23"/>
                <w:color w:val="auto"/>
              </w:rPr>
            </w:pPr>
          </w:p>
        </w:tc>
        <w:tc>
          <w:tcPr>
            <w:tcW w:w="27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650"/>
              <w:spacing w:after="0"/>
              <w:rPr>
                <w:sz w:val="20"/>
                <w:szCs w:val="20"/>
                <w:color w:val="auto"/>
              </w:rPr>
            </w:pPr>
            <w:r>
              <w:rPr>
                <w:rFonts w:ascii="Arial" w:cs="Arial" w:eastAsia="Arial" w:hAnsi="Arial"/>
                <w:sz w:val="18"/>
                <w:szCs w:val="18"/>
                <w:b w:val="1"/>
                <w:bCs w:val="1"/>
                <w:color w:val="auto"/>
                <w:w w:val="94"/>
              </w:rPr>
              <w:t>2015</w:t>
            </w:r>
          </w:p>
        </w:tc>
        <w:tc>
          <w:tcPr>
            <w:tcW w:w="14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5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$234.9</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$230.0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$487.2</w:t>
            </w:r>
          </w:p>
        </w:tc>
        <w:tc>
          <w:tcPr>
            <w:tcW w:w="760" w:type="dxa"/>
            <w:vAlign w:val="bottom"/>
          </w:tcPr>
          <w:p>
            <w:pPr>
              <w:jc w:val="right"/>
              <w:spacing w:after="0"/>
              <w:rPr>
                <w:sz w:val="20"/>
                <w:szCs w:val="20"/>
                <w:color w:val="auto"/>
              </w:rPr>
            </w:pPr>
            <w:r>
              <w:rPr>
                <w:rFonts w:ascii="Arial" w:cs="Arial" w:eastAsia="Arial" w:hAnsi="Arial"/>
                <w:sz w:val="18"/>
                <w:szCs w:val="18"/>
                <w:color w:val="auto"/>
              </w:rPr>
              <w:t>$492.8</w:t>
            </w:r>
          </w:p>
        </w:tc>
      </w:tr>
      <w:tr>
        <w:trPr>
          <w:trHeight w:val="27"/>
        </w:trPr>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2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18.8</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34.0</w:t>
            </w:r>
          </w:p>
        </w:tc>
        <w:tc>
          <w:tcPr>
            <w:tcW w:w="1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42.4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34.3</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34.4</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66.7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0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26.8</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24.9</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52.3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54.2</w:t>
            </w:r>
          </w:p>
        </w:tc>
      </w:tr>
      <w:tr>
        <w:trPr>
          <w:trHeight w:val="27"/>
        </w:trPr>
        <w:tc>
          <w:tcPr>
            <w:tcW w:w="5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2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$314.8</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$323.3</w:t>
            </w:r>
          </w:p>
        </w:tc>
        <w:tc>
          <w:tcPr>
            <w:tcW w:w="1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$648.6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$643.3</w:t>
            </w:r>
          </w:p>
        </w:tc>
      </w:tr>
      <w:tr>
        <w:trPr>
          <w:trHeight w:val="237"/>
        </w:trPr>
        <w:tc>
          <w:tcPr>
            <w:tcW w:w="5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27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2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$22.6</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$23.3</w:t>
            </w:r>
          </w:p>
        </w:tc>
        <w:tc>
          <w:tcPr>
            <w:tcW w:w="1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$65.0</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70"/>
        </w:trPr>
        <w:tc>
          <w:tcPr>
            <w:tcW w:w="53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27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274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3.0</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8.7</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53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2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3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5"/>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27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11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(4.4)</w:t>
            </w:r>
          </w:p>
        </w:tc>
        <w:tc>
          <w:tcPr>
            <w:tcW w:w="1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7"/>
        </w:trPr>
        <w:tc>
          <w:tcPr>
            <w:tcW w:w="530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27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$24.8</w:t>
            </w:r>
          </w:p>
        </w:tc>
        <w:tc>
          <w:tcPr>
            <w:tcW w:w="11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$22.5</w:t>
            </w:r>
          </w:p>
        </w:tc>
        <w:tc>
          <w:tcPr>
            <w:tcW w:w="14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$70.7</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275"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In 2015, an intercompany loan agreement was entered into and interest expense was allocated to certain subsidiaries which is eliminated in consolidation. Prior period segment results have been revised to conform to the current presentation as if the intercompany loan existed as of January 1,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84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80" w:type="dxa"/>
            <w:vAlign w:val="bottom"/>
          </w:tcPr>
          <w:p>
            <w:pPr>
              <w:spacing w:after="0"/>
              <w:rPr>
                <w:sz w:val="20"/>
                <w:szCs w:val="20"/>
                <w:color w:val="auto"/>
              </w:rPr>
            </w:pPr>
          </w:p>
        </w:tc>
        <w:tc>
          <w:tcPr>
            <w:tcW w:w="38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61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 xml:space="preserve">Regulated Operations </w:t>
            </w:r>
            <w:r>
              <w:rPr>
                <w:rFonts w:ascii="Arial" w:cs="Arial" w:eastAsia="Arial" w:hAnsi="Arial"/>
                <w:sz w:val="16"/>
                <w:szCs w:val="16"/>
                <w:i w:val="1"/>
                <w:iCs w:val="1"/>
                <w:color w:val="auto"/>
              </w:rPr>
              <w:t>(a)</w:t>
            </w:r>
          </w:p>
        </w:tc>
        <w:tc>
          <w:tcPr>
            <w:tcW w:w="3840" w:type="dxa"/>
            <w:vAlign w:val="bottom"/>
          </w:tcPr>
          <w:p>
            <w:pPr>
              <w:jc w:val="right"/>
              <w:ind w:right="50"/>
              <w:spacing w:after="0"/>
              <w:rPr>
                <w:sz w:val="20"/>
                <w:szCs w:val="20"/>
                <w:color w:val="auto"/>
              </w:rPr>
            </w:pPr>
            <w:r>
              <w:rPr>
                <w:rFonts w:ascii="Arial" w:cs="Arial" w:eastAsia="Arial" w:hAnsi="Arial"/>
                <w:sz w:val="18"/>
                <w:szCs w:val="18"/>
                <w:color w:val="auto"/>
              </w:rPr>
              <w:t>$3,823.4</w:t>
            </w:r>
          </w:p>
        </w:tc>
        <w:tc>
          <w:tcPr>
            <w:tcW w:w="1340" w:type="dxa"/>
            <w:vAlign w:val="bottom"/>
          </w:tcPr>
          <w:p>
            <w:pPr>
              <w:jc w:val="right"/>
              <w:spacing w:after="0"/>
              <w:rPr>
                <w:sz w:val="20"/>
                <w:szCs w:val="20"/>
                <w:color w:val="auto"/>
              </w:rPr>
            </w:pPr>
            <w:r>
              <w:rPr>
                <w:rFonts w:ascii="Arial" w:cs="Arial" w:eastAsia="Arial" w:hAnsi="Arial"/>
                <w:sz w:val="18"/>
                <w:szCs w:val="18"/>
                <w:color w:val="auto"/>
              </w:rPr>
              <w:t>$3,853.1</w:t>
            </w:r>
          </w:p>
        </w:tc>
      </w:tr>
      <w:tr>
        <w:trPr>
          <w:trHeight w:val="27"/>
        </w:trPr>
        <w:tc>
          <w:tcPr>
            <w:tcW w:w="6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18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8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3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489.5</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840" w:type="dxa"/>
            <w:vAlign w:val="bottom"/>
          </w:tcPr>
          <w:p>
            <w:pPr>
              <w:jc w:val="right"/>
              <w:ind w:right="130"/>
              <w:spacing w:after="0"/>
              <w:rPr>
                <w:sz w:val="20"/>
                <w:szCs w:val="20"/>
                <w:color w:val="auto"/>
              </w:rPr>
            </w:pPr>
            <w:r>
              <w:rPr>
                <w:rFonts w:ascii="Arial" w:cs="Arial" w:eastAsia="Arial" w:hAnsi="Arial"/>
                <w:sz w:val="18"/>
                <w:szCs w:val="18"/>
                <w:color w:val="auto"/>
              </w:rPr>
              <w:t>258.2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61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18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840" w:type="dxa"/>
            <w:vAlign w:val="bottom"/>
          </w:tcPr>
          <w:p>
            <w:pPr>
              <w:jc w:val="right"/>
              <w:ind w:right="130"/>
              <w:spacing w:after="0"/>
              <w:rPr>
                <w:sz w:val="20"/>
                <w:szCs w:val="20"/>
                <w:color w:val="auto"/>
              </w:rPr>
            </w:pPr>
            <w:r>
              <w:rPr>
                <w:rFonts w:ascii="Arial" w:cs="Arial" w:eastAsia="Arial" w:hAnsi="Arial"/>
                <w:sz w:val="18"/>
                <w:szCs w:val="18"/>
                <w:color w:val="auto"/>
              </w:rPr>
              <w:t>286.5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281.6</w:t>
            </w:r>
          </w:p>
        </w:tc>
      </w:tr>
      <w:tr>
        <w:trPr>
          <w:trHeight w:val="27"/>
        </w:trPr>
        <w:tc>
          <w:tcPr>
            <w:tcW w:w="61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6"/>
                <w:szCs w:val="16"/>
                <w:i w:val="1"/>
                <w:iCs w:val="1"/>
                <w:color w:val="auto"/>
              </w:rPr>
              <w:t>(a)</w:t>
            </w:r>
          </w:p>
        </w:tc>
        <w:tc>
          <w:tcPr>
            <w:tcW w:w="3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$4,857.6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$4,894.5</w:t>
            </w:r>
          </w:p>
        </w:tc>
      </w:tr>
      <w:tr>
        <w:trPr>
          <w:trHeight w:val="20"/>
        </w:trPr>
        <w:tc>
          <w:tcPr>
            <w:tcW w:w="618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jc w:val="both"/>
        <w:ind w:left="340" w:hanging="332"/>
        <w:spacing w:after="0" w:line="254"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As a result of revised accounting guidance adopted in the first quarter of 2016, we reclassified unamortized debt issuance costs from Other Non-Current Assets to Long-Term Debt on the Consolidated Balance Sheet. Prior period segment assets have been revised to conform to the current presentation. (See Note 1. Operations and Significant Accounting Policies.)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066"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1040" w:right="239" w:bottom="1066"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2015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5 and “Risk Factors” located in Part I, Item 1A, beginning on page 25 of our 2015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2015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During the third quarter of 2015, management updated our reportable segment presentation to reflect the manner in which we operate,</w:t>
      </w:r>
      <w:r>
        <w:rPr>
          <w:rFonts w:ascii="Arial" w:cs="Arial" w:eastAsia="Arial" w:hAnsi="Arial"/>
          <w:sz w:val="17"/>
          <w:szCs w:val="17"/>
          <w:b w:val="1"/>
          <w:bCs w:val="1"/>
          <w:color w:val="auto"/>
        </w:rPr>
        <w:t xml:space="preserve"> </w:t>
      </w:r>
      <w:r>
        <w:rPr>
          <w:rFonts w:ascii="Arial" w:cs="Arial" w:eastAsia="Arial" w:hAnsi="Arial"/>
          <w:sz w:val="17"/>
          <w:szCs w:val="17"/>
          <w:color w:val="auto"/>
        </w:rPr>
        <w:t>assess, and allocate resources after our recent acquisitions. We now present three reportable segments, Regulated Operations, ALLETE Clean Energy and U.S. Water Services. Prior period amounts have been revised to conform with the current business segment presentation.</w:t>
      </w:r>
    </w:p>
    <w:p>
      <w:pPr>
        <w:spacing w:after="0" w:line="15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are under long-term power sales agreements. In addition, ALLETE Clean Energy constructed a 107 MW wind energy facility for sale to Montana-Dakota Utilities; construction and sale were completed in the fourth quarter of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is our integrated water management company which was acquired in February 2015.</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2016,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2016, to the six months ended June 30, 2015.</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attributable to ALLETE for the six months ended June 30, 2016, was $70.7 million, or $1.43 per diluted share, compared to $62.4 million, or $1.30 per diluted share, for the same period in 2015. Net income for 2015 included a $3.9 million after-tax expense, or $0.08 per share, for acquisition costs related to U.S. Water Services and ALLETE Clean Energy’s acquisitions. (See Note 3. Acquisitions.) In 2015, net income also included the recognition under percentage of completion accounting, of $1.5 million of after-tax estimated profit for the construction of a wind energy facility which was sold to Montana-Dakota Utilities in the fourth quarter of 2015. Net income for 2016 increased primarily due to higher net income at ALLETE Clean Energy. Earnings per share dilution was $0.05 due to additional shares of common stock outstanding as of June 30, 2016.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0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$65.0 million for the six months ended June 30, 2016, compared to $64.3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2015. Net income for 2016 increased primarily due to slightly higher net income at Minnesota Power resulting from lower operating and maintenance expenses, higher FERC formula-based rates, and higher cost recovery rider revenue. These increases were mostly offset by higher depreciation and property tax expenses, a decrease in kWh sales due to lower industrial sales and impacts of warmer temperatures in 2016. Our equity earnings in ATC and earnings at SWL&amp;P, for the six months ended June 30, 2016, were similar to the same period in 2015.</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net income attributable to ALLETE was $8.7 million for the six months ended June 30, 2016, compared to $5.5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2015. Net income for 2015 included a $0.9 million after-tax expense for acquisition costs related to the Chanarambie/Viking wind energy facilities. In 2015, net income also included the recognition under percentage of completion accounting, of $1.5 million of after-tax estimated profit for the construction of a wind energy facility which was sold to Montana-Dakota Utilities in the fourth quarter of 2015. Net income for 2016 increased primarily due to income generated from the operations of wind energy facilities acquired in April and July 2015.</w:t>
      </w:r>
    </w:p>
    <w:p>
      <w:pPr>
        <w:spacing w:after="0" w:line="1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net income attributable to ALLETE was similar for the six months ended June 30, 2016, compared to the period from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February 10, 2015, through June 30, 2015.</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loss attributable to ALLETE was $3.5 million for the six months ended June 30, 2016, compared to a net loss of $7.9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2015. In 2015, the net loss included a $3.0 million after-tax expense for acquisition costs related to U.S. Water Services.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JUNE 30, 2016 AND 2015</w:t>
            </w: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40" w:type="dxa"/>
            <w:vAlign w:val="bottom"/>
          </w:tcPr>
          <w:p>
            <w:pPr>
              <w:spacing w:after="0"/>
              <w:rPr>
                <w:sz w:val="24"/>
                <w:szCs w:val="24"/>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$234.9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78.1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80.1</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0.9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53.5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38.3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37"/>
        </w:trPr>
        <w:tc>
          <w:tcPr>
            <w:tcW w:w="440" w:type="dxa"/>
            <w:vAlign w:val="bottom"/>
          </w:tcPr>
          <w:p>
            <w:pPr>
              <w:spacing w:after="0"/>
              <w:rPr>
                <w:sz w:val="20"/>
                <w:szCs w:val="20"/>
                <w:color w:val="auto"/>
              </w:rPr>
            </w:pPr>
          </w:p>
        </w:tc>
        <w:tc>
          <w:tcPr>
            <w:tcW w:w="7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Operating Income</w:t>
            </w:r>
          </w:p>
        </w:tc>
        <w:tc>
          <w:tcPr>
            <w:tcW w:w="2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35.2</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440" w:type="dxa"/>
            <w:vAlign w:val="bottom"/>
          </w:tcPr>
          <w:p>
            <w:pPr>
              <w:spacing w:after="0"/>
              <w:rPr>
                <w:sz w:val="21"/>
                <w:szCs w:val="21"/>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284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440" w:type="dxa"/>
            <w:vAlign w:val="bottom"/>
          </w:tcPr>
          <w:p>
            <w:pPr>
              <w:spacing w:after="0"/>
              <w:rPr>
                <w:sz w:val="20"/>
                <w:szCs w:val="20"/>
                <w:color w:val="auto"/>
              </w:rPr>
            </w:pPr>
          </w:p>
        </w:tc>
        <w:tc>
          <w:tcPr>
            <w:tcW w:w="7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Non-Controlling Interest and Income Taxes</w:t>
            </w:r>
          </w:p>
        </w:tc>
        <w:tc>
          <w:tcPr>
            <w:tcW w:w="2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26.9</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4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40" w:type="dxa"/>
            <w:vAlign w:val="bottom"/>
          </w:tcPr>
          <w:p>
            <w:pPr>
              <w:spacing w:after="0"/>
              <w:rPr>
                <w:sz w:val="23"/>
                <w:szCs w:val="23"/>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440" w:type="dxa"/>
            <w:vAlign w:val="bottom"/>
          </w:tcPr>
          <w:p>
            <w:pPr>
              <w:spacing w:after="0"/>
              <w:rPr>
                <w:sz w:val="20"/>
                <w:szCs w:val="20"/>
                <w:color w:val="auto"/>
              </w:rPr>
            </w:pPr>
          </w:p>
        </w:tc>
        <w:tc>
          <w:tcPr>
            <w:tcW w:w="72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 Attributable to ALLETE</w:t>
            </w:r>
          </w:p>
        </w:tc>
        <w:tc>
          <w:tcPr>
            <w:tcW w:w="2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$22.6</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440" w:type="dxa"/>
            <w:vAlign w:val="bottom"/>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$4.9 million, or 2 percent, from 2015 primarily due to higher transmission revenue, kWh sales and FERC formula-based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partially offset by lower fuel adjustment clause recoveries and conservation improvement program recoveries.</w:t>
      </w:r>
    </w:p>
    <w:p>
      <w:pPr>
        <w:spacing w:after="0" w:line="17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Transmission revenue increased $6.0 million primarily due to period over period changes in our estimate of a refund liability related to MISO return on equity complaints and higher MISO-related revenue.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20"/>
          </w:cols>
          <w:pgMar w:left="240" w:top="1040"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QUARTERS ENDED JUNE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Despite relatively flat overall kWh sales, revenue increased $3.8 million from 2015 due mostly to higher pricing on our wholesale power sales agreements compared to last year. Sales to our industrial customers decreased 3.9 percent due to reduced taconite production. In addition, demand revenue from our industrial customers was down in 2016 as a result of lower demand nominations during the quarter. Sales to our residential and commercial customers increased 4.4 percent and 2.4 percent, respectively. Sales to our residential and commercial customers were higher due to colder average temperatures this year as heating degree days in Duluth, Minnesota, were approximately 10 percent higher in the second quarter of 2016 compared to the same period in 2015.</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339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50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1,513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02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2,276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2,320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1,185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1,113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06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50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3,461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3,433</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0"/>
        </w:trPr>
        <w:tc>
          <w:tcPr>
            <w:tcW w:w="50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17 percent of consolidated operating revenue in 2016 (19 percent in 2015). Revenue from electric sales to paper, pulp and secondary wood product customers accounted for 6 percent of consolidated operating revenue in 2016 (7 percent in 2015). Revenue from electric sales to pipelines and other industrial customers accounted for 8 percent of consolidated operating revenue in 2016 (6 percent in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from our wholesale customers under formula-based rates increased $1.1 million primarily due to environmental and other investments.</w:t>
      </w:r>
    </w:p>
    <w:p>
      <w:pPr>
        <w:spacing w:after="0" w:line="2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$3.5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$1.7 million from 2015 primarily due to a reduction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$3.7 million, or 2 percent, from 2015.</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$2.0 million, or 2 percent, from 2015 primarily due to lower purchased power prices compared to 2015,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partially offset by higher fuel costs in 2016.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$4.8 million, or 42 percent, from 2015 primarily due to period over period changes in our estimate of a refund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MISO transmission expense related to MISO return on equity complaints and higher MISO-related expense.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6. Regulatory Matters.)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$4.3 million, or 7 percent, from 2015 primarily due to lower benefit expenses. In addition, conservation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improvement program expenses were $1.7 million less than 2015. Conservation improvement program expenses are recovered from certain retail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$4.6 million, or 14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$0.7 million, or 6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20"/>
          </w:cols>
          <w:pgMar w:left="240" w:top="1039"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THE QUARTERS ENDED JUNE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$1.2 million, or 9 percent, from 2015 primarily due to lower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decreased $0.6 million, or 13 percent, from 2015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MISO return on equity complaints. Accruals for refund liabilities for the second quarter of 2016 were approximately $1.1 million higher than the second quarter of 2015.</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$2.1 million, or 95 percent, from 2015 primarily due to additional income tax expense recorded in 2016 as GAAP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the recognition of quarterly income tax expense at the estimated annual effective tax rate. The estimated annual effective tax rate can differ from what a quarterly effective tax rate would otherwise be on a standalone basis, and this may cause quarter to quarter differences in the timing of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4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6"/>
        </w:trPr>
        <w:tc>
          <w:tcPr>
            <w:tcW w:w="44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Quarter Ended June 30,</w:t>
            </w:r>
          </w:p>
        </w:tc>
        <w:tc>
          <w:tcPr>
            <w:tcW w:w="4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44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412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4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$15.2 million from 2015. Operating revenue in 2015 included the recognition under percentage of completion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$20.5 million in revenue for the construction of a wind energy facility which was sold to Montana-Dakota Utilities in the fourth quarter of 2015. The decrease in operating revenue was partially offset by revenue generated from the operations of wind energy facilities acquired in April and July 2015.</w:t>
      </w:r>
    </w:p>
    <w:p>
      <w:pPr>
        <w:spacing w:after="0" w:line="156"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w w:val="97"/>
              </w:rPr>
              <w:t>Quarter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w w:val="95"/>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1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63.5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66.4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39.1</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41.1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22.5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16.9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56.3</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55.8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64.5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57.6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48.8</w:t>
            </w:r>
          </w:p>
        </w:tc>
        <w:tc>
          <w:tcPr>
            <w:tcW w:w="12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Development Fee</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294.7</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$18.8</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237.8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decreased $0.4 million, or 13 percent, from 2015. Net income for 2015 included a $0.9 million after-tax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acquisition costs related to the Chanarambie/Viking wind energy facilities. In 2015, net income also included the recognition under percentage of completion accounting, of $1.5 million of after-tax estimated profit for the construction of a wind energy facility which was sold to Montana-Dakota Utilities in the fourth quarter of 2015.</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04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Arial" w:cs="Arial" w:eastAsia="Arial" w:hAnsi="Arial"/>
                <w:sz w:val="18"/>
                <w:szCs w:val="18"/>
                <w:b w:val="1"/>
                <w:bCs w:val="1"/>
                <w:color w:val="auto"/>
              </w:rPr>
              <w:t>COMPARISON OF THE QUARTERS ENDED JUNE 30, 2016 AND 2015 (Continued)</w:t>
            </w: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8"/>
                <w:szCs w:val="18"/>
                <w:b w:val="1"/>
                <w:bCs w:val="1"/>
                <w:color w:val="auto"/>
              </w:rPr>
              <w:t>U.S. Water Services</w:t>
            </w: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46"/>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Quarter Ended June 30,</w:t>
            </w:r>
          </w:p>
        </w:tc>
        <w:tc>
          <w:tcPr>
            <w:tcW w:w="23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2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$34.3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23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2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for 2016 was consistent with the same period in 2015. Revenue from chemical sales and related services, which includes recurring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contracts for the delivery and service of chemicals, increased 5.0% to $27.2 million in 2016 compared to $25.9 million in 2015. Revenue from equipment and related services, which includes sales of water treatment equipment, was $7.0 million for 2016 compared to $8.5 million in 2015. U.S. Water Services strives to provide a full-service product offering to customers including equipment, chemicals, engineering and service.</w:t>
      </w:r>
    </w:p>
    <w:p>
      <w:pPr>
        <w:spacing w:after="0" w:line="15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$0.4 million from 2015. Net income in 2015 included $0.6 million of after-tax expense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accounting fair value adjustments for inventories and sales backlog. 2016 also reflects increased investments in back office systems and support at U.S. Water Services as we create a platform for future growth.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$1.9 million, or 8 percent, from 2015 primarily due to an increase in land sales at ALLETE Properties.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decreased $3.0 million from 2015 primarily due to additional income tax expense recorded in 2015 as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recognition of quarterly income tax expense at the estimated annual effective tax rate. The estimated annual effective tax rate can differ from what a quarterly effective tax rate would otherwise be on a stand-alone basis, and this may cause quarter to quarter differences in the timing of income taxes. Slightly higher earnings at ALLETE Properties also contributed to the decrease in the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2016, the effective tax rate was 15.9 percent (22.3 percent for the 2015). The effective tax rate deviated from the combined statutory rate of approximately 41 percent primarily due to production tax credits. (See Note 9. Income Tax Expense.)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2016 AND 2015</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7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$487.2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155.0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166.1</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3.9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104.1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76.6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65.8</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37"/>
        </w:trPr>
        <w:tc>
          <w:tcPr>
            <w:tcW w:w="420" w:type="dxa"/>
            <w:vAlign w:val="bottom"/>
          </w:tcPr>
          <w:p>
            <w:pPr>
              <w:spacing w:after="0"/>
              <w:rPr>
                <w:sz w:val="20"/>
                <w:szCs w:val="20"/>
                <w:color w:val="auto"/>
              </w:rPr>
            </w:pPr>
          </w:p>
        </w:tc>
        <w:tc>
          <w:tcPr>
            <w:tcW w:w="73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2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89.7</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42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2760" w:type="dxa"/>
            <w:vAlign w:val="bottom"/>
          </w:tcPr>
          <w:p>
            <w:pPr>
              <w:jc w:val="right"/>
              <w:ind w:right="250"/>
              <w:spacing w:after="0"/>
              <w:rPr>
                <w:sz w:val="20"/>
                <w:szCs w:val="20"/>
                <w:color w:val="auto"/>
              </w:rPr>
            </w:pPr>
            <w:r>
              <w:rPr>
                <w:rFonts w:ascii="Arial" w:cs="Arial" w:eastAsia="Arial" w:hAnsi="Arial"/>
                <w:sz w:val="18"/>
                <w:szCs w:val="18"/>
                <w:color w:val="auto"/>
              </w:rPr>
              <w:t>8.9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420" w:type="dxa"/>
            <w:vAlign w:val="bottom"/>
          </w:tcPr>
          <w:p>
            <w:pPr>
              <w:spacing w:after="0"/>
              <w:rPr>
                <w:sz w:val="20"/>
                <w:szCs w:val="20"/>
                <w:color w:val="auto"/>
              </w:rPr>
            </w:pPr>
          </w:p>
        </w:tc>
        <w:tc>
          <w:tcPr>
            <w:tcW w:w="73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2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74.0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r>
      <w:tr>
        <w:trPr>
          <w:trHeight w:val="27"/>
        </w:trPr>
        <w:tc>
          <w:tcPr>
            <w:tcW w:w="4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7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37"/>
        </w:trPr>
        <w:tc>
          <w:tcPr>
            <w:tcW w:w="420" w:type="dxa"/>
            <w:vAlign w:val="bottom"/>
          </w:tcPr>
          <w:p>
            <w:pPr>
              <w:spacing w:after="0"/>
              <w:rPr>
                <w:sz w:val="20"/>
                <w:szCs w:val="20"/>
                <w:color w:val="auto"/>
              </w:rPr>
            </w:pPr>
          </w:p>
        </w:tc>
        <w:tc>
          <w:tcPr>
            <w:tcW w:w="73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2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$65.0</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4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$5.6 million, or 1 percent, from 2015 primarily due to lower fuel adjustment clause recoveries, kWh sales, conservation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program recoveries and gas sales, partially offset by higher FERC formula-based rates, cost recovery rider revenue and transmission revenue.</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$9.9 million due to lower fuel and purchased power costs attributable to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Regulated Operations decreased $3.5 million due to a 2.0 percent decrease in kWh sales. Sales to our industrial customers decreased 11.9 percent primarily due to reduced taconite production. In addition, demand revenue from our industrial customers was down in 2016 as a result of lower demand nominations. Sales to our residential, commercial and municipal customers have been impacted by warmer temperatures in 2016 compared to the same period in 2015. Heating degree days in Duluth, Minnesota, were approximately 4 percent lower in the first six months of 2016 compared to the same period in 2015. Sales to Other Power Suppliers are sold at market-based prices into the MISO market on a daily basis or through bilateral agreements of various durations, and increased 15.5 percent in 2016 compared to 2015. Revenue from Other Power Suppliers increased primarily as a result of more energy available for sale due to reduced demand from our taconite customers, and higher pricing on our wholesale power sales agreements compared to last year.</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707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3,107</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406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420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4,786</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5,243</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2,315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2,004</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311</w:t>
            </w:r>
          </w:p>
        </w:tc>
        <w:tc>
          <w:tcPr>
            <w:tcW w:w="1060" w:type="dxa"/>
            <w:vAlign w:val="bottom"/>
          </w:tcPr>
          <w:p>
            <w:pPr>
              <w:jc w:val="right"/>
              <w:spacing w:after="0"/>
              <w:rPr>
                <w:sz w:val="20"/>
                <w:szCs w:val="20"/>
                <w:color w:val="auto"/>
              </w:rPr>
            </w:pPr>
            <w:r>
              <w:rPr>
                <w:rFonts w:ascii="Arial" w:cs="Arial" w:eastAsia="Arial" w:hAnsi="Arial"/>
                <w:sz w:val="18"/>
                <w:szCs w:val="18"/>
                <w:color w:val="auto"/>
              </w:rPr>
              <w:t>15.5 %</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7,101</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7,247</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17 percent of consolidated operating revenue in 2016 (21 percent in 2015). Revenue from electric sales to paper, pulp and secondary wood product customers accounted for 6 percent of consolidated operating revenue in 2016 (7 percent in 2015). Revenue from electric sales to pipelines and other industrial customers accounted for 7 percent of consolidated operating revenue in 2016 (6 percent in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971"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40" w:top="1040" w:right="239" w:bottom="971"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COMPARISON OF THE SIX MONTHS ENDED JUNE 30, 2016 AND 2015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$3.8 million from 2015 primarily due to a reduction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Gas sales at SWL&amp;P decreased $1.8 million from 2015 as a result of warmer temperatures in 2016 compared to the same period in 2015. (See </w:t>
      </w:r>
      <w:r>
        <w:rPr>
          <w:rFonts w:ascii="Arial" w:cs="Arial" w:eastAsia="Arial" w:hAnsi="Arial"/>
          <w:sz w:val="18"/>
          <w:szCs w:val="18"/>
          <w:i w:val="1"/>
          <w:iCs w:val="1"/>
          <w:color w:val="auto"/>
        </w:rPr>
        <w:t>Cost of</w:t>
      </w:r>
      <w:r>
        <w:rPr>
          <w:rFonts w:ascii="Arial" w:cs="Arial" w:eastAsia="Arial" w:hAnsi="Arial"/>
          <w:sz w:val="18"/>
          <w:szCs w:val="18"/>
          <w:color w:val="auto"/>
        </w:rPr>
        <w:t xml:space="preserve"> </w:t>
      </w:r>
      <w:r>
        <w:rPr>
          <w:rFonts w:ascii="Arial" w:cs="Arial" w:eastAsia="Arial" w:hAnsi="Arial"/>
          <w:sz w:val="18"/>
          <w:szCs w:val="18"/>
          <w:i w:val="1"/>
          <w:iCs w:val="1"/>
          <w:color w:val="auto"/>
        </w:rPr>
        <w:t>Sales.</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Transmission revenue increased $5.3 million primarily due to period over period changes in our estimate of a refund liability related to MISO return on equity complaints. (See </w:t>
      </w:r>
      <w:r>
        <w:rPr>
          <w:rFonts w:ascii="Arial" w:cs="Arial" w:eastAsia="Arial" w:hAnsi="Arial"/>
          <w:sz w:val="18"/>
          <w:szCs w:val="18"/>
          <w:i w:val="1"/>
          <w:iCs w:val="1"/>
          <w:color w:val="auto"/>
        </w:rPr>
        <w:t>Operating Expenses - Transmission Services.</w:t>
      </w:r>
      <w:r>
        <w:rPr>
          <w:rFonts w:ascii="Arial" w:cs="Arial" w:eastAsia="Arial" w:hAnsi="Arial"/>
          <w:sz w:val="18"/>
          <w:szCs w:val="18"/>
          <w:color w:val="auto"/>
        </w:rPr>
        <w:t>)</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Cost recovery rider revenue increased $4.0 million primarily due to the completion of the Boswell Unit 4 environmental upgrade in the fourth quarter of 2015.</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Revenue from our wholesale customers under formula-based rates increased $2.9 million primarily due to additional environmental and other investments.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$6.3 million, or 2 percent, from 2015.</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decreased $11.1 million, or 7 percent, from 2015 primarily due to lower purchased power prices and kWh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 compared to 2015, partially offset by higher fuel costs in 2016.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$6.7 million, or 26 percent, from 2015 primarily due to period over period changes in our estimate of a refund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MISO transmission expense related to MISO return on equity complaints and higher MISO-related expense. (See </w:t>
      </w:r>
      <w:r>
        <w:rPr>
          <w:rFonts w:ascii="Arial" w:cs="Arial" w:eastAsia="Arial" w:hAnsi="Arial"/>
          <w:sz w:val="18"/>
          <w:szCs w:val="18"/>
          <w:i w:val="1"/>
          <w:iCs w:val="1"/>
          <w:color w:val="auto"/>
        </w:rPr>
        <w:t>Operating Revenue</w:t>
      </w:r>
      <w:r>
        <w:rPr>
          <w:rFonts w:ascii="Arial" w:cs="Arial" w:eastAsia="Arial" w:hAnsi="Arial"/>
          <w:sz w:val="18"/>
          <w:szCs w:val="18"/>
          <w:color w:val="auto"/>
        </w:rPr>
        <w:t xml:space="preserve"> and Note 6. Regulatory Matters.)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$1.6 million, or 29 percent, from 2015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$12.4 million, or 11 percent, from 2015 primarily due to lower salary and benefit expenses, a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sales tax refund received in the first quarter of 2016, and lower conservation improvement program expenses. Conservation improvement program expenses are recovered from certain retail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$10.8 million, or 16 percent, from 2015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$1.3 million, or 5 percent, from 2015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decreased $1.7 million, or 6 percent, from 2015 primarily due to lower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$0.3 million, or 3 percent, from 2015 primarily due to additional investment in ATC, partially offset by period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changes in ATC’s estimate of a refund liability related to MISO return on equity complaints. Accruals for refund liabilities for 2016 were approximately $0.4 million higher than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$1.6 million, or 22 percent, from 2015 primarily due to higher income before income taxes in 2016.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04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SIX MONTHS ENDED JUNE 30, 2016 AND 2015 (Continued)</w:t>
            </w:r>
          </w:p>
        </w:tc>
        <w:tc>
          <w:tcPr>
            <w:tcW w:w="2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20" w:type="dxa"/>
            <w:vAlign w:val="bottom"/>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$42.4</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43"/>
        </w:trPr>
        <w:tc>
          <w:tcPr>
            <w:tcW w:w="42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280" w:type="dxa"/>
            <w:vAlign w:val="bottom"/>
          </w:tcPr>
          <w:p>
            <w:pPr>
              <w:jc w:val="right"/>
              <w:ind w:right="210"/>
              <w:spacing w:after="0"/>
              <w:rPr>
                <w:sz w:val="20"/>
                <w:szCs w:val="20"/>
                <w:color w:val="auto"/>
              </w:rPr>
            </w:pPr>
            <w:r>
              <w:rPr>
                <w:rFonts w:ascii="Arial" w:cs="Arial" w:eastAsia="Arial" w:hAnsi="Arial"/>
                <w:sz w:val="18"/>
                <w:szCs w:val="18"/>
                <w:color w:val="auto"/>
              </w:rPr>
              <w:t>$8.7</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20" w:type="dxa"/>
            <w:vAlign w:val="bottom"/>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$4.0 million from 2015. Operating revenue in 2015 included the recognition under percentage of completion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$20.5 million in revenue for the construction of a wind energy facility which was sold to Montana-Dakota Utilities in the fourth quarter of 2015. The decrease in operating revenue was partially offset by revenue generated from the operations of wind energy facilities acquired in April and July 2015.</w:t>
      </w:r>
    </w:p>
    <w:p>
      <w:pPr>
        <w:spacing w:after="0" w:line="156"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0"/>
              </w:rPr>
              <w:t>Six Months Ended 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kWh</w:t>
            </w: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w w:val="98"/>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1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133.5</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148.4</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91.6</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98.1</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51.0</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37.7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120.3</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124.9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145.1</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57.6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140.8</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13.2</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Development Fee</w:t>
            </w: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682.3</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466.7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57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b w:val="1"/>
          <w:bCs w:val="1"/>
          <w:i w:val="1"/>
          <w:iCs w:val="1"/>
          <w:color w:val="auto"/>
        </w:rPr>
        <w:t xml:space="preserve">Net Income Attributable to ALLETE </w:t>
      </w:r>
      <w:r>
        <w:rPr>
          <w:rFonts w:ascii="Arial" w:cs="Arial" w:eastAsia="Arial" w:hAnsi="Arial"/>
          <w:sz w:val="16"/>
          <w:szCs w:val="16"/>
          <w:color w:val="auto"/>
        </w:rPr>
        <w:t>increased $3.2 million from 2015 primarily due to income generated from the operations of wind energy facilities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in April and July 2015. Net income for 2015 included a $0.9 million after-tax expense for acquisition costs related to the Chanarambie/Viking wind energy facilities. In 2015, net income also included the recognition under percentage of completion accounting, of $1.5 million of after-tax estimated profit for the construction of a wind energy facility which was sold to Montana-Dakota Utilities in the fourth quarter of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46"/>
        </w:trPr>
        <w:tc>
          <w:tcPr>
            <w:tcW w:w="7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720" w:type="dxa"/>
            <w:vAlign w:val="bottom"/>
          </w:tcPr>
          <w:p>
            <w:pPr>
              <w:jc w:val="right"/>
              <w:ind w:right="250"/>
              <w:spacing w:after="0"/>
              <w:rPr>
                <w:sz w:val="20"/>
                <w:szCs w:val="20"/>
                <w:color w:val="auto"/>
              </w:rPr>
            </w:pPr>
            <w:r>
              <w:rPr>
                <w:rFonts w:ascii="Arial" w:cs="Arial" w:eastAsia="Arial" w:hAnsi="Arial"/>
                <w:sz w:val="18"/>
                <w:szCs w:val="18"/>
                <w:b w:val="1"/>
                <w:bCs w:val="1"/>
                <w:color w:val="auto"/>
              </w:rPr>
              <w:t>Six Months Ended</w:t>
            </w: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rPr>
              <w:t>Period February 10, 2015</w:t>
            </w:r>
          </w:p>
        </w:tc>
      </w:tr>
      <w:tr>
        <w:trPr>
          <w:trHeight w:val="270"/>
        </w:trPr>
        <w:tc>
          <w:tcPr>
            <w:tcW w:w="720" w:type="dxa"/>
            <w:vAlign w:val="bottom"/>
          </w:tcPr>
          <w:p>
            <w:pPr>
              <w:spacing w:after="0"/>
              <w:rPr>
                <w:sz w:val="23"/>
                <w:szCs w:val="23"/>
                <w:color w:val="auto"/>
              </w:rPr>
            </w:pPr>
          </w:p>
        </w:tc>
        <w:tc>
          <w:tcPr>
            <w:tcW w:w="4660" w:type="dxa"/>
            <w:vAlign w:val="bottom"/>
          </w:tcPr>
          <w:p>
            <w:pPr>
              <w:spacing w:after="0"/>
              <w:rPr>
                <w:sz w:val="23"/>
                <w:szCs w:val="23"/>
                <w:color w:val="auto"/>
              </w:rPr>
            </w:pPr>
          </w:p>
        </w:tc>
        <w:tc>
          <w:tcPr>
            <w:tcW w:w="37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 2016</w:t>
            </w: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rPr>
              <w:t>Through June 30, 2015</w:t>
            </w:r>
          </w:p>
        </w:tc>
      </w:tr>
      <w:tr>
        <w:trPr>
          <w:trHeight w:val="27"/>
        </w:trPr>
        <w:tc>
          <w:tcPr>
            <w:tcW w:w="7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43"/>
        </w:trPr>
        <w:tc>
          <w:tcPr>
            <w:tcW w:w="720" w:type="dxa"/>
            <w:vAlign w:val="bottom"/>
          </w:tcPr>
          <w:p>
            <w:pPr>
              <w:spacing w:after="0"/>
              <w:rPr>
                <w:sz w:val="21"/>
                <w:szCs w:val="21"/>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3720" w:type="dxa"/>
            <w:vAlign w:val="bottom"/>
          </w:tcPr>
          <w:p>
            <w:pPr>
              <w:jc w:val="right"/>
              <w:ind w:right="250"/>
              <w:spacing w:after="0"/>
              <w:rPr>
                <w:sz w:val="20"/>
                <w:szCs w:val="20"/>
                <w:color w:val="auto"/>
              </w:rPr>
            </w:pPr>
            <w:r>
              <w:rPr>
                <w:rFonts w:ascii="Arial" w:cs="Arial" w:eastAsia="Arial" w:hAnsi="Arial"/>
                <w:sz w:val="18"/>
                <w:szCs w:val="18"/>
                <w:color w:val="auto"/>
              </w:rPr>
              <w:t>$66.7</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7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3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7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$16.8 million in 2016 compared to the period from February 10, 2015, to June 30, 2015. The results for 2015 reflect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the date of acquisition, February 10, 2015, through June 30, 2016, and therefore, do not reflect a full six months.</w:t>
      </w:r>
    </w:p>
    <w:p>
      <w:pPr>
        <w:spacing w:after="0" w:line="14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similar for the six months ended June 30, 2016, compared to the period from February 10, 2015, to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U.S. Water Services sells certain products which are seasonal in nature, with higher demand typically realized in warmer months. The results for 2015 reflect operations from the date of acquisition, February 10, 2015, through June 30, 2016, and therefore do not reflect a full six months. Net income for the six months ended June 30, 2016, included $0.3 million of after-tax expense related to purchase accounting fair value adjustments for inventories and sales backlog ($0.9 million from February 10, 2015, through June 30, 2015); these purchase accounting adjustments were fully recognized as of March 31, 2016. 2016 also reflects increased investments in back office systems and support at U.S. Water Services as we create a platform for future growth.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104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COMPARISON OF THE SIX MONTHS ENDED JUNE 30, 2016 AND 2015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$1.9 million, or 4 percent, from 2015 primarily due to a decrease in revenue at BNI Energy, which operates under cost-plus fixed fee contracts, as a result of lower expenses, partially offset by higher revenue from more coal delivered at BNI Energy. In addition, ALLETE Properties had more land sales in 2016 than 2015.</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decreased $4.4 million from 2015 primarily due to a $3.0 million after-tax expense in 2015 for acquisition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U.S. Water Services. Net income at BNI Energy increased to $3.7 million in 2016 compared to $3.2 million in 2015, and the net loss at ALLETE Properties decreased to $1.6 million in 2016 compared to $2.0 million in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For the six months ended June 30, 2016, the effective tax rate was 16.4 percent (16.8 percent for the six months ended June 30, 2015). The effective rate deviated from the combined statutory rate of approximately 41 percent primarily due to production tax credits. (See Note 9. Income Tax Expense.)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2015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2015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5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Regulated Operations to be approximately 85 percent to 90 percent of total consolidated net income in 2016.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2016. We are preparing for our next general rate case at Minnesota Power and expect to file in the fourth quarter of 2016.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03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the PSCW or the NDPSC.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6. Regulatory Matters for discussion of regulatory matters within our Minnesota, FERC, Wisconsin, and North Dakota jurisdictions.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industries. Approximately 41 percent of our regulated utility kWh sales in the six months ended June 30, 2016 (46 percent in the six months ended June 30, 2015) were made to our industrial customers in these industries.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customers capable of producing up to approximately 4 million tons of iron concentrate per year. Iron concentrate is used in the production of taconite pellets.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American Iron and Steel Institute (AISI), an association of North American steel producers, reported that U.S. raw steel production operated at approximately 72 percent of capacity during the first six months of 2016 compared to 73 percent in the first six months of 2015. Many steel producers reduced production in 2015, citing higher levels of imports and lower prices. Some Minnesota taconite and iron concentrate producers reduced production in 2015 in response to declining U.S. steel production. The World Steel Association, an association of over 150 steel producers, national and regional steel industry associations, and steel research institutes representing approximately 85 percent of world steel production, projected U.S. steel consumption in 2016 will increase compared to 2015. While steel consumption is expected to increase in the U.S. in 2016, there is a natural lag between U.S. steel consumption and Minnesota taconite production. The high level of imports and lower prices in 2015 continue to impact Minnesota taconite production in 2016. In 2015, petitions regarding unfairly traded cold-rolled, hot-rolled and corrosion-resistant steel products were filed by domestic steel producers with the U.S. Department of Commerce and U.S. International Trade Commission resulting in countervailing duty and antidumping investigations. The U.S. Department of Commerce has since made final affirmative determinations in the investigations for corrosion-resistant steel products and cold-rolled steel products as well as preliminary affirmative determinations in the investigations for hot-rolled steel products. The U.S. International Trade Commission has also made an affirmative ruling on corrosion-resistant steel products, concluding that investigation; final determinations for cold-rolled and hot-rolled steel products are expected in 2016. As a result of the affirmative determinations, cash deposits are collected on these products when imported from certain countries. According to the U.S. Census Bureau, May 2016 year-to-date imports for consumption of steel products are down approximately 30 percent compared to May 2015 year-to-date imports.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Long-term reductions in taconite production or a permanent shut down of a taconite customer may lead Minnesota Power to file a rate case to recover lost revenue.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Power’s Large Power taconite customers, subject to demand nomination requirements, nominate demand levels for their energy needs each December, March, and August for four-month periods. Based on nominations received on July 29, 2016, Minnesota Power’s Large Power taconite customers nominated at approximately 90 percent of full demand levels for September through December of 2016.</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proactively sells power that is temporarily not required by industrial customers in the wholesale power markets to optimize the value of its generating facilities. Minnesota Power has remarketed a significant portion of the power not expected to be taken by the idled taconite facilities and is well positioned to serve the power needs for those facilities in the event they resume production sooner than currently indicated.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color w:val="auto"/>
        </w:rPr>
        <w:t>. In the second quarter of 2015, USS Corporation temporarily idled its Minnesota Ore Operations - Keetac plant in Keewatin,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and a portion of its 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In the third quarter of 2015, USS Corporation returned its Minntac plant to full production. USS Corporation’s Keetac plant remains idled. Both facilities are Large Power Customers of Minnesota Power. USS Corporation has the capability to produce approximately 5 million tons and 15 million tons of taconite annually at its Keetac and Minntac plants, respectively.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2015, Magnetation announced that it had reached an agreement with holders of more than 70 percent of its 11.0 percent senior secured</w:t>
      </w:r>
      <w:r>
        <w:rPr>
          <w:rFonts w:ascii="Arial" w:cs="Arial" w:eastAsia="Arial" w:hAnsi="Arial"/>
          <w:sz w:val="17"/>
          <w:szCs w:val="17"/>
          <w:i w:val="1"/>
          <w:iCs w:val="1"/>
          <w:color w:val="auto"/>
        </w:rPr>
        <w:t xml:space="preserve"> </w:t>
      </w:r>
      <w:r>
        <w:rPr>
          <w:rFonts w:ascii="Arial" w:cs="Arial" w:eastAsia="Arial" w:hAnsi="Arial"/>
          <w:sz w:val="17"/>
          <w:szCs w:val="17"/>
          <w:color w:val="auto"/>
        </w:rPr>
        <w:t>notes due in 2018 to restructure its balance sheet and provide liquidity to support long-term operations. To implement this restructuring, Magnetation announced that it had filed voluntary petitions for reorganization under Chapter 11 of the Bankruptcy Code in the United States Bankruptcy Court for the District of Minnesota, citing the significant decrease in global iron ore prices and its existing capital structure.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Magnetation stated that it intends to continue to pay suppliers and vendors in full under normal terms for goods and services provided after the bankruptcy filing date. Minnesota Power has received payment of all pre-petition amounts due from Magnetation.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Magnetation’s Plant 4 iron concentrate facility is a Large Power Customer of Minnesota Power. In July 2015, Minnesota Power filed a petition with the MPUC for approval of a new electric service agreement for service to both Magnetation’s Plant 2 and Plant 4 facilities, with a term through at least December 31, 2025. This electric service agreement was approved by the MPUC in an order dated February 2, 2016, and was subsequently approved by the bankruptcy court.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6, 2016, Magnetation announced a temporary production curtailment at its Plant 2 iron concentrate facility in Bovey, Minnesota, effective January 18, 2016, in order to balance its production with its customers’ needs.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United Taconite</w:t>
      </w:r>
      <w:r>
        <w:rPr>
          <w:rFonts w:ascii="Arial" w:cs="Arial" w:eastAsia="Arial" w:hAnsi="Arial"/>
          <w:sz w:val="17"/>
          <w:szCs w:val="17"/>
          <w:i w:val="1"/>
          <w:iCs w:val="1"/>
          <w:color w:val="auto"/>
        </w:rPr>
        <w:t xml:space="preserve">. </w:t>
      </w:r>
      <w:r>
        <w:rPr>
          <w:rFonts w:ascii="Arial" w:cs="Arial" w:eastAsia="Arial" w:hAnsi="Arial"/>
          <w:sz w:val="17"/>
          <w:szCs w:val="17"/>
          <w:color w:val="auto"/>
        </w:rPr>
        <w:t>In August 2015, Cliffs temporarily idled its United Taconite plant in Eveleth, Minnesota, citing high levels of inventories, lower demand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its customers, and the high rate of imported steel. On June 9, 2016, Cliffs announced it will be restarting operations at its United Taconite plant in August 2016 following the announcements of Cliffs’ 10-year supply agreement with a major steel client and additional business contracted with another customer. United Taconite has the capability to produce approximately 5 million tons of taconite annually. On May 23, 2016, Minnesota Power extended its electric service agreements with Cliffs for 10 years at Cliffs' United Taconite and Babbitt facilities, subject to regulatory approval.</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23, 2016, Minnesota Power entered into multiple agreements with Cliffs and its subsidiaries. Under one of the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paid $31.0 million in cash as part of a long-term power sales agreement through 2031 between Minnesota Power and Silver Bay Power. Silver Bay Power provides the majority of the electric service requirements for Northshore Mining, which has the capability to produce approximately 6 million tons of taconite annually. (See Note 13. Commitments, Guarantees and Contingencies.)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Nashwauk Public Utilities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8, 2016, Minnesota Governor Dayton instructed the Minnesota Department of Natural Resources to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Essar’s mineral lease agreements with the state. Governor Dayton stated that Essar failed to pay full amounts owed to Minnesota contractors and show it has the ability to carry its current construction project through to completion, or provide reliable assurances that it will be able to do so in the foreseeable future.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Essar filed for bankruptcy protection on July 8, 2016, under Chapter 11 of the Bankruptcy Code in the United States Bankruptcy Court for the District of Delaware. In its filings Essar stated that it has arranged funding sources and intends to continue its project in Minnesota post-bankruptcy. Essar is a retail customer of the Nashwauk Public Utilities Commission, and Minnesota Power has a wholesale electric sales agreement with the Nashwauk Public Utilities Commission for electric service through at least June 2028. Essar also makes ongoing payments to Minnesota Power for electric transmission infrastructure costs. Essar’s pre-petition debt to Minnesota Power is not material.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agreements for providing energy and capacity to Essar, Essar is obligated to increase “take or pay” payments on July 1, 2016. Minnesota Power, the Nashwauk Public Utilities Commission and Essar will propose to the bankruptcy court that the agreements will remain in place and payments under them will continue through at least December 2016. This agreement will require bankruptcy court approval, and we cannot predict the outcome of the bankruptcy court’s action.</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PolyMet</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a long-term contract with PolyMet, which is planning to start a new copper-nickel and precious metal (non-ferrous) mining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in northeastern Minnesota. In November 2015, PolyMet announced the completion of the final EIS by state and federal agencies, which was subsequently published in the Federal Register and Minnesota Environmental Quality Board Monitor. The Minnesota Department of Natural Resources issued its Record of Decision on March 3, 2016, finding the final EIS adequate. The 30-day period allowed by law to challenge the Record of Decision passed without any legal challenges being filed. On July 11, 2016, PolyMet submitted applications for water-related permits with the State of Minnesota which are expected to be followed by the submission of the remaining permit applications in 2016. The final EIS also requires Records of Decision by the federal agencies, which are expected in 2016, before final action can be taken on the required permits to construct and operate the mining operation. Minnesota Power could supply between 45 MW and 50 MW of load under a ten-year power supply contract that would begin upon start-up of the mining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Louisiana-Pacific Corporation</w:t>
      </w:r>
      <w:r>
        <w:rPr>
          <w:rFonts w:ascii="Arial" w:cs="Arial" w:eastAsia="Arial" w:hAnsi="Arial"/>
          <w:sz w:val="18"/>
          <w:szCs w:val="18"/>
          <w:color w:val="auto"/>
        </w:rPr>
        <w:t>. Louisiana-Pacific Corporation recently announced that it is considering the construction of a wood siding plant at the Laskin</w:t>
      </w:r>
      <w:r>
        <w:rPr>
          <w:rFonts w:ascii="Arial" w:cs="Arial" w:eastAsia="Arial" w:hAnsi="Arial"/>
          <w:sz w:val="18"/>
          <w:szCs w:val="18"/>
          <w:i w:val="1"/>
          <w:iCs w:val="1"/>
          <w:color w:val="auto"/>
        </w:rPr>
        <w:t xml:space="preserve"> </w:t>
      </w:r>
      <w:r>
        <w:rPr>
          <w:rFonts w:ascii="Arial" w:cs="Arial" w:eastAsia="Arial" w:hAnsi="Arial"/>
          <w:sz w:val="18"/>
          <w:szCs w:val="18"/>
          <w:color w:val="auto"/>
        </w:rPr>
        <w:t>Energy Park in Hoyt Lakes, Minnesota, at a total estimated cost of approximately $400 million. The plant would be located in Minnesota Power’s service territory, and employ about 250 people.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2013, Minnesota Power announced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improving environmental performance. The plan includes completed and planned investments in wind and hydroelectric power, the addition of natural gas as a generation fuel source, and the installation of emissions control technology. Significant elements of the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plan include:</w:t>
      </w:r>
    </w:p>
    <w:p>
      <w:pPr>
        <w:spacing w:after="0" w:line="166"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The Bison Wind Energy Center added 205 MW of capacity in the fourth quarter of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installation of emissions control technology at Boswell Unit 4 completed in December 2015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which was completed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of Taconite Harbor Unit 3, one of three coal-fired units at Taconite Harbor, which was retired in May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2015, Minnesota Power announced the next steps in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idling of Taconite Harbor Units 1 and 2 in the fall of 2016 and the ceasing of coal-fired operations there in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Adding between 200 MW and 300 MW of cleaner and flexible natural gas-fired generation to Minnesota Power’s portfolio within the next decade.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Integrated Resource Plan (IRP). </w:t>
      </w:r>
      <w:r>
        <w:rPr>
          <w:rFonts w:ascii="Arial" w:cs="Arial" w:eastAsia="Arial" w:hAnsi="Arial"/>
          <w:sz w:val="16"/>
          <w:szCs w:val="16"/>
          <w:color w:val="auto"/>
        </w:rPr>
        <w:t>In a November 2013 order, the MPUC approved Minnesota Power’s 2013 IRP which detailed elements of its</w:t>
      </w:r>
      <w:r>
        <w:rPr>
          <w:rFonts w:ascii="Arial" w:cs="Arial" w:eastAsia="Arial" w:hAnsi="Arial"/>
          <w:sz w:val="16"/>
          <w:szCs w:val="16"/>
          <w:i w:val="1"/>
          <w:iCs w:val="1"/>
          <w:color w:val="auto"/>
        </w:rPr>
        <w:t xml:space="preserve"> EnergyForward </w:t>
      </w:r>
      <w:r>
        <w:rPr>
          <w:rFonts w:ascii="Arial" w:cs="Arial" w:eastAsia="Arial" w:hAnsi="Arial"/>
          <w:sz w:val="16"/>
          <w:szCs w:val="16"/>
          <w:color w:val="auto"/>
        </w:rPr>
        <w:t xml:space="preserve">strategic plan, announced in January 2013. In September 2015, Minnesota Power filed its 2015 IRP with the MPUC which contains the next steps in its </w:t>
      </w:r>
      <w:r>
        <w:rPr>
          <w:rFonts w:ascii="Arial" w:cs="Arial" w:eastAsia="Arial" w:hAnsi="Arial"/>
          <w:sz w:val="16"/>
          <w:szCs w:val="16"/>
          <w:i w:val="1"/>
          <w:iCs w:val="1"/>
          <w:color w:val="auto"/>
        </w:rPr>
        <w:t xml:space="preserve">EnergyForward </w:t>
      </w:r>
      <w:r>
        <w:rPr>
          <w:rFonts w:ascii="Arial" w:cs="Arial" w:eastAsia="Arial" w:hAnsi="Arial"/>
          <w:sz w:val="16"/>
          <w:szCs w:val="16"/>
          <w:color w:val="auto"/>
        </w:rPr>
        <w:t>strategic plan, and includes an analysis of a variety of existing and future energy resource alternatives and a projection of customer cost</w:t>
      </w:r>
      <w:r>
        <w:rPr>
          <w:rFonts w:ascii="Arial" w:cs="Arial" w:eastAsia="Arial" w:hAnsi="Arial"/>
          <w:sz w:val="16"/>
          <w:szCs w:val="16"/>
          <w:i w:val="1"/>
          <w:iCs w:val="1"/>
          <w:color w:val="auto"/>
        </w:rPr>
        <w:t xml:space="preserve"> </w:t>
      </w:r>
      <w:r>
        <w:rPr>
          <w:rFonts w:ascii="Arial" w:cs="Arial" w:eastAsia="Arial" w:hAnsi="Arial"/>
          <w:sz w:val="16"/>
          <w:szCs w:val="16"/>
          <w:color w:val="auto"/>
        </w:rPr>
        <w:t>impact by class. In an order dated July 18, 2016,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Minnesota Power’s next IRP must be filed by February 1, 2018.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In February 2007, Minnesota enacted a law requiring 25 percent of electric utilities’ applicable retail and municipal energy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Power’s 2015 IRP, which was filed with the MPUC in September 2015 and approved with modifications by the MPUC in an order dated July 18, 2016, includes an update on its plans and progress in meeting the Minnesota renewable energy milestones through 2025.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it meets the identified state mandate at the lowest cost for customers. Minnesota Power has exceeded the interim milestone requirements to date and expects approximately 30 percent of its applicable retail and municipal energy sales will be supplied by renewable energy sources in 2016.</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Minnesota Solar Energy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2013, legislation was enacted by the state of Minnesota requiring at least 1.5 percent of total retail electric sales,</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two solar projects under development. In August 2015, Minnesota Power filed for MPUC approval of a 10 MW utility scale solar project at Camp Ripley, a Minnesota Army National Guard base and training facility near Little Falls, Minnesota. In an order dated February 24, 2016, the MPUC approved the Camp Ripley solar project as eligible to meet the solar energy standard and for current cost recovery, subject to certain compliance requirements. In September 2015, Minnesota Power filed for MPUC approval of a community solar garden project in Duluth, Minnesota, which is comprised of a 1 MW solar array to be owned and operated by a third party with the output purchased by Minnesota Power and a 40 kW solar array that will be owned and operated by Minnesota Power. In an order dated July 27, 2016, the MPUC approved the community solar garden project and cost recovery, subject to certain compliance requirements. Minnesota Power believes these projects will meet approximately one-third of the overall mandate. Additionally, on June 1, 2016, Minnesota Power filed a proposal with the MPUC to increase the amount of solar rebates available for customer-sited solar installations and recover costs of the program through Minnesota Power’s renewable cost recovery rider. If approved, Minnesota Power expects the projects to meet part of the mandate related to solar photovoltaic devices with a nameplate capacity of 20 kW or less.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the 497 MW Bison Wind Energy Center located in North Dakota, and the 25 MW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Ridge Energy Center located in northeastern Minnesota. Minnesota Power also has two long-term wind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Updated customer billing rates for the renewable cost recovery rider, which includes investments and expenditures related to the Bison Wind Energy Center, were approved by the MPUC in an order dated March 9, 2016, allowing Minnesota Power to charge retail customers on a current basis for the costs of constructing certain renewable investments plus a return on the capital invested. While approving the updated customer billing rates for the renewable cost recovery rider, the MPUC also allowed Minnesota Power additional time to submit support for its position on its utilization of North Dakota investment tax credits.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Minnesota Power accounts for North Dakota investment tax credits based on long-standing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has recorded a regulatory liability for North Dakota investment tax credits generated by its jurisdictional activity and expected to be realized in the future. North Dakota investment tax credits attributable to ALLETE’s apportionment and income of ALLETE’s other subsidiaries are included in the ALLETE consolidated group. The Minnesota Department of Commerce (Department) has inquired about our use of the North Dakota investment tax credits, taking the position that all North Dakota investment tax credits generated from the Bison Wind Energy Center should be credited to Minnesota Power ratepayers. The MPUC did not come to a decision on this issue in its order dated March 9, 2016, but requested that Minnesota Power provide further support on its position which was submitted on April 8, 2016. On April 22, 2016, the Department submitted additional comments restating its position that the tax credits should be credited to ratepayers.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North Dakota investment tax credits recognized by ALLETE as of June 30, 2016, total approximately $8 million, which represents the amount of North Dakota investment tax credits that the Department believes should be refunded to ratepayers. Minnesota Power will appropriately consider all avenues of appeal should an adverse decision be issued by the MPUC.</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In September 2015, Manitoba Hydro submitted the final preferred route and EIS for the additional transmission capacity in Canada to Manitoba Conservation and Water Stewardship for regulatory approval. Construction of Manitoba Hydro’s hydroelectric generation facility commenced in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July 2014, Minnesota Power and Manitoba Hydro signed a fourth PPA that provides for Minnesota Power to purchase up to 133 MW of energy from Manitoba Hydro for 20 years beginning in 2020. The pricing under this PPA is based on forward market prices. The PPA was approved by the MPUC in an order dated January 30, 2015, and is subject to the construction of the GNTL.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October 2015, Minnesota Power and Manitoba Hydro signed a fifth PPA that provides for Minnesota Power to purchase 50 MW of capacity at fixed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PPA begins in June 2017 and expires in May 2020.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Boswell Mercury Emissions Reduction Plan. </w:t>
      </w:r>
      <w:r>
        <w:rPr>
          <w:rFonts w:ascii="Arial" w:cs="Arial" w:eastAsia="Arial" w:hAnsi="Arial"/>
          <w:sz w:val="18"/>
          <w:szCs w:val="18"/>
          <w:color w:val="auto"/>
        </w:rPr>
        <w:t>Minnesota Power has an approved environmental improvement rider in place for investments and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implementation of the Boswell Unit 4 mercury emissions reduction plan completed in 2015. Customer billing rates for the environmental improvement rider were approved by the MPUC in August 2015. In September 2015, Minnesota Power filed an updated environmental improvement factor filing which included updated costs associated with Boswell Unit 4. Upon approval of the filing, Minnesota Power will be authorized to include updated billing rates on customer bills.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GNTL is subject to various federal and state regulatory approvals. In October 2013, a certificate of need application was filed with the MPUC which was approved in a June 2015 order. Based on this order, Minnesota Power’s portion of the investments and expenditures for the project are eligible for cost recovery under its existing transmission cost recovery rider and are anticipated to be included in future transmission factor filings. (See Note 6. Regulatory Matters.) In a December 2015 order, the FERC approved our request to recover on construction work in progress related to the GNTL from Minnesota Power’s wholesale customers. In April 2014, Minnesota Power filed a route permit application with the MPUC and a request for a presidential permit to cross the U.S.-Canadian border with the U.S. Department of Energy. In an order dated April 11, 2016, the MPUC approved the route permit which largely follows Minnesota Power’s preferred route, including the international border crossing. A final decision on the presidential permit by the U.S. Department of Energy is expected in the third quarter of 2016. Manitoba Hydro must also obtain regulatory and governmental approvals related to a new transmission line in Canada. In September 2015, Manitoba Hydro submitted the final preferred route and EIS for the transmission line in Canada to the Manitoba Conservation and Water Stewardship for regulatory approval. Construction of Manitoba Hydro’s hydroelectric generation facility commenced in 2014. Upon receipt of all applicable permits and approvals, construction of the GNTL is expected to begin by 2017 and to be completed in 2020. Total project cost in the U.S., including substation work, is estimated to be between $560 million and $710 million. Minnesota Power is expected to have majority ownership of the transmission line.</w:t>
      </w:r>
    </w:p>
    <w:p>
      <w:pPr>
        <w:spacing w:after="0" w:line="18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parts of Wisconsin, Michigan, Minnesota and Illinois. As of June 30, 2016, our equity investment in ATC was $129.0 million ($124.5 million as of December 31, 2015). In the first six months of 2016, we invested $1.6 million in ATC, and on July 29, 2016, we invested an additional $1.9 million. We expect to make additional investments of approximately $2.7 million in 2016. (See Note 7. Investment in ATC.)</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2013, several customer groups located within the MISO service area filed complaints with the FERC requesting, among other things, a reduction in the base return on equity used by MISO transmission owners, including ATC, to 9.15 percent. In December 2015, a federal administrative law judge ruled on the November 2013 complaint proposing a reduction in the base return on equity to 10.32 percent, subject to approval or adjustment by the FERC. A final decision from the FERC on the administrative law judge’s recommendation is expected in 2016.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2015, an additional complaint was filed with the FERC seeking an order to further reduce the base return on equity to 8.67 percent. On June 30, 2016, a federal administrative law judge ruled on the February 2015 complaint proposing a further reduction in the base return on equity to 9.70 percent, subject to approval or adjustment by the FERC. A final decision from the FERC on the administrative law judge’s recommendation is expected in 2017. On January 6, 2015, the FERC approved an incentive adder of up to 50 basis points on the allowed base return on equity for our participation in a regional transmission organization, subject to the outcome of the return on equity complaints. Our equity earnings in ATC continue to be impacted by these reductions for estimated refunds and reflect these administrative law judge recommendations. ATC's current authorized return on equity is 12.2 percent. We own approximately 8 percent of ATC and estimate that for every 50 basis point reduction in ATC’s allowed return on equity our equity earnings in ATC would be impacted annually by approximately $0.5 million after-tax ($0.9 million pre-tax).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are under long-term power sales agreements. In addition, ALLETE Clean Energy constructed a 107 MW wind energy facility for sale to Montana-Dakota Utilities; construction and sale were completed in the fourth quarter of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 believes the market for renewable energy in North America is robust, driven by several factors including environmental regulation, tax incentives, societal expectations and continual technology advances. The recent Clean Power Plan is an example of an environmental regulation that we believe will drive renewable energy development.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ALLETE Clean Energy’s strategy includes the safe, reliable, optimal and profitable operation of its existing facilities. This includes a strong safety culture, the continuous pursuit of operational efficiencies at existing facilities, and cost controls. While ALLETE Clean Energy generally acquires facilities in liquid power markets, ALLETE Clean Energy’s strategy also includes the exploration of power sales agreement extensions upon expiration of existing contracts.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will pursue steady growth through acquisitions or project development for others. ALLETE Clean Energy is targeting acquisitions of existing facilities with a purchase price in the $50 million to $100 million range, and which have long-term power sales agreements in place for the facility’s output. At this time, ALLETE Clean Energy expects acquisitions will be primarily wind or solar facilities in North America.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ALLETE Clean Energy will manage risk by having a diverse portfolio of assets, which will include power sales contract expiration and geographic diversity.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mix of power sales agreement expiration and geographic location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PPA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PPA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PPA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February 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December 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PPA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April 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10, 2015, ALLETE acquired U.S. Water Services. Headquartered in St. Michael, Minnesota, 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4,600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U.S. Water Services principally relies upon recurring revenues from a diverse mix of industrial customers. U.S. Water Services’ sells certain products which are seasonal in nature, with higher demand typically realized in warmer months. The results for 2015 reflect operations from the date of acquisition, February 10, 2015, through June 30, 2015, and therefore, do not reflect a full six months.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North American presence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and Other is comprised of BNI Energy, our coal mining operations in North Dakota, ALLETE Properties, our legacy Florida real estate investment, other business development and corporate expenditures, unallocated interest expense, a small amount of non-rate base generation, approximately 5,000 acres of land in Minnesota, and earnings on cash and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4.3 million tons of coal in 2016 (4.3 million tons were sold in 2015) and has sold 2.3 million tons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(2.1 million tons were sold as of June 30, 2015). BNI Energy operates under cost-plus fixed fee agreements extending through December 31, 2037.</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legacy Florida real estate investment. Market conditions can impact land sales and could result in our</w:t>
      </w:r>
      <w:r>
        <w:rPr>
          <w:rFonts w:ascii="Arial" w:cs="Arial" w:eastAsia="Arial" w:hAnsi="Arial"/>
          <w:sz w:val="16"/>
          <w:szCs w:val="16"/>
          <w:i w:val="1"/>
          <w:iCs w:val="1"/>
          <w:color w:val="auto"/>
        </w:rPr>
        <w:t xml:space="preserve"> </w:t>
      </w:r>
      <w:r>
        <w:rPr>
          <w:rFonts w:ascii="Arial" w:cs="Arial" w:eastAsia="Arial" w:hAnsi="Arial"/>
          <w:sz w:val="16"/>
          <w:szCs w:val="16"/>
          <w:color w:val="auto"/>
        </w:rPr>
        <w:t>inability to cover our cost basis, operating expenses or fixed carrying costs such as community development district assessments and property taxes.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20"/>
          </w:cols>
          <w:pgMar w:left="240" w:top="1040"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Properties’ major projects are Town Center at Palm Coast, Palm Coast Park and Ormond Crossings. Separately, the Lake Swamp wetland mitigation bank was permitted on land that was previously part of Ormond Crossings.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projects and the mitigation bank, ALLETE Properties has approximately 1,100 acres of other land available-for-sale.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41 percent for 2016. On an ongoing basis, ALLETE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non-controlling interest and income taxes, state and federal tax law changes that become effective during the year, business combinations, tax planning initiatives and resolution of prior years’ tax matters. We expect our effective tax rate to be approximately 16 percent for 2016 primarily due to federal production tax credits as a result of wind energy generation. We also expect that our effective tax rate will be lower than the combined statutory rate over the next nine years due to production tax credits attributable to our wind energy generation.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June 30, 2016,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$91.9 million, $395.2 million in available consolidated lines of credit and a debt-to-capital ratio of 46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27"/>
        </w:trPr>
        <w:tc>
          <w:tcPr>
            <w:tcW w:w="6040" w:type="dxa"/>
            <w:vAlign w:val="bottom"/>
          </w:tcPr>
          <w:p>
            <w:pPr>
              <w:spacing w:after="0"/>
              <w:rPr>
                <w:sz w:val="24"/>
                <w:szCs w:val="24"/>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6040" w:type="dxa"/>
            <w:vAlign w:val="bottom"/>
          </w:tcPr>
          <w:p>
            <w:pPr>
              <w:spacing w:after="0"/>
              <w:rPr>
                <w:sz w:val="20"/>
                <w:szCs w:val="20"/>
                <w:color w:val="auto"/>
              </w:rPr>
            </w:pPr>
          </w:p>
        </w:tc>
        <w:tc>
          <w:tcPr>
            <w:tcW w:w="2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$1,852.1</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$1,820.2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1,575.2</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1,605.0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0.9</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$3,428.2</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$3,429.0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0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8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6"/>
        </w:trPr>
        <w:tc>
          <w:tcPr>
            <w:tcW w:w="850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w:t>
            </w:r>
          </w:p>
        </w:tc>
        <w:tc>
          <w:tcPr>
            <w:tcW w:w="18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85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8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$97.0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8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146.2</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860" w:type="dxa"/>
            <w:vAlign w:val="bottom"/>
          </w:tcPr>
          <w:p>
            <w:pPr>
              <w:jc w:val="right"/>
              <w:ind w:right="370"/>
              <w:spacing w:after="0"/>
              <w:rPr>
                <w:sz w:val="20"/>
                <w:szCs w:val="20"/>
                <w:color w:val="auto"/>
              </w:rPr>
            </w:pPr>
            <w:r>
              <w:rPr>
                <w:rFonts w:ascii="Arial" w:cs="Arial" w:eastAsia="Arial" w:hAnsi="Arial"/>
                <w:sz w:val="18"/>
                <w:szCs w:val="18"/>
                <w:color w:val="auto"/>
              </w:rPr>
              <w:t>(73.9)</w:t>
            </w:r>
          </w:p>
        </w:tc>
        <w:tc>
          <w:tcPr>
            <w:tcW w:w="1060" w:type="dxa"/>
            <w:vAlign w:val="bottom"/>
          </w:tcPr>
          <w:p>
            <w:pPr>
              <w:jc w:val="right"/>
              <w:spacing w:after="0"/>
              <w:rPr>
                <w:sz w:val="20"/>
                <w:szCs w:val="20"/>
                <w:color w:val="auto"/>
              </w:rPr>
            </w:pPr>
            <w:r>
              <w:rPr>
                <w:rFonts w:ascii="Arial" w:cs="Arial" w:eastAsia="Arial" w:hAnsi="Arial"/>
                <w:sz w:val="18"/>
                <w:szCs w:val="18"/>
                <w:color w:val="auto"/>
              </w:rPr>
              <w:t>(371.2)</w:t>
            </w:r>
          </w:p>
        </w:tc>
      </w:tr>
      <w:tr>
        <w:trPr>
          <w:trHeight w:val="27"/>
        </w:trPr>
        <w:tc>
          <w:tcPr>
            <w:tcW w:w="8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(77.4)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37"/>
        </w:trPr>
        <w:tc>
          <w:tcPr>
            <w:tcW w:w="8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8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(5.1)</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85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$91.9</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0"/>
        </w:trPr>
        <w:tc>
          <w:tcPr>
            <w:tcW w:w="85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$146.2 million for the six months ended June 30, 2016 ($182.3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Cash from operating activities was lower in 2016 primarily due to contract billings in excess of construction costs and estimated earnings related to the wind facility developed by ALLETE Clean Energy for sale to Montana-Dakota Utilities in 2015, and payment of $31.0 million made as part of a long-term power sales agreement between Minnesota Power and Silver Bay Power, partially offset by higher recoveries under cost recovery riders, the timing of accounts payable payments and lower fuel inventory purchases.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1040"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for investing activities was $73.9 million for the six months ended June 30, 2016 ($371.2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2015). The decrease in cash used for investing activities was primarily due to $214.4 million used in 2015, net of cash acquired, for the acquisition of U.S. Water Services in February 2015 and ALLETE Clean Energy’s April 2015 acquisition, as well as $65.7 million of lower capital expenditures in 2016.</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$77.4 million for the six months ended June 30, 2016 ($103.7 million from financing activities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2015). The decrease in cash from financing activities was primarily due to $133.0 million in lower proceeds from issuance of common stock and higher repayments of long-term debt of $28.7 million in 2016.</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the sale of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 paper. As of June 30, 2016, we had consolidated bank lines of credit aggregating $408.4 million ($408.4 million as of December 31, 2015), the majority of which expire in November 2018. We had $12.3 million outstanding in standby letters of credit and $0.9 million outstanding in draws under our lines of credit as of June 30, 2016 ($12.4 million in standby letters of credit and $1.6 million outstanding in draws as of December 31, 2015). In addition, as of June 30, 2016, we had 3.6 million original issue shares of our common stock available for issuance through Invest Direct, our direct stock purchase and dividend reinvestment plan, and 4.0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2008, as amended most recently in February 2015,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up to an aggregate of 13.6 million shares of our common stock, without par value, of which 4.0 million remain available for issuance. For the six months ended June 30, 2016, no shares of common stock were issued under this agreement (1.3 million shares were issued for the six months ended June 30, 2015, resulting in net proceeds of $69.9 million). The shares issued in 2015 were offered and sold pursuant to Registration Statement No. 333-190335.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2016, we issued 0.3 million shares of common stock through Invest Direct, the Employee Stock Purchase Plan, and the Retirement Savings and Stock Ownership Plan, resulting in net proceeds of $15.2 million (0.2 million shares were issued for the six months ended June 30, 2015, resulting in net proceeds of $12.9 million). These shares of common stock were registered under Registration Statement Nos. 333-211075, 333-188315, 333-183051 and 333-162890.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In 2016, we expect to make $2.0 million in contributions to our defined benefit pension plan and we do not expect to make any contributions to our other postretirement benefit plan. (See Note 12.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2015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2016 are expected to be approximately $195 million. For the six months ended June 30, 2016,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totaled $51.9 million ($117.9 million for the six months ended June 30, 2015). The expenditures were primarily made in the Regulated Operations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We anticipate that although many of the state and federal environmental regulations have been finalized, or will be finalized in the near future, potential expenditures for future environmental matters may be material and may require significant capital investments. We are unable to predict the outcome of the issues discussed in Note 13. Commitments, Guarantees and Contingencies.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04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ALLETE had 2,008 employees, of which 1,933 were full-time.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557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177 employees, of which 131 are members of IBEW Local 1593. The current labor agreement with IBEW Local 1593 expires on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June 30, 2016,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June 30, 2016, an increase of 100 basis points in interest rates would impact the amount of pretax interest expense by $1.7 million. This amount was determined by considering the impact of a hypothetical 100 basis point increase to the average variable interest rate on the variable rate debt outstanding as of June 30, 2016.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20"/>
          </w:cols>
          <w:pgMar w:left="240" w:top="104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2016,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our 2015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2015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04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31(a)</w:t>
            </w:r>
          </w:p>
        </w:tc>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31(b)</w:t>
            </w:r>
          </w:p>
        </w:tc>
        <w:tc>
          <w:tcPr>
            <w:tcW w:w="2300" w:type="dxa"/>
            <w:vAlign w:val="bottom"/>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tcPr>
          <w:p>
            <w:pPr>
              <w:ind w:left="2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p>
      <w:pPr>
        <w:ind w:left="1300" w:right="20" w:hanging="1265"/>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5" w:lineRule="exact"/>
        <w:rPr>
          <w:sz w:val="20"/>
          <w:szCs w:val="20"/>
          <w:color w:val="auto"/>
        </w:rPr>
      </w:pPr>
    </w:p>
    <w:p>
      <w:pPr>
        <w:jc w:val="both"/>
        <w:ind w:left="1300" w:right="40" w:hanging="1265"/>
        <w:spacing w:after="0" w:line="307"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ALLETE News Release dated August 3, 2016, announcing 2016 second quarter earnings. </w:t>
      </w:r>
      <w:r>
        <w:rPr>
          <w:rFonts w:ascii="Arial" w:cs="Arial" w:eastAsia="Arial" w:hAnsi="Arial"/>
          <w:sz w:val="16"/>
          <w:szCs w:val="16"/>
          <w:b w:val="1"/>
          <w:bCs w:val="1"/>
          <w:color w:val="auto"/>
        </w:rPr>
        <w:t>(This exhibit has been furnished and shall not</w:t>
      </w:r>
      <w:r>
        <w:rPr>
          <w:rFonts w:ascii="Arial" w:cs="Arial" w:eastAsia="Arial" w:hAnsi="Arial"/>
          <w:sz w:val="16"/>
          <w:szCs w:val="16"/>
          <w:color w:val="auto"/>
        </w:rPr>
        <w:t xml:space="preserve"> </w:t>
      </w:r>
      <w:r>
        <w:rPr>
          <w:rFonts w:ascii="Arial" w:cs="Arial" w:eastAsia="Arial" w:hAnsi="Arial"/>
          <w:sz w:val="16"/>
          <w:szCs w:val="16"/>
          <w:b w:val="1"/>
          <w:bCs w:val="1"/>
          <w:color w:val="auto"/>
        </w:rPr>
        <w:t>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Second Quarter 2016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04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August 3, 2016</w:t>
            </w:r>
          </w:p>
        </w:tc>
        <w:tc>
          <w:tcPr>
            <w:tcW w:w="5800" w:type="dxa"/>
            <w:vAlign w:val="bottom"/>
          </w:tcPr>
          <w:p>
            <w:pPr>
              <w:jc w:val="center"/>
              <w:spacing w:after="0"/>
              <w:rPr>
                <w:sz w:val="20"/>
                <w:szCs w:val="20"/>
                <w:color w:val="auto"/>
              </w:rPr>
            </w:pPr>
            <w:r>
              <w:rPr>
                <w:rFonts w:ascii="Arial" w:cs="Arial" w:eastAsia="Arial" w:hAnsi="Arial"/>
                <w:sz w:val="18"/>
                <w:szCs w:val="18"/>
                <w:color w:val="auto"/>
                <w:w w:val="90"/>
              </w:rPr>
              <w:t>/s/ Steven Q. DeVinck</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Q. DeVinck</w:t>
            </w:r>
          </w:p>
        </w:tc>
      </w:tr>
      <w:tr>
        <w:trPr>
          <w:trHeight w:val="270"/>
        </w:trPr>
        <w:tc>
          <w:tcPr>
            <w:tcW w:w="55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August 3, 2016</w:t>
            </w: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7"/>
        </w:trPr>
        <w:tc>
          <w:tcPr>
            <w:tcW w:w="2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r>
      <w:tr>
        <w:trPr>
          <w:trHeight w:val="270"/>
        </w:trPr>
        <w:tc>
          <w:tcPr>
            <w:tcW w:w="270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0" w:type="dxa"/>
            <w:vAlign w:val="bottom"/>
          </w:tcPr>
          <w:p>
            <w:pPr>
              <w:jc w:val="center"/>
              <w:spacing w:after="0"/>
              <w:rPr>
                <w:sz w:val="20"/>
                <w:szCs w:val="20"/>
                <w:color w:val="auto"/>
              </w:rPr>
            </w:pPr>
            <w:r>
              <w:rPr>
                <w:rFonts w:ascii="Arial" w:cs="Arial" w:eastAsia="Arial" w:hAnsi="Arial"/>
                <w:sz w:val="18"/>
                <w:szCs w:val="18"/>
                <w:color w:val="auto"/>
                <w:w w:val="94"/>
              </w:rPr>
              <w:t>Controller</w:t>
            </w:r>
          </w:p>
        </w:tc>
      </w:tr>
      <w:tr>
        <w:trPr>
          <w:trHeight w:val="588"/>
        </w:trPr>
        <w:tc>
          <w:tcPr>
            <w:tcW w:w="2700" w:type="dxa"/>
            <w:vAlign w:val="bottom"/>
          </w:tcPr>
          <w:p>
            <w:pPr>
              <w:spacing w:after="0"/>
              <w:rPr>
                <w:sz w:val="24"/>
                <w:szCs w:val="24"/>
                <w:color w:val="auto"/>
              </w:rPr>
            </w:pPr>
          </w:p>
        </w:tc>
        <w:tc>
          <w:tcPr>
            <w:tcW w:w="8680" w:type="dxa"/>
            <w:vAlign w:val="bottom"/>
            <w:gridSpan w:val="2"/>
          </w:tcPr>
          <w:p>
            <w:pPr>
              <w:ind w:left="1580"/>
              <w:spacing w:after="0"/>
              <w:rPr>
                <w:sz w:val="20"/>
                <w:szCs w:val="20"/>
                <w:color w:val="auto"/>
              </w:rPr>
            </w:pPr>
            <w:r>
              <w:rPr>
                <w:rFonts w:ascii="Arial" w:cs="Arial" w:eastAsia="Arial" w:hAnsi="Arial"/>
                <w:sz w:val="14"/>
                <w:szCs w:val="14"/>
                <w:color w:val="auto"/>
              </w:rPr>
              <w:t>ALLETE, Inc. Second Quarter 2016 Form 10-Q</w:t>
            </w:r>
          </w:p>
        </w:tc>
      </w:tr>
    </w:tbl>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04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June 30, 2016,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 2016</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3, 2016</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61" w:name="page62"/>
    <w:bookmarkEnd w:id="61"/>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For the six months ended June 30, 2016, BNI Energy, owner of Center Mine, received no significant and substantial (S&amp;S) citations under Section 104(a) of the Mine Safety Act. In 2013, BNI Energy had a S&amp;S citation under Section 104(a) of the Mine and Safety Act for which the Mine Safety and Health Administration proposed a penalty of $52,500; a hearing case has been filed in relation to this penalty. For the six months ended June 30, 2016,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62" w:name="page63"/>
    <w:bookmarkEnd w:id="62"/>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20"/>
          </w:cols>
          <w:pgMar w:left="240" w:top="845" w:right="23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August 3, 2016</w:t>
      </w:r>
    </w:p>
    <w:p>
      <w:pPr>
        <w:spacing w:after="0" w:line="96" w:lineRule="exact"/>
        <w:rPr>
          <w:sz w:val="20"/>
          <w:szCs w:val="20"/>
          <w:color w:val="auto"/>
        </w:rPr>
      </w:pPr>
    </w:p>
    <w:p>
      <w:pPr>
        <w:sectPr>
          <w:pgSz w:w="11900" w:h="16838" w:orient="portrait"/>
          <w:cols w:equalWidth="0" w:num="2">
            <w:col w:w="7940" w:space="720"/>
            <w:col w:w="2760"/>
          </w:cols>
          <w:pgMar w:left="240" w:top="845" w:right="23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60"/>
          </w:cols>
          <w:pgMar w:left="240" w:top="845" w:right="23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20"/>
          </w:cols>
          <w:pgMar w:left="240" w:top="8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second quarter 2016 earnings</w:t>
      </w:r>
    </w:p>
    <w:p>
      <w:pPr>
        <w:spacing w:after="0" w:line="200" w:lineRule="exact"/>
        <w:rPr>
          <w:sz w:val="20"/>
          <w:szCs w:val="20"/>
          <w:color w:val="auto"/>
        </w:rPr>
      </w:pPr>
    </w:p>
    <w:p>
      <w:pPr>
        <w:spacing w:after="0" w:line="2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DULUTH, Minn. - ALLETE, Inc. (NYSE: ALE) today reported second quarter 2016 earnings of 50 cents per share on net income of $24.8 million and operating revenue of $314.8 million. Last year’s results were 46 cents per share on net income of $22.5 million and operating revenue of $323.3 million, and included profit recognition of $1.5 million after-tax, or 3 cents per share, for the construction of a wind energy facility which was sold to Montana-Dakota Utilities in the fourth quarter of 2015. Net income in 2015 also included acquisition costs of $0.9 million, or 2 cents per share.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encouraged by developments in the quarter that point to improved future production levels for Minnesota Power’s taconite customers", said ALLETE Chairman, President and CEO Al Hodnik. “As expected, second quarter results were impacted by lower sales to taconite customers, and we continued to proactively manage the impact by utilizing the wholesale power markets and tightening operating and maintenance expenses."</w:t>
      </w:r>
    </w:p>
    <w:p>
      <w:pPr>
        <w:spacing w:after="0" w:line="16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ALLETE’s Regulated Operations segment, which includes Minnesota Power, Superior Water, Light and Power, and the Company’s investment in the American Transmission Co. (ATC), recorded net income of $22.6 million, a decrease of $0.7 million from 2015 second quarter net income. At Minnesota Power, lower industrial sales and higher depreciation and property tax expenses were partially offset by increased sales to other power suppliers and lower operating and maintenance expense. In addition, our equity earnings in ATC decreased $0.4 million after-tax, due to period over period changes in ATC’s estimate of a refund liability related to Midwest Independent System Operator return on equity complaints.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ALLETE’s Energy Infrastructure and Related Services businesses, which include ALLETE Clean Energy and U.S. Water Services, recorded net income of $2.6 million and $1.0 million, respectively. Earnings at ALLETE Clean Energy decreased $0.4 million primarily due to 2015 results including the previously mentioned profit recognition of $1.5 million after-tax for the construction and sale of a wind energy facility to Montana-Dakota Utilities in 2015. Net income at ALLETE Clean Energy in 2016 also included higher earnings from a full quarter of a wind energy facility acquired in July of 2015, and $0.9 million of lower acquisition costs. Earnings at U.S. Water Services increased $0.4 million reflecting lower amortization expense related to purchase accounting adjustments from the 2015 acquisition. 2016 also reflects increased investments in back office systems and support at U.S. Water Services as we create a platform for future growth.</w:t>
      </w:r>
    </w:p>
    <w:p>
      <w:pPr>
        <w:spacing w:after="0" w:line="18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Corporate and Other segment, which includes BNI Energy and ALLETE Properties, posted a net loss of $1.4 million for the quarter, compared to a net loss of $4.4 million in 2015. The decreased loss was primarily the result of lower income tax expense compared to the second quarter of 2015.</w:t>
      </w:r>
    </w:p>
    <w:p>
      <w:pPr>
        <w:spacing w:after="0" w:line="14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and earnings guidance. Interested parties may listen live by calling (877) 303-5852, or by accessing the webcast at www.allete.com. A replay of the call will be available through August 7, 2016 by calling (855) 859-2056, pass code 43088897. The webcast will be accessible for one year at </w:t>
      </w:r>
      <w:r>
        <w:rPr>
          <w:rFonts w:ascii="Arial" w:cs="Arial" w:eastAsia="Arial" w:hAnsi="Arial"/>
          <w:sz w:val="17"/>
          <w:szCs w:val="17"/>
          <w:u w:val="single" w:color="auto"/>
          <w:color w:val="0000FF"/>
        </w:rPr>
        <w:t>www.allete.com</w:t>
      </w:r>
      <w:r>
        <w:rPr>
          <w:rFonts w:ascii="Arial" w:cs="Arial" w:eastAsia="Arial" w:hAnsi="Arial"/>
          <w:sz w:val="17"/>
          <w:szCs w:val="17"/>
          <w:color w:val="auto"/>
        </w:rPr>
        <w:t>.</w:t>
      </w:r>
    </w:p>
    <w:p>
      <w:pPr>
        <w:spacing w:after="0" w:line="166"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Center,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ectPr>
          <w:pgSz w:w="11900" w:h="16838" w:orient="portrait"/>
          <w:cols w:equalWidth="0" w:num="1">
            <w:col w:w="11420"/>
          </w:cols>
          <w:pgMar w:left="240" w:top="845" w:right="239" w:bottom="1440" w:gutter="0" w:footer="0" w:header="0"/>
          <w:type w:val="continuous"/>
        </w:sectPr>
      </w:pPr>
    </w:p>
    <w:bookmarkStart w:id="63" w:name="page64"/>
    <w:bookmarkEnd w:id="63"/>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4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5900" w:type="dxa"/>
            <w:vAlign w:val="bottom"/>
          </w:tcPr>
          <w:p>
            <w:pPr>
              <w:spacing w:after="0"/>
              <w:rPr>
                <w:sz w:val="23"/>
                <w:szCs w:val="23"/>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3"/>
                <w:szCs w:val="23"/>
                <w:color w:val="auto"/>
              </w:rPr>
            </w:pPr>
          </w:p>
        </w:tc>
      </w:tr>
      <w:tr>
        <w:trPr>
          <w:trHeight w:val="270"/>
        </w:trPr>
        <w:tc>
          <w:tcPr>
            <w:tcW w:w="5900" w:type="dxa"/>
            <w:vAlign w:val="bottom"/>
          </w:tcPr>
          <w:p>
            <w:pPr>
              <w:spacing w:after="0"/>
              <w:rPr>
                <w:sz w:val="23"/>
                <w:szCs w:val="23"/>
                <w:color w:val="auto"/>
              </w:rPr>
            </w:pPr>
          </w:p>
        </w:tc>
        <w:tc>
          <w:tcPr>
            <w:tcW w:w="2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w w:val="89"/>
              </w:rPr>
              <w:t>2015</w:t>
            </w:r>
          </w:p>
        </w:tc>
        <w:tc>
          <w:tcPr>
            <w:tcW w:w="13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2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$314.8</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$323.3</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$648.6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78.1</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80.1</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155.0</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16.1</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11.3</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32.9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33.4</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52.3</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66.7</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82.0</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85.4</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160.1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165.1</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48.7</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41.3</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96.8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14.3</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13.4</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28.1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272.6</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283.8</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539.6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42.2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39.5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109.0</w:t>
            </w: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80" w:type="dxa"/>
            <w:vAlign w:val="bottom"/>
          </w:tcPr>
          <w:p>
            <w:pPr>
              <w:jc w:val="right"/>
              <w:ind w:right="330"/>
              <w:spacing w:after="0"/>
              <w:rPr>
                <w:sz w:val="20"/>
                <w:szCs w:val="20"/>
                <w:color w:val="auto"/>
              </w:rPr>
            </w:pPr>
            <w:r>
              <w:rPr>
                <w:rFonts w:ascii="Arial" w:cs="Arial" w:eastAsia="Arial" w:hAnsi="Arial"/>
                <w:sz w:val="18"/>
                <w:szCs w:val="18"/>
                <w:color w:val="auto"/>
              </w:rPr>
              <w:t>(17.4)</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(16.2)</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(34.3)</w:t>
            </w:r>
          </w:p>
        </w:tc>
        <w:tc>
          <w:tcPr>
            <w:tcW w:w="7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4.1</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4.7</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8.9</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Other</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0.6</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0.7</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24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(12.7)</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13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4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29.5</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28.7</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85.2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4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24.8</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22.3</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71.2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2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$24.8</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$22.5</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$70.7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2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380"/>
              <w:spacing w:after="0"/>
              <w:rPr>
                <w:sz w:val="20"/>
                <w:szCs w:val="20"/>
                <w:color w:val="auto"/>
              </w:rPr>
            </w:pPr>
            <w:r>
              <w:rPr>
                <w:rFonts w:ascii="Arial" w:cs="Arial" w:eastAsia="Arial" w:hAnsi="Arial"/>
                <w:sz w:val="18"/>
                <w:szCs w:val="18"/>
                <w:color w:val="auto"/>
              </w:rPr>
              <w:t>Basic</w:t>
            </w:r>
          </w:p>
        </w:tc>
        <w:tc>
          <w:tcPr>
            <w:tcW w:w="2480" w:type="dxa"/>
            <w:vAlign w:val="bottom"/>
          </w:tcPr>
          <w:p>
            <w:pPr>
              <w:jc w:val="right"/>
              <w:ind w:right="390"/>
              <w:spacing w:after="0"/>
              <w:rPr>
                <w:sz w:val="20"/>
                <w:szCs w:val="20"/>
                <w:color w:val="auto"/>
              </w:rPr>
            </w:pPr>
            <w:r>
              <w:rPr>
                <w:rFonts w:ascii="Arial" w:cs="Arial" w:eastAsia="Arial" w:hAnsi="Arial"/>
                <w:sz w:val="18"/>
                <w:szCs w:val="18"/>
                <w:color w:val="auto"/>
              </w:rPr>
              <w:t>49.3</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48.6</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49.2</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49.5</w:t>
            </w:r>
          </w:p>
        </w:tc>
        <w:tc>
          <w:tcPr>
            <w:tcW w:w="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48.7</w:t>
            </w:r>
          </w:p>
        </w:tc>
        <w:tc>
          <w:tcPr>
            <w:tcW w:w="13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49.3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2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$0.50</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$0.46</w:t>
            </w:r>
          </w:p>
        </w:tc>
        <w:tc>
          <w:tcPr>
            <w:tcW w:w="13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$1.44</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24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$0.50</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$0.46</w:t>
            </w:r>
          </w:p>
        </w:tc>
        <w:tc>
          <w:tcPr>
            <w:tcW w:w="13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2480" w:type="dxa"/>
            <w:vAlign w:val="bottom"/>
          </w:tcPr>
          <w:p>
            <w:pPr>
              <w:jc w:val="right"/>
              <w:ind w:right="310"/>
              <w:spacing w:after="0"/>
              <w:rPr>
                <w:sz w:val="20"/>
                <w:szCs w:val="20"/>
                <w:color w:val="auto"/>
              </w:rPr>
            </w:pPr>
            <w:r>
              <w:rPr>
                <w:rFonts w:ascii="Arial" w:cs="Arial" w:eastAsia="Arial" w:hAnsi="Arial"/>
                <w:sz w:val="18"/>
                <w:szCs w:val="18"/>
                <w:color w:val="auto"/>
              </w:rPr>
              <w:t>$0.52</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$0.505</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9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Jun. 30,</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Jun. 30,</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84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$91.9</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384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$271.6</w:t>
            </w:r>
          </w:p>
        </w:tc>
        <w:tc>
          <w:tcPr>
            <w:tcW w:w="84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3,631.3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3,669.1</w:t>
            </w:r>
          </w:p>
        </w:tc>
        <w:tc>
          <w:tcPr>
            <w:tcW w:w="3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595.1</w:t>
            </w:r>
          </w:p>
        </w:tc>
        <w:tc>
          <w:tcPr>
            <w:tcW w:w="840" w:type="dxa"/>
            <w:vAlign w:val="bottom"/>
          </w:tcPr>
          <w:p>
            <w:pPr>
              <w:jc w:val="right"/>
              <w:spacing w:after="0"/>
              <w:rPr>
                <w:sz w:val="20"/>
                <w:szCs w:val="20"/>
                <w:color w:val="auto"/>
              </w:rPr>
            </w:pPr>
            <w:r>
              <w:rPr>
                <w:rFonts w:ascii="Arial" w:cs="Arial" w:eastAsia="Arial" w:hAnsi="Arial"/>
                <w:sz w:val="18"/>
                <w:szCs w:val="18"/>
                <w:color w:val="auto"/>
              </w:rPr>
              <w:t>579.8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359.1</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372.0</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384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204.5</w:t>
            </w:r>
          </w:p>
        </w:tc>
        <w:tc>
          <w:tcPr>
            <w:tcW w:w="84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3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215.2</w:t>
            </w:r>
          </w:p>
        </w:tc>
        <w:tc>
          <w:tcPr>
            <w:tcW w:w="384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1,852.1</w:t>
            </w:r>
          </w:p>
        </w:tc>
        <w:tc>
          <w:tcPr>
            <w:tcW w:w="840" w:type="dxa"/>
            <w:vAlign w:val="bottom"/>
          </w:tcPr>
          <w:p>
            <w:pPr>
              <w:jc w:val="right"/>
              <w:spacing w:after="0"/>
              <w:rPr>
                <w:sz w:val="20"/>
                <w:szCs w:val="20"/>
                <w:color w:val="auto"/>
              </w:rPr>
            </w:pPr>
            <w:r>
              <w:rPr>
                <w:rFonts w:ascii="Arial" w:cs="Arial" w:eastAsia="Arial" w:hAnsi="Arial"/>
                <w:sz w:val="18"/>
                <w:szCs w:val="18"/>
                <w:color w:val="auto"/>
              </w:rPr>
              <w:t>1,822.4</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38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$4,857.6</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$4,894.5</w:t>
            </w:r>
          </w:p>
        </w:tc>
        <w:tc>
          <w:tcPr>
            <w:tcW w:w="3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$4,894.5</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1400" w:type="dxa"/>
            <w:vAlign w:val="bottom"/>
          </w:tcPr>
          <w:p>
            <w:pPr>
              <w:spacing w:after="0"/>
              <w:rPr>
                <w:sz w:val="20"/>
                <w:szCs w:val="20"/>
                <w:color w:val="auto"/>
              </w:rPr>
            </w:pPr>
          </w:p>
        </w:tc>
        <w:tc>
          <w:tcPr>
            <w:tcW w:w="310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2520" w:type="dxa"/>
            <w:vAlign w:val="bottom"/>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spacing w:after="0"/>
              <w:rPr>
                <w:sz w:val="23"/>
                <w:szCs w:val="23"/>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3"/>
                <w:szCs w:val="23"/>
                <w:color w:val="auto"/>
              </w:rPr>
            </w:pPr>
          </w:p>
        </w:tc>
      </w:tr>
      <w:tr>
        <w:trPr>
          <w:trHeight w:val="270"/>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2520" w:type="dxa"/>
            <w:vAlign w:val="bottom"/>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400" w:type="dxa"/>
            <w:vAlign w:val="bottom"/>
          </w:tcPr>
          <w:p>
            <w:pPr>
              <w:jc w:val="right"/>
              <w:ind w:right="910"/>
              <w:spacing w:after="0"/>
              <w:rPr>
                <w:sz w:val="20"/>
                <w:szCs w:val="20"/>
                <w:color w:val="auto"/>
              </w:rPr>
            </w:pPr>
            <w:r>
              <w:rPr>
                <w:rFonts w:ascii="Arial" w:cs="Arial" w:eastAsia="Arial" w:hAnsi="Arial"/>
                <w:sz w:val="18"/>
                <w:szCs w:val="18"/>
                <w:b w:val="1"/>
                <w:bCs w:val="1"/>
                <w:color w:val="auto"/>
                <w:w w:val="94"/>
              </w:rPr>
              <w:t>2015</w:t>
            </w:r>
          </w:p>
        </w:tc>
        <w:tc>
          <w:tcPr>
            <w:tcW w:w="190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2016</w:t>
            </w:r>
          </w:p>
        </w:tc>
        <w:tc>
          <w:tcPr>
            <w:tcW w:w="12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25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$22.6</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$23.3</w:t>
            </w:r>
          </w:p>
        </w:tc>
        <w:tc>
          <w:tcPr>
            <w:tcW w:w="1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$65.0</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$64.3</w:t>
            </w:r>
          </w:p>
        </w:tc>
      </w:tr>
      <w:tr>
        <w:trPr>
          <w:trHeight w:val="216"/>
        </w:trPr>
        <w:tc>
          <w:tcPr>
            <w:tcW w:w="4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2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2520" w:type="dxa"/>
            <w:vAlign w:val="bottom"/>
          </w:tcPr>
          <w:p>
            <w:pPr>
              <w:jc w:val="right"/>
              <w:ind w:right="890"/>
              <w:spacing w:after="0"/>
              <w:rPr>
                <w:sz w:val="20"/>
                <w:szCs w:val="20"/>
                <w:color w:val="auto"/>
              </w:rPr>
            </w:pPr>
            <w:r>
              <w:rPr>
                <w:rFonts w:ascii="Arial" w:cs="Arial" w:eastAsia="Arial" w:hAnsi="Arial"/>
                <w:sz w:val="18"/>
                <w:szCs w:val="18"/>
                <w:color w:val="auto"/>
              </w:rPr>
              <w:t>2.6</w:t>
            </w:r>
          </w:p>
        </w:tc>
        <w:tc>
          <w:tcPr>
            <w:tcW w:w="140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8.7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5.5</w:t>
            </w: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25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1.0</w:t>
            </w:r>
          </w:p>
        </w:tc>
        <w:tc>
          <w:tcPr>
            <w:tcW w:w="14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9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0.5</w:t>
            </w:r>
          </w:p>
        </w:tc>
      </w:tr>
      <w:tr>
        <w:trPr>
          <w:trHeight w:val="216"/>
        </w:trPr>
        <w:tc>
          <w:tcPr>
            <w:tcW w:w="4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5"/>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5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(4.4)</w:t>
            </w:r>
          </w:p>
        </w:tc>
        <w:tc>
          <w:tcPr>
            <w:tcW w:w="1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(3.5)</w:t>
            </w: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(7.9)</w:t>
            </w:r>
          </w:p>
        </w:tc>
      </w:tr>
      <w:tr>
        <w:trPr>
          <w:trHeight w:val="237"/>
        </w:trPr>
        <w:tc>
          <w:tcPr>
            <w:tcW w:w="4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25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$24.8</w:t>
            </w:r>
          </w:p>
        </w:tc>
        <w:tc>
          <w:tcPr>
            <w:tcW w:w="14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$22.5</w:t>
            </w:r>
          </w:p>
        </w:tc>
        <w:tc>
          <w:tcPr>
            <w:tcW w:w="1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$70.7</w:t>
            </w: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$62.4</w:t>
            </w: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5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$0.50</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$0.46</w:t>
            </w:r>
          </w:p>
        </w:tc>
        <w:tc>
          <w:tcPr>
            <w:tcW w:w="1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$1.43</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$1.30</w:t>
            </w:r>
          </w:p>
        </w:tc>
      </w:tr>
      <w:tr>
        <w:trPr>
          <w:trHeight w:val="588"/>
        </w:trPr>
        <w:tc>
          <w:tcPr>
            <w:tcW w:w="4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25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2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High</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$64.69</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$52.98</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$64.69</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$59.73</w:t>
            </w: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$53.47</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$46.27</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$48.26</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$46.27</w:t>
            </w: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Close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$64.63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$46.39</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$64.63</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$46.39</w:t>
            </w: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$37.51</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$36.37</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$37.51</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$36.37</w:t>
            </w:r>
          </w:p>
        </w:tc>
      </w:tr>
      <w:tr>
        <w:trPr>
          <w:trHeight w:val="59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2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237</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227</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566</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583</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339</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331</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707</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715</w:t>
            </w: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187</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187</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406</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420</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1,513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1,575</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3,107</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3,525</w:t>
            </w: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2,276</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2,320</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4,786</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5,243</w:t>
            </w: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1,185</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1,113</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2,315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2,004</w:t>
            </w: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3,461</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3,433</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7,101</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7,247</w:t>
            </w:r>
          </w:p>
        </w:tc>
      </w:tr>
      <w:tr>
        <w:trPr>
          <w:trHeight w:val="588"/>
        </w:trPr>
        <w:tc>
          <w:tcPr>
            <w:tcW w:w="4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25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Millions</w:t>
            </w:r>
          </w:p>
        </w:tc>
        <w:tc>
          <w:tcPr>
            <w:tcW w:w="2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2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$24.9</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$24.1</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$57.8</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$59.1</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31.5</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31.5</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64.0</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65.1</w:t>
            </w: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31.2</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w:t>
            </w:r>
          </w:p>
        </w:tc>
      </w:tr>
      <w:tr>
        <w:trPr>
          <w:trHeight w:val="243"/>
        </w:trPr>
        <w:tc>
          <w:tcPr>
            <w:tcW w:w="440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96.6</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104.2</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196.5</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218.9</w:t>
            </w: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168.3</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174.3</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349.5</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373.6</w:t>
            </w:r>
          </w:p>
        </w:tc>
      </w:tr>
      <w:tr>
        <w:trPr>
          <w:trHeight w:val="243"/>
        </w:trPr>
        <w:tc>
          <w:tcPr>
            <w:tcW w:w="44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44.2</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37.6</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86.4</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71.3</w:t>
            </w:r>
          </w:p>
        </w:tc>
      </w:tr>
      <w:tr>
        <w:trPr>
          <w:trHeight w:val="27"/>
        </w:trPr>
        <w:tc>
          <w:tcPr>
            <w:tcW w:w="4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22.4</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18.1</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51.3</w:t>
            </w:r>
          </w:p>
        </w:tc>
        <w:tc>
          <w:tcPr>
            <w:tcW w:w="12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47.9</w:t>
            </w:r>
          </w:p>
        </w:tc>
      </w:tr>
      <w:tr>
        <w:trPr>
          <w:trHeight w:val="237"/>
        </w:trPr>
        <w:tc>
          <w:tcPr>
            <w:tcW w:w="4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25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$234.9</w:t>
            </w:r>
          </w:p>
        </w:tc>
        <w:tc>
          <w:tcPr>
            <w:tcW w:w="14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$230.0</w:t>
            </w:r>
          </w:p>
        </w:tc>
        <w:tc>
          <w:tcPr>
            <w:tcW w:w="19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$487.2</w:t>
            </w:r>
          </w:p>
        </w:tc>
        <w:tc>
          <w:tcPr>
            <w:tcW w:w="1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$492.8</w:t>
            </w:r>
          </w:p>
        </w:tc>
      </w:tr>
      <w:tr>
        <w:trPr>
          <w:trHeight w:val="27"/>
        </w:trPr>
        <w:tc>
          <w:tcPr>
            <w:tcW w:w="44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32"/>
    </w:lvl>
  </w:abstractNum>
  <w:abstractNum w:abstractNumId="22">
    <w:nsid w:val="8EDBDAB"/>
    <w:multiLevelType w:val="hybridMultilevel"/>
    <w:lvl w:ilvl="0">
      <w:lvlJc w:val="left"/>
      <w:lvlText w:val="%1"/>
      <w:numFmt w:val="decimal"/>
      <w:start w:val="99"/>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2019-12-29T11:08:41Z</dcterms:created>
  <dcterms:modified xsi:type="dcterms:W3CDTF">2019-12-29T11:08:41Z</dcterms:modified>
</cp:coreProperties>
</file>